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9FB4" w14:textId="108B21F6" w:rsidR="00ED0614" w:rsidRPr="00CA1BF7" w:rsidRDefault="00422C3A">
      <w:pPr>
        <w:pStyle w:val="Heading1"/>
      </w:pPr>
      <w:r w:rsidRPr="00422C3A">
        <w:t>Infectious haematopoietic necrosis (IHN)</w:t>
      </w:r>
    </w:p>
    <w:p w14:paraId="663058EF" w14:textId="0E5DC34D" w:rsidR="007D5853" w:rsidRPr="007D5853" w:rsidRDefault="007D5853">
      <w:pPr>
        <w:pStyle w:val="Subtitle"/>
        <w:rPr>
          <w:sz w:val="24"/>
          <w:szCs w:val="24"/>
        </w:rPr>
      </w:pPr>
      <w:r w:rsidRPr="007D5853">
        <w:rPr>
          <w:sz w:val="24"/>
          <w:szCs w:val="24"/>
        </w:rPr>
        <w:t xml:space="preserve">Also known as </w:t>
      </w:r>
      <w:r w:rsidR="00FE416C">
        <w:rPr>
          <w:sz w:val="24"/>
          <w:szCs w:val="24"/>
        </w:rPr>
        <w:t xml:space="preserve">infection with </w:t>
      </w:r>
      <w:r w:rsidRPr="007D5853">
        <w:rPr>
          <w:sz w:val="24"/>
          <w:szCs w:val="24"/>
        </w:rPr>
        <w:t>infectious haematopoietic necrosis virus (IHNV)</w:t>
      </w:r>
    </w:p>
    <w:p w14:paraId="16BA856D" w14:textId="77777777" w:rsidR="00ED0614" w:rsidRDefault="00E260DC">
      <w:pPr>
        <w:pStyle w:val="Subtitle"/>
      </w:pPr>
      <w:r>
        <w:t xml:space="preserve">From </w:t>
      </w:r>
      <w:r>
        <w:rPr>
          <w:rStyle w:val="Emphasis"/>
        </w:rPr>
        <w:t>Aquatic animal diseases significant to Australia: identification field guide</w:t>
      </w:r>
      <w:r>
        <w:t>, 5th edition</w:t>
      </w:r>
    </w:p>
    <w:p w14:paraId="0C9D70DB" w14:textId="1DAD9C08" w:rsidR="00ED0614" w:rsidRPr="007F1EDC" w:rsidRDefault="00E260DC">
      <w:pPr>
        <w:pStyle w:val="Caption"/>
      </w:pPr>
      <w:r>
        <w:t xml:space="preserve">Figure </w:t>
      </w:r>
      <w:r>
        <w:rPr>
          <w:noProof/>
        </w:rPr>
        <w:fldChar w:fldCharType="begin"/>
      </w:r>
      <w:r>
        <w:rPr>
          <w:noProof/>
        </w:rPr>
        <w:instrText xml:space="preserve"> SEQ Figure \* ARABIC </w:instrText>
      </w:r>
      <w:r>
        <w:rPr>
          <w:noProof/>
        </w:rPr>
        <w:fldChar w:fldCharType="separate"/>
      </w:r>
      <w:r w:rsidR="00D474BF">
        <w:rPr>
          <w:noProof/>
        </w:rPr>
        <w:t>1</w:t>
      </w:r>
      <w:r>
        <w:rPr>
          <w:noProof/>
        </w:rPr>
        <w:fldChar w:fldCharType="end"/>
      </w:r>
      <w:r>
        <w:t xml:space="preserve"> </w:t>
      </w:r>
      <w:r w:rsidR="00422C3A" w:rsidRPr="00422C3A">
        <w:t>Chinook salmon fry (</w:t>
      </w:r>
      <w:r w:rsidR="00422C3A" w:rsidRPr="007F73EC">
        <w:rPr>
          <w:rStyle w:val="Emphasis"/>
        </w:rPr>
        <w:t>Oncorhynchus tshawytscha</w:t>
      </w:r>
      <w:r w:rsidR="00422C3A" w:rsidRPr="00422C3A">
        <w:t>) with IHN</w:t>
      </w:r>
    </w:p>
    <w:p w14:paraId="0EFF3543" w14:textId="2668C398" w:rsidR="00ED0614" w:rsidRPr="007F1EDC" w:rsidRDefault="00422C3A">
      <w:r>
        <w:rPr>
          <w:noProof/>
          <w:lang w:eastAsia="en-AU"/>
        </w:rPr>
        <w:drawing>
          <wp:inline distT="0" distB="0" distL="0" distR="0" wp14:anchorId="29360D1A" wp14:editId="67040F73">
            <wp:extent cx="3960000" cy="218880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960000" cy="2188800"/>
                    </a:xfrm>
                    <a:prstGeom prst="rect">
                      <a:avLst/>
                    </a:prstGeom>
                    <a:noFill/>
                    <a:ln>
                      <a:noFill/>
                    </a:ln>
                    <a:extLst>
                      <a:ext uri="{53640926-AAD7-44D8-BBD7-CCE9431645EC}">
                        <a14:shadowObscured xmlns:a14="http://schemas.microsoft.com/office/drawing/2010/main"/>
                      </a:ext>
                    </a:extLst>
                  </pic:spPr>
                </pic:pic>
              </a:graphicData>
            </a:graphic>
          </wp:inline>
        </w:drawing>
      </w:r>
    </w:p>
    <w:p w14:paraId="06294385" w14:textId="77777777" w:rsidR="00422C3A" w:rsidRDefault="00E260DC" w:rsidP="00422C3A">
      <w:pPr>
        <w:pStyle w:val="FigureTableNoteSource"/>
      </w:pPr>
      <w:r w:rsidRPr="007F1EDC">
        <w:t xml:space="preserve">Note: </w:t>
      </w:r>
      <w:r w:rsidR="00422C3A">
        <w:t>Characteristic darkening from the tail region, swollen abdomen and haemorrhaging at base of the fins.</w:t>
      </w:r>
    </w:p>
    <w:p w14:paraId="0FE7139E" w14:textId="78100693" w:rsidR="00ED0614" w:rsidRDefault="00422C3A" w:rsidP="00422C3A">
      <w:pPr>
        <w:pStyle w:val="FigureTableNoteSource"/>
      </w:pPr>
      <w:r>
        <w:t>Source: J Fryer</w:t>
      </w:r>
    </w:p>
    <w:p w14:paraId="4671D951" w14:textId="7D7AAAC1" w:rsidR="007F73EC" w:rsidRPr="007F1EDC" w:rsidRDefault="007F73EC" w:rsidP="007F73EC">
      <w:pPr>
        <w:pStyle w:val="Caption"/>
      </w:pPr>
      <w:r>
        <w:t xml:space="preserve">Figure </w:t>
      </w:r>
      <w:r>
        <w:rPr>
          <w:noProof/>
        </w:rPr>
        <w:fldChar w:fldCharType="begin"/>
      </w:r>
      <w:r>
        <w:rPr>
          <w:noProof/>
        </w:rPr>
        <w:instrText xml:space="preserve"> SEQ Figure \* ARABIC </w:instrText>
      </w:r>
      <w:r>
        <w:rPr>
          <w:noProof/>
        </w:rPr>
        <w:fldChar w:fldCharType="separate"/>
      </w:r>
      <w:r w:rsidR="00D474BF">
        <w:rPr>
          <w:noProof/>
        </w:rPr>
        <w:t>2</w:t>
      </w:r>
      <w:r>
        <w:rPr>
          <w:noProof/>
        </w:rPr>
        <w:fldChar w:fldCharType="end"/>
      </w:r>
      <w:r>
        <w:t xml:space="preserve"> </w:t>
      </w:r>
      <w:r w:rsidRPr="007F73EC">
        <w:t>Rainbow trout fry (</w:t>
      </w:r>
      <w:r w:rsidRPr="007F73EC">
        <w:rPr>
          <w:rStyle w:val="Emphasis"/>
        </w:rPr>
        <w:t>Oncorhynchus mykiss</w:t>
      </w:r>
      <w:r w:rsidRPr="007F73EC">
        <w:t>) with and without IHN</w:t>
      </w:r>
    </w:p>
    <w:p w14:paraId="18AABFAF" w14:textId="65A83A09" w:rsidR="007F73EC" w:rsidRPr="007F1EDC" w:rsidRDefault="007F73EC" w:rsidP="007F73EC">
      <w:r w:rsidRPr="009A35FF">
        <w:rPr>
          <w:noProof/>
          <w:lang w:eastAsia="en-AU"/>
        </w:rPr>
        <w:drawing>
          <wp:inline distT="0" distB="0" distL="0" distR="0" wp14:anchorId="01C747CF" wp14:editId="4C2F453B">
            <wp:extent cx="3960000" cy="31320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N_JFryer2.jpg"/>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3960000" cy="3132000"/>
                    </a:xfrm>
                    <a:prstGeom prst="rect">
                      <a:avLst/>
                    </a:prstGeom>
                    <a:ln>
                      <a:noFill/>
                    </a:ln>
                    <a:extLst>
                      <a:ext uri="{53640926-AAD7-44D8-BBD7-CCE9431645EC}">
                        <a14:shadowObscured xmlns:a14="http://schemas.microsoft.com/office/drawing/2010/main"/>
                      </a:ext>
                    </a:extLst>
                  </pic:spPr>
                </pic:pic>
              </a:graphicData>
            </a:graphic>
          </wp:inline>
        </w:drawing>
      </w:r>
    </w:p>
    <w:p w14:paraId="6F434A7D" w14:textId="7CE6BFA2" w:rsidR="007F73EC" w:rsidRDefault="007F73EC" w:rsidP="007F73EC">
      <w:pPr>
        <w:pStyle w:val="FigureTableNoteSource"/>
      </w:pPr>
      <w:r w:rsidRPr="007F1EDC">
        <w:t xml:space="preserve">Note: </w:t>
      </w:r>
      <w:r w:rsidR="00F269B4">
        <w:t>I</w:t>
      </w:r>
      <w:r>
        <w:t xml:space="preserve">nfected fish (left) </w:t>
      </w:r>
      <w:r w:rsidR="00F269B4">
        <w:t xml:space="preserve">shows darker colouring </w:t>
      </w:r>
      <w:r w:rsidR="00DE0024">
        <w:t xml:space="preserve">and exopthalmia </w:t>
      </w:r>
      <w:r>
        <w:t>compared to the uninfected fish (right)</w:t>
      </w:r>
    </w:p>
    <w:p w14:paraId="72551E21" w14:textId="038D8770" w:rsidR="007F73EC" w:rsidRPr="007F73EC" w:rsidRDefault="007F73EC" w:rsidP="007F73EC">
      <w:pPr>
        <w:pStyle w:val="FigureTableNoteSource"/>
      </w:pPr>
      <w:r>
        <w:t>Source: G Kurath</w:t>
      </w:r>
    </w:p>
    <w:p w14:paraId="34D7581A" w14:textId="77777777" w:rsidR="00ED0614" w:rsidRDefault="00E260DC" w:rsidP="007D5853">
      <w:pPr>
        <w:pStyle w:val="Heading2"/>
        <w:pageBreakBefore/>
      </w:pPr>
      <w:r>
        <w:lastRenderedPageBreak/>
        <w:t>Signs of disease</w:t>
      </w:r>
    </w:p>
    <w:p w14:paraId="445BBFA4" w14:textId="77777777" w:rsidR="00ED0614" w:rsidRDefault="00E260DC">
      <w:pPr>
        <w:rPr>
          <w:lang w:eastAsia="ja-JP"/>
        </w:rPr>
      </w:pPr>
      <w:r>
        <w:rPr>
          <w:lang w:eastAsia="ja-JP"/>
        </w:rPr>
        <w:t>Important: Animals with this disease may show one or more of these signs, but the pathogen may still be present in the absence of any signs.</w:t>
      </w:r>
    </w:p>
    <w:p w14:paraId="0ED3BEC6" w14:textId="77777777" w:rsidR="00ED0614" w:rsidRDefault="00E260DC">
      <w:pPr>
        <w:rPr>
          <w:lang w:eastAsia="ja-JP"/>
        </w:rPr>
      </w:pPr>
      <w:r>
        <w:rPr>
          <w:lang w:eastAsia="ja-JP"/>
        </w:rPr>
        <w:t>Disease signs at the farm, tank or pond level are:</w:t>
      </w:r>
    </w:p>
    <w:p w14:paraId="350D8A0D" w14:textId="77777777" w:rsidR="007F73EC" w:rsidRDefault="007F73EC" w:rsidP="007F73EC">
      <w:pPr>
        <w:pStyle w:val="ListBullet"/>
        <w:rPr>
          <w:lang w:eastAsia="ja-JP"/>
        </w:rPr>
      </w:pPr>
      <w:r>
        <w:rPr>
          <w:lang w:eastAsia="ja-JP"/>
        </w:rPr>
        <w:t>mass mortality</w:t>
      </w:r>
    </w:p>
    <w:p w14:paraId="64631B6C" w14:textId="6375D1DD" w:rsidR="00ED0614" w:rsidRDefault="007F73EC" w:rsidP="007F73EC">
      <w:pPr>
        <w:pStyle w:val="ListBullet"/>
        <w:rPr>
          <w:lang w:eastAsia="ja-JP"/>
        </w:rPr>
      </w:pPr>
      <w:r>
        <w:rPr>
          <w:lang w:eastAsia="ja-JP"/>
        </w:rPr>
        <w:t>lethargic swimming with intermittent bouts of frenzied, abnormal activity (spiral swimming and flashing)</w:t>
      </w:r>
      <w:r w:rsidR="004A5DDC">
        <w:rPr>
          <w:lang w:eastAsia="ja-JP"/>
        </w:rPr>
        <w:t>.</w:t>
      </w:r>
    </w:p>
    <w:p w14:paraId="7418287E" w14:textId="77777777" w:rsidR="00CD0FA5" w:rsidRDefault="00DF2031" w:rsidP="004A5DDC">
      <w:pPr>
        <w:keepNext/>
        <w:keepLines/>
        <w:rPr>
          <w:lang w:eastAsia="ja-JP"/>
        </w:rPr>
      </w:pPr>
      <w:r>
        <w:rPr>
          <w:lang w:eastAsia="ja-JP"/>
        </w:rPr>
        <w:t xml:space="preserve">Gross </w:t>
      </w:r>
      <w:r w:rsidRPr="00DF2031">
        <w:t>pathological</w:t>
      </w:r>
      <w:r>
        <w:rPr>
          <w:lang w:eastAsia="ja-JP"/>
        </w:rPr>
        <w:t xml:space="preserve"> signs </w:t>
      </w:r>
      <w:r w:rsidR="00CD0FA5">
        <w:rPr>
          <w:lang w:eastAsia="ja-JP"/>
        </w:rPr>
        <w:t>are:</w:t>
      </w:r>
    </w:p>
    <w:p w14:paraId="67E501EC" w14:textId="77777777" w:rsidR="007F73EC" w:rsidRDefault="007F73EC" w:rsidP="007F73EC">
      <w:pPr>
        <w:pStyle w:val="ListBullet"/>
        <w:rPr>
          <w:lang w:eastAsia="ja-JP"/>
        </w:rPr>
      </w:pPr>
      <w:r>
        <w:rPr>
          <w:lang w:eastAsia="ja-JP"/>
        </w:rPr>
        <w:t>numerous yolk sac haemorrhages in the fry of rainbow trout and salmon</w:t>
      </w:r>
    </w:p>
    <w:p w14:paraId="5787B4B7" w14:textId="77777777" w:rsidR="007F73EC" w:rsidRDefault="007F73EC" w:rsidP="007F73EC">
      <w:pPr>
        <w:pStyle w:val="ListBullet"/>
        <w:rPr>
          <w:lang w:eastAsia="ja-JP"/>
        </w:rPr>
      </w:pPr>
      <w:r>
        <w:rPr>
          <w:lang w:eastAsia="ja-JP"/>
        </w:rPr>
        <w:t>darkening of the skin and pale gills</w:t>
      </w:r>
    </w:p>
    <w:p w14:paraId="0C2CC599" w14:textId="77777777" w:rsidR="007F73EC" w:rsidRDefault="007F73EC" w:rsidP="007F73EC">
      <w:pPr>
        <w:pStyle w:val="ListBullet"/>
        <w:rPr>
          <w:lang w:eastAsia="ja-JP"/>
        </w:rPr>
      </w:pPr>
      <w:r>
        <w:rPr>
          <w:lang w:eastAsia="ja-JP"/>
        </w:rPr>
        <w:t>haemorrhages on the abdomen and around the pupil of the eye</w:t>
      </w:r>
    </w:p>
    <w:p w14:paraId="2CA52E63" w14:textId="77777777" w:rsidR="007F73EC" w:rsidRDefault="007F73EC" w:rsidP="007F73EC">
      <w:pPr>
        <w:pStyle w:val="ListBullet"/>
        <w:rPr>
          <w:lang w:eastAsia="ja-JP"/>
        </w:rPr>
      </w:pPr>
      <w:r>
        <w:rPr>
          <w:lang w:eastAsia="ja-JP"/>
        </w:rPr>
        <w:t>exophthalmos (popeye) and a swollen abdomen</w:t>
      </w:r>
    </w:p>
    <w:p w14:paraId="57F16175" w14:textId="77777777" w:rsidR="007F73EC" w:rsidRDefault="007F73EC" w:rsidP="007F73EC">
      <w:pPr>
        <w:pStyle w:val="ListBullet"/>
        <w:rPr>
          <w:lang w:eastAsia="ja-JP"/>
        </w:rPr>
      </w:pPr>
      <w:r>
        <w:rPr>
          <w:lang w:eastAsia="ja-JP"/>
        </w:rPr>
        <w:t>trailing white faecal cast</w:t>
      </w:r>
    </w:p>
    <w:p w14:paraId="6234A902" w14:textId="77777777" w:rsidR="007F73EC" w:rsidRDefault="007F73EC" w:rsidP="007F73EC">
      <w:pPr>
        <w:pStyle w:val="ListBullet"/>
        <w:rPr>
          <w:lang w:eastAsia="ja-JP"/>
        </w:rPr>
      </w:pPr>
      <w:r>
        <w:rPr>
          <w:lang w:eastAsia="ja-JP"/>
        </w:rPr>
        <w:t>bleeding at the base of the fins</w:t>
      </w:r>
    </w:p>
    <w:p w14:paraId="194493F6" w14:textId="77777777" w:rsidR="007F73EC" w:rsidRDefault="007F73EC" w:rsidP="007F73EC">
      <w:pPr>
        <w:pStyle w:val="ListBullet"/>
        <w:rPr>
          <w:lang w:eastAsia="ja-JP"/>
        </w:rPr>
      </w:pPr>
      <w:r>
        <w:rPr>
          <w:lang w:eastAsia="ja-JP"/>
        </w:rPr>
        <w:t>stomach empty of food but distended with a gelatinous substance</w:t>
      </w:r>
    </w:p>
    <w:p w14:paraId="76ECFCDC" w14:textId="77777777" w:rsidR="007F73EC" w:rsidRDefault="007F73EC" w:rsidP="007F73EC">
      <w:pPr>
        <w:pStyle w:val="ListBullet"/>
        <w:rPr>
          <w:lang w:eastAsia="ja-JP"/>
        </w:rPr>
      </w:pPr>
      <w:r>
        <w:rPr>
          <w:lang w:eastAsia="ja-JP"/>
        </w:rPr>
        <w:t>pale internal organs</w:t>
      </w:r>
    </w:p>
    <w:p w14:paraId="7CAD8279" w14:textId="77777777" w:rsidR="007F73EC" w:rsidRDefault="007F73EC" w:rsidP="007F73EC">
      <w:pPr>
        <w:pStyle w:val="ListBullet"/>
        <w:rPr>
          <w:lang w:eastAsia="ja-JP"/>
        </w:rPr>
      </w:pPr>
      <w:r>
        <w:rPr>
          <w:lang w:eastAsia="ja-JP"/>
        </w:rPr>
        <w:t>petechial (pinpoint) haemorrhages in the fatty tissue and muscle surrounding the organs and stomach wall</w:t>
      </w:r>
    </w:p>
    <w:p w14:paraId="06EC2B36" w14:textId="27735438" w:rsidR="00ED0614" w:rsidRDefault="007F73EC" w:rsidP="007F73EC">
      <w:pPr>
        <w:pStyle w:val="ListBullet"/>
        <w:rPr>
          <w:lang w:eastAsia="ja-JP"/>
        </w:rPr>
      </w:pPr>
      <w:r>
        <w:rPr>
          <w:lang w:eastAsia="ja-JP"/>
        </w:rPr>
        <w:t>spinal deformities in surviving fish</w:t>
      </w:r>
      <w:r w:rsidR="002521EC">
        <w:rPr>
          <w:lang w:eastAsia="ja-JP"/>
        </w:rPr>
        <w:t>.</w:t>
      </w:r>
    </w:p>
    <w:p w14:paraId="2D426F0A" w14:textId="77777777" w:rsidR="00ED0614" w:rsidRDefault="00E260DC">
      <w:pPr>
        <w:rPr>
          <w:lang w:eastAsia="ja-JP"/>
        </w:rPr>
      </w:pPr>
      <w:r>
        <w:rPr>
          <w:lang w:eastAsia="ja-JP"/>
        </w:rPr>
        <w:t>Microscopic pathological signs are:</w:t>
      </w:r>
    </w:p>
    <w:p w14:paraId="5FA6A8C7" w14:textId="77777777" w:rsidR="007F73EC" w:rsidRPr="007F73EC" w:rsidRDefault="007F73EC" w:rsidP="007F73EC">
      <w:pPr>
        <w:pStyle w:val="ListBullet"/>
        <w:rPr>
          <w:lang w:val="en-US"/>
        </w:rPr>
      </w:pPr>
      <w:r w:rsidRPr="007F73EC">
        <w:rPr>
          <w:lang w:val="en-US"/>
        </w:rPr>
        <w:t>necrosis of eosinophilic granular cells in the intestinal wall</w:t>
      </w:r>
    </w:p>
    <w:p w14:paraId="68AAA3DA" w14:textId="17A5D15B" w:rsidR="00ED0614" w:rsidRDefault="007F73EC" w:rsidP="007F73EC">
      <w:pPr>
        <w:pStyle w:val="ListBullet"/>
        <w:rPr>
          <w:lang w:val="en-US"/>
        </w:rPr>
      </w:pPr>
      <w:r w:rsidRPr="007F73EC">
        <w:rPr>
          <w:lang w:val="en-US"/>
        </w:rPr>
        <w:t>degenerative necrosis in haematopoietic tissues</w:t>
      </w:r>
      <w:r w:rsidR="00E260DC">
        <w:rPr>
          <w:lang w:val="en-US"/>
        </w:rPr>
        <w:t>.</w:t>
      </w:r>
    </w:p>
    <w:p w14:paraId="755CDE80" w14:textId="77777777" w:rsidR="00ED0614" w:rsidRDefault="00E260DC">
      <w:pPr>
        <w:pStyle w:val="Heading2"/>
      </w:pPr>
      <w:r>
        <w:t>Disease agent</w:t>
      </w:r>
    </w:p>
    <w:p w14:paraId="54C7B5E3" w14:textId="1801D5A5" w:rsidR="00CB11B9" w:rsidRPr="00CB11B9" w:rsidRDefault="007D5853" w:rsidP="00876983">
      <w:r>
        <w:t>IHN</w:t>
      </w:r>
      <w:r w:rsidR="007F73EC" w:rsidRPr="007F73EC">
        <w:t xml:space="preserve"> is caused by infection with salmonid </w:t>
      </w:r>
      <w:r w:rsidR="007F73EC" w:rsidRPr="007D5853">
        <w:rPr>
          <w:rStyle w:val="Emphasis"/>
        </w:rPr>
        <w:t>Novirhabdovirus</w:t>
      </w:r>
      <w:r>
        <w:rPr>
          <w:rStyle w:val="Emphasis"/>
        </w:rPr>
        <w:t>,</w:t>
      </w:r>
      <w:r w:rsidR="003009BD">
        <w:rPr>
          <w:rStyle w:val="Emphasis"/>
        </w:rPr>
        <w:t xml:space="preserve"> </w:t>
      </w:r>
      <w:r w:rsidR="007F73EC" w:rsidRPr="007F73EC">
        <w:t xml:space="preserve">also known as infectious haematopoietic necrosis virus </w:t>
      </w:r>
      <w:r>
        <w:t>(</w:t>
      </w:r>
      <w:r w:rsidR="007F73EC" w:rsidRPr="007F73EC">
        <w:t>IHNV)</w:t>
      </w:r>
      <w:r>
        <w:t>. This</w:t>
      </w:r>
      <w:r w:rsidR="00F269B4">
        <w:t xml:space="preserve"> virus</w:t>
      </w:r>
      <w:r>
        <w:t xml:space="preserve"> is</w:t>
      </w:r>
      <w:r w:rsidR="007F73EC" w:rsidRPr="007F73EC">
        <w:t xml:space="preserve"> an enveloped single-stranded, negative-sense RNA virus classified within the family </w:t>
      </w:r>
      <w:r w:rsidR="007F73EC" w:rsidRPr="007D5853">
        <w:rPr>
          <w:rStyle w:val="Emphasis"/>
        </w:rPr>
        <w:t>Novirhabdoviridae</w:t>
      </w:r>
      <w:r>
        <w:t>, and</w:t>
      </w:r>
      <w:r w:rsidRPr="007F73EC">
        <w:t xml:space="preserve"> </w:t>
      </w:r>
      <w:r w:rsidR="007F73EC" w:rsidRPr="007F73EC">
        <w:t>is closely related to other important fish rhabdoviruses such as viral haemorrhagic septicaemia virus (VHSV) and spring viraemia of carp virus (SVCV). Molecular analysis suggests that IHNV was originally endemic to the Pacific coast of North America, and was spread to Europe and Asia through translocations of salmonid eggs or fry.</w:t>
      </w:r>
    </w:p>
    <w:p w14:paraId="10B41ACC" w14:textId="77777777" w:rsidR="00ED0614" w:rsidRDefault="00E260DC" w:rsidP="007D5853">
      <w:pPr>
        <w:pStyle w:val="Heading2"/>
        <w:keepLines/>
        <w:pageBreakBefore/>
      </w:pPr>
      <w:r>
        <w:lastRenderedPageBreak/>
        <w:t>Host range</w:t>
      </w:r>
    </w:p>
    <w:p w14:paraId="63E14290" w14:textId="403CA61B" w:rsidR="00ED0614" w:rsidRDefault="00E260DC">
      <w:pPr>
        <w:pStyle w:val="Caption"/>
      </w:pPr>
      <w:r>
        <w:t xml:space="preserve">Table </w:t>
      </w:r>
      <w:r>
        <w:rPr>
          <w:noProof/>
        </w:rPr>
        <w:fldChar w:fldCharType="begin"/>
      </w:r>
      <w:r>
        <w:rPr>
          <w:noProof/>
        </w:rPr>
        <w:instrText xml:space="preserve"> SEQ Table \* ARABIC </w:instrText>
      </w:r>
      <w:r>
        <w:rPr>
          <w:noProof/>
        </w:rPr>
        <w:fldChar w:fldCharType="separate"/>
      </w:r>
      <w:r w:rsidR="00D474BF">
        <w:rPr>
          <w:noProof/>
        </w:rPr>
        <w:t>1</w:t>
      </w:r>
      <w:r>
        <w:rPr>
          <w:noProof/>
        </w:rPr>
        <w:fldChar w:fldCharType="end"/>
      </w:r>
      <w:r>
        <w:t xml:space="preserve"> </w:t>
      </w:r>
      <w:r w:rsidR="00CB11B9" w:rsidRPr="00CB11B9">
        <w:t xml:space="preserve">Species known to be susceptible to </w:t>
      </w:r>
      <w:r w:rsidR="007F73EC">
        <w:t>IHN</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ED0614" w14:paraId="7F099F95" w14:textId="77777777">
        <w:trPr>
          <w:cantSplit/>
          <w:trHeight w:val="300"/>
          <w:tblHeader/>
        </w:trPr>
        <w:tc>
          <w:tcPr>
            <w:tcW w:w="2500" w:type="pct"/>
            <w:tcBorders>
              <w:top w:val="single" w:sz="4" w:space="0" w:color="auto"/>
              <w:bottom w:val="single" w:sz="4" w:space="0" w:color="auto"/>
            </w:tcBorders>
            <w:noWrap/>
          </w:tcPr>
          <w:p w14:paraId="53C37EB4" w14:textId="77777777" w:rsidR="00ED0614" w:rsidRDefault="00E260DC">
            <w:pPr>
              <w:pStyle w:val="TableHeading"/>
            </w:pPr>
            <w:r>
              <w:t>Common name</w:t>
            </w:r>
          </w:p>
        </w:tc>
        <w:tc>
          <w:tcPr>
            <w:tcW w:w="2500" w:type="pct"/>
            <w:tcBorders>
              <w:top w:val="single" w:sz="4" w:space="0" w:color="auto"/>
              <w:bottom w:val="single" w:sz="4" w:space="0" w:color="auto"/>
            </w:tcBorders>
            <w:noWrap/>
          </w:tcPr>
          <w:p w14:paraId="0DE0AAEB" w14:textId="77777777" w:rsidR="00ED0614" w:rsidRDefault="00E260DC">
            <w:pPr>
              <w:pStyle w:val="TableHeading"/>
            </w:pPr>
            <w:r>
              <w:t>Scientific name</w:t>
            </w:r>
          </w:p>
        </w:tc>
      </w:tr>
      <w:tr w:rsidR="007F73EC" w14:paraId="3B818FD2" w14:textId="77777777">
        <w:trPr>
          <w:cantSplit/>
          <w:trHeight w:val="315"/>
        </w:trPr>
        <w:tc>
          <w:tcPr>
            <w:tcW w:w="2500" w:type="pct"/>
            <w:tcBorders>
              <w:top w:val="single" w:sz="4" w:space="0" w:color="auto"/>
            </w:tcBorders>
            <w:noWrap/>
          </w:tcPr>
          <w:p w14:paraId="2F3C0965" w14:textId="708AC28B" w:rsidR="007F73EC" w:rsidRDefault="007F73EC" w:rsidP="007F73EC">
            <w:pPr>
              <w:pStyle w:val="TableText"/>
              <w:tabs>
                <w:tab w:val="left" w:pos="1640"/>
              </w:tabs>
            </w:pPr>
            <w:r w:rsidRPr="00CC0AD6">
              <w:t>Amago salmon</w:t>
            </w:r>
            <w:r w:rsidRPr="007F73EC">
              <w:rPr>
                <w:vertAlign w:val="superscript"/>
              </w:rPr>
              <w:t>a</w:t>
            </w:r>
          </w:p>
        </w:tc>
        <w:tc>
          <w:tcPr>
            <w:tcW w:w="2500" w:type="pct"/>
            <w:tcBorders>
              <w:top w:val="single" w:sz="4" w:space="0" w:color="auto"/>
            </w:tcBorders>
            <w:noWrap/>
          </w:tcPr>
          <w:p w14:paraId="2D4141AF" w14:textId="6DF4E832" w:rsidR="007F73EC" w:rsidRPr="00736B6B" w:rsidRDefault="007F73EC" w:rsidP="007F73EC">
            <w:pPr>
              <w:pStyle w:val="TableText"/>
              <w:rPr>
                <w:rStyle w:val="Emphasis"/>
              </w:rPr>
            </w:pPr>
            <w:r w:rsidRPr="00736B6B">
              <w:rPr>
                <w:rStyle w:val="Emphasis"/>
              </w:rPr>
              <w:t>Oncorhynchus rhodurus</w:t>
            </w:r>
          </w:p>
        </w:tc>
      </w:tr>
      <w:tr w:rsidR="007F73EC" w14:paraId="163A359F" w14:textId="77777777">
        <w:trPr>
          <w:cantSplit/>
          <w:trHeight w:val="315"/>
        </w:trPr>
        <w:tc>
          <w:tcPr>
            <w:tcW w:w="2500" w:type="pct"/>
            <w:noWrap/>
          </w:tcPr>
          <w:p w14:paraId="74773C6F" w14:textId="34100CBB" w:rsidR="007F73EC" w:rsidRDefault="007F73EC" w:rsidP="007F73EC">
            <w:pPr>
              <w:pStyle w:val="TableText"/>
            </w:pPr>
            <w:r w:rsidRPr="00CC0AD6">
              <w:t>Arctic char</w:t>
            </w:r>
          </w:p>
        </w:tc>
        <w:tc>
          <w:tcPr>
            <w:tcW w:w="2500" w:type="pct"/>
            <w:noWrap/>
          </w:tcPr>
          <w:p w14:paraId="1D5663AA" w14:textId="35F21F5B" w:rsidR="007F73EC" w:rsidRPr="00736B6B" w:rsidRDefault="007F73EC" w:rsidP="007F73EC">
            <w:pPr>
              <w:pStyle w:val="TableText"/>
              <w:rPr>
                <w:rStyle w:val="Emphasis"/>
                <w:rFonts w:eastAsia="SimSun"/>
              </w:rPr>
            </w:pPr>
            <w:r w:rsidRPr="00736B6B">
              <w:rPr>
                <w:rStyle w:val="Emphasis"/>
              </w:rPr>
              <w:t>Salvelinus alpinus</w:t>
            </w:r>
          </w:p>
        </w:tc>
      </w:tr>
      <w:tr w:rsidR="007F73EC" w14:paraId="5C3B7FD0" w14:textId="77777777">
        <w:trPr>
          <w:cantSplit/>
          <w:trHeight w:val="315"/>
        </w:trPr>
        <w:tc>
          <w:tcPr>
            <w:tcW w:w="2500" w:type="pct"/>
            <w:noWrap/>
          </w:tcPr>
          <w:p w14:paraId="5227C577" w14:textId="1CB2A912" w:rsidR="007F73EC" w:rsidRDefault="007F73EC" w:rsidP="007F73EC">
            <w:pPr>
              <w:pStyle w:val="TableText"/>
            </w:pPr>
            <w:r w:rsidRPr="00CC0AD6">
              <w:t>Atlantic cod</w:t>
            </w:r>
            <w:r w:rsidRPr="007F73EC">
              <w:rPr>
                <w:vertAlign w:val="superscript"/>
              </w:rPr>
              <w:t>a</w:t>
            </w:r>
          </w:p>
        </w:tc>
        <w:tc>
          <w:tcPr>
            <w:tcW w:w="2500" w:type="pct"/>
            <w:noWrap/>
          </w:tcPr>
          <w:p w14:paraId="5ACF429E" w14:textId="3E81CDE0" w:rsidR="007F73EC" w:rsidRPr="00736B6B" w:rsidRDefault="007F73EC" w:rsidP="007F73EC">
            <w:pPr>
              <w:pStyle w:val="TableText"/>
              <w:rPr>
                <w:rStyle w:val="Emphasis"/>
                <w:rFonts w:eastAsia="SimSun"/>
              </w:rPr>
            </w:pPr>
            <w:r w:rsidRPr="00736B6B">
              <w:rPr>
                <w:rStyle w:val="Emphasis"/>
              </w:rPr>
              <w:t>Gadus morhua</w:t>
            </w:r>
          </w:p>
        </w:tc>
      </w:tr>
      <w:tr w:rsidR="007F73EC" w14:paraId="42EB7617" w14:textId="77777777">
        <w:trPr>
          <w:cantSplit/>
          <w:trHeight w:val="315"/>
        </w:trPr>
        <w:tc>
          <w:tcPr>
            <w:tcW w:w="2500" w:type="pct"/>
            <w:noWrap/>
          </w:tcPr>
          <w:p w14:paraId="71A33549" w14:textId="3AAF3CCC" w:rsidR="007F73EC" w:rsidRDefault="007F73EC" w:rsidP="007F73EC">
            <w:pPr>
              <w:pStyle w:val="TableText"/>
            </w:pPr>
            <w:r w:rsidRPr="00CC0AD6">
              <w:t>Atlantic salmon</w:t>
            </w:r>
            <w:r w:rsidRPr="007F73EC">
              <w:rPr>
                <w:vertAlign w:val="superscript"/>
              </w:rPr>
              <w:t>a</w:t>
            </w:r>
          </w:p>
        </w:tc>
        <w:tc>
          <w:tcPr>
            <w:tcW w:w="2500" w:type="pct"/>
            <w:noWrap/>
          </w:tcPr>
          <w:p w14:paraId="1D4032D9" w14:textId="246D436C" w:rsidR="007F73EC" w:rsidRPr="00736B6B" w:rsidRDefault="007F73EC" w:rsidP="007F73EC">
            <w:pPr>
              <w:pStyle w:val="TableText"/>
              <w:rPr>
                <w:rStyle w:val="Emphasis"/>
                <w:rFonts w:eastAsia="SimSun"/>
              </w:rPr>
            </w:pPr>
            <w:r w:rsidRPr="00736B6B">
              <w:rPr>
                <w:rStyle w:val="Emphasis"/>
              </w:rPr>
              <w:t>Salmo salar</w:t>
            </w:r>
          </w:p>
        </w:tc>
      </w:tr>
      <w:tr w:rsidR="007F73EC" w14:paraId="2B6394AD" w14:textId="77777777">
        <w:trPr>
          <w:cantSplit/>
          <w:trHeight w:val="315"/>
        </w:trPr>
        <w:tc>
          <w:tcPr>
            <w:tcW w:w="2500" w:type="pct"/>
            <w:noWrap/>
          </w:tcPr>
          <w:p w14:paraId="5E1E203A" w14:textId="03DF59D7" w:rsidR="007F73EC" w:rsidRDefault="007F73EC" w:rsidP="007F73EC">
            <w:pPr>
              <w:pStyle w:val="TableText"/>
            </w:pPr>
            <w:r w:rsidRPr="00CC0AD6">
              <w:t>Ayu</w:t>
            </w:r>
          </w:p>
        </w:tc>
        <w:tc>
          <w:tcPr>
            <w:tcW w:w="2500" w:type="pct"/>
            <w:noWrap/>
          </w:tcPr>
          <w:p w14:paraId="44C74309" w14:textId="7979FC0B" w:rsidR="007F73EC" w:rsidRPr="00736B6B" w:rsidRDefault="007F73EC" w:rsidP="007F73EC">
            <w:pPr>
              <w:pStyle w:val="TableText"/>
              <w:rPr>
                <w:rStyle w:val="Emphasis"/>
              </w:rPr>
            </w:pPr>
            <w:r w:rsidRPr="00736B6B">
              <w:rPr>
                <w:rStyle w:val="Emphasis"/>
              </w:rPr>
              <w:t>Plecoglossus altivelis</w:t>
            </w:r>
          </w:p>
        </w:tc>
      </w:tr>
      <w:tr w:rsidR="007F73EC" w14:paraId="6920FABC" w14:textId="77777777">
        <w:trPr>
          <w:cantSplit/>
          <w:trHeight w:val="315"/>
        </w:trPr>
        <w:tc>
          <w:tcPr>
            <w:tcW w:w="2500" w:type="pct"/>
            <w:noWrap/>
          </w:tcPr>
          <w:p w14:paraId="264B739C" w14:textId="0CCA03B6" w:rsidR="007F73EC" w:rsidRDefault="007F73EC" w:rsidP="007F73EC">
            <w:pPr>
              <w:pStyle w:val="TableText"/>
            </w:pPr>
            <w:r w:rsidRPr="00CC0AD6">
              <w:t>Brook trout</w:t>
            </w:r>
            <w:r w:rsidRPr="007F73EC">
              <w:rPr>
                <w:vertAlign w:val="superscript"/>
              </w:rPr>
              <w:t>a</w:t>
            </w:r>
          </w:p>
        </w:tc>
        <w:tc>
          <w:tcPr>
            <w:tcW w:w="2500" w:type="pct"/>
            <w:noWrap/>
          </w:tcPr>
          <w:p w14:paraId="379EFB71" w14:textId="56EAA0EE" w:rsidR="007F73EC" w:rsidRPr="00736B6B" w:rsidRDefault="007F73EC" w:rsidP="007F73EC">
            <w:pPr>
              <w:pStyle w:val="TableText"/>
              <w:rPr>
                <w:rStyle w:val="Emphasis"/>
              </w:rPr>
            </w:pPr>
            <w:r w:rsidRPr="00736B6B">
              <w:rPr>
                <w:rStyle w:val="Emphasis"/>
              </w:rPr>
              <w:t>Salvelinus fontinalis</w:t>
            </w:r>
          </w:p>
        </w:tc>
      </w:tr>
      <w:tr w:rsidR="007F73EC" w14:paraId="0D6ED91A" w14:textId="77777777">
        <w:trPr>
          <w:cantSplit/>
          <w:trHeight w:val="315"/>
        </w:trPr>
        <w:tc>
          <w:tcPr>
            <w:tcW w:w="2500" w:type="pct"/>
            <w:noWrap/>
          </w:tcPr>
          <w:p w14:paraId="3198F7CB" w14:textId="047A1D3A" w:rsidR="007F73EC" w:rsidRPr="002F7844" w:rsidRDefault="007F73EC" w:rsidP="007F73EC">
            <w:pPr>
              <w:pStyle w:val="TableText"/>
            </w:pPr>
            <w:r w:rsidRPr="00CC0AD6">
              <w:t>Brown trout</w:t>
            </w:r>
            <w:r w:rsidRPr="007F73EC">
              <w:rPr>
                <w:vertAlign w:val="superscript"/>
              </w:rPr>
              <w:t>a</w:t>
            </w:r>
          </w:p>
        </w:tc>
        <w:tc>
          <w:tcPr>
            <w:tcW w:w="2500" w:type="pct"/>
            <w:noWrap/>
          </w:tcPr>
          <w:p w14:paraId="5466F917" w14:textId="6E92CACE" w:rsidR="007F73EC" w:rsidRPr="007F73EC" w:rsidRDefault="007F73EC" w:rsidP="007F73EC">
            <w:pPr>
              <w:pStyle w:val="TableText"/>
              <w:rPr>
                <w:rStyle w:val="Emphasis"/>
              </w:rPr>
            </w:pPr>
            <w:r w:rsidRPr="007F73EC">
              <w:rPr>
                <w:rStyle w:val="Emphasis"/>
              </w:rPr>
              <w:t>Salmo trutta</w:t>
            </w:r>
          </w:p>
        </w:tc>
      </w:tr>
      <w:tr w:rsidR="007F73EC" w14:paraId="50940242" w14:textId="77777777">
        <w:trPr>
          <w:cantSplit/>
          <w:trHeight w:val="315"/>
        </w:trPr>
        <w:tc>
          <w:tcPr>
            <w:tcW w:w="2500" w:type="pct"/>
            <w:noWrap/>
          </w:tcPr>
          <w:p w14:paraId="708B6394" w14:textId="6164466F" w:rsidR="007F73EC" w:rsidRPr="002F7844" w:rsidRDefault="007F73EC" w:rsidP="007F73EC">
            <w:pPr>
              <w:pStyle w:val="TableText"/>
            </w:pPr>
            <w:r w:rsidRPr="00CC0AD6">
              <w:t>Burbot</w:t>
            </w:r>
          </w:p>
        </w:tc>
        <w:tc>
          <w:tcPr>
            <w:tcW w:w="2500" w:type="pct"/>
            <w:noWrap/>
          </w:tcPr>
          <w:p w14:paraId="2E781A41" w14:textId="0F7774FA" w:rsidR="007F73EC" w:rsidRPr="007F73EC" w:rsidRDefault="007F73EC" w:rsidP="007F73EC">
            <w:pPr>
              <w:pStyle w:val="TableText"/>
              <w:rPr>
                <w:rStyle w:val="Emphasis"/>
              </w:rPr>
            </w:pPr>
            <w:r w:rsidRPr="007F73EC">
              <w:rPr>
                <w:rStyle w:val="Emphasis"/>
              </w:rPr>
              <w:t>Lota lota</w:t>
            </w:r>
          </w:p>
        </w:tc>
      </w:tr>
      <w:tr w:rsidR="007F73EC" w14:paraId="66CAA922" w14:textId="77777777">
        <w:trPr>
          <w:cantSplit/>
          <w:trHeight w:val="315"/>
        </w:trPr>
        <w:tc>
          <w:tcPr>
            <w:tcW w:w="2500" w:type="pct"/>
            <w:noWrap/>
          </w:tcPr>
          <w:p w14:paraId="78778F6F" w14:textId="58FB8A59" w:rsidR="007F73EC" w:rsidRPr="003958F7" w:rsidRDefault="007F73EC" w:rsidP="007F73EC">
            <w:pPr>
              <w:pStyle w:val="TableText"/>
            </w:pPr>
            <w:r w:rsidRPr="00CC0AD6">
              <w:t xml:space="preserve">Chinook </w:t>
            </w:r>
            <w:r>
              <w:t>salmon</w:t>
            </w:r>
            <w:r w:rsidRPr="007F73EC">
              <w:rPr>
                <w:vertAlign w:val="superscript"/>
              </w:rPr>
              <w:t>a</w:t>
            </w:r>
          </w:p>
        </w:tc>
        <w:tc>
          <w:tcPr>
            <w:tcW w:w="2500" w:type="pct"/>
            <w:noWrap/>
          </w:tcPr>
          <w:p w14:paraId="1DC6983A" w14:textId="4E5ABE08" w:rsidR="007F73EC" w:rsidRPr="007F73EC" w:rsidRDefault="007F73EC" w:rsidP="007F73EC">
            <w:pPr>
              <w:pStyle w:val="TableText"/>
              <w:rPr>
                <w:rStyle w:val="Emphasis"/>
              </w:rPr>
            </w:pPr>
            <w:r w:rsidRPr="007F73EC">
              <w:rPr>
                <w:rStyle w:val="Emphasis"/>
              </w:rPr>
              <w:t>Oncorhynchus tshawytscha</w:t>
            </w:r>
          </w:p>
        </w:tc>
      </w:tr>
      <w:tr w:rsidR="007F73EC" w14:paraId="63E84C66" w14:textId="77777777">
        <w:trPr>
          <w:cantSplit/>
          <w:trHeight w:val="315"/>
        </w:trPr>
        <w:tc>
          <w:tcPr>
            <w:tcW w:w="2500" w:type="pct"/>
            <w:noWrap/>
          </w:tcPr>
          <w:p w14:paraId="07C762CF" w14:textId="61F532AD" w:rsidR="007F73EC" w:rsidRPr="003958F7" w:rsidRDefault="007F73EC" w:rsidP="007F73EC">
            <w:pPr>
              <w:pStyle w:val="TableText"/>
            </w:pPr>
            <w:r w:rsidRPr="00CC0AD6">
              <w:t xml:space="preserve">Chum </w:t>
            </w:r>
            <w:r>
              <w:t>salmon</w:t>
            </w:r>
            <w:r w:rsidRPr="007F73EC">
              <w:rPr>
                <w:vertAlign w:val="superscript"/>
              </w:rPr>
              <w:t>a</w:t>
            </w:r>
          </w:p>
        </w:tc>
        <w:tc>
          <w:tcPr>
            <w:tcW w:w="2500" w:type="pct"/>
            <w:noWrap/>
          </w:tcPr>
          <w:p w14:paraId="0726506E" w14:textId="4DD2958E" w:rsidR="007F73EC" w:rsidRPr="007F73EC" w:rsidRDefault="007F73EC" w:rsidP="007F73EC">
            <w:pPr>
              <w:pStyle w:val="TableText"/>
              <w:rPr>
                <w:rStyle w:val="Emphasis"/>
              </w:rPr>
            </w:pPr>
            <w:r w:rsidRPr="007F73EC">
              <w:rPr>
                <w:rStyle w:val="Emphasis"/>
              </w:rPr>
              <w:t>Oncorhynchus keta</w:t>
            </w:r>
          </w:p>
        </w:tc>
      </w:tr>
      <w:tr w:rsidR="007F73EC" w14:paraId="7F282BDD" w14:textId="77777777">
        <w:trPr>
          <w:cantSplit/>
          <w:trHeight w:val="315"/>
        </w:trPr>
        <w:tc>
          <w:tcPr>
            <w:tcW w:w="2500" w:type="pct"/>
            <w:noWrap/>
          </w:tcPr>
          <w:p w14:paraId="61C7C6FC" w14:textId="7A7C1A29" w:rsidR="007F73EC" w:rsidRPr="003958F7" w:rsidRDefault="007F73EC" w:rsidP="007F73EC">
            <w:pPr>
              <w:pStyle w:val="TableText"/>
            </w:pPr>
            <w:r w:rsidRPr="00CC0AD6">
              <w:t xml:space="preserve">Coho </w:t>
            </w:r>
            <w:r>
              <w:t>salmon</w:t>
            </w:r>
            <w:r w:rsidRPr="007F73EC">
              <w:rPr>
                <w:vertAlign w:val="superscript"/>
              </w:rPr>
              <w:t>a</w:t>
            </w:r>
          </w:p>
        </w:tc>
        <w:tc>
          <w:tcPr>
            <w:tcW w:w="2500" w:type="pct"/>
            <w:noWrap/>
          </w:tcPr>
          <w:p w14:paraId="48299AE5" w14:textId="43CFAC22" w:rsidR="007F73EC" w:rsidRPr="007F73EC" w:rsidRDefault="007F73EC" w:rsidP="007F73EC">
            <w:pPr>
              <w:pStyle w:val="TableText"/>
              <w:rPr>
                <w:rStyle w:val="Emphasis"/>
              </w:rPr>
            </w:pPr>
            <w:r w:rsidRPr="007F73EC">
              <w:rPr>
                <w:rStyle w:val="Emphasis"/>
              </w:rPr>
              <w:t>Oncorhynchus kisutch</w:t>
            </w:r>
          </w:p>
        </w:tc>
      </w:tr>
      <w:tr w:rsidR="007F73EC" w14:paraId="034214E8" w14:textId="77777777">
        <w:trPr>
          <w:cantSplit/>
          <w:trHeight w:val="315"/>
        </w:trPr>
        <w:tc>
          <w:tcPr>
            <w:tcW w:w="2500" w:type="pct"/>
            <w:noWrap/>
          </w:tcPr>
          <w:p w14:paraId="4327B3F9" w14:textId="110B6EA5" w:rsidR="007F73EC" w:rsidRPr="003958F7" w:rsidRDefault="007F73EC" w:rsidP="007F73EC">
            <w:pPr>
              <w:pStyle w:val="TableText"/>
            </w:pPr>
            <w:r w:rsidRPr="00CC0AD6">
              <w:t>Cutthroat trout</w:t>
            </w:r>
            <w:r w:rsidRPr="007F73EC">
              <w:rPr>
                <w:vertAlign w:val="superscript"/>
              </w:rPr>
              <w:t>a</w:t>
            </w:r>
          </w:p>
        </w:tc>
        <w:tc>
          <w:tcPr>
            <w:tcW w:w="2500" w:type="pct"/>
            <w:noWrap/>
          </w:tcPr>
          <w:p w14:paraId="65302681" w14:textId="7EA05EB1" w:rsidR="007F73EC" w:rsidRPr="007F73EC" w:rsidRDefault="007F73EC" w:rsidP="007F73EC">
            <w:pPr>
              <w:pStyle w:val="TableText"/>
              <w:rPr>
                <w:rStyle w:val="Emphasis"/>
              </w:rPr>
            </w:pPr>
            <w:r w:rsidRPr="007F73EC">
              <w:rPr>
                <w:rStyle w:val="Emphasis"/>
              </w:rPr>
              <w:t>Oncorhynchus clarkii</w:t>
            </w:r>
          </w:p>
        </w:tc>
      </w:tr>
      <w:tr w:rsidR="007F73EC" w14:paraId="5589139C" w14:textId="77777777">
        <w:trPr>
          <w:cantSplit/>
          <w:trHeight w:val="315"/>
        </w:trPr>
        <w:tc>
          <w:tcPr>
            <w:tcW w:w="2500" w:type="pct"/>
            <w:noWrap/>
          </w:tcPr>
          <w:p w14:paraId="1928CD4B" w14:textId="695DB9B0" w:rsidR="007F73EC" w:rsidRPr="003958F7" w:rsidRDefault="007F73EC" w:rsidP="007F73EC">
            <w:pPr>
              <w:pStyle w:val="TableText"/>
            </w:pPr>
            <w:r w:rsidRPr="00CC0AD6">
              <w:t>Gilt-head sea bream</w:t>
            </w:r>
          </w:p>
        </w:tc>
        <w:tc>
          <w:tcPr>
            <w:tcW w:w="2500" w:type="pct"/>
            <w:noWrap/>
          </w:tcPr>
          <w:p w14:paraId="4D5874E3" w14:textId="4BA98BD9" w:rsidR="007F73EC" w:rsidRPr="007F73EC" w:rsidRDefault="007F73EC" w:rsidP="007F73EC">
            <w:pPr>
              <w:pStyle w:val="TableText"/>
              <w:rPr>
                <w:rStyle w:val="Emphasis"/>
              </w:rPr>
            </w:pPr>
            <w:r w:rsidRPr="007F73EC">
              <w:rPr>
                <w:rStyle w:val="Emphasis"/>
              </w:rPr>
              <w:t>Sparus aurata</w:t>
            </w:r>
          </w:p>
        </w:tc>
      </w:tr>
      <w:tr w:rsidR="007F73EC" w14:paraId="13CD95F7" w14:textId="77777777">
        <w:trPr>
          <w:cantSplit/>
          <w:trHeight w:val="315"/>
        </w:trPr>
        <w:tc>
          <w:tcPr>
            <w:tcW w:w="2500" w:type="pct"/>
            <w:noWrap/>
          </w:tcPr>
          <w:p w14:paraId="06C23E23" w14:textId="4266E7C9" w:rsidR="007F73EC" w:rsidRPr="003958F7" w:rsidRDefault="007F73EC" w:rsidP="007F73EC">
            <w:pPr>
              <w:pStyle w:val="TableText"/>
            </w:pPr>
            <w:r w:rsidRPr="00CC0AD6">
              <w:t>Grayling</w:t>
            </w:r>
          </w:p>
        </w:tc>
        <w:tc>
          <w:tcPr>
            <w:tcW w:w="2500" w:type="pct"/>
            <w:noWrap/>
          </w:tcPr>
          <w:p w14:paraId="64D67EDB" w14:textId="00D6EFB4" w:rsidR="007F73EC" w:rsidRPr="007F73EC" w:rsidRDefault="007F73EC" w:rsidP="007F73EC">
            <w:pPr>
              <w:pStyle w:val="TableText"/>
              <w:rPr>
                <w:rStyle w:val="Emphasis"/>
              </w:rPr>
            </w:pPr>
            <w:r w:rsidRPr="007F73EC">
              <w:rPr>
                <w:rStyle w:val="Emphasis"/>
              </w:rPr>
              <w:t>Thymallus thymallus</w:t>
            </w:r>
          </w:p>
        </w:tc>
      </w:tr>
      <w:tr w:rsidR="007F73EC" w14:paraId="4253058B" w14:textId="77777777">
        <w:trPr>
          <w:cantSplit/>
          <w:trHeight w:val="315"/>
        </w:trPr>
        <w:tc>
          <w:tcPr>
            <w:tcW w:w="2500" w:type="pct"/>
            <w:noWrap/>
          </w:tcPr>
          <w:p w14:paraId="50FEE89D" w14:textId="50B66C29" w:rsidR="007F73EC" w:rsidRPr="003958F7" w:rsidRDefault="007F73EC" w:rsidP="007F73EC">
            <w:pPr>
              <w:pStyle w:val="TableText"/>
            </w:pPr>
            <w:r w:rsidRPr="00CC0AD6">
              <w:t>Lake trout</w:t>
            </w:r>
          </w:p>
        </w:tc>
        <w:tc>
          <w:tcPr>
            <w:tcW w:w="2500" w:type="pct"/>
            <w:noWrap/>
          </w:tcPr>
          <w:p w14:paraId="5E2EBE9A" w14:textId="01603B57" w:rsidR="007F73EC" w:rsidRPr="007F73EC" w:rsidRDefault="007F73EC" w:rsidP="007F73EC">
            <w:pPr>
              <w:pStyle w:val="TableText"/>
              <w:rPr>
                <w:rStyle w:val="Emphasis"/>
              </w:rPr>
            </w:pPr>
            <w:r w:rsidRPr="007F73EC">
              <w:rPr>
                <w:rStyle w:val="Emphasis"/>
              </w:rPr>
              <w:t>Salvelinus namaycush</w:t>
            </w:r>
          </w:p>
        </w:tc>
      </w:tr>
      <w:tr w:rsidR="007F73EC" w14:paraId="58924695" w14:textId="77777777">
        <w:trPr>
          <w:cantSplit/>
          <w:trHeight w:val="315"/>
        </w:trPr>
        <w:tc>
          <w:tcPr>
            <w:tcW w:w="2500" w:type="pct"/>
            <w:noWrap/>
          </w:tcPr>
          <w:p w14:paraId="0608790C" w14:textId="7A6FFD07" w:rsidR="007F73EC" w:rsidRPr="003958F7" w:rsidRDefault="007F73EC" w:rsidP="007F73EC">
            <w:pPr>
              <w:pStyle w:val="TableText"/>
            </w:pPr>
            <w:r w:rsidRPr="00CC0AD6">
              <w:t xml:space="preserve">Masu </w:t>
            </w:r>
            <w:r>
              <w:t>salmon</w:t>
            </w:r>
            <w:r w:rsidRPr="007F73EC">
              <w:rPr>
                <w:vertAlign w:val="superscript"/>
              </w:rPr>
              <w:t>a</w:t>
            </w:r>
          </w:p>
        </w:tc>
        <w:tc>
          <w:tcPr>
            <w:tcW w:w="2500" w:type="pct"/>
            <w:noWrap/>
          </w:tcPr>
          <w:p w14:paraId="0E1862C8" w14:textId="67EE91D2" w:rsidR="007F73EC" w:rsidRPr="007F73EC" w:rsidRDefault="007F73EC" w:rsidP="007F73EC">
            <w:pPr>
              <w:pStyle w:val="TableText"/>
              <w:rPr>
                <w:rStyle w:val="Emphasis"/>
              </w:rPr>
            </w:pPr>
            <w:r w:rsidRPr="007F73EC">
              <w:rPr>
                <w:rStyle w:val="Emphasis"/>
              </w:rPr>
              <w:t>Oncorhynchus masou</w:t>
            </w:r>
          </w:p>
        </w:tc>
      </w:tr>
      <w:tr w:rsidR="007F73EC" w14:paraId="3612B5AF" w14:textId="77777777">
        <w:trPr>
          <w:cantSplit/>
          <w:trHeight w:val="315"/>
        </w:trPr>
        <w:tc>
          <w:tcPr>
            <w:tcW w:w="2500" w:type="pct"/>
            <w:noWrap/>
          </w:tcPr>
          <w:p w14:paraId="51A30B8E" w14:textId="465D17A1" w:rsidR="007F73EC" w:rsidRPr="003958F7" w:rsidRDefault="007F73EC" w:rsidP="007F73EC">
            <w:pPr>
              <w:pStyle w:val="TableText"/>
            </w:pPr>
            <w:r w:rsidRPr="00CC0AD6">
              <w:t>Pacific herring</w:t>
            </w:r>
          </w:p>
        </w:tc>
        <w:tc>
          <w:tcPr>
            <w:tcW w:w="2500" w:type="pct"/>
            <w:noWrap/>
          </w:tcPr>
          <w:p w14:paraId="76FF2A9D" w14:textId="7C605C5E" w:rsidR="007F73EC" w:rsidRPr="007F73EC" w:rsidRDefault="007F73EC" w:rsidP="007F73EC">
            <w:pPr>
              <w:pStyle w:val="TableText"/>
              <w:rPr>
                <w:rStyle w:val="Emphasis"/>
              </w:rPr>
            </w:pPr>
            <w:r w:rsidRPr="007F73EC">
              <w:rPr>
                <w:rStyle w:val="Emphasis"/>
              </w:rPr>
              <w:t>Clupea pallasii</w:t>
            </w:r>
          </w:p>
        </w:tc>
      </w:tr>
      <w:tr w:rsidR="007F73EC" w14:paraId="4AC8E0A7" w14:textId="77777777">
        <w:trPr>
          <w:cantSplit/>
          <w:trHeight w:val="315"/>
        </w:trPr>
        <w:tc>
          <w:tcPr>
            <w:tcW w:w="2500" w:type="pct"/>
            <w:noWrap/>
          </w:tcPr>
          <w:p w14:paraId="06D0BCBD" w14:textId="17BF9257" w:rsidR="007F73EC" w:rsidRPr="003958F7" w:rsidRDefault="007F73EC" w:rsidP="007F73EC">
            <w:pPr>
              <w:pStyle w:val="TableText"/>
            </w:pPr>
            <w:r w:rsidRPr="00CC0AD6">
              <w:t xml:space="preserve">Pacific </w:t>
            </w:r>
            <w:r>
              <w:t>salmon</w:t>
            </w:r>
            <w:r w:rsidRPr="007F73EC">
              <w:rPr>
                <w:vertAlign w:val="superscript"/>
              </w:rPr>
              <w:t>a</w:t>
            </w:r>
          </w:p>
        </w:tc>
        <w:tc>
          <w:tcPr>
            <w:tcW w:w="2500" w:type="pct"/>
            <w:noWrap/>
          </w:tcPr>
          <w:p w14:paraId="10E5610D" w14:textId="67FD718C" w:rsidR="007F73EC" w:rsidRPr="007F73EC" w:rsidRDefault="007F73EC" w:rsidP="007F73EC">
            <w:pPr>
              <w:pStyle w:val="TableText"/>
              <w:rPr>
                <w:rStyle w:val="Emphasis"/>
                <w:i w:val="0"/>
                <w:iCs w:val="0"/>
              </w:rPr>
            </w:pPr>
            <w:r w:rsidRPr="007F73EC">
              <w:rPr>
                <w:rStyle w:val="Emphasis"/>
              </w:rPr>
              <w:t>Oncorhynchus</w:t>
            </w:r>
            <w:r w:rsidRPr="00CC0AD6">
              <w:t xml:space="preserve"> spp.</w:t>
            </w:r>
          </w:p>
        </w:tc>
      </w:tr>
      <w:tr w:rsidR="007F73EC" w14:paraId="747FDCB3" w14:textId="77777777">
        <w:trPr>
          <w:cantSplit/>
          <w:trHeight w:val="315"/>
        </w:trPr>
        <w:tc>
          <w:tcPr>
            <w:tcW w:w="2500" w:type="pct"/>
            <w:noWrap/>
          </w:tcPr>
          <w:p w14:paraId="175F3199" w14:textId="00F9F94E" w:rsidR="007F73EC" w:rsidRPr="003958F7" w:rsidRDefault="007F73EC" w:rsidP="007F73EC">
            <w:pPr>
              <w:pStyle w:val="TableText"/>
            </w:pPr>
            <w:r w:rsidRPr="00CC0AD6">
              <w:t>Pike</w:t>
            </w:r>
          </w:p>
        </w:tc>
        <w:tc>
          <w:tcPr>
            <w:tcW w:w="2500" w:type="pct"/>
            <w:noWrap/>
          </w:tcPr>
          <w:p w14:paraId="39FE86A3" w14:textId="10DDD8F7" w:rsidR="007F73EC" w:rsidRPr="007F73EC" w:rsidRDefault="007F73EC" w:rsidP="007F73EC">
            <w:pPr>
              <w:pStyle w:val="TableText"/>
              <w:rPr>
                <w:rStyle w:val="Emphasis"/>
              </w:rPr>
            </w:pPr>
            <w:r w:rsidRPr="007F73EC">
              <w:rPr>
                <w:rStyle w:val="Emphasis"/>
              </w:rPr>
              <w:t>Esox lucius</w:t>
            </w:r>
          </w:p>
        </w:tc>
      </w:tr>
      <w:tr w:rsidR="007F73EC" w14:paraId="06CB02D9" w14:textId="77777777">
        <w:trPr>
          <w:cantSplit/>
          <w:trHeight w:val="315"/>
        </w:trPr>
        <w:tc>
          <w:tcPr>
            <w:tcW w:w="2500" w:type="pct"/>
            <w:noWrap/>
          </w:tcPr>
          <w:p w14:paraId="6842B5C9" w14:textId="29D934FB" w:rsidR="007F73EC" w:rsidRPr="003958F7" w:rsidRDefault="007F73EC" w:rsidP="007F73EC">
            <w:pPr>
              <w:pStyle w:val="TableText"/>
            </w:pPr>
            <w:r w:rsidRPr="00CC0AD6">
              <w:t>Pile perch</w:t>
            </w:r>
          </w:p>
        </w:tc>
        <w:tc>
          <w:tcPr>
            <w:tcW w:w="2500" w:type="pct"/>
            <w:noWrap/>
          </w:tcPr>
          <w:p w14:paraId="6244DC79" w14:textId="196DE892" w:rsidR="007F73EC" w:rsidRPr="007F73EC" w:rsidRDefault="003009BD" w:rsidP="007F73EC">
            <w:pPr>
              <w:pStyle w:val="TableText"/>
              <w:rPr>
                <w:rStyle w:val="Emphasis"/>
              </w:rPr>
            </w:pPr>
            <w:r>
              <w:rPr>
                <w:rStyle w:val="Emphasis"/>
              </w:rPr>
              <w:t>Rhacochilus</w:t>
            </w:r>
            <w:r w:rsidRPr="007F73EC">
              <w:rPr>
                <w:rStyle w:val="Emphasis"/>
              </w:rPr>
              <w:t xml:space="preserve"> </w:t>
            </w:r>
            <w:r w:rsidR="007F73EC" w:rsidRPr="007F73EC">
              <w:rPr>
                <w:rStyle w:val="Emphasis"/>
              </w:rPr>
              <w:t>vacca</w:t>
            </w:r>
          </w:p>
        </w:tc>
      </w:tr>
      <w:tr w:rsidR="007F73EC" w14:paraId="40FC3BC9" w14:textId="77777777">
        <w:trPr>
          <w:cantSplit/>
          <w:trHeight w:val="315"/>
        </w:trPr>
        <w:tc>
          <w:tcPr>
            <w:tcW w:w="2500" w:type="pct"/>
            <w:noWrap/>
          </w:tcPr>
          <w:p w14:paraId="35390018" w14:textId="4A4EC3E9" w:rsidR="007F73EC" w:rsidRPr="003958F7" w:rsidRDefault="007F73EC" w:rsidP="007F73EC">
            <w:pPr>
              <w:pStyle w:val="TableText"/>
            </w:pPr>
            <w:r w:rsidRPr="00CC0AD6">
              <w:t xml:space="preserve">Pink </w:t>
            </w:r>
            <w:r>
              <w:t>salmon</w:t>
            </w:r>
            <w:r w:rsidRPr="007F73EC">
              <w:rPr>
                <w:vertAlign w:val="superscript"/>
              </w:rPr>
              <w:t>a</w:t>
            </w:r>
          </w:p>
        </w:tc>
        <w:tc>
          <w:tcPr>
            <w:tcW w:w="2500" w:type="pct"/>
            <w:noWrap/>
          </w:tcPr>
          <w:p w14:paraId="66C57A93" w14:textId="56282D77" w:rsidR="007F73EC" w:rsidRPr="007F73EC" w:rsidRDefault="007F73EC" w:rsidP="007F73EC">
            <w:pPr>
              <w:pStyle w:val="TableText"/>
              <w:rPr>
                <w:rStyle w:val="Emphasis"/>
              </w:rPr>
            </w:pPr>
            <w:r w:rsidRPr="007F73EC">
              <w:rPr>
                <w:rStyle w:val="Emphasis"/>
              </w:rPr>
              <w:t>Oncorhynchus gorbuscha</w:t>
            </w:r>
          </w:p>
        </w:tc>
      </w:tr>
      <w:tr w:rsidR="007F73EC" w14:paraId="3F3862ED" w14:textId="77777777">
        <w:trPr>
          <w:cantSplit/>
          <w:trHeight w:val="315"/>
        </w:trPr>
        <w:tc>
          <w:tcPr>
            <w:tcW w:w="2500" w:type="pct"/>
            <w:noWrap/>
          </w:tcPr>
          <w:p w14:paraId="278E5474" w14:textId="2DE1A9CD" w:rsidR="007F73EC" w:rsidRPr="003958F7" w:rsidRDefault="008037F5" w:rsidP="007F73EC">
            <w:pPr>
              <w:pStyle w:val="TableText"/>
            </w:pPr>
            <w:r>
              <w:t>Rainbow trout</w:t>
            </w:r>
          </w:p>
        </w:tc>
        <w:tc>
          <w:tcPr>
            <w:tcW w:w="2500" w:type="pct"/>
            <w:noWrap/>
          </w:tcPr>
          <w:p w14:paraId="1A4AB617" w14:textId="655527D0" w:rsidR="007F73EC" w:rsidRPr="007F73EC" w:rsidRDefault="007F73EC" w:rsidP="007F73EC">
            <w:pPr>
              <w:pStyle w:val="TableText"/>
              <w:rPr>
                <w:rStyle w:val="Emphasis"/>
              </w:rPr>
            </w:pPr>
            <w:r w:rsidRPr="007F73EC">
              <w:rPr>
                <w:rStyle w:val="Emphasis"/>
              </w:rPr>
              <w:t>Oncorhynchus mykiss</w:t>
            </w:r>
          </w:p>
        </w:tc>
      </w:tr>
      <w:tr w:rsidR="007F73EC" w14:paraId="4489FAE9" w14:textId="77777777">
        <w:trPr>
          <w:cantSplit/>
          <w:trHeight w:val="315"/>
        </w:trPr>
        <w:tc>
          <w:tcPr>
            <w:tcW w:w="2500" w:type="pct"/>
            <w:noWrap/>
          </w:tcPr>
          <w:p w14:paraId="7137FE61" w14:textId="0EE53D4B" w:rsidR="007F73EC" w:rsidRPr="003958F7" w:rsidRDefault="007F73EC" w:rsidP="007F73EC">
            <w:pPr>
              <w:pStyle w:val="TableText"/>
            </w:pPr>
            <w:r w:rsidRPr="00CC0AD6">
              <w:t>Shiner perch</w:t>
            </w:r>
          </w:p>
        </w:tc>
        <w:tc>
          <w:tcPr>
            <w:tcW w:w="2500" w:type="pct"/>
            <w:noWrap/>
          </w:tcPr>
          <w:p w14:paraId="0C26B8BE" w14:textId="0B6D1AD9" w:rsidR="007F73EC" w:rsidRPr="007F73EC" w:rsidRDefault="007F73EC" w:rsidP="007F73EC">
            <w:pPr>
              <w:pStyle w:val="TableText"/>
              <w:rPr>
                <w:rStyle w:val="Emphasis"/>
              </w:rPr>
            </w:pPr>
            <w:r w:rsidRPr="007F73EC">
              <w:rPr>
                <w:rStyle w:val="Emphasis"/>
              </w:rPr>
              <w:t>Cymatogaster aggregata</w:t>
            </w:r>
          </w:p>
        </w:tc>
      </w:tr>
      <w:tr w:rsidR="007F73EC" w14:paraId="0FBB3839" w14:textId="77777777">
        <w:trPr>
          <w:cantSplit/>
          <w:trHeight w:val="315"/>
        </w:trPr>
        <w:tc>
          <w:tcPr>
            <w:tcW w:w="2500" w:type="pct"/>
            <w:noWrap/>
          </w:tcPr>
          <w:p w14:paraId="7C6B84B9" w14:textId="0BE726AA" w:rsidR="007F73EC" w:rsidRPr="003958F7" w:rsidRDefault="007F73EC" w:rsidP="007F73EC">
            <w:pPr>
              <w:pStyle w:val="TableText"/>
            </w:pPr>
            <w:r w:rsidRPr="00CC0AD6">
              <w:t xml:space="preserve">Sockeye </w:t>
            </w:r>
            <w:r>
              <w:t>salmon</w:t>
            </w:r>
            <w:r w:rsidRPr="007F73EC">
              <w:rPr>
                <w:vertAlign w:val="superscript"/>
              </w:rPr>
              <w:t>a</w:t>
            </w:r>
          </w:p>
        </w:tc>
        <w:tc>
          <w:tcPr>
            <w:tcW w:w="2500" w:type="pct"/>
            <w:noWrap/>
          </w:tcPr>
          <w:p w14:paraId="43CFA35E" w14:textId="1EA2887D" w:rsidR="007F73EC" w:rsidRPr="007F73EC" w:rsidRDefault="007F73EC" w:rsidP="007F73EC">
            <w:pPr>
              <w:pStyle w:val="TableText"/>
              <w:rPr>
                <w:rStyle w:val="Emphasis"/>
              </w:rPr>
            </w:pPr>
            <w:r w:rsidRPr="007F73EC">
              <w:rPr>
                <w:rStyle w:val="Emphasis"/>
              </w:rPr>
              <w:t>Oncorhynchus nerka</w:t>
            </w:r>
          </w:p>
        </w:tc>
      </w:tr>
      <w:tr w:rsidR="007F73EC" w14:paraId="5061B52D" w14:textId="77777777">
        <w:trPr>
          <w:cantSplit/>
          <w:trHeight w:val="315"/>
        </w:trPr>
        <w:tc>
          <w:tcPr>
            <w:tcW w:w="2500" w:type="pct"/>
            <w:noWrap/>
          </w:tcPr>
          <w:p w14:paraId="1C68ABD7" w14:textId="5C5AF741" w:rsidR="007F73EC" w:rsidRPr="003958F7" w:rsidRDefault="007F73EC" w:rsidP="007F73EC">
            <w:pPr>
              <w:pStyle w:val="TableText"/>
            </w:pPr>
            <w:r w:rsidRPr="00CC0AD6">
              <w:t>Tubesnout</w:t>
            </w:r>
          </w:p>
        </w:tc>
        <w:tc>
          <w:tcPr>
            <w:tcW w:w="2500" w:type="pct"/>
            <w:noWrap/>
          </w:tcPr>
          <w:p w14:paraId="7695155E" w14:textId="28CC5C45" w:rsidR="007F73EC" w:rsidRPr="007F73EC" w:rsidRDefault="007F73EC" w:rsidP="007F73EC">
            <w:pPr>
              <w:pStyle w:val="TableText"/>
              <w:rPr>
                <w:rStyle w:val="Emphasis"/>
              </w:rPr>
            </w:pPr>
            <w:r w:rsidRPr="007F73EC">
              <w:rPr>
                <w:rStyle w:val="Emphasis"/>
              </w:rPr>
              <w:t>Aulorhynchus flavidus</w:t>
            </w:r>
          </w:p>
        </w:tc>
      </w:tr>
      <w:tr w:rsidR="007F73EC" w14:paraId="1369DE43" w14:textId="77777777">
        <w:trPr>
          <w:cantSplit/>
          <w:trHeight w:val="315"/>
        </w:trPr>
        <w:tc>
          <w:tcPr>
            <w:tcW w:w="2500" w:type="pct"/>
            <w:noWrap/>
          </w:tcPr>
          <w:p w14:paraId="4F706D44" w14:textId="42FC8CDF" w:rsidR="007F73EC" w:rsidRPr="003958F7" w:rsidRDefault="007F73EC" w:rsidP="007F73EC">
            <w:pPr>
              <w:pStyle w:val="TableText"/>
            </w:pPr>
            <w:r w:rsidRPr="00CC0AD6">
              <w:t>Turbot</w:t>
            </w:r>
          </w:p>
        </w:tc>
        <w:tc>
          <w:tcPr>
            <w:tcW w:w="2500" w:type="pct"/>
            <w:noWrap/>
          </w:tcPr>
          <w:p w14:paraId="271CB574" w14:textId="6DB51DA0" w:rsidR="007F73EC" w:rsidRPr="007F73EC" w:rsidRDefault="007F73EC" w:rsidP="007F73EC">
            <w:pPr>
              <w:pStyle w:val="TableText"/>
              <w:rPr>
                <w:rStyle w:val="Emphasis"/>
              </w:rPr>
            </w:pPr>
            <w:r w:rsidRPr="007F73EC">
              <w:rPr>
                <w:rStyle w:val="Emphasis"/>
              </w:rPr>
              <w:t>Scophthalmus maximus</w:t>
            </w:r>
          </w:p>
        </w:tc>
      </w:tr>
      <w:tr w:rsidR="007F73EC" w14:paraId="038BD15F" w14:textId="77777777">
        <w:trPr>
          <w:cantSplit/>
          <w:trHeight w:val="315"/>
        </w:trPr>
        <w:tc>
          <w:tcPr>
            <w:tcW w:w="2500" w:type="pct"/>
            <w:noWrap/>
          </w:tcPr>
          <w:p w14:paraId="5F806FE1" w14:textId="583E826D" w:rsidR="007F73EC" w:rsidRPr="003958F7" w:rsidRDefault="007F73EC" w:rsidP="007F73EC">
            <w:pPr>
              <w:pStyle w:val="TableText"/>
            </w:pPr>
            <w:r w:rsidRPr="00CC0AD6">
              <w:t>Whitespotted char</w:t>
            </w:r>
          </w:p>
        </w:tc>
        <w:tc>
          <w:tcPr>
            <w:tcW w:w="2500" w:type="pct"/>
            <w:noWrap/>
          </w:tcPr>
          <w:p w14:paraId="5D50E5C6" w14:textId="711E80D0" w:rsidR="007F73EC" w:rsidRPr="007F73EC" w:rsidRDefault="007F73EC" w:rsidP="007F73EC">
            <w:pPr>
              <w:pStyle w:val="TableText"/>
              <w:rPr>
                <w:rStyle w:val="Emphasis"/>
              </w:rPr>
            </w:pPr>
            <w:r w:rsidRPr="007F73EC">
              <w:rPr>
                <w:rStyle w:val="Emphasis"/>
              </w:rPr>
              <w:t>Salvelinus leucomaenis</w:t>
            </w:r>
          </w:p>
        </w:tc>
      </w:tr>
      <w:tr w:rsidR="007F73EC" w14:paraId="01E3ED6F" w14:textId="77777777">
        <w:trPr>
          <w:cantSplit/>
          <w:trHeight w:val="315"/>
        </w:trPr>
        <w:tc>
          <w:tcPr>
            <w:tcW w:w="2500" w:type="pct"/>
            <w:noWrap/>
          </w:tcPr>
          <w:p w14:paraId="25EBE754" w14:textId="3A409703" w:rsidR="007F73EC" w:rsidRPr="003958F7" w:rsidRDefault="007F73EC" w:rsidP="007F73EC">
            <w:pPr>
              <w:pStyle w:val="TableText"/>
            </w:pPr>
            <w:r w:rsidRPr="00CC0AD6">
              <w:t>White sturgeon</w:t>
            </w:r>
          </w:p>
        </w:tc>
        <w:tc>
          <w:tcPr>
            <w:tcW w:w="2500" w:type="pct"/>
            <w:noWrap/>
          </w:tcPr>
          <w:p w14:paraId="661655BC" w14:textId="5AEE13D9" w:rsidR="007F73EC" w:rsidRPr="007F73EC" w:rsidRDefault="007F73EC" w:rsidP="007F73EC">
            <w:pPr>
              <w:pStyle w:val="TableText"/>
              <w:rPr>
                <w:rStyle w:val="Emphasis"/>
              </w:rPr>
            </w:pPr>
            <w:r w:rsidRPr="007F73EC">
              <w:rPr>
                <w:rStyle w:val="Emphasis"/>
              </w:rPr>
              <w:t>Acipenser transmontanus</w:t>
            </w:r>
          </w:p>
        </w:tc>
      </w:tr>
    </w:tbl>
    <w:p w14:paraId="233F7A2B" w14:textId="4D43F9BA" w:rsidR="00DF2031" w:rsidRDefault="00DF2031" w:rsidP="00DF2031">
      <w:pPr>
        <w:pStyle w:val="FigureTableNoteSource"/>
      </w:pPr>
      <w:r w:rsidRPr="00DF2031">
        <w:rPr>
          <w:rStyle w:val="Strong"/>
        </w:rPr>
        <w:t>a</w:t>
      </w:r>
      <w:r w:rsidRPr="00DF2031">
        <w:t xml:space="preserve"> Naturally susceptible</w:t>
      </w:r>
      <w:r>
        <w:t>. Note:</w:t>
      </w:r>
      <w:r w:rsidRPr="00DF2031">
        <w:t xml:space="preserve"> </w:t>
      </w:r>
      <w:r>
        <w:t>O</w:t>
      </w:r>
      <w:r w:rsidRPr="00DF2031">
        <w:t>ther species have been shown to be experimentally susceptible</w:t>
      </w:r>
      <w:r>
        <w:t>.</w:t>
      </w:r>
    </w:p>
    <w:p w14:paraId="38E29C17" w14:textId="459ED69E" w:rsidR="007F73EC" w:rsidRDefault="007F73EC" w:rsidP="007F73EC">
      <w:pPr>
        <w:pStyle w:val="Caption"/>
      </w:pPr>
      <w:r>
        <w:t xml:space="preserve">Table </w:t>
      </w:r>
      <w:r>
        <w:rPr>
          <w:noProof/>
        </w:rPr>
        <w:fldChar w:fldCharType="begin"/>
      </w:r>
      <w:r>
        <w:rPr>
          <w:noProof/>
        </w:rPr>
        <w:instrText xml:space="preserve"> SEQ Table \* ARABIC </w:instrText>
      </w:r>
      <w:r>
        <w:rPr>
          <w:noProof/>
        </w:rPr>
        <w:fldChar w:fldCharType="separate"/>
      </w:r>
      <w:r w:rsidR="00D474BF">
        <w:rPr>
          <w:noProof/>
        </w:rPr>
        <w:t>2</w:t>
      </w:r>
      <w:r>
        <w:rPr>
          <w:noProof/>
        </w:rPr>
        <w:fldChar w:fldCharType="end"/>
      </w:r>
      <w:r>
        <w:t xml:space="preserve"> Non-fish carriers</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7F73EC" w14:paraId="297654F6" w14:textId="77777777" w:rsidTr="00395270">
        <w:trPr>
          <w:cantSplit/>
          <w:trHeight w:val="300"/>
          <w:tblHeader/>
        </w:trPr>
        <w:tc>
          <w:tcPr>
            <w:tcW w:w="2500" w:type="pct"/>
            <w:tcBorders>
              <w:top w:val="single" w:sz="4" w:space="0" w:color="auto"/>
              <w:bottom w:val="single" w:sz="4" w:space="0" w:color="auto"/>
            </w:tcBorders>
            <w:noWrap/>
          </w:tcPr>
          <w:p w14:paraId="688AFA5E" w14:textId="77777777" w:rsidR="007F73EC" w:rsidRDefault="007F73EC" w:rsidP="00395270">
            <w:pPr>
              <w:pStyle w:val="TableHeading"/>
            </w:pPr>
            <w:r>
              <w:t>Common name</w:t>
            </w:r>
          </w:p>
        </w:tc>
        <w:tc>
          <w:tcPr>
            <w:tcW w:w="2500" w:type="pct"/>
            <w:tcBorders>
              <w:top w:val="single" w:sz="4" w:space="0" w:color="auto"/>
              <w:bottom w:val="single" w:sz="4" w:space="0" w:color="auto"/>
            </w:tcBorders>
            <w:noWrap/>
          </w:tcPr>
          <w:p w14:paraId="36B3C416" w14:textId="77777777" w:rsidR="007F73EC" w:rsidRDefault="007F73EC" w:rsidP="00395270">
            <w:pPr>
              <w:pStyle w:val="TableHeading"/>
            </w:pPr>
            <w:r>
              <w:t>Scientific name</w:t>
            </w:r>
          </w:p>
        </w:tc>
      </w:tr>
      <w:tr w:rsidR="007F73EC" w14:paraId="4BDA0795" w14:textId="77777777" w:rsidTr="00395270">
        <w:trPr>
          <w:cantSplit/>
          <w:trHeight w:val="315"/>
        </w:trPr>
        <w:tc>
          <w:tcPr>
            <w:tcW w:w="2500" w:type="pct"/>
            <w:tcBorders>
              <w:top w:val="single" w:sz="4" w:space="0" w:color="auto"/>
            </w:tcBorders>
            <w:noWrap/>
          </w:tcPr>
          <w:p w14:paraId="3BA63A75" w14:textId="6EA8AEDF" w:rsidR="007F73EC" w:rsidRDefault="007F73EC" w:rsidP="007F73EC">
            <w:pPr>
              <w:pStyle w:val="TableText"/>
              <w:tabs>
                <w:tab w:val="left" w:pos="1640"/>
              </w:tabs>
            </w:pPr>
            <w:r w:rsidRPr="00505B06">
              <w:t>Gill lice</w:t>
            </w:r>
          </w:p>
        </w:tc>
        <w:tc>
          <w:tcPr>
            <w:tcW w:w="2500" w:type="pct"/>
            <w:tcBorders>
              <w:top w:val="single" w:sz="4" w:space="0" w:color="auto"/>
            </w:tcBorders>
            <w:noWrap/>
          </w:tcPr>
          <w:p w14:paraId="731D7337" w14:textId="252C7CD6" w:rsidR="007F73EC" w:rsidRPr="007F73EC" w:rsidRDefault="007F73EC" w:rsidP="003009BD">
            <w:pPr>
              <w:pStyle w:val="TableText"/>
              <w:rPr>
                <w:rStyle w:val="Emphasis"/>
                <w:i w:val="0"/>
                <w:iCs w:val="0"/>
              </w:rPr>
            </w:pPr>
            <w:r w:rsidRPr="007F73EC">
              <w:rPr>
                <w:rStyle w:val="Emphasis"/>
              </w:rPr>
              <w:t>Salm</w:t>
            </w:r>
            <w:r w:rsidR="003009BD">
              <w:rPr>
                <w:rStyle w:val="Emphasis"/>
              </w:rPr>
              <w:t>i</w:t>
            </w:r>
            <w:r w:rsidRPr="007F73EC">
              <w:rPr>
                <w:rStyle w:val="Emphasis"/>
              </w:rPr>
              <w:t>ncola</w:t>
            </w:r>
            <w:r w:rsidRPr="00505B06">
              <w:t xml:space="preserve"> spp.</w:t>
            </w:r>
          </w:p>
        </w:tc>
      </w:tr>
      <w:tr w:rsidR="007F73EC" w14:paraId="77097DE5" w14:textId="77777777" w:rsidTr="00395270">
        <w:trPr>
          <w:cantSplit/>
          <w:trHeight w:val="315"/>
        </w:trPr>
        <w:tc>
          <w:tcPr>
            <w:tcW w:w="2500" w:type="pct"/>
            <w:noWrap/>
          </w:tcPr>
          <w:p w14:paraId="0661A9B0" w14:textId="7DAF2CD1" w:rsidR="007F73EC" w:rsidRDefault="007F73EC" w:rsidP="007F73EC">
            <w:pPr>
              <w:pStyle w:val="TableText"/>
            </w:pPr>
            <w:r w:rsidRPr="00505B06">
              <w:t>Leeches</w:t>
            </w:r>
          </w:p>
        </w:tc>
        <w:tc>
          <w:tcPr>
            <w:tcW w:w="2500" w:type="pct"/>
            <w:noWrap/>
          </w:tcPr>
          <w:p w14:paraId="6BB76E25" w14:textId="6112DFB3" w:rsidR="007F73EC" w:rsidRPr="007F73EC" w:rsidRDefault="007F73EC" w:rsidP="007F73EC">
            <w:pPr>
              <w:pStyle w:val="TableText"/>
              <w:rPr>
                <w:rStyle w:val="Emphasis"/>
                <w:rFonts w:eastAsia="SimSun"/>
                <w:i w:val="0"/>
                <w:iCs w:val="0"/>
              </w:rPr>
            </w:pPr>
            <w:r w:rsidRPr="007F73EC">
              <w:rPr>
                <w:rStyle w:val="Emphasis"/>
              </w:rPr>
              <w:t>Piscicola</w:t>
            </w:r>
            <w:r w:rsidRPr="00505B06">
              <w:t xml:space="preserve"> spp.</w:t>
            </w:r>
          </w:p>
        </w:tc>
      </w:tr>
      <w:tr w:rsidR="007F73EC" w14:paraId="77064B71" w14:textId="77777777" w:rsidTr="00395270">
        <w:trPr>
          <w:cantSplit/>
          <w:trHeight w:val="315"/>
        </w:trPr>
        <w:tc>
          <w:tcPr>
            <w:tcW w:w="2500" w:type="pct"/>
            <w:noWrap/>
          </w:tcPr>
          <w:p w14:paraId="422FAF28" w14:textId="6853929D" w:rsidR="007F73EC" w:rsidRDefault="007F73EC" w:rsidP="007F73EC">
            <w:pPr>
              <w:pStyle w:val="TableText"/>
            </w:pPr>
            <w:r w:rsidRPr="00505B06">
              <w:t>Mayfly</w:t>
            </w:r>
          </w:p>
        </w:tc>
        <w:tc>
          <w:tcPr>
            <w:tcW w:w="2500" w:type="pct"/>
            <w:noWrap/>
          </w:tcPr>
          <w:p w14:paraId="3A5F59D6" w14:textId="6B34A0B4" w:rsidR="007F73EC" w:rsidRPr="007F73EC" w:rsidRDefault="007F73EC" w:rsidP="007F73EC">
            <w:pPr>
              <w:pStyle w:val="TableText"/>
              <w:rPr>
                <w:rStyle w:val="Emphasis"/>
                <w:rFonts w:eastAsia="SimSun"/>
                <w:i w:val="0"/>
                <w:iCs w:val="0"/>
              </w:rPr>
            </w:pPr>
            <w:r w:rsidRPr="007F73EC">
              <w:rPr>
                <w:rStyle w:val="Emphasis"/>
              </w:rPr>
              <w:t>Callibaetis</w:t>
            </w:r>
            <w:r w:rsidRPr="00505B06">
              <w:t xml:space="preserve"> spp.</w:t>
            </w:r>
          </w:p>
        </w:tc>
      </w:tr>
      <w:tr w:rsidR="007F73EC" w14:paraId="20CC33C9" w14:textId="77777777" w:rsidTr="00395270">
        <w:trPr>
          <w:cantSplit/>
          <w:trHeight w:val="315"/>
        </w:trPr>
        <w:tc>
          <w:tcPr>
            <w:tcW w:w="2500" w:type="pct"/>
            <w:noWrap/>
          </w:tcPr>
          <w:p w14:paraId="4789330C" w14:textId="4CEE5B1A" w:rsidR="007F73EC" w:rsidRDefault="007F73EC" w:rsidP="007F73EC">
            <w:pPr>
              <w:pStyle w:val="TableText"/>
            </w:pPr>
            <w:r w:rsidRPr="00505B06">
              <w:t>Piscivorous birds</w:t>
            </w:r>
          </w:p>
        </w:tc>
        <w:tc>
          <w:tcPr>
            <w:tcW w:w="2500" w:type="pct"/>
            <w:noWrap/>
          </w:tcPr>
          <w:p w14:paraId="75783D15" w14:textId="3303AADF" w:rsidR="007F73EC" w:rsidRPr="007F73EC" w:rsidRDefault="007F73EC" w:rsidP="007F73EC">
            <w:pPr>
              <w:pStyle w:val="TableText"/>
              <w:rPr>
                <w:rStyle w:val="Emphasis"/>
                <w:rFonts w:eastAsia="SimSun"/>
                <w:i w:val="0"/>
                <w:iCs w:val="0"/>
              </w:rPr>
            </w:pPr>
            <w:r w:rsidRPr="00505B06">
              <w:t>Various genera and species</w:t>
            </w:r>
          </w:p>
        </w:tc>
      </w:tr>
    </w:tbl>
    <w:p w14:paraId="07189146" w14:textId="77777777" w:rsidR="00ED0614" w:rsidRDefault="00E260DC">
      <w:pPr>
        <w:pStyle w:val="Heading2"/>
      </w:pPr>
      <w:r>
        <w:lastRenderedPageBreak/>
        <w:t>Presence in Australia</w:t>
      </w:r>
    </w:p>
    <w:p w14:paraId="12DFE40E" w14:textId="277F361A" w:rsidR="00FD7D78" w:rsidRDefault="004B703A">
      <w:pPr>
        <w:keepNext/>
        <w:keepLines/>
      </w:pPr>
      <w:r w:rsidRPr="004B703A">
        <w:t>Exotic disease—not recorded in Australia.</w:t>
      </w:r>
    </w:p>
    <w:p w14:paraId="55B0F228" w14:textId="7A6A5F14"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D474BF">
        <w:rPr>
          <w:noProof/>
        </w:rPr>
        <w:t>1</w:t>
      </w:r>
      <w:r>
        <w:rPr>
          <w:noProof/>
        </w:rPr>
        <w:fldChar w:fldCharType="end"/>
      </w:r>
      <w:r>
        <w:t xml:space="preserve"> Presence </w:t>
      </w:r>
      <w:r w:rsidR="004B703A" w:rsidRPr="004B703A">
        <w:t xml:space="preserve">of </w:t>
      </w:r>
      <w:r w:rsidR="00941336">
        <w:t>IHN</w:t>
      </w:r>
      <w:r>
        <w:t>, by jurisdiction</w:t>
      </w:r>
    </w:p>
    <w:p w14:paraId="0046BA22" w14:textId="77777777" w:rsidR="00ED0614" w:rsidRDefault="00E260DC">
      <w:r>
        <w:rPr>
          <w:noProof/>
          <w:lang w:eastAsia="en-AU"/>
        </w:rPr>
        <w:drawing>
          <wp:inline distT="0" distB="0" distL="0" distR="0" wp14:anchorId="1C3B5809" wp14:editId="7EAC54EB">
            <wp:extent cx="4137772" cy="2946411"/>
            <wp:effectExtent l="0" t="0" r="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3" cstate="print">
                      <a:extLst>
                        <a:ext uri="{28A0092B-C50C-407E-A947-70E740481C1C}">
                          <a14:useLocalDpi xmlns:a14="http://schemas.microsoft.com/office/drawing/2010/main"/>
                        </a:ext>
                      </a:extLst>
                    </a:blip>
                    <a:stretch>
                      <a:fillRect/>
                    </a:stretch>
                  </pic:blipFill>
                  <pic:spPr>
                    <a:xfrm>
                      <a:off x="0" y="0"/>
                      <a:ext cx="4137772" cy="2946411"/>
                    </a:xfrm>
                    <a:prstGeom prst="rect">
                      <a:avLst/>
                    </a:prstGeom>
                  </pic:spPr>
                </pic:pic>
              </a:graphicData>
            </a:graphic>
          </wp:inline>
        </w:drawing>
      </w:r>
    </w:p>
    <w:p w14:paraId="345F5669" w14:textId="77777777" w:rsidR="00ED0614" w:rsidRDefault="00E260DC" w:rsidP="002521EC">
      <w:pPr>
        <w:pStyle w:val="Heading2"/>
        <w:keepLines/>
      </w:pPr>
      <w:r>
        <w:t>Epidemiology</w:t>
      </w:r>
    </w:p>
    <w:p w14:paraId="6E625AA8" w14:textId="77777777" w:rsidR="00DE0024" w:rsidRDefault="00DE0024" w:rsidP="00DE0024">
      <w:pPr>
        <w:pStyle w:val="ListBullet"/>
      </w:pPr>
      <w:r>
        <w:t>IHN is a cold-water disease. Clinical signs typically occur at temperatures between 8°C and 15°C. Outbreaks rarely occur once water temperatures reach more than 15°C.</w:t>
      </w:r>
    </w:p>
    <w:p w14:paraId="11FA387F" w14:textId="77777777" w:rsidR="007F73EC" w:rsidRDefault="007F73EC" w:rsidP="007F73EC">
      <w:pPr>
        <w:pStyle w:val="ListBullet"/>
      </w:pPr>
      <w:r>
        <w:t>IHN is typically found in young, farmed trout and salmon fry or fingerlings, and in adults during or just following spawning.</w:t>
      </w:r>
    </w:p>
    <w:p w14:paraId="47561E67" w14:textId="7F83DF58" w:rsidR="007F73EC" w:rsidRDefault="007F73EC" w:rsidP="007F73EC">
      <w:pPr>
        <w:pStyle w:val="ListBullet"/>
      </w:pPr>
      <w:r>
        <w:t>Mass mortalities of up to</w:t>
      </w:r>
      <w:r w:rsidR="007D5853">
        <w:t> </w:t>
      </w:r>
      <w:r>
        <w:t>90% can occur in hatcheries, typically with</w:t>
      </w:r>
      <w:r w:rsidR="007D5853">
        <w:t> </w:t>
      </w:r>
      <w:r>
        <w:t>100% of the population infected.</w:t>
      </w:r>
    </w:p>
    <w:p w14:paraId="4DD92D15" w14:textId="2FCA68D7" w:rsidR="007F73EC" w:rsidRDefault="007F73EC" w:rsidP="007F73EC">
      <w:pPr>
        <w:pStyle w:val="ListBullet"/>
      </w:pPr>
      <w:r>
        <w:t>Mortality also occurs in wild populations of Pacific salmon infected with IHNV</w:t>
      </w:r>
      <w:r w:rsidR="00F269B4">
        <w:t>.</w:t>
      </w:r>
      <w:r>
        <w:t xml:space="preserve"> </w:t>
      </w:r>
      <w:r w:rsidR="00F269B4">
        <w:t>S</w:t>
      </w:r>
      <w:r>
        <w:t>urvivors can be the source of infection of farmed stock.</w:t>
      </w:r>
    </w:p>
    <w:p w14:paraId="1FA36C67" w14:textId="77777777" w:rsidR="007F73EC" w:rsidRDefault="007F73EC" w:rsidP="007F73EC">
      <w:pPr>
        <w:pStyle w:val="ListBullet"/>
      </w:pPr>
      <w:r>
        <w:t>Susceptibility to infection varies between individuals of the same species and appears to be largely age dependent, with younger individuals being more susceptible.</w:t>
      </w:r>
    </w:p>
    <w:p w14:paraId="5B8262DD" w14:textId="0324DCDF" w:rsidR="007F73EC" w:rsidRDefault="007F73EC" w:rsidP="007F73EC">
      <w:pPr>
        <w:pStyle w:val="ListBullet"/>
      </w:pPr>
      <w:r>
        <w:t>Fish that survive IHN are potential carriers of the virus for a period that depends on environmental conditions (</w:t>
      </w:r>
      <w:r w:rsidR="007D5853">
        <w:t>such as</w:t>
      </w:r>
      <w:r>
        <w:t xml:space="preserve"> temperature).</w:t>
      </w:r>
    </w:p>
    <w:p w14:paraId="3417A203" w14:textId="77777777" w:rsidR="007F73EC" w:rsidRDefault="007F73EC" w:rsidP="007F73EC">
      <w:pPr>
        <w:pStyle w:val="ListBullet"/>
      </w:pPr>
      <w:r>
        <w:t>The virus is shed into the water from infected fish through faeces, urine, spawning fluids and external mucous.</w:t>
      </w:r>
    </w:p>
    <w:p w14:paraId="09AF0BE2" w14:textId="2C8E8A26" w:rsidR="007F73EC" w:rsidRDefault="007F73EC" w:rsidP="007F73EC">
      <w:pPr>
        <w:pStyle w:val="ListBullet"/>
      </w:pPr>
      <w:r>
        <w:t>Transmission is generally horizontal, with the virus entering fish through the gills and skin</w:t>
      </w:r>
      <w:r w:rsidR="007D5853">
        <w:t>.</w:t>
      </w:r>
      <w:r>
        <w:t xml:space="preserve"> </w:t>
      </w:r>
      <w:r w:rsidR="007D5853">
        <w:t>S</w:t>
      </w:r>
      <w:r>
        <w:t>ome blood-sucking parasites such as gill lice (</w:t>
      </w:r>
      <w:r w:rsidRPr="007F73EC">
        <w:rPr>
          <w:rStyle w:val="Emphasis"/>
        </w:rPr>
        <w:t>Salm</w:t>
      </w:r>
      <w:r w:rsidR="003009BD">
        <w:rPr>
          <w:rStyle w:val="Emphasis"/>
        </w:rPr>
        <w:t>i</w:t>
      </w:r>
      <w:r w:rsidRPr="007F73EC">
        <w:rPr>
          <w:rStyle w:val="Emphasis"/>
        </w:rPr>
        <w:t>ncola</w:t>
      </w:r>
      <w:r>
        <w:t xml:space="preserve"> spp.) and leeches may serve as vectors.</w:t>
      </w:r>
    </w:p>
    <w:p w14:paraId="1B6798D2" w14:textId="73568E05" w:rsidR="007F73EC" w:rsidRDefault="007F73EC" w:rsidP="007F73EC">
      <w:pPr>
        <w:pStyle w:val="ListBullet"/>
      </w:pPr>
      <w:r>
        <w:t xml:space="preserve">Virus can be transferred to new areas via the movement of infected fish or eggs, and by other sources such as contaminated equipment, water, </w:t>
      </w:r>
      <w:r w:rsidR="007D5853">
        <w:t xml:space="preserve">birds or </w:t>
      </w:r>
      <w:r>
        <w:t>insects such as mayflies.</w:t>
      </w:r>
    </w:p>
    <w:p w14:paraId="705E8136" w14:textId="77777777" w:rsidR="007F73EC" w:rsidRDefault="007F73EC" w:rsidP="007F73EC">
      <w:pPr>
        <w:pStyle w:val="ListBullet"/>
      </w:pPr>
      <w:r>
        <w:t>Outbreaks are most likely to occur around the time of spawning, with increased levels of virus released into the environment with spawning fluids.</w:t>
      </w:r>
    </w:p>
    <w:p w14:paraId="45CF7725" w14:textId="5EB3983D" w:rsidR="00ED0614" w:rsidRDefault="007F73EC" w:rsidP="007F73EC">
      <w:pPr>
        <w:pStyle w:val="ListBullet"/>
      </w:pPr>
      <w:r>
        <w:lastRenderedPageBreak/>
        <w:t xml:space="preserve">It is believed that the spread of IHNV from the west coast of North America to Asia and Europe has been principally via the shipment of infected fish and eggs, suggesting some degree of vertical transmission. </w:t>
      </w:r>
      <w:r w:rsidR="00F269B4">
        <w:t>T</w:t>
      </w:r>
      <w:r>
        <w:t xml:space="preserve">he risk of such egg-associated transmission is significantly reduced by the common practice of egg surface disinfection, </w:t>
      </w:r>
      <w:r w:rsidR="00F269B4">
        <w:t xml:space="preserve">but </w:t>
      </w:r>
      <w:r>
        <w:t>is not eliminated.</w:t>
      </w:r>
    </w:p>
    <w:p w14:paraId="431A90C5" w14:textId="77777777" w:rsidR="00ED0614" w:rsidRDefault="00E260DC">
      <w:pPr>
        <w:pStyle w:val="Heading2"/>
      </w:pPr>
      <w:r>
        <w:t>Differential diagnosis</w:t>
      </w:r>
    </w:p>
    <w:p w14:paraId="00D9EE0B" w14:textId="19BE95C1"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0D38F7" w:rsidRPr="000D38F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0" w:name="_Similar_diseases"/>
      <w:bookmarkEnd w:id="0"/>
      <w:r>
        <w:t>Similar diseases</w:t>
      </w:r>
    </w:p>
    <w:p w14:paraId="3085BBD7" w14:textId="605769EB" w:rsidR="00ED0614" w:rsidRDefault="007F73EC">
      <w:r w:rsidRPr="007F73EC">
        <w:t>Enteric red mouth disease, epizootic haematopoietic necrosis (EHN), furunculosis, infectious pancreatic necrosis (IPN), infection with HPR-deleted or HPR0 infectious salmon anaemia virus, viral haemorrhagic septicaemia (VHS)</w:t>
      </w:r>
      <w:r w:rsidR="00B93085">
        <w:t xml:space="preserve"> and</w:t>
      </w:r>
      <w:r w:rsidRPr="007F73EC">
        <w:t xml:space="preserve"> whirling disease</w:t>
      </w:r>
      <w:r w:rsidR="00B93085">
        <w:t>.</w:t>
      </w:r>
    </w:p>
    <w:p w14:paraId="1583FD47" w14:textId="77777777" w:rsidR="00ED0614" w:rsidRDefault="00E260DC">
      <w:pPr>
        <w:pStyle w:val="Heading2"/>
      </w:pPr>
      <w:r>
        <w:t>Sample collection</w:t>
      </w:r>
    </w:p>
    <w:p w14:paraId="023FB03E" w14:textId="73624794" w:rsidR="00ED0614" w:rsidRDefault="00742002">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t>Emergency disease hotline</w:t>
      </w:r>
    </w:p>
    <w:p w14:paraId="4FF13930" w14:textId="77777777" w:rsidR="00ED0614" w:rsidRDefault="00E260DC">
      <w:r>
        <w:t>See something you think is this disease? Report it. Even if you’re not sure.</w:t>
      </w:r>
    </w:p>
    <w:p w14:paraId="57CF72E2" w14:textId="3DD8C984" w:rsidR="002521EC" w:rsidRPr="002521EC" w:rsidRDefault="00E260DC" w:rsidP="004A5DDC">
      <w:pPr>
        <w:rPr>
          <w:lang w:eastAsia="ja-JP"/>
        </w:rPr>
      </w:pPr>
      <w:r>
        <w:t xml:space="preserve">Call the Emergency Animal Disease Watch Hotline on </w:t>
      </w:r>
      <w:r w:rsidR="007B72EC">
        <w:rPr>
          <w:rStyle w:val="Strong"/>
        </w:rPr>
        <w:t>1800 675 888</w:t>
      </w:r>
      <w:r>
        <w:t>. They will refer you to the right state or territory agency.</w:t>
      </w:r>
    </w:p>
    <w:p w14:paraId="6B39C243" w14:textId="77777777" w:rsidR="00ED0614" w:rsidRDefault="00E260DC" w:rsidP="003C1061">
      <w:pPr>
        <w:pStyle w:val="Heading2"/>
        <w:keepLines/>
        <w:rPr>
          <w:rFonts w:ascii="Cambria" w:eastAsiaTheme="minorHAnsi" w:hAnsi="Cambria"/>
          <w:b w:val="0"/>
          <w:bCs w:val="0"/>
          <w:color w:val="auto"/>
          <w:sz w:val="22"/>
          <w:szCs w:val="22"/>
          <w:lang w:eastAsia="en-US"/>
        </w:rPr>
      </w:pPr>
      <w:r>
        <w:t>Further reading</w:t>
      </w:r>
    </w:p>
    <w:p w14:paraId="0184C0FC" w14:textId="312822A9" w:rsidR="007F73EC" w:rsidRDefault="007F73EC" w:rsidP="004B703A">
      <w:r w:rsidRPr="007F73EC">
        <w:t xml:space="preserve">CEFAS </w:t>
      </w:r>
      <w:r>
        <w:t>I</w:t>
      </w:r>
      <w:r w:rsidRPr="007F73EC">
        <w:t>nternational Database on Aquatic Animal Diseases</w:t>
      </w:r>
      <w:r>
        <w:t xml:space="preserve"> </w:t>
      </w:r>
      <w:hyperlink r:id="rId14" w:history="1">
        <w:r w:rsidRPr="007F73EC">
          <w:rPr>
            <w:rStyle w:val="Hyperlink"/>
          </w:rPr>
          <w:t>In</w:t>
        </w:r>
        <w:r>
          <w:rPr>
            <w:rStyle w:val="Hyperlink"/>
          </w:rPr>
          <w:t>fectious Haematopoietic Necrosi</w:t>
        </w:r>
        <w:r w:rsidRPr="007F73EC">
          <w:rPr>
            <w:rStyle w:val="Hyperlink"/>
          </w:rPr>
          <w:t>s</w:t>
        </w:r>
      </w:hyperlink>
    </w:p>
    <w:p w14:paraId="08ECC6F2" w14:textId="2E28E675" w:rsidR="007F73EC" w:rsidRDefault="007F73EC" w:rsidP="004B703A">
      <w:r w:rsidRPr="004A5DDC">
        <w:t xml:space="preserve">World Organisation for Animal Health </w:t>
      </w:r>
      <w:hyperlink r:id="rId15" w:history="1">
        <w:r w:rsidRPr="004A5DDC">
          <w:rPr>
            <w:rStyle w:val="Hyperlink"/>
          </w:rPr>
          <w:t xml:space="preserve">Manual </w:t>
        </w:r>
        <w:r w:rsidR="00100E2D" w:rsidRPr="004A5DDC">
          <w:rPr>
            <w:rStyle w:val="Hyperlink"/>
          </w:rPr>
          <w:t>of diagnostic tests for aquatic ani</w:t>
        </w:r>
        <w:r w:rsidRPr="004A5DDC">
          <w:rPr>
            <w:rStyle w:val="Hyperlink"/>
          </w:rPr>
          <w:t>mals</w:t>
        </w:r>
      </w:hyperlink>
    </w:p>
    <w:p w14:paraId="651B3923" w14:textId="6BC6704E" w:rsidR="004B703A" w:rsidRDefault="004B703A" w:rsidP="004B703A">
      <w:r>
        <w:t>Th</w:t>
      </w:r>
      <w:r w:rsidR="00736B6B">
        <w:t>ese</w:t>
      </w:r>
      <w:r>
        <w:t xml:space="preserve"> hyperlink</w:t>
      </w:r>
      <w:r w:rsidR="00736B6B">
        <w:t>s</w:t>
      </w:r>
      <w:r>
        <w:t xml:space="preserve"> w</w:t>
      </w:r>
      <w:r w:rsidR="00736B6B">
        <w:t>ere</w:t>
      </w:r>
      <w:r>
        <w:t xml:space="preserve"> correct at the time of publication.</w:t>
      </w:r>
    </w:p>
    <w:p w14:paraId="1AF792C8" w14:textId="77777777" w:rsidR="00ED0614" w:rsidRDefault="00E260DC">
      <w:pPr>
        <w:pStyle w:val="Heading2"/>
        <w:ind w:left="0" w:firstLine="0"/>
      </w:pPr>
      <w:r>
        <w:t>Contact details</w:t>
      </w:r>
    </w:p>
    <w:p w14:paraId="26C6D2C2" w14:textId="77777777" w:rsidR="00ED0614" w:rsidRDefault="00E260DC">
      <w:pPr>
        <w:spacing w:after="0"/>
      </w:pPr>
      <w:r>
        <w:t>Emergency Animal Disease Watch Hotline 1800 675 888</w:t>
      </w:r>
    </w:p>
    <w:p w14:paraId="3490169F" w14:textId="77777777" w:rsidR="00ED0614" w:rsidRDefault="00E260DC">
      <w:r>
        <w:t xml:space="preserve">Email </w:t>
      </w:r>
      <w:hyperlink r:id="rId16" w:history="1">
        <w:r>
          <w:rPr>
            <w:rStyle w:val="Hyperlink"/>
          </w:rPr>
          <w:t>AAH@agriculture.gov.au</w:t>
        </w:r>
      </w:hyperlink>
      <w:r>
        <w:cr/>
        <w:t xml:space="preserve">Website </w:t>
      </w:r>
      <w:hyperlink r:id="rId17" w:history="1">
        <w:r>
          <w:rPr>
            <w:rStyle w:val="Hyperlink"/>
          </w:rPr>
          <w:t>agriculture.gov.au/pests-diseases-weeds/aquatic</w:t>
        </w:r>
      </w:hyperlink>
    </w:p>
    <w:p w14:paraId="16C0A9CE" w14:textId="74B8BBCD" w:rsidR="00ED0614" w:rsidRDefault="00E260DC">
      <w:pPr>
        <w:pStyle w:val="Normalsmall"/>
      </w:pPr>
      <w:r>
        <w:t>© Commonwealth of Australia 20</w:t>
      </w:r>
      <w:r w:rsidR="00D474BF">
        <w:t>20</w:t>
      </w:r>
      <w:bookmarkStart w:id="1" w:name="_GoBack"/>
      <w:bookmarkEnd w:id="1"/>
    </w:p>
    <w:p w14:paraId="783F07B8" w14:textId="77777777" w:rsidR="00ED0614" w:rsidRDefault="00E260DC">
      <w:pPr>
        <w:pStyle w:val="Normalsmall"/>
      </w:pPr>
      <w:r>
        <w:t>This work is copyright. It may be reproduced in whole or in part subject to the inclusion of an acknowledgement of the source and no commercial usage or sale.</w:t>
      </w:r>
    </w:p>
    <w:sectPr w:rsidR="00ED0614">
      <w:headerReference w:type="default" r:id="rId18"/>
      <w:footerReference w:type="default" r:id="rId1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509115C3" w:rsidR="00ED0614" w:rsidRDefault="00D474BF">
    <w:pPr>
      <w:pStyle w:val="Footer"/>
    </w:pPr>
    <w:r>
      <w:t>Department 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287A78">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473A5888" w:rsidR="00ED0614" w:rsidRPr="00CB11B9" w:rsidRDefault="00422C3A" w:rsidP="00CB11B9">
    <w:pPr>
      <w:pStyle w:val="Header"/>
    </w:pPr>
    <w:r w:rsidRPr="00422C3A">
      <w:t>Infectious haematopoietic necrosis (IHN)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72CCD8C5">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312AE10"/>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25DF0"/>
    <w:rsid w:val="00030111"/>
    <w:rsid w:val="00050C3A"/>
    <w:rsid w:val="000B2163"/>
    <w:rsid w:val="000C051E"/>
    <w:rsid w:val="000D05F1"/>
    <w:rsid w:val="000D38F7"/>
    <w:rsid w:val="000E0DC0"/>
    <w:rsid w:val="00100E2D"/>
    <w:rsid w:val="001413A7"/>
    <w:rsid w:val="001474D1"/>
    <w:rsid w:val="001726AA"/>
    <w:rsid w:val="00190072"/>
    <w:rsid w:val="001A7824"/>
    <w:rsid w:val="001E366B"/>
    <w:rsid w:val="001E6330"/>
    <w:rsid w:val="001F30EF"/>
    <w:rsid w:val="0021687A"/>
    <w:rsid w:val="002521EC"/>
    <w:rsid w:val="00266BD4"/>
    <w:rsid w:val="00274A52"/>
    <w:rsid w:val="00287A78"/>
    <w:rsid w:val="003009BD"/>
    <w:rsid w:val="00350807"/>
    <w:rsid w:val="003C1061"/>
    <w:rsid w:val="003F4E8E"/>
    <w:rsid w:val="00422C3A"/>
    <w:rsid w:val="0045639F"/>
    <w:rsid w:val="0045792C"/>
    <w:rsid w:val="004A104B"/>
    <w:rsid w:val="004A5DDC"/>
    <w:rsid w:val="004B703A"/>
    <w:rsid w:val="004E3720"/>
    <w:rsid w:val="005312B5"/>
    <w:rsid w:val="00583281"/>
    <w:rsid w:val="00583B3C"/>
    <w:rsid w:val="005A359A"/>
    <w:rsid w:val="005B0B25"/>
    <w:rsid w:val="005B5670"/>
    <w:rsid w:val="005C17C2"/>
    <w:rsid w:val="005E698C"/>
    <w:rsid w:val="006649F0"/>
    <w:rsid w:val="006D51D3"/>
    <w:rsid w:val="006E3E02"/>
    <w:rsid w:val="00736B6B"/>
    <w:rsid w:val="00742002"/>
    <w:rsid w:val="007757E1"/>
    <w:rsid w:val="00793DD5"/>
    <w:rsid w:val="007A0952"/>
    <w:rsid w:val="007B72EC"/>
    <w:rsid w:val="007D5853"/>
    <w:rsid w:val="007E3043"/>
    <w:rsid w:val="007F1EDC"/>
    <w:rsid w:val="007F73EC"/>
    <w:rsid w:val="008037F5"/>
    <w:rsid w:val="00844BA3"/>
    <w:rsid w:val="0085325A"/>
    <w:rsid w:val="00853ED4"/>
    <w:rsid w:val="00876983"/>
    <w:rsid w:val="00880A10"/>
    <w:rsid w:val="008B4009"/>
    <w:rsid w:val="00941336"/>
    <w:rsid w:val="0095639C"/>
    <w:rsid w:val="009A09FC"/>
    <w:rsid w:val="009B5DE8"/>
    <w:rsid w:val="009C7070"/>
    <w:rsid w:val="009E53A8"/>
    <w:rsid w:val="00A42A8A"/>
    <w:rsid w:val="00A83382"/>
    <w:rsid w:val="00A93B2B"/>
    <w:rsid w:val="00A94C32"/>
    <w:rsid w:val="00B93085"/>
    <w:rsid w:val="00BE5CB5"/>
    <w:rsid w:val="00C10318"/>
    <w:rsid w:val="00C36630"/>
    <w:rsid w:val="00C605BC"/>
    <w:rsid w:val="00CA1BF7"/>
    <w:rsid w:val="00CB11B9"/>
    <w:rsid w:val="00CC02C5"/>
    <w:rsid w:val="00CD0FA5"/>
    <w:rsid w:val="00D1126F"/>
    <w:rsid w:val="00D12B64"/>
    <w:rsid w:val="00D467E7"/>
    <w:rsid w:val="00D474BF"/>
    <w:rsid w:val="00DD769F"/>
    <w:rsid w:val="00DD7F2B"/>
    <w:rsid w:val="00DE0024"/>
    <w:rsid w:val="00DF2031"/>
    <w:rsid w:val="00E260DC"/>
    <w:rsid w:val="00E263C9"/>
    <w:rsid w:val="00E5183C"/>
    <w:rsid w:val="00E84766"/>
    <w:rsid w:val="00EB290A"/>
    <w:rsid w:val="00ED0614"/>
    <w:rsid w:val="00F03FC2"/>
    <w:rsid w:val="00F06A73"/>
    <w:rsid w:val="00F2215F"/>
    <w:rsid w:val="00F269B4"/>
    <w:rsid w:val="00F4568D"/>
    <w:rsid w:val="00F72EFE"/>
    <w:rsid w:val="00FD7D78"/>
    <w:rsid w:val="00FE4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griculture.gov.au/pests-diseases-weeds/aquatic" TargetMode="External"/><Relationship Id="rId2" Type="http://schemas.openxmlformats.org/officeDocument/2006/relationships/customXml" Target="../customXml/item2.xml"/><Relationship Id="rId16" Type="http://schemas.openxmlformats.org/officeDocument/2006/relationships/hyperlink" Target="mailto:AAH@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ie.int/en/international-standard-setting/aquatic-manual/access-onlin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fas.co.uk/international-database-on-aquatic-animal-diseases/disease-data/?id=5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ECE29-FDD4-47DC-B49E-BBEFD4C3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33</TotalTime>
  <Pages>5</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Infectious haematopoietic necrosis (IHN)</vt:lpstr>
    </vt:vector>
  </TitlesOfParts>
  <Company>Department of Agriculture Fisheries &amp; Forestry</Company>
  <LinksUpToDate>false</LinksUpToDate>
  <CharactersWithSpaces>7877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Infectious haematopoietic necrosis (IHN)</dc:title>
  <dc:creator>Department of Agriculture</dc:creator>
  <cp:lastModifiedBy>Caldwell, Louise</cp:lastModifiedBy>
  <cp:revision>12</cp:revision>
  <cp:lastPrinted>2020-03-11T06:08:00Z</cp:lastPrinted>
  <dcterms:created xsi:type="dcterms:W3CDTF">2019-09-03T04:14:00Z</dcterms:created>
  <dcterms:modified xsi:type="dcterms:W3CDTF">2020-03-11T06:08:00Z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