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226F1" w14:textId="77777777" w:rsidR="009E04E6" w:rsidRPr="00353F65" w:rsidRDefault="00F76C8C">
      <w:pPr>
        <w:pStyle w:val="Heading1"/>
      </w:pPr>
      <w:r>
        <w:t>Infection with infectious myonecrosis virus (IMNV)</w:t>
      </w:r>
    </w:p>
    <w:p w14:paraId="3E7CD337" w14:textId="77777777" w:rsidR="009E04E6" w:rsidRDefault="00F76C8C">
      <w:pPr>
        <w:pStyle w:val="Subtitle"/>
      </w:pPr>
      <w:r>
        <w:rPr>
          <w:sz w:val="24"/>
          <w:szCs w:val="24"/>
        </w:rPr>
        <w:t>Also known as infectious myonecrosis</w:t>
      </w:r>
    </w:p>
    <w:p w14:paraId="55BFB71A" w14:textId="77777777" w:rsidR="009E04E6" w:rsidRDefault="00F76C8C">
      <w:pPr>
        <w:pStyle w:val="Subtitle"/>
      </w:pPr>
      <w:r>
        <w:t xml:space="preserve">From </w:t>
      </w:r>
      <w:r>
        <w:rPr>
          <w:rStyle w:val="Emphasis"/>
        </w:rPr>
        <w:t>Aquatic animal diseases significant to Australia: identification field guide</w:t>
      </w:r>
      <w:r>
        <w:t>, 5th edition</w:t>
      </w:r>
    </w:p>
    <w:p w14:paraId="36E03D48" w14:textId="32D4BA91" w:rsidR="009E04E6" w:rsidRDefault="00F76C8C">
      <w:pPr>
        <w:pStyle w:val="Caption"/>
      </w:pPr>
      <w:r>
        <w:t xml:space="preserve">Figure </w:t>
      </w:r>
      <w:r>
        <w:rPr>
          <w:noProof/>
        </w:rPr>
        <w:fldChar w:fldCharType="begin"/>
      </w:r>
      <w:r>
        <w:rPr>
          <w:noProof/>
        </w:rPr>
        <w:instrText xml:space="preserve"> SEQ Figure \* ARABIC </w:instrText>
      </w:r>
      <w:r>
        <w:rPr>
          <w:noProof/>
        </w:rPr>
        <w:fldChar w:fldCharType="separate"/>
      </w:r>
      <w:r w:rsidR="00814781">
        <w:rPr>
          <w:noProof/>
        </w:rPr>
        <w:t>1</w:t>
      </w:r>
      <w:r>
        <w:rPr>
          <w:noProof/>
        </w:rPr>
        <w:fldChar w:fldCharType="end"/>
      </w:r>
      <w:r>
        <w:t xml:space="preserve"> Gross signs of infectious myonecrosis in naturally infected farmed Pacific white shrimp (</w:t>
      </w:r>
      <w:r>
        <w:rPr>
          <w:rStyle w:val="Emphasis"/>
        </w:rPr>
        <w:t>Penaeus (</w:t>
      </w:r>
      <w:proofErr w:type="spellStart"/>
      <w:r>
        <w:rPr>
          <w:rStyle w:val="Emphasis"/>
        </w:rPr>
        <w:t>Litopenaeus</w:t>
      </w:r>
      <w:proofErr w:type="spellEnd"/>
      <w:r>
        <w:rPr>
          <w:rStyle w:val="Emphasis"/>
        </w:rPr>
        <w:t>) </w:t>
      </w:r>
      <w:proofErr w:type="spellStart"/>
      <w:r>
        <w:rPr>
          <w:rStyle w:val="Emphasis"/>
        </w:rPr>
        <w:t>vannamei</w:t>
      </w:r>
      <w:proofErr w:type="spellEnd"/>
      <w:r>
        <w:t>)</w:t>
      </w:r>
    </w:p>
    <w:p w14:paraId="539BCF04" w14:textId="77777777" w:rsidR="009E04E6" w:rsidRDefault="00F76C8C">
      <w:pPr>
        <w:ind w:right="-2"/>
      </w:pPr>
      <w:r>
        <w:rPr>
          <w:noProof/>
          <w:lang w:eastAsia="en-AU"/>
        </w:rPr>
        <w:drawing>
          <wp:inline distT="0" distB="0" distL="0" distR="0" wp14:anchorId="38D0A26E" wp14:editId="36F43A37">
            <wp:extent cx="4680000" cy="366480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NVLightner1.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4680000" cy="3664800"/>
                    </a:xfrm>
                    <a:prstGeom prst="rect">
                      <a:avLst/>
                    </a:prstGeom>
                    <a:ln>
                      <a:noFill/>
                    </a:ln>
                    <a:extLst>
                      <a:ext uri="{53640926-AAD7-44D8-BBD7-CCE9431645EC}">
                        <a14:shadowObscured xmlns:a14="http://schemas.microsoft.com/office/drawing/2010/main"/>
                      </a:ext>
                    </a:extLst>
                  </pic:spPr>
                </pic:pic>
              </a:graphicData>
            </a:graphic>
          </wp:inline>
        </w:drawing>
      </w:r>
    </w:p>
    <w:p w14:paraId="1B61C0D2" w14:textId="77777777" w:rsidR="009E04E6" w:rsidRDefault="00F76C8C">
      <w:pPr>
        <w:pStyle w:val="FigureTableNoteSource"/>
      </w:pPr>
      <w:r>
        <w:t>Note: Various degrees of skeletal muscle necrosis, visible as an opaque, whitish discolouration of the abdomen.</w:t>
      </w:r>
    </w:p>
    <w:p w14:paraId="102EEF24" w14:textId="77777777" w:rsidR="009E04E6" w:rsidRDefault="00F76C8C">
      <w:pPr>
        <w:pStyle w:val="FigureTableNoteSource"/>
      </w:pPr>
      <w:r>
        <w:t>Source: DV Lightner</w:t>
      </w:r>
    </w:p>
    <w:p w14:paraId="7398EA0D" w14:textId="0CB7F87F" w:rsidR="009E04E6" w:rsidRDefault="00F76C8C">
      <w:pPr>
        <w:pStyle w:val="Caption"/>
      </w:pPr>
      <w:r>
        <w:t xml:space="preserve">Figure </w:t>
      </w:r>
      <w:r>
        <w:rPr>
          <w:noProof/>
        </w:rPr>
        <w:fldChar w:fldCharType="begin"/>
      </w:r>
      <w:r>
        <w:rPr>
          <w:noProof/>
        </w:rPr>
        <w:instrText xml:space="preserve"> SEQ Figure \* ARABIC </w:instrText>
      </w:r>
      <w:r>
        <w:rPr>
          <w:noProof/>
        </w:rPr>
        <w:fldChar w:fldCharType="separate"/>
      </w:r>
      <w:r w:rsidR="00814781">
        <w:rPr>
          <w:noProof/>
        </w:rPr>
        <w:t>2</w:t>
      </w:r>
      <w:r>
        <w:rPr>
          <w:noProof/>
        </w:rPr>
        <w:fldChar w:fldCharType="end"/>
      </w:r>
      <w:r>
        <w:t xml:space="preserve"> Gross signs of infectious myonecrosis in naturally infected farmed Pacific white shrimp (</w:t>
      </w:r>
      <w:r>
        <w:rPr>
          <w:rStyle w:val="Emphasis"/>
        </w:rPr>
        <w:t>Penaeus (</w:t>
      </w:r>
      <w:proofErr w:type="spellStart"/>
      <w:r>
        <w:rPr>
          <w:rStyle w:val="Emphasis"/>
        </w:rPr>
        <w:t>Litopenaeus</w:t>
      </w:r>
      <w:proofErr w:type="spellEnd"/>
      <w:r>
        <w:rPr>
          <w:rStyle w:val="Emphasis"/>
        </w:rPr>
        <w:t>) </w:t>
      </w:r>
      <w:proofErr w:type="spellStart"/>
      <w:r>
        <w:rPr>
          <w:rStyle w:val="Emphasis"/>
        </w:rPr>
        <w:t>vannamei</w:t>
      </w:r>
      <w:proofErr w:type="spellEnd"/>
      <w:r>
        <w:t>)</w:t>
      </w:r>
    </w:p>
    <w:p w14:paraId="4C57FAD8" w14:textId="77777777" w:rsidR="009E04E6" w:rsidRDefault="00F76C8C">
      <w:pPr>
        <w:ind w:right="-2"/>
      </w:pPr>
      <w:r>
        <w:rPr>
          <w:noProof/>
          <w:lang w:eastAsia="en-AU"/>
        </w:rPr>
        <w:drawing>
          <wp:inline distT="0" distB="0" distL="0" distR="0" wp14:anchorId="526A2B2B" wp14:editId="4E06ECA2">
            <wp:extent cx="4680000" cy="2084400"/>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NVLightner2.jpg"/>
                    <pic:cNvPicPr/>
                  </pic:nvPicPr>
                  <pic:blipFill>
                    <a:blip r:embed="rId12" cstate="print">
                      <a:extLst>
                        <a:ext uri="{28A0092B-C50C-407E-A947-70E740481C1C}">
                          <a14:useLocalDpi xmlns:a14="http://schemas.microsoft.com/office/drawing/2010/main"/>
                        </a:ext>
                      </a:extLst>
                    </a:blip>
                    <a:stretch>
                      <a:fillRect/>
                    </a:stretch>
                  </pic:blipFill>
                  <pic:spPr>
                    <a:xfrm>
                      <a:off x="0" y="0"/>
                      <a:ext cx="4680000" cy="2084400"/>
                    </a:xfrm>
                    <a:prstGeom prst="rect">
                      <a:avLst/>
                    </a:prstGeom>
                  </pic:spPr>
                </pic:pic>
              </a:graphicData>
            </a:graphic>
          </wp:inline>
        </w:drawing>
      </w:r>
    </w:p>
    <w:p w14:paraId="663F0FB3" w14:textId="69F7D438" w:rsidR="009E04E6" w:rsidRDefault="00F76C8C">
      <w:pPr>
        <w:pStyle w:val="FigureTableNoteSource"/>
      </w:pPr>
      <w:r>
        <w:t>Note: Reddened tail</w:t>
      </w:r>
      <w:r w:rsidR="00A851C9">
        <w:t>,</w:t>
      </w:r>
      <w:r>
        <w:t xml:space="preserve"> and skeletal muscle necrosis visible as an opaque, whitish discolouration of the abdominal segments.</w:t>
      </w:r>
    </w:p>
    <w:p w14:paraId="1C4A4110" w14:textId="77777777" w:rsidR="009E04E6" w:rsidRDefault="00F76C8C">
      <w:pPr>
        <w:pStyle w:val="FigureTableNoteSource"/>
      </w:pPr>
      <w:r>
        <w:t>Source: DV Lightner</w:t>
      </w:r>
    </w:p>
    <w:p w14:paraId="67AEC007" w14:textId="77777777" w:rsidR="009E04E6" w:rsidRDefault="00F76C8C">
      <w:pPr>
        <w:pStyle w:val="Heading2"/>
      </w:pPr>
      <w:r>
        <w:lastRenderedPageBreak/>
        <w:t>Signs of disease</w:t>
      </w:r>
    </w:p>
    <w:p w14:paraId="3609B5BE" w14:textId="77777777" w:rsidR="009E04E6" w:rsidRDefault="00F76C8C">
      <w:pPr>
        <w:rPr>
          <w:lang w:eastAsia="ja-JP"/>
        </w:rPr>
      </w:pPr>
      <w:r>
        <w:rPr>
          <w:lang w:eastAsia="ja-JP"/>
        </w:rPr>
        <w:t>Important: Animals with this disease may show one or more of these signs, but the pathogen may still be present in the absence of any signs.</w:t>
      </w:r>
    </w:p>
    <w:p w14:paraId="2D8E14C3" w14:textId="77777777" w:rsidR="009E04E6" w:rsidRDefault="00F76C8C">
      <w:pPr>
        <w:rPr>
          <w:lang w:eastAsia="ja-JP"/>
        </w:rPr>
      </w:pPr>
      <w:r>
        <w:rPr>
          <w:lang w:eastAsia="ja-JP"/>
        </w:rPr>
        <w:t>Disease signs at the farm, tank or pond level are:</w:t>
      </w:r>
    </w:p>
    <w:p w14:paraId="3EBF5568" w14:textId="77777777" w:rsidR="009E04E6" w:rsidRDefault="00F76C8C">
      <w:pPr>
        <w:pStyle w:val="ListBullet"/>
        <w:rPr>
          <w:lang w:eastAsia="ja-JP"/>
        </w:rPr>
      </w:pPr>
      <w:r>
        <w:rPr>
          <w:lang w:eastAsia="ja-JP"/>
        </w:rPr>
        <w:t>lethargy</w:t>
      </w:r>
    </w:p>
    <w:p w14:paraId="4D3C4515" w14:textId="3052BC6B" w:rsidR="009E04E6" w:rsidRDefault="00F76C8C">
      <w:pPr>
        <w:pStyle w:val="ListBullet"/>
        <w:rPr>
          <w:lang w:eastAsia="ja-JP"/>
        </w:rPr>
      </w:pPr>
      <w:r>
        <w:rPr>
          <w:lang w:eastAsia="ja-JP"/>
        </w:rPr>
        <w:t>large numbers of moribund animals and significant mortalities (up to 70%), during or following stressful events</w:t>
      </w:r>
    </w:p>
    <w:p w14:paraId="1C33095A" w14:textId="77777777" w:rsidR="009E04E6" w:rsidRDefault="00F76C8C">
      <w:pPr>
        <w:pStyle w:val="ListBullet"/>
        <w:rPr>
          <w:lang w:eastAsia="ja-JP"/>
        </w:rPr>
      </w:pPr>
      <w:r>
        <w:rPr>
          <w:lang w:eastAsia="ja-JP"/>
        </w:rPr>
        <w:t>The acute form of the disease produces gross signs and elevated mortalities, but disease progresses to a chronic phase with persistent low-level mortalities.</w:t>
      </w:r>
    </w:p>
    <w:p w14:paraId="6CFA898D" w14:textId="77777777" w:rsidR="009E04E6" w:rsidRDefault="00F76C8C">
      <w:pPr>
        <w:rPr>
          <w:lang w:eastAsia="ja-JP"/>
        </w:rPr>
      </w:pPr>
      <w:r>
        <w:rPr>
          <w:lang w:eastAsia="ja-JP"/>
        </w:rPr>
        <w:t>Gross pathological signs are:</w:t>
      </w:r>
    </w:p>
    <w:p w14:paraId="627BC77A" w14:textId="77777777" w:rsidR="009E04E6" w:rsidRDefault="00F76C8C">
      <w:pPr>
        <w:pStyle w:val="ListBullet"/>
        <w:rPr>
          <w:lang w:eastAsia="ja-JP"/>
        </w:rPr>
      </w:pPr>
      <w:r>
        <w:rPr>
          <w:lang w:eastAsia="ja-JP"/>
        </w:rPr>
        <w:t>focal to extensive white necrotic areas in the striated muscle commonly observed in distal abdominal segments</w:t>
      </w:r>
    </w:p>
    <w:p w14:paraId="41A08AD5" w14:textId="77777777" w:rsidR="009E04E6" w:rsidRDefault="00F76C8C">
      <w:pPr>
        <w:pStyle w:val="ListBullet"/>
        <w:rPr>
          <w:lang w:eastAsia="ja-JP"/>
        </w:rPr>
      </w:pPr>
      <w:r>
        <w:rPr>
          <w:lang w:eastAsia="ja-JP"/>
        </w:rPr>
        <w:t>necrotic and reddened tail fan</w:t>
      </w:r>
    </w:p>
    <w:p w14:paraId="46FADC5A" w14:textId="083BAA8F" w:rsidR="009E04E6" w:rsidRDefault="00F76C8C">
      <w:pPr>
        <w:pStyle w:val="ListBullet"/>
        <w:rPr>
          <w:lang w:eastAsia="ja-JP"/>
        </w:rPr>
      </w:pPr>
      <w:r>
        <w:rPr>
          <w:lang w:eastAsia="ja-JP"/>
        </w:rPr>
        <w:t>lymphoid organs increased to 3 to 4 times normal size</w:t>
      </w:r>
    </w:p>
    <w:p w14:paraId="20E453C5" w14:textId="740AEF1C" w:rsidR="009E04E6" w:rsidRDefault="00F76C8C">
      <w:pPr>
        <w:pStyle w:val="ListBullet"/>
        <w:rPr>
          <w:lang w:eastAsia="ja-JP"/>
        </w:rPr>
      </w:pPr>
      <w:r>
        <w:rPr>
          <w:lang w:eastAsia="ja-JP"/>
        </w:rPr>
        <w:t>moribund prawns with a full stomach because affected individuals may continue to feed until death.</w:t>
      </w:r>
    </w:p>
    <w:p w14:paraId="726E75B2" w14:textId="77777777" w:rsidR="009E04E6" w:rsidRDefault="00F76C8C">
      <w:pPr>
        <w:rPr>
          <w:lang w:eastAsia="ja-JP"/>
        </w:rPr>
      </w:pPr>
      <w:r>
        <w:rPr>
          <w:lang w:eastAsia="ja-JP"/>
        </w:rPr>
        <w:t xml:space="preserve">Microscopic </w:t>
      </w:r>
      <w:r>
        <w:t>pathological</w:t>
      </w:r>
      <w:r>
        <w:rPr>
          <w:lang w:eastAsia="ja-JP"/>
        </w:rPr>
        <w:t xml:space="preserve"> signs are:</w:t>
      </w:r>
    </w:p>
    <w:p w14:paraId="12A6124C" w14:textId="731D654E" w:rsidR="009E04E6" w:rsidRDefault="00F76C8C">
      <w:pPr>
        <w:pStyle w:val="ListBullet"/>
      </w:pPr>
      <w:r>
        <w:rPr>
          <w:lang w:eastAsia="ja-JP"/>
        </w:rPr>
        <w:t xml:space="preserve">coagulative necrosis of skeletal muscle by </w:t>
      </w:r>
      <w:proofErr w:type="spellStart"/>
      <w:r w:rsidR="00C307D0">
        <w:rPr>
          <w:lang w:eastAsia="ja-JP"/>
        </w:rPr>
        <w:t>haemocytic</w:t>
      </w:r>
      <w:proofErr w:type="spellEnd"/>
      <w:r w:rsidR="00C307D0">
        <w:rPr>
          <w:lang w:eastAsia="ja-JP"/>
        </w:rPr>
        <w:t xml:space="preserve"> </w:t>
      </w:r>
      <w:r>
        <w:rPr>
          <w:lang w:eastAsia="ja-JP"/>
        </w:rPr>
        <w:t>infiltration and fibrosis.</w:t>
      </w:r>
    </w:p>
    <w:p w14:paraId="08189EFE" w14:textId="77777777" w:rsidR="009E04E6" w:rsidRDefault="00F76C8C">
      <w:pPr>
        <w:pStyle w:val="Heading2"/>
      </w:pPr>
      <w:r>
        <w:t>Disease agent</w:t>
      </w:r>
    </w:p>
    <w:p w14:paraId="33981E49" w14:textId="62840A18" w:rsidR="009E04E6" w:rsidRDefault="00F76C8C">
      <w:r>
        <w:t xml:space="preserve">Infectious myonecrosis is caused by infection with infectious myonecrosis virus (IMNV), a putative </w:t>
      </w:r>
      <w:proofErr w:type="spellStart"/>
      <w:r>
        <w:t>totivirus</w:t>
      </w:r>
      <w:proofErr w:type="spellEnd"/>
      <w:r>
        <w:t xml:space="preserve">. Phylogenetic analysis based on its RNA-dependent RNA polymerase gene coding sequence groups IMNV most closely with </w:t>
      </w:r>
      <w:r w:rsidRPr="005174A3">
        <w:rPr>
          <w:rStyle w:val="Emphasis"/>
        </w:rPr>
        <w:t>Giardia</w:t>
      </w:r>
      <w:r>
        <w:t xml:space="preserve"> lamblia virus, a member of the family </w:t>
      </w:r>
      <w:proofErr w:type="spellStart"/>
      <w:r w:rsidRPr="00814781">
        <w:rPr>
          <w:rStyle w:val="Emphasis"/>
        </w:rPr>
        <w:t>Totiviridae</w:t>
      </w:r>
      <w:proofErr w:type="spellEnd"/>
      <w:r>
        <w:t>.</w:t>
      </w:r>
    </w:p>
    <w:p w14:paraId="6DCEB035" w14:textId="77777777" w:rsidR="009E04E6" w:rsidRDefault="00F76C8C">
      <w:pPr>
        <w:pStyle w:val="Heading2"/>
        <w:keepLines/>
      </w:pPr>
      <w:r>
        <w:t>Host range</w:t>
      </w:r>
    </w:p>
    <w:p w14:paraId="2D4ACB5B" w14:textId="298D2FC5" w:rsidR="009E04E6" w:rsidRDefault="00F76C8C">
      <w:pPr>
        <w:pStyle w:val="Caption"/>
        <w:keepLines/>
      </w:pPr>
      <w:r>
        <w:t xml:space="preserve">Table </w:t>
      </w:r>
      <w:r>
        <w:rPr>
          <w:noProof/>
        </w:rPr>
        <w:fldChar w:fldCharType="begin"/>
      </w:r>
      <w:r>
        <w:rPr>
          <w:noProof/>
        </w:rPr>
        <w:instrText xml:space="preserve"> SEQ Table \* ARABIC </w:instrText>
      </w:r>
      <w:r>
        <w:rPr>
          <w:noProof/>
        </w:rPr>
        <w:fldChar w:fldCharType="separate"/>
      </w:r>
      <w:r w:rsidR="00814781">
        <w:rPr>
          <w:noProof/>
        </w:rPr>
        <w:t>1</w:t>
      </w:r>
      <w:r>
        <w:rPr>
          <w:noProof/>
        </w:rPr>
        <w:fldChar w:fldCharType="end"/>
      </w:r>
      <w:r>
        <w:t xml:space="preserve"> Species known to be susceptible to</w:t>
      </w:r>
      <w:r>
        <w:rPr>
          <w:szCs w:val="22"/>
        </w:rPr>
        <w:t xml:space="preserve"> IMNV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9E04E6" w14:paraId="3B459F12" w14:textId="77777777">
        <w:trPr>
          <w:cantSplit/>
          <w:trHeight w:val="300"/>
          <w:tblHeader/>
        </w:trPr>
        <w:tc>
          <w:tcPr>
            <w:tcW w:w="2500" w:type="pct"/>
            <w:tcBorders>
              <w:top w:val="single" w:sz="4" w:space="0" w:color="auto"/>
              <w:bottom w:val="single" w:sz="4" w:space="0" w:color="auto"/>
            </w:tcBorders>
            <w:noWrap/>
          </w:tcPr>
          <w:p w14:paraId="29681D54" w14:textId="77777777" w:rsidR="009E04E6" w:rsidRDefault="00F76C8C">
            <w:pPr>
              <w:pStyle w:val="TableHeading"/>
            </w:pPr>
            <w:r>
              <w:t>Common name</w:t>
            </w:r>
          </w:p>
        </w:tc>
        <w:tc>
          <w:tcPr>
            <w:tcW w:w="2500" w:type="pct"/>
            <w:tcBorders>
              <w:top w:val="single" w:sz="4" w:space="0" w:color="auto"/>
              <w:bottom w:val="single" w:sz="4" w:space="0" w:color="auto"/>
            </w:tcBorders>
            <w:noWrap/>
          </w:tcPr>
          <w:p w14:paraId="1A39ECFE" w14:textId="77777777" w:rsidR="009E04E6" w:rsidRDefault="00F76C8C">
            <w:pPr>
              <w:pStyle w:val="TableHeading"/>
            </w:pPr>
            <w:r>
              <w:t>Scientific name</w:t>
            </w:r>
          </w:p>
        </w:tc>
      </w:tr>
      <w:tr w:rsidR="009E04E6" w14:paraId="7831AF2E" w14:textId="77777777">
        <w:trPr>
          <w:cantSplit/>
          <w:trHeight w:val="315"/>
        </w:trPr>
        <w:tc>
          <w:tcPr>
            <w:tcW w:w="2500" w:type="pct"/>
            <w:tcBorders>
              <w:top w:val="single" w:sz="4" w:space="0" w:color="auto"/>
            </w:tcBorders>
            <w:noWrap/>
          </w:tcPr>
          <w:p w14:paraId="78F4445C" w14:textId="77777777" w:rsidR="009E04E6" w:rsidRDefault="00F76C8C">
            <w:pPr>
              <w:pStyle w:val="TableText"/>
            </w:pPr>
            <w:r>
              <w:t>Black tiger prawn</w:t>
            </w:r>
          </w:p>
        </w:tc>
        <w:tc>
          <w:tcPr>
            <w:tcW w:w="2500" w:type="pct"/>
            <w:tcBorders>
              <w:top w:val="single" w:sz="4" w:space="0" w:color="auto"/>
            </w:tcBorders>
            <w:noWrap/>
          </w:tcPr>
          <w:p w14:paraId="4DEF80EC" w14:textId="77777777" w:rsidR="009E04E6" w:rsidRDefault="00F76C8C">
            <w:pPr>
              <w:pStyle w:val="TableText"/>
              <w:rPr>
                <w:rStyle w:val="Emphasis"/>
              </w:rPr>
            </w:pPr>
            <w:r>
              <w:rPr>
                <w:rStyle w:val="Emphasis"/>
              </w:rPr>
              <w:t>Penaeus monodon</w:t>
            </w:r>
          </w:p>
        </w:tc>
      </w:tr>
      <w:tr w:rsidR="009E04E6" w14:paraId="475C5281" w14:textId="77777777">
        <w:trPr>
          <w:cantSplit/>
          <w:trHeight w:val="315"/>
        </w:trPr>
        <w:tc>
          <w:tcPr>
            <w:tcW w:w="2500" w:type="pct"/>
            <w:noWrap/>
          </w:tcPr>
          <w:p w14:paraId="251A6290" w14:textId="77777777" w:rsidR="009E04E6" w:rsidRDefault="00F76C8C">
            <w:pPr>
              <w:pStyle w:val="TableText"/>
            </w:pPr>
            <w:r>
              <w:t>Brown tiger prawn</w:t>
            </w:r>
          </w:p>
        </w:tc>
        <w:tc>
          <w:tcPr>
            <w:tcW w:w="2500" w:type="pct"/>
            <w:noWrap/>
          </w:tcPr>
          <w:p w14:paraId="0043E2B1" w14:textId="77777777" w:rsidR="009E04E6" w:rsidRDefault="00F76C8C">
            <w:pPr>
              <w:pStyle w:val="TableText"/>
              <w:rPr>
                <w:rStyle w:val="Emphasis"/>
                <w:rFonts w:eastAsia="SimSun"/>
              </w:rPr>
            </w:pPr>
            <w:r>
              <w:rPr>
                <w:rStyle w:val="Emphasis"/>
              </w:rPr>
              <w:t xml:space="preserve">Penaeus </w:t>
            </w:r>
            <w:proofErr w:type="spellStart"/>
            <w:r>
              <w:rPr>
                <w:rStyle w:val="Emphasis"/>
              </w:rPr>
              <w:t>esculentus</w:t>
            </w:r>
            <w:proofErr w:type="spellEnd"/>
          </w:p>
        </w:tc>
      </w:tr>
      <w:tr w:rsidR="009E04E6" w14:paraId="0789EA37" w14:textId="77777777">
        <w:trPr>
          <w:cantSplit/>
          <w:trHeight w:val="315"/>
        </w:trPr>
        <w:tc>
          <w:tcPr>
            <w:tcW w:w="2500" w:type="pct"/>
            <w:noWrap/>
          </w:tcPr>
          <w:p w14:paraId="3BD5ED2A" w14:textId="77777777" w:rsidR="009E04E6" w:rsidRDefault="00F76C8C">
            <w:pPr>
              <w:pStyle w:val="TableText"/>
            </w:pPr>
            <w:r>
              <w:t>Gulf banana prawn</w:t>
            </w:r>
          </w:p>
        </w:tc>
        <w:tc>
          <w:tcPr>
            <w:tcW w:w="2500" w:type="pct"/>
            <w:noWrap/>
          </w:tcPr>
          <w:p w14:paraId="18F8455E" w14:textId="77777777" w:rsidR="009E04E6" w:rsidRDefault="00F76C8C">
            <w:pPr>
              <w:pStyle w:val="TableText"/>
              <w:rPr>
                <w:rStyle w:val="Emphasis"/>
                <w:rFonts w:eastAsia="SimSun"/>
              </w:rPr>
            </w:pPr>
            <w:r>
              <w:rPr>
                <w:rStyle w:val="Emphasis"/>
              </w:rPr>
              <w:t>Penaeus</w:t>
            </w:r>
            <w:r>
              <w:t xml:space="preserve"> </w:t>
            </w:r>
            <w:r>
              <w:rPr>
                <w:rStyle w:val="Emphasis"/>
              </w:rPr>
              <w:t>(</w:t>
            </w:r>
            <w:proofErr w:type="spellStart"/>
            <w:r>
              <w:rPr>
                <w:rStyle w:val="Emphasis"/>
              </w:rPr>
              <w:t>Fenneropenaeus</w:t>
            </w:r>
            <w:proofErr w:type="spellEnd"/>
            <w:r>
              <w:rPr>
                <w:rStyle w:val="Emphasis"/>
              </w:rPr>
              <w:t xml:space="preserve">) </w:t>
            </w:r>
            <w:proofErr w:type="spellStart"/>
            <w:r>
              <w:rPr>
                <w:rStyle w:val="Emphasis"/>
              </w:rPr>
              <w:t>merguiensis</w:t>
            </w:r>
            <w:proofErr w:type="spellEnd"/>
          </w:p>
        </w:tc>
      </w:tr>
      <w:tr w:rsidR="009E04E6" w14:paraId="0E8CAAE7" w14:textId="77777777">
        <w:trPr>
          <w:cantSplit/>
          <w:trHeight w:val="315"/>
        </w:trPr>
        <w:tc>
          <w:tcPr>
            <w:tcW w:w="2500" w:type="pct"/>
            <w:noWrap/>
          </w:tcPr>
          <w:p w14:paraId="50EAE2E5" w14:textId="77777777" w:rsidR="009E04E6" w:rsidRDefault="00F76C8C">
            <w:pPr>
              <w:pStyle w:val="TableText"/>
            </w:pPr>
            <w:r>
              <w:t>Pacific blue shrimp</w:t>
            </w:r>
          </w:p>
        </w:tc>
        <w:tc>
          <w:tcPr>
            <w:tcW w:w="2500" w:type="pct"/>
            <w:noWrap/>
          </w:tcPr>
          <w:p w14:paraId="5E0F5DC1" w14:textId="77777777" w:rsidR="009E04E6" w:rsidRDefault="00F76C8C">
            <w:pPr>
              <w:pStyle w:val="TableText"/>
              <w:rPr>
                <w:rStyle w:val="Emphasis"/>
                <w:rFonts w:eastAsia="SimSun"/>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stylirostris</w:t>
            </w:r>
            <w:proofErr w:type="spellEnd"/>
          </w:p>
        </w:tc>
      </w:tr>
      <w:tr w:rsidR="009E04E6" w14:paraId="7FE781FE" w14:textId="77777777">
        <w:trPr>
          <w:cantSplit/>
          <w:trHeight w:val="315"/>
        </w:trPr>
        <w:tc>
          <w:tcPr>
            <w:tcW w:w="2500" w:type="pct"/>
            <w:noWrap/>
          </w:tcPr>
          <w:p w14:paraId="45852813" w14:textId="77777777" w:rsidR="009E04E6" w:rsidRDefault="00F76C8C">
            <w:pPr>
              <w:pStyle w:val="TableText"/>
            </w:pPr>
            <w:r>
              <w:t xml:space="preserve">Pacific white </w:t>
            </w:r>
            <w:proofErr w:type="spellStart"/>
            <w:r>
              <w:t>shrimp</w:t>
            </w:r>
            <w:r>
              <w:rPr>
                <w:vertAlign w:val="superscript"/>
              </w:rPr>
              <w:t>a</w:t>
            </w:r>
            <w:proofErr w:type="spellEnd"/>
          </w:p>
        </w:tc>
        <w:tc>
          <w:tcPr>
            <w:tcW w:w="2500" w:type="pct"/>
            <w:noWrap/>
          </w:tcPr>
          <w:p w14:paraId="205F37AC" w14:textId="77777777" w:rsidR="009E04E6" w:rsidRDefault="00F76C8C">
            <w:pPr>
              <w:pStyle w:val="TableText"/>
              <w:rPr>
                <w:rStyle w:val="Emphasis"/>
              </w:rPr>
            </w:pP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p>
        </w:tc>
      </w:tr>
      <w:tr w:rsidR="009E04E6" w14:paraId="55B337C3" w14:textId="77777777">
        <w:trPr>
          <w:cantSplit/>
          <w:trHeight w:val="315"/>
        </w:trPr>
        <w:tc>
          <w:tcPr>
            <w:tcW w:w="2500" w:type="pct"/>
            <w:noWrap/>
          </w:tcPr>
          <w:p w14:paraId="6F72FC89" w14:textId="77777777" w:rsidR="009E04E6" w:rsidRDefault="00F76C8C">
            <w:pPr>
              <w:pStyle w:val="TableText"/>
            </w:pPr>
            <w:r>
              <w:t>Southern brown shrimp</w:t>
            </w:r>
          </w:p>
        </w:tc>
        <w:tc>
          <w:tcPr>
            <w:tcW w:w="2500" w:type="pct"/>
            <w:noWrap/>
          </w:tcPr>
          <w:p w14:paraId="294EF900" w14:textId="77777777" w:rsidR="009E04E6" w:rsidRDefault="00F76C8C">
            <w:pPr>
              <w:pStyle w:val="TableText"/>
              <w:rPr>
                <w:rStyle w:val="Emphasis"/>
              </w:rPr>
            </w:pPr>
            <w:r>
              <w:rPr>
                <w:rStyle w:val="Emphasis"/>
              </w:rPr>
              <w:t>Penaeus (</w:t>
            </w:r>
            <w:proofErr w:type="spellStart"/>
            <w:r>
              <w:rPr>
                <w:rStyle w:val="Emphasis"/>
              </w:rPr>
              <w:t>Farfantepenaeus</w:t>
            </w:r>
            <w:proofErr w:type="spellEnd"/>
            <w:r>
              <w:rPr>
                <w:rStyle w:val="Emphasis"/>
              </w:rPr>
              <w:t>) subtilis</w:t>
            </w:r>
          </w:p>
        </w:tc>
      </w:tr>
    </w:tbl>
    <w:p w14:paraId="576F079C" w14:textId="77777777" w:rsidR="009E04E6" w:rsidRDefault="00F76C8C">
      <w:pPr>
        <w:pStyle w:val="FigureTableNoteSource"/>
      </w:pPr>
      <w:r>
        <w:rPr>
          <w:rStyle w:val="Strong"/>
        </w:rPr>
        <w:t>a</w:t>
      </w:r>
      <w:r>
        <w:t xml:space="preserve"> Naturally susceptible.</w:t>
      </w:r>
      <w:bookmarkStart w:id="0" w:name="_GoBack"/>
      <w:bookmarkEnd w:id="0"/>
    </w:p>
    <w:p w14:paraId="5983C85B" w14:textId="77777777" w:rsidR="009E04E6" w:rsidRDefault="00F76C8C">
      <w:pPr>
        <w:pStyle w:val="Heading2"/>
        <w:keepLines/>
      </w:pPr>
      <w:r>
        <w:lastRenderedPageBreak/>
        <w:t>Presence in Australia</w:t>
      </w:r>
    </w:p>
    <w:p w14:paraId="2FAA3F59" w14:textId="77777777" w:rsidR="009E04E6" w:rsidRDefault="00F76C8C">
      <w:pPr>
        <w:keepNext/>
        <w:keepLines/>
      </w:pPr>
      <w:r>
        <w:t>Exotic disease—not recorded in Australia.</w:t>
      </w:r>
    </w:p>
    <w:p w14:paraId="314D0F93" w14:textId="142E47D2" w:rsidR="009E04E6" w:rsidRDefault="00F76C8C">
      <w:pPr>
        <w:pStyle w:val="Caption"/>
      </w:pPr>
      <w:r>
        <w:t xml:space="preserve">Map </w:t>
      </w:r>
      <w:r>
        <w:rPr>
          <w:noProof/>
        </w:rPr>
        <w:fldChar w:fldCharType="begin"/>
      </w:r>
      <w:r>
        <w:rPr>
          <w:noProof/>
        </w:rPr>
        <w:instrText xml:space="preserve"> SEQ Map \* ARABIC </w:instrText>
      </w:r>
      <w:r>
        <w:rPr>
          <w:noProof/>
        </w:rPr>
        <w:fldChar w:fldCharType="separate"/>
      </w:r>
      <w:r w:rsidR="00814781">
        <w:rPr>
          <w:noProof/>
        </w:rPr>
        <w:t>1</w:t>
      </w:r>
      <w:r>
        <w:rPr>
          <w:noProof/>
        </w:rPr>
        <w:fldChar w:fldCharType="end"/>
      </w:r>
      <w:r>
        <w:t xml:space="preserve"> Presence of </w:t>
      </w:r>
      <w:r>
        <w:rPr>
          <w:szCs w:val="22"/>
        </w:rPr>
        <w:t>IMNV,</w:t>
      </w:r>
      <w:r>
        <w:t xml:space="preserve"> by jurisdiction</w:t>
      </w:r>
    </w:p>
    <w:p w14:paraId="745B56DC" w14:textId="77777777" w:rsidR="009E04E6" w:rsidRDefault="00F76C8C">
      <w:pPr>
        <w:tabs>
          <w:tab w:val="left" w:pos="4253"/>
        </w:tabs>
      </w:pPr>
      <w:r>
        <w:rPr>
          <w:noProof/>
          <w:lang w:eastAsia="en-AU"/>
        </w:rPr>
        <w:drawing>
          <wp:inline distT="0" distB="0" distL="0" distR="0" wp14:anchorId="7AB0DEC9" wp14:editId="6E5FC059">
            <wp:extent cx="4145621" cy="2952000"/>
            <wp:effectExtent l="0" t="0" r="0" b="127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tic  Enterocytozoon.png"/>
                    <pic:cNvPicPr/>
                  </pic:nvPicPr>
                  <pic:blipFill>
                    <a:blip r:embed="rId13" cstate="print">
                      <a:extLst>
                        <a:ext uri="{28A0092B-C50C-407E-A947-70E740481C1C}">
                          <a14:useLocalDpi xmlns:a14="http://schemas.microsoft.com/office/drawing/2010/main"/>
                        </a:ext>
                      </a:extLst>
                    </a:blip>
                    <a:stretch>
                      <a:fillRect/>
                    </a:stretch>
                  </pic:blipFill>
                  <pic:spPr>
                    <a:xfrm>
                      <a:off x="0" y="0"/>
                      <a:ext cx="4145621" cy="2952000"/>
                    </a:xfrm>
                    <a:prstGeom prst="rect">
                      <a:avLst/>
                    </a:prstGeom>
                  </pic:spPr>
                </pic:pic>
              </a:graphicData>
            </a:graphic>
          </wp:inline>
        </w:drawing>
      </w:r>
    </w:p>
    <w:p w14:paraId="6F203BAB" w14:textId="77777777" w:rsidR="009E04E6" w:rsidRDefault="00F76C8C">
      <w:pPr>
        <w:pStyle w:val="Heading2"/>
      </w:pPr>
      <w:r>
        <w:t>Epidemiology</w:t>
      </w:r>
    </w:p>
    <w:p w14:paraId="429DF1CD" w14:textId="0507AD48" w:rsidR="009E04E6" w:rsidRDefault="00F76C8C">
      <w:pPr>
        <w:pStyle w:val="ListBullet"/>
      </w:pPr>
      <w:r>
        <w:t xml:space="preserve">IMNV was originally identified in </w:t>
      </w:r>
      <w:proofErr w:type="spellStart"/>
      <w:r>
        <w:t>northeastern</w:t>
      </w:r>
      <w:proofErr w:type="spellEnd"/>
      <w:r>
        <w:t xml:space="preserve"> Brazil in cultured</w:t>
      </w:r>
      <w:r w:rsidR="003A117A">
        <w:t xml:space="preserve">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 The virus has since been reported in South-East Asia, including Indonesia, India and Sri Lanka.</w:t>
      </w:r>
    </w:p>
    <w:p w14:paraId="405227DB" w14:textId="128F464D" w:rsidR="009E04E6" w:rsidRDefault="00F76C8C">
      <w:pPr>
        <w:pStyle w:val="ListBullet"/>
      </w:pPr>
      <w:r>
        <w:t>Clinical signs may have sudden onset following stressful events (such as capture by net, reduced feeding or sudden changes in temperature or salinity).</w:t>
      </w:r>
    </w:p>
    <w:p w14:paraId="2ACFC2FE" w14:textId="77777777" w:rsidR="009E04E6" w:rsidRDefault="00F76C8C">
      <w:pPr>
        <w:pStyle w:val="ListBullet"/>
      </w:pPr>
      <w:r>
        <w:t>Affected life stages include juveniles and subadults. Significant mortalities occur in juvenile and subadult pond-reared populations.</w:t>
      </w:r>
    </w:p>
    <w:p w14:paraId="7F785A38" w14:textId="1D88B2B8" w:rsidR="009E04E6" w:rsidRDefault="00F76C8C">
      <w:pPr>
        <w:pStyle w:val="ListBullet"/>
      </w:pPr>
      <w:r>
        <w:t>Horizontal transmission has been demonstrated via cannibalism. Vertical transmission (direct passage from parents to offspring via eggs or sperm) is likely but not confirmed.</w:t>
      </w:r>
    </w:p>
    <w:p w14:paraId="472A0F47" w14:textId="77777777" w:rsidR="009E04E6" w:rsidRDefault="00F76C8C">
      <w:pPr>
        <w:pStyle w:val="Heading2"/>
      </w:pPr>
      <w:r>
        <w:t>Differential diagnosis</w:t>
      </w:r>
    </w:p>
    <w:p w14:paraId="0E513D25" w14:textId="10855882" w:rsidR="009E04E6" w:rsidRDefault="00F76C8C">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2D0723" w:rsidRPr="002D0723">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5DA37C72" w14:textId="2CB52761" w:rsidR="009E04E6" w:rsidRDefault="00F76C8C">
      <w:r>
        <w:t>The clinical signs described and shown here may also be symptomatic of other bacterial or viral infections or poor water quality. Further laboratory examination is needed for a definitive diagnosis.</w:t>
      </w:r>
    </w:p>
    <w:p w14:paraId="63EA109B" w14:textId="77777777" w:rsidR="009E04E6" w:rsidRDefault="00F76C8C">
      <w:pPr>
        <w:pStyle w:val="Heading2"/>
      </w:pPr>
      <w:bookmarkStart w:id="1" w:name="_Similar_diseases"/>
      <w:bookmarkEnd w:id="1"/>
      <w:r>
        <w:t>Similar diseases</w:t>
      </w:r>
    </w:p>
    <w:p w14:paraId="258BF96E" w14:textId="722923EF" w:rsidR="009E04E6" w:rsidRDefault="00F76C8C">
      <w:r>
        <w:t xml:space="preserve">Infection with </w:t>
      </w:r>
      <w:proofErr w:type="spellStart"/>
      <w:r>
        <w:rPr>
          <w:rStyle w:val="Emphasis"/>
        </w:rPr>
        <w:t>Macrobrachium</w:t>
      </w:r>
      <w:proofErr w:type="spellEnd"/>
      <w:r>
        <w:rPr>
          <w:rStyle w:val="Emphasis"/>
        </w:rPr>
        <w:t xml:space="preserve"> </w:t>
      </w:r>
      <w:proofErr w:type="spellStart"/>
      <w:r>
        <w:rPr>
          <w:rStyle w:val="Emphasis"/>
        </w:rPr>
        <w:t>rosenbergii</w:t>
      </w:r>
      <w:proofErr w:type="spellEnd"/>
      <w:r>
        <w:t xml:space="preserve"> </w:t>
      </w:r>
      <w:proofErr w:type="spellStart"/>
      <w:r>
        <w:t>nodavirus</w:t>
      </w:r>
      <w:proofErr w:type="spellEnd"/>
      <w:r w:rsidR="005E167B">
        <w:t xml:space="preserve"> (</w:t>
      </w:r>
      <w:proofErr w:type="spellStart"/>
      <w:r w:rsidR="005E167B">
        <w:t>MrNV</w:t>
      </w:r>
      <w:proofErr w:type="spellEnd"/>
      <w:r w:rsidR="005E167B">
        <w:t>)</w:t>
      </w:r>
      <w:r>
        <w:t xml:space="preserve"> and infection with shrimp haemocyte iridescent virus</w:t>
      </w:r>
      <w:r w:rsidR="005E167B">
        <w:t xml:space="preserve"> (SHIV)</w:t>
      </w:r>
      <w:r>
        <w:t>.</w:t>
      </w:r>
    </w:p>
    <w:p w14:paraId="05ECB2C0" w14:textId="77777777" w:rsidR="009E04E6" w:rsidRDefault="00F76C8C">
      <w:pPr>
        <w:pStyle w:val="Heading2"/>
      </w:pPr>
      <w:r>
        <w:lastRenderedPageBreak/>
        <w:t>Sample collection</w:t>
      </w:r>
    </w:p>
    <w:p w14:paraId="582159ED" w14:textId="77777777" w:rsidR="009E04E6" w:rsidRDefault="003A117A">
      <w:r w:rsidRPr="003A117A">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1283C885" w14:textId="77777777" w:rsidR="009E04E6" w:rsidRDefault="00F76C8C">
      <w:pPr>
        <w:pStyle w:val="Heading2"/>
      </w:pPr>
      <w:r>
        <w:t>Emergency disease hotline</w:t>
      </w:r>
    </w:p>
    <w:p w14:paraId="64B04D9D" w14:textId="77777777" w:rsidR="009E04E6" w:rsidRDefault="00F76C8C">
      <w:r>
        <w:t>See something you think is this disease? Report it. Even if you’re not sure.</w:t>
      </w:r>
    </w:p>
    <w:p w14:paraId="5A9E5BD2" w14:textId="594F9FFD" w:rsidR="009E04E6" w:rsidRDefault="00F76C8C">
      <w:r>
        <w:t xml:space="preserve">Call the Emergency Animal Disease Watch Hotline on </w:t>
      </w:r>
      <w:r w:rsidR="006E2961">
        <w:rPr>
          <w:rStyle w:val="Strong"/>
        </w:rPr>
        <w:t>1800 675 888</w:t>
      </w:r>
      <w:r>
        <w:t>. They will refer you to the right state or territory agency.</w:t>
      </w:r>
    </w:p>
    <w:p w14:paraId="1FAC32FA" w14:textId="50A20E75" w:rsidR="009E04E6" w:rsidRDefault="00F76C8C">
      <w:pPr>
        <w:pStyle w:val="Heading2"/>
        <w:keepLines/>
      </w:pPr>
      <w:r>
        <w:t>Microscope images</w:t>
      </w:r>
    </w:p>
    <w:p w14:paraId="2C2C67EE" w14:textId="3D86F7F0" w:rsidR="009E04E6" w:rsidRDefault="00F76C8C">
      <w:pPr>
        <w:pStyle w:val="Caption"/>
        <w:keepLines/>
      </w:pPr>
      <w:bookmarkStart w:id="2" w:name="_Ref9244939"/>
      <w:r>
        <w:t xml:space="preserve">Figure </w:t>
      </w:r>
      <w:r>
        <w:fldChar w:fldCharType="begin"/>
      </w:r>
      <w:r>
        <w:rPr>
          <w:noProof/>
        </w:rPr>
        <w:instrText xml:space="preserve"> SEQ Figure \* ARABIC </w:instrText>
      </w:r>
      <w:r>
        <w:fldChar w:fldCharType="separate"/>
      </w:r>
      <w:r w:rsidR="00814781">
        <w:rPr>
          <w:noProof/>
        </w:rPr>
        <w:t>3</w:t>
      </w:r>
      <w:r>
        <w:fldChar w:fldCharType="end"/>
      </w:r>
      <w:bookmarkEnd w:id="2"/>
      <w:r>
        <w:t xml:space="preserve"> </w:t>
      </w:r>
      <w:r w:rsidR="00F71236">
        <w:t xml:space="preserve">Skeletal muscle of </w:t>
      </w:r>
      <w:r>
        <w:t>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w:t>
      </w:r>
      <w:r w:rsidR="00A851C9">
        <w:t xml:space="preserve"> infected with </w:t>
      </w:r>
      <w:r w:rsidR="00F71236">
        <w:t>IMNV</w:t>
      </w:r>
    </w:p>
    <w:p w14:paraId="3E9BD766" w14:textId="77777777" w:rsidR="009E04E6" w:rsidRDefault="00F76C8C">
      <w:pPr>
        <w:keepNext/>
        <w:keepLines/>
      </w:pPr>
      <w:r>
        <w:rPr>
          <w:noProof/>
          <w:lang w:eastAsia="en-AU"/>
        </w:rPr>
        <w:drawing>
          <wp:inline distT="0" distB="0" distL="0" distR="0" wp14:anchorId="6A6315EF" wp14:editId="11461642">
            <wp:extent cx="3960000" cy="3034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NVLightner3.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960000" cy="3034800"/>
                    </a:xfrm>
                    <a:prstGeom prst="rect">
                      <a:avLst/>
                    </a:prstGeom>
                    <a:ln>
                      <a:noFill/>
                    </a:ln>
                    <a:extLst>
                      <a:ext uri="{53640926-AAD7-44D8-BBD7-CCE9431645EC}">
                        <a14:shadowObscured xmlns:a14="http://schemas.microsoft.com/office/drawing/2010/main"/>
                      </a:ext>
                    </a:extLst>
                  </pic:spPr>
                </pic:pic>
              </a:graphicData>
            </a:graphic>
          </wp:inline>
        </w:drawing>
      </w:r>
    </w:p>
    <w:p w14:paraId="7BA337E5" w14:textId="7CE8CF3C" w:rsidR="009E04E6" w:rsidRDefault="00F76C8C">
      <w:pPr>
        <w:pStyle w:val="FigureTableNoteSource"/>
      </w:pPr>
      <w:r>
        <w:t xml:space="preserve">Note: Coagulative necrosis of skeletal muscle accompanied by </w:t>
      </w:r>
      <w:proofErr w:type="spellStart"/>
      <w:r>
        <w:t>haemocytic</w:t>
      </w:r>
      <w:proofErr w:type="spellEnd"/>
      <w:r>
        <w:t xml:space="preserve"> infiltration and fibrosis. Normal skeletal muscle can be observed in the upper right corner. </w:t>
      </w:r>
      <w:r w:rsidR="00F71236">
        <w:t>H</w:t>
      </w:r>
      <w:r>
        <w:t>aematoxylin and eosin stain Scale bar = 50μm.</w:t>
      </w:r>
    </w:p>
    <w:p w14:paraId="3FA45636" w14:textId="77777777" w:rsidR="009E04E6" w:rsidRDefault="00F76C8C">
      <w:pPr>
        <w:pStyle w:val="FigureTableNoteSource"/>
      </w:pPr>
      <w:r>
        <w:t>Source: DV Lightner</w:t>
      </w:r>
    </w:p>
    <w:p w14:paraId="1E8C1F93" w14:textId="761917B7" w:rsidR="009E04E6" w:rsidRDefault="00F76C8C">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814781">
        <w:rPr>
          <w:noProof/>
        </w:rPr>
        <w:t>4</w:t>
      </w:r>
      <w:r>
        <w:rPr>
          <w:noProof/>
        </w:rPr>
        <w:fldChar w:fldCharType="end"/>
      </w:r>
      <w:r>
        <w:t xml:space="preserve"> </w:t>
      </w:r>
      <w:r w:rsidR="00F71236">
        <w:t>Muscle cells of</w:t>
      </w:r>
      <w:r>
        <w:t xml:space="preserve"> Pacific white shrimp (</w:t>
      </w:r>
      <w:r>
        <w:rPr>
          <w:rStyle w:val="Emphasis"/>
        </w:rPr>
        <w:t>Penaeus (</w:t>
      </w:r>
      <w:proofErr w:type="spellStart"/>
      <w:r>
        <w:rPr>
          <w:rStyle w:val="Emphasis"/>
        </w:rPr>
        <w:t>Litopenaeus</w:t>
      </w:r>
      <w:proofErr w:type="spellEnd"/>
      <w:r>
        <w:rPr>
          <w:rStyle w:val="Emphasis"/>
        </w:rPr>
        <w:t xml:space="preserve">) </w:t>
      </w:r>
      <w:proofErr w:type="spellStart"/>
      <w:r>
        <w:rPr>
          <w:rStyle w:val="Emphasis"/>
        </w:rPr>
        <w:t>vannamei</w:t>
      </w:r>
      <w:proofErr w:type="spellEnd"/>
      <w:r>
        <w:t>)</w:t>
      </w:r>
      <w:r w:rsidR="00F71236">
        <w:t xml:space="preserve"> infected with IMNV</w:t>
      </w:r>
    </w:p>
    <w:p w14:paraId="00A40899" w14:textId="77777777" w:rsidR="009E04E6" w:rsidRDefault="00F76C8C">
      <w:r>
        <w:rPr>
          <w:noProof/>
          <w:lang w:eastAsia="en-AU"/>
        </w:rPr>
        <w:drawing>
          <wp:inline distT="0" distB="0" distL="0" distR="0" wp14:anchorId="104AF430" wp14:editId="2B8003E8">
            <wp:extent cx="3960000" cy="3290400"/>
            <wp:effectExtent l="0" t="0" r="2540" b="571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NVLightner4.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60000" cy="3290400"/>
                    </a:xfrm>
                    <a:prstGeom prst="rect">
                      <a:avLst/>
                    </a:prstGeom>
                    <a:ln>
                      <a:noFill/>
                    </a:ln>
                    <a:extLst>
                      <a:ext uri="{53640926-AAD7-44D8-BBD7-CCE9431645EC}">
                        <a14:shadowObscured xmlns:a14="http://schemas.microsoft.com/office/drawing/2010/main"/>
                      </a:ext>
                    </a:extLst>
                  </pic:spPr>
                </pic:pic>
              </a:graphicData>
            </a:graphic>
          </wp:inline>
        </w:drawing>
      </w:r>
    </w:p>
    <w:p w14:paraId="2FEA7FEB" w14:textId="75E6E50C" w:rsidR="009E04E6" w:rsidRDefault="00F76C8C">
      <w:pPr>
        <w:pStyle w:val="FigureTableNoteSource"/>
      </w:pPr>
      <w:r>
        <w:t xml:space="preserve">Note: </w:t>
      </w:r>
      <w:r w:rsidRPr="00F76C8C">
        <w:t>Perinuclear pale basophilic to dark basophilic inclusion bodies in</w:t>
      </w:r>
      <w:r>
        <w:t xml:space="preserve"> a</w:t>
      </w:r>
      <w:r w:rsidRPr="00F76C8C">
        <w:t xml:space="preserve"> group of muscle cells (</w:t>
      </w:r>
      <w:r>
        <w:t>a</w:t>
      </w:r>
      <w:r w:rsidRPr="00F76C8C">
        <w:t>).</w:t>
      </w:r>
      <w:r>
        <w:t>Haematoxylin and eosin stain. Scale bar = 20μm</w:t>
      </w:r>
      <w:r w:rsidR="00C41FAC">
        <w:t>.</w:t>
      </w:r>
    </w:p>
    <w:p w14:paraId="523A25E6" w14:textId="77777777" w:rsidR="009E04E6" w:rsidRDefault="00F76C8C">
      <w:pPr>
        <w:pStyle w:val="FigureTableNoteSource"/>
      </w:pPr>
      <w:r>
        <w:t>Source: DV Lightner</w:t>
      </w:r>
    </w:p>
    <w:p w14:paraId="1BCCD17F" w14:textId="340EE264" w:rsidR="009E04E6" w:rsidRDefault="00F76C8C">
      <w:pPr>
        <w:pStyle w:val="Caption"/>
      </w:pPr>
      <w:r>
        <w:t xml:space="preserve">Figure </w:t>
      </w:r>
      <w:r>
        <w:rPr>
          <w:noProof/>
        </w:rPr>
        <w:fldChar w:fldCharType="begin"/>
      </w:r>
      <w:r>
        <w:rPr>
          <w:noProof/>
        </w:rPr>
        <w:instrText xml:space="preserve"> SEQ Figure \* ARABIC </w:instrText>
      </w:r>
      <w:r>
        <w:rPr>
          <w:noProof/>
        </w:rPr>
        <w:fldChar w:fldCharType="separate"/>
      </w:r>
      <w:r w:rsidR="00814781">
        <w:rPr>
          <w:noProof/>
        </w:rPr>
        <w:t>5</w:t>
      </w:r>
      <w:r>
        <w:rPr>
          <w:noProof/>
        </w:rPr>
        <w:fldChar w:fldCharType="end"/>
      </w:r>
      <w:r>
        <w:t xml:space="preserve"> In situ hybridisation of skeletal muscle tissue using a digoxigenin-labelled IMNV probe</w:t>
      </w:r>
    </w:p>
    <w:p w14:paraId="1B8DA458" w14:textId="77777777" w:rsidR="009E04E6" w:rsidRDefault="00F76C8C">
      <w:r>
        <w:rPr>
          <w:noProof/>
          <w:lang w:eastAsia="en-AU"/>
        </w:rPr>
        <w:drawing>
          <wp:inline distT="0" distB="0" distL="0" distR="0" wp14:anchorId="1536288A" wp14:editId="65928CD7">
            <wp:extent cx="3960000" cy="3038400"/>
            <wp:effectExtent l="0" t="0" r="254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NVLightner5.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960000" cy="3038400"/>
                    </a:xfrm>
                    <a:prstGeom prst="rect">
                      <a:avLst/>
                    </a:prstGeom>
                    <a:ln>
                      <a:noFill/>
                    </a:ln>
                    <a:extLst>
                      <a:ext uri="{53640926-AAD7-44D8-BBD7-CCE9431645EC}">
                        <a14:shadowObscured xmlns:a14="http://schemas.microsoft.com/office/drawing/2010/main"/>
                      </a:ext>
                    </a:extLst>
                  </pic:spPr>
                </pic:pic>
              </a:graphicData>
            </a:graphic>
          </wp:inline>
        </w:drawing>
      </w:r>
    </w:p>
    <w:p w14:paraId="23E68815" w14:textId="141FA311" w:rsidR="009E04E6" w:rsidRDefault="00F76C8C">
      <w:pPr>
        <w:pStyle w:val="FigureTableNoteSource"/>
      </w:pPr>
      <w:r>
        <w:t>Note: Black precipitate is present in areas where probe has hybridised with target virus. Bismarck brown counterstain. Scale bar = 50μm</w:t>
      </w:r>
      <w:r w:rsidR="00C41FAC">
        <w:t>.</w:t>
      </w:r>
    </w:p>
    <w:p w14:paraId="5DFF4560" w14:textId="77777777" w:rsidR="009E04E6" w:rsidRDefault="00F76C8C">
      <w:pPr>
        <w:pStyle w:val="FigureTableNoteSource"/>
      </w:pPr>
      <w:r>
        <w:t>Source: DV Lightner</w:t>
      </w:r>
    </w:p>
    <w:p w14:paraId="2515531C" w14:textId="77777777" w:rsidR="009E04E6" w:rsidRDefault="00F76C8C" w:rsidP="001346E1">
      <w:pPr>
        <w:pStyle w:val="Heading2"/>
        <w:pageBreakBefore/>
        <w:rPr>
          <w:rFonts w:ascii="Cambria" w:eastAsiaTheme="minorHAnsi" w:hAnsi="Cambria"/>
          <w:b w:val="0"/>
          <w:bCs w:val="0"/>
          <w:color w:val="auto"/>
          <w:sz w:val="22"/>
          <w:szCs w:val="22"/>
          <w:lang w:eastAsia="en-US"/>
        </w:rPr>
      </w:pPr>
      <w:r>
        <w:lastRenderedPageBreak/>
        <w:t>Further reading</w:t>
      </w:r>
    </w:p>
    <w:p w14:paraId="3E222DD7" w14:textId="77777777" w:rsidR="009E04E6" w:rsidRDefault="00F76C8C">
      <w:pPr>
        <w:tabs>
          <w:tab w:val="left" w:pos="7530"/>
        </w:tabs>
      </w:pPr>
      <w:r>
        <w:t xml:space="preserve">CABI Invasive Species Compendium </w:t>
      </w:r>
      <w:hyperlink r:id="rId17" w:history="1">
        <w:r>
          <w:rPr>
            <w:rStyle w:val="Hyperlink"/>
          </w:rPr>
          <w:t>Infectious myonecrosis</w:t>
        </w:r>
      </w:hyperlink>
    </w:p>
    <w:p w14:paraId="404574AF" w14:textId="77777777" w:rsidR="009E04E6" w:rsidRDefault="00F76C8C">
      <w:pPr>
        <w:tabs>
          <w:tab w:val="left" w:pos="7530"/>
        </w:tabs>
      </w:pPr>
      <w:r>
        <w:t xml:space="preserve">CEFAS International Database on Aquatic Animal Diseases </w:t>
      </w:r>
      <w:hyperlink r:id="rId18" w:history="1">
        <w:r>
          <w:rPr>
            <w:rStyle w:val="Hyperlink"/>
          </w:rPr>
          <w:t>Infectious myonecrosis</w:t>
        </w:r>
      </w:hyperlink>
    </w:p>
    <w:p w14:paraId="439A46C6" w14:textId="2AEB9407" w:rsidR="009E04E6" w:rsidRDefault="00F76C8C">
      <w:pPr>
        <w:tabs>
          <w:tab w:val="left" w:pos="7530"/>
        </w:tabs>
      </w:pPr>
      <w:r>
        <w:t xml:space="preserve">World Organisation for Animal Health </w:t>
      </w:r>
      <w:hyperlink r:id="rId19" w:history="1">
        <w:r>
          <w:rPr>
            <w:rStyle w:val="Hyperlink"/>
            <w:rFonts w:ascii="Calibri" w:hAnsi="Calibri" w:cs="Arial"/>
          </w:rPr>
          <w:t>Manual of diagnostic tests for aquatic animals</w:t>
        </w:r>
      </w:hyperlink>
    </w:p>
    <w:p w14:paraId="1099F4AC" w14:textId="77777777" w:rsidR="009E04E6" w:rsidRDefault="00F76C8C">
      <w:pPr>
        <w:tabs>
          <w:tab w:val="left" w:pos="7530"/>
        </w:tabs>
      </w:pPr>
      <w:r>
        <w:t>These hyperlinks were correct at the time of publication.</w:t>
      </w:r>
    </w:p>
    <w:p w14:paraId="7D4C1CAF" w14:textId="77777777" w:rsidR="009E04E6" w:rsidRDefault="00F76C8C">
      <w:pPr>
        <w:pStyle w:val="Heading2"/>
        <w:ind w:left="0" w:firstLine="0"/>
      </w:pPr>
      <w:r>
        <w:t>Contact details</w:t>
      </w:r>
    </w:p>
    <w:p w14:paraId="6BF55A3C" w14:textId="77777777" w:rsidR="009E04E6" w:rsidRDefault="00F76C8C">
      <w:pPr>
        <w:spacing w:after="0"/>
      </w:pPr>
      <w:r>
        <w:t>Emergency Animal Disease Watch Hotline 1800 675 888</w:t>
      </w:r>
    </w:p>
    <w:p w14:paraId="3E93A8F5" w14:textId="77777777" w:rsidR="009E04E6" w:rsidRDefault="00F76C8C">
      <w:r>
        <w:t xml:space="preserve">Email </w:t>
      </w:r>
      <w:hyperlink r:id="rId20" w:history="1">
        <w:r>
          <w:rPr>
            <w:rStyle w:val="Hyperlink"/>
          </w:rPr>
          <w:t>AAH@agriculture.gov.au</w:t>
        </w:r>
      </w:hyperlink>
      <w:r>
        <w:cr/>
        <w:t xml:space="preserve">Website </w:t>
      </w:r>
      <w:hyperlink r:id="rId21" w:history="1">
        <w:r>
          <w:rPr>
            <w:rStyle w:val="Hyperlink"/>
          </w:rPr>
          <w:t>agriculture.gov.au/pests-diseases-weeds/aquatic</w:t>
        </w:r>
      </w:hyperlink>
    </w:p>
    <w:p w14:paraId="41C58DE7" w14:textId="0E9527BB" w:rsidR="009E04E6" w:rsidRDefault="00F76C8C">
      <w:pPr>
        <w:pStyle w:val="Normalsmall"/>
      </w:pPr>
      <w:r>
        <w:t>© Commonwealth of Australia 20</w:t>
      </w:r>
      <w:r w:rsidR="0024636F">
        <w:t>20</w:t>
      </w:r>
    </w:p>
    <w:p w14:paraId="52E1BB05" w14:textId="77777777" w:rsidR="009E04E6" w:rsidRDefault="00F76C8C">
      <w:pPr>
        <w:pStyle w:val="Normalsmall"/>
      </w:pPr>
      <w:r>
        <w:t>This work is copyright. It may be reproduced in whole or in part subject to the inclusion of an acknowledgement of the source and no commercial usage or sale.</w:t>
      </w:r>
    </w:p>
    <w:sectPr w:rsidR="009E04E6">
      <w:headerReference w:type="default" r:id="rId22"/>
      <w:footerReference w:type="default" r:id="rId23"/>
      <w:headerReference w:type="first" r:id="rId2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61C24" w14:textId="77777777" w:rsidR="009E04E6" w:rsidRDefault="00F76C8C">
      <w:r>
        <w:separator/>
      </w:r>
    </w:p>
    <w:p w14:paraId="16D2471B" w14:textId="77777777" w:rsidR="009E04E6" w:rsidRDefault="009E04E6"/>
    <w:p w14:paraId="1BFE88DD" w14:textId="77777777" w:rsidR="009E04E6" w:rsidRDefault="009E04E6"/>
  </w:endnote>
  <w:endnote w:type="continuationSeparator" w:id="0">
    <w:p w14:paraId="28BD656B" w14:textId="77777777" w:rsidR="009E04E6" w:rsidRDefault="00F76C8C">
      <w:r>
        <w:continuationSeparator/>
      </w:r>
    </w:p>
    <w:p w14:paraId="04E88165" w14:textId="77777777" w:rsidR="009E04E6" w:rsidRDefault="009E04E6"/>
    <w:p w14:paraId="66B8AE68" w14:textId="77777777" w:rsidR="009E04E6" w:rsidRDefault="009E04E6"/>
  </w:endnote>
  <w:endnote w:type="continuationNotice" w:id="1">
    <w:p w14:paraId="02BDB49F" w14:textId="77777777" w:rsidR="009E04E6" w:rsidRDefault="009E04E6">
      <w:pPr>
        <w:pStyle w:val="Footer"/>
      </w:pPr>
    </w:p>
    <w:p w14:paraId="42C6DE80" w14:textId="77777777" w:rsidR="009E04E6" w:rsidRDefault="009E04E6"/>
    <w:p w14:paraId="6252AAD1" w14:textId="77777777" w:rsidR="009E04E6" w:rsidRDefault="009E0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648A3" w14:textId="3A917208" w:rsidR="009E04E6" w:rsidRDefault="0024636F">
    <w:pPr>
      <w:pStyle w:val="Footer"/>
    </w:pPr>
    <w:r>
      <w:t>Department of Agriculture, Water and the Environment</w:t>
    </w:r>
  </w:p>
  <w:p w14:paraId="5A2D3D3A" w14:textId="77777777" w:rsidR="009E04E6" w:rsidRDefault="00F76C8C">
    <w:pPr>
      <w:pStyle w:val="Footer"/>
    </w:pPr>
    <w:r>
      <w:fldChar w:fldCharType="begin"/>
    </w:r>
    <w:r>
      <w:instrText xml:space="preserve"> PAGE   \* MERGEFORMAT </w:instrText>
    </w:r>
    <w:r>
      <w:fldChar w:fldCharType="separate"/>
    </w:r>
    <w:r w:rsidR="00C307D0">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92672" w14:textId="77777777" w:rsidR="009E04E6" w:rsidRDefault="00F76C8C">
      <w:r>
        <w:separator/>
      </w:r>
    </w:p>
    <w:p w14:paraId="6E74C6FE" w14:textId="77777777" w:rsidR="009E04E6" w:rsidRDefault="009E04E6"/>
    <w:p w14:paraId="1102E77A" w14:textId="77777777" w:rsidR="009E04E6" w:rsidRDefault="009E04E6"/>
  </w:footnote>
  <w:footnote w:type="continuationSeparator" w:id="0">
    <w:p w14:paraId="67A3703A" w14:textId="77777777" w:rsidR="009E04E6" w:rsidRDefault="00F76C8C">
      <w:r>
        <w:continuationSeparator/>
      </w:r>
    </w:p>
    <w:p w14:paraId="041555BD" w14:textId="77777777" w:rsidR="009E04E6" w:rsidRDefault="009E04E6"/>
    <w:p w14:paraId="4186E005" w14:textId="77777777" w:rsidR="009E04E6" w:rsidRDefault="009E04E6"/>
  </w:footnote>
  <w:footnote w:type="continuationNotice" w:id="1">
    <w:p w14:paraId="176092BE" w14:textId="77777777" w:rsidR="009E04E6" w:rsidRDefault="009E04E6">
      <w:pPr>
        <w:pStyle w:val="Footer"/>
      </w:pPr>
    </w:p>
    <w:p w14:paraId="6EEA542B" w14:textId="77777777" w:rsidR="009E04E6" w:rsidRDefault="009E04E6"/>
    <w:p w14:paraId="2EABEAF6" w14:textId="77777777" w:rsidR="009E04E6" w:rsidRDefault="009E0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3B19F" w14:textId="77777777" w:rsidR="009E04E6" w:rsidRDefault="00F76C8C">
    <w:pPr>
      <w:pStyle w:val="Header"/>
    </w:pPr>
    <w:r>
      <w:t>Infection with infectious myonecrosis virus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0393" w14:textId="77777777" w:rsidR="009E04E6" w:rsidRDefault="00F76C8C">
    <w:pPr>
      <w:pStyle w:val="Header"/>
      <w:jc w:val="left"/>
    </w:pPr>
    <w:r>
      <w:rPr>
        <w:noProof/>
        <w:lang w:eastAsia="en-AU"/>
      </w:rPr>
      <w:drawing>
        <wp:anchor distT="0" distB="0" distL="114300" distR="114300" simplePos="0" relativeHeight="251659264" behindDoc="1" locked="0" layoutInCell="1" allowOverlap="1" wp14:anchorId="2EDA402F" wp14:editId="176C720A">
          <wp:simplePos x="0" y="0"/>
          <wp:positionH relativeFrom="page">
            <wp:align>left</wp:align>
          </wp:positionH>
          <wp:positionV relativeFrom="paragraph">
            <wp:posOffset>-344697</wp:posOffset>
          </wp:positionV>
          <wp:extent cx="7579637" cy="162391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637" cy="1623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4E6"/>
    <w:rsid w:val="00094455"/>
    <w:rsid w:val="00110A34"/>
    <w:rsid w:val="001346E1"/>
    <w:rsid w:val="0024636F"/>
    <w:rsid w:val="002D0723"/>
    <w:rsid w:val="00320BC8"/>
    <w:rsid w:val="00353F65"/>
    <w:rsid w:val="003A117A"/>
    <w:rsid w:val="00421355"/>
    <w:rsid w:val="005174A3"/>
    <w:rsid w:val="005E167B"/>
    <w:rsid w:val="006E2961"/>
    <w:rsid w:val="00785CD7"/>
    <w:rsid w:val="00814781"/>
    <w:rsid w:val="009768FB"/>
    <w:rsid w:val="009E04E6"/>
    <w:rsid w:val="00A851C9"/>
    <w:rsid w:val="00C307D0"/>
    <w:rsid w:val="00C41FAC"/>
    <w:rsid w:val="00C62C2E"/>
    <w:rsid w:val="00F71236"/>
    <w:rsid w:val="00F76C8C"/>
    <w:rsid w:val="00FA74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CAF8C59"/>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514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8309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88207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0131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6499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2569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efas.co.uk/international-database-on-aquatic-animal-diseases/disease-data/?id=7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pests-diseases-weeds/aquatic"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abi.org/ISC/datasheet/121667"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AAH@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oie.int/en/international-standard-setting/aquatic-manual/access-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www.w3.org/XML/1998/namespace"/>
    <ds:schemaRef ds:uri="http://purl.org/dc/dcmitype/"/>
  </ds:schemaRefs>
</ds:datastoreItem>
</file>

<file path=customXml/itemProps4.xml><?xml version="1.0" encoding="utf-8"?>
<ds:datastoreItem xmlns:ds="http://schemas.openxmlformats.org/officeDocument/2006/customXml" ds:itemID="{BA674EE1-BBD3-4821-ABF6-A9559125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11</TotalTime>
  <Pages>6</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Infection with infectious myonecrosis virus (IMNV)</vt:lpstr>
    </vt:vector>
  </TitlesOfParts>
  <Company>Department of Agriculture Fisheries &amp; Forestry</Company>
  <LinksUpToDate>false</LinksUpToDate>
  <CharactersWithSpaces>6705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infectious myonecrosis virus (IMNV)</dc:title>
  <dc:creator>Department of Agriculture</dc:creator>
  <cp:lastModifiedBy>Caldwell, Louise</cp:lastModifiedBy>
  <cp:revision>12</cp:revision>
  <cp:lastPrinted>2020-03-13T01:10:00Z</cp:lastPrinted>
  <dcterms:created xsi:type="dcterms:W3CDTF">2019-09-05T06:00:00Z</dcterms:created>
  <dcterms:modified xsi:type="dcterms:W3CDTF">2020-03-13T01:13:00Z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