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9FB4" w14:textId="7E218A69" w:rsidR="00ED0614" w:rsidRPr="006208AC" w:rsidRDefault="00FA58FC">
      <w:pPr>
        <w:pStyle w:val="Heading1"/>
      </w:pPr>
      <w:r w:rsidRPr="00FA58FC">
        <w:t xml:space="preserve">Infection with </w:t>
      </w:r>
      <w:r w:rsidR="00C87D4C">
        <w:t>HPR</w:t>
      </w:r>
      <w:r w:rsidR="00C87D4C">
        <w:noBreakHyphen/>
      </w:r>
      <w:r w:rsidRPr="00FA58FC">
        <w:t>deleted or HPR0 infectious</w:t>
      </w:r>
      <w:r w:rsidR="00C0247F">
        <w:t> </w:t>
      </w:r>
      <w:r w:rsidRPr="00FA58FC">
        <w:t>salmon anaemia virus</w:t>
      </w:r>
      <w:r w:rsidR="006B048B">
        <w:t xml:space="preserve"> (ISAV)</w:t>
      </w:r>
    </w:p>
    <w:p w14:paraId="6B762390" w14:textId="756EB14F" w:rsidR="00162F1F" w:rsidRPr="007D5853" w:rsidRDefault="00162F1F" w:rsidP="00162F1F">
      <w:pPr>
        <w:pStyle w:val="Subtitle"/>
        <w:rPr>
          <w:sz w:val="24"/>
          <w:szCs w:val="24"/>
        </w:rPr>
      </w:pPr>
      <w:r w:rsidRPr="007D5853">
        <w:rPr>
          <w:sz w:val="24"/>
          <w:szCs w:val="24"/>
        </w:rPr>
        <w:t xml:space="preserve">Also known as </w:t>
      </w:r>
      <w:r w:rsidR="00BF271F" w:rsidRPr="00BF271F">
        <w:rPr>
          <w:sz w:val="24"/>
          <w:szCs w:val="24"/>
        </w:rPr>
        <w:t xml:space="preserve">infectious salmon anaemia </w:t>
      </w:r>
      <w:r w:rsidRPr="00162F1F">
        <w:rPr>
          <w:sz w:val="24"/>
          <w:szCs w:val="24"/>
        </w:rPr>
        <w:t>(I</w:t>
      </w:r>
      <w:r w:rsidR="00BF271F">
        <w:rPr>
          <w:sz w:val="24"/>
          <w:szCs w:val="24"/>
        </w:rPr>
        <w:t>SA</w:t>
      </w:r>
      <w:r w:rsidRPr="00162F1F">
        <w:rPr>
          <w:sz w:val="24"/>
          <w:szCs w:val="24"/>
        </w:rPr>
        <w:t>)</w:t>
      </w:r>
    </w:p>
    <w:p w14:paraId="16BA856D" w14:textId="77777777" w:rsidR="00ED0614" w:rsidRDefault="00E260DC">
      <w:pPr>
        <w:pStyle w:val="Subtitle"/>
      </w:pPr>
      <w:r>
        <w:t xml:space="preserve">From </w:t>
      </w:r>
      <w:r>
        <w:rPr>
          <w:rStyle w:val="Emphasis"/>
        </w:rPr>
        <w:t>Aquatic animal diseases significant to Australia: identification field guide</w:t>
      </w:r>
      <w:r>
        <w:t>, 5th edition</w:t>
      </w:r>
    </w:p>
    <w:p w14:paraId="0C9D70DB" w14:textId="3FD3F58A" w:rsidR="00ED0614" w:rsidRPr="007F1EDC" w:rsidRDefault="00BF271F">
      <w:pPr>
        <w:pStyle w:val="Caption"/>
      </w:pPr>
      <w:r>
        <w:t xml:space="preserve">Figure </w:t>
      </w:r>
      <w:r w:rsidR="006B048B">
        <w:rPr>
          <w:noProof/>
        </w:rPr>
        <w:fldChar w:fldCharType="begin"/>
      </w:r>
      <w:r w:rsidR="006B048B">
        <w:rPr>
          <w:noProof/>
        </w:rPr>
        <w:instrText xml:space="preserve"> SEQ Figure \* ARABIC </w:instrText>
      </w:r>
      <w:r w:rsidR="006B048B">
        <w:rPr>
          <w:noProof/>
        </w:rPr>
        <w:fldChar w:fldCharType="separate"/>
      </w:r>
      <w:r w:rsidR="00035375">
        <w:rPr>
          <w:noProof/>
        </w:rPr>
        <w:t>1</w:t>
      </w:r>
      <w:r w:rsidR="006B048B">
        <w:rPr>
          <w:noProof/>
        </w:rPr>
        <w:fldChar w:fldCharType="end"/>
      </w:r>
      <w:r>
        <w:t xml:space="preserve"> </w:t>
      </w:r>
      <w:r w:rsidRPr="00BF271F">
        <w:rPr>
          <w:noProof/>
        </w:rPr>
        <w:t>Atlantic salmon (</w:t>
      </w:r>
      <w:r w:rsidRPr="00BF271F">
        <w:rPr>
          <w:rStyle w:val="Emphasis"/>
        </w:rPr>
        <w:t>Salmo salar</w:t>
      </w:r>
      <w:r w:rsidRPr="00BF271F">
        <w:rPr>
          <w:noProof/>
        </w:rPr>
        <w:t>) with ISA</w:t>
      </w:r>
    </w:p>
    <w:p w14:paraId="0EFF3543" w14:textId="31B1C04E" w:rsidR="00ED0614" w:rsidRPr="007F1EDC" w:rsidRDefault="00BF271F">
      <w:r w:rsidRPr="00C843CD">
        <w:rPr>
          <w:noProof/>
          <w:lang w:eastAsia="en-AU"/>
        </w:rPr>
        <w:drawing>
          <wp:inline distT="0" distB="0" distL="0" distR="0" wp14:anchorId="0B2B3799" wp14:editId="4A7748A6">
            <wp:extent cx="3959497" cy="2417197"/>
            <wp:effectExtent l="0" t="0" r="3175" b="254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 poppe.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3960000" cy="2417504"/>
                    </a:xfrm>
                    <a:prstGeom prst="rect">
                      <a:avLst/>
                    </a:prstGeom>
                    <a:ln>
                      <a:noFill/>
                    </a:ln>
                    <a:extLst>
                      <a:ext uri="{53640926-AAD7-44D8-BBD7-CCE9431645EC}">
                        <a14:shadowObscured xmlns:a14="http://schemas.microsoft.com/office/drawing/2010/main"/>
                      </a:ext>
                    </a:extLst>
                  </pic:spPr>
                </pic:pic>
              </a:graphicData>
            </a:graphic>
          </wp:inline>
        </w:drawing>
      </w:r>
    </w:p>
    <w:p w14:paraId="63C4D9E7" w14:textId="27BE64BF" w:rsidR="00BF271F" w:rsidRDefault="00E260DC" w:rsidP="00BF271F">
      <w:pPr>
        <w:pStyle w:val="FigureTableNoteSource"/>
      </w:pPr>
      <w:r w:rsidRPr="007F1EDC">
        <w:t xml:space="preserve">Note: </w:t>
      </w:r>
      <w:r w:rsidR="00BF271F">
        <w:t xml:space="preserve">Gross </w:t>
      </w:r>
      <w:r w:rsidR="00485E32">
        <w:t xml:space="preserve">internal </w:t>
      </w:r>
      <w:r w:rsidR="00F80772">
        <w:t xml:space="preserve">signs of ISA </w:t>
      </w:r>
      <w:r w:rsidR="00BF271F">
        <w:t>include dark liver, ascites and enlarged spleen.</w:t>
      </w:r>
    </w:p>
    <w:p w14:paraId="0FE7139E" w14:textId="11E86C3B" w:rsidR="00ED0614" w:rsidRDefault="00BF271F" w:rsidP="00BF271F">
      <w:pPr>
        <w:pStyle w:val="FigureTableNoteSource"/>
      </w:pPr>
      <w:r>
        <w:t>Source: T Poppe</w:t>
      </w:r>
    </w:p>
    <w:p w14:paraId="34D7581A" w14:textId="77777777" w:rsidR="00ED0614" w:rsidRDefault="00E260DC" w:rsidP="00052B5F">
      <w:pPr>
        <w:pStyle w:val="Heading2"/>
      </w:pPr>
      <w:bookmarkStart w:id="0" w:name="_Signs_of_disease"/>
      <w:bookmarkEnd w:id="0"/>
      <w:r>
        <w:t>Signs of disease</w:t>
      </w:r>
    </w:p>
    <w:p w14:paraId="445BBFA4" w14:textId="77777777" w:rsidR="00ED0614" w:rsidRDefault="00E260DC">
      <w:pPr>
        <w:rPr>
          <w:lang w:eastAsia="ja-JP"/>
        </w:rPr>
      </w:pPr>
      <w:r>
        <w:rPr>
          <w:lang w:eastAsia="ja-JP"/>
        </w:rPr>
        <w:t>Important: Animals with this disease may show one or more of these signs, but the pathogen may still be present in the absence of any signs.</w:t>
      </w:r>
    </w:p>
    <w:p w14:paraId="0ED3BEC6" w14:textId="77777777" w:rsidR="00ED0614" w:rsidRDefault="00E260DC">
      <w:pPr>
        <w:rPr>
          <w:lang w:eastAsia="ja-JP"/>
        </w:rPr>
      </w:pPr>
      <w:r>
        <w:rPr>
          <w:lang w:eastAsia="ja-JP"/>
        </w:rPr>
        <w:t>Disease signs at the farm, tank or pond level are:</w:t>
      </w:r>
    </w:p>
    <w:p w14:paraId="1653E711" w14:textId="4E2BBB78" w:rsidR="00BF271F" w:rsidRDefault="00BF271F" w:rsidP="00BF271F">
      <w:pPr>
        <w:pStyle w:val="ListBullet"/>
        <w:rPr>
          <w:lang w:eastAsia="ja-JP"/>
        </w:rPr>
      </w:pPr>
      <w:r>
        <w:rPr>
          <w:lang w:eastAsia="ja-JP"/>
        </w:rPr>
        <w:t>mortality rate up to</w:t>
      </w:r>
      <w:r w:rsidR="00F80772">
        <w:rPr>
          <w:lang w:eastAsia="ja-JP"/>
        </w:rPr>
        <w:t> </w:t>
      </w:r>
      <w:r>
        <w:rPr>
          <w:lang w:eastAsia="ja-JP"/>
        </w:rPr>
        <w:t>100%</w:t>
      </w:r>
    </w:p>
    <w:p w14:paraId="2BD439B7" w14:textId="77777777" w:rsidR="00BF271F" w:rsidRDefault="00BF271F" w:rsidP="00BF271F">
      <w:pPr>
        <w:pStyle w:val="ListBullet"/>
        <w:rPr>
          <w:lang w:eastAsia="ja-JP"/>
        </w:rPr>
      </w:pPr>
      <w:r>
        <w:rPr>
          <w:lang w:eastAsia="ja-JP"/>
        </w:rPr>
        <w:t>fish congregating near the surface</w:t>
      </w:r>
    </w:p>
    <w:p w14:paraId="07B6EEB7" w14:textId="77777777" w:rsidR="00BF271F" w:rsidRDefault="00BF271F" w:rsidP="00BF271F">
      <w:pPr>
        <w:pStyle w:val="ListBullet"/>
        <w:rPr>
          <w:lang w:eastAsia="ja-JP"/>
        </w:rPr>
      </w:pPr>
      <w:r>
        <w:rPr>
          <w:lang w:eastAsia="ja-JP"/>
        </w:rPr>
        <w:t>fish gasping at the surface</w:t>
      </w:r>
    </w:p>
    <w:p w14:paraId="0FF0A83E" w14:textId="77777777" w:rsidR="00BF271F" w:rsidRDefault="00BF271F" w:rsidP="00BF271F">
      <w:pPr>
        <w:pStyle w:val="ListBullet"/>
        <w:rPr>
          <w:lang w:eastAsia="ja-JP"/>
        </w:rPr>
      </w:pPr>
      <w:r>
        <w:rPr>
          <w:lang w:eastAsia="ja-JP"/>
        </w:rPr>
        <w:t>lethargy</w:t>
      </w:r>
    </w:p>
    <w:p w14:paraId="64631B6C" w14:textId="1E730A1F" w:rsidR="00ED0614" w:rsidRDefault="00BF271F" w:rsidP="00BF271F">
      <w:pPr>
        <w:pStyle w:val="ListBullet"/>
        <w:rPr>
          <w:lang w:eastAsia="ja-JP"/>
        </w:rPr>
      </w:pPr>
      <w:r>
        <w:rPr>
          <w:lang w:eastAsia="ja-JP"/>
        </w:rPr>
        <w:t>loss of appetite</w:t>
      </w:r>
      <w:r w:rsidR="004A5DDC">
        <w:rPr>
          <w:lang w:eastAsia="ja-JP"/>
        </w:rPr>
        <w:t>.</w:t>
      </w:r>
    </w:p>
    <w:p w14:paraId="7418287E" w14:textId="77777777" w:rsidR="00CD0FA5" w:rsidRDefault="00DF2031" w:rsidP="004A5DDC">
      <w:pPr>
        <w:keepNext/>
        <w:keepLines/>
        <w:rPr>
          <w:lang w:eastAsia="ja-JP"/>
        </w:rPr>
      </w:pPr>
      <w:r>
        <w:rPr>
          <w:lang w:eastAsia="ja-JP"/>
        </w:rPr>
        <w:t xml:space="preserve">Gross </w:t>
      </w:r>
      <w:r w:rsidRPr="00DF2031">
        <w:t>pathological</w:t>
      </w:r>
      <w:r>
        <w:rPr>
          <w:lang w:eastAsia="ja-JP"/>
        </w:rPr>
        <w:t xml:space="preserve"> signs </w:t>
      </w:r>
      <w:r w:rsidR="00CD0FA5">
        <w:rPr>
          <w:lang w:eastAsia="ja-JP"/>
        </w:rPr>
        <w:t>are:</w:t>
      </w:r>
    </w:p>
    <w:p w14:paraId="644301DB" w14:textId="77777777" w:rsidR="00BF271F" w:rsidRDefault="00BF271F" w:rsidP="00BF271F">
      <w:pPr>
        <w:pStyle w:val="ListBullet"/>
        <w:rPr>
          <w:lang w:eastAsia="ja-JP"/>
        </w:rPr>
      </w:pPr>
      <w:r>
        <w:rPr>
          <w:lang w:eastAsia="ja-JP"/>
        </w:rPr>
        <w:t>pale gills and heart</w:t>
      </w:r>
    </w:p>
    <w:p w14:paraId="79AB1B93" w14:textId="77777777" w:rsidR="00BF271F" w:rsidRDefault="00BF271F" w:rsidP="00BF271F">
      <w:pPr>
        <w:pStyle w:val="ListBullet"/>
        <w:rPr>
          <w:lang w:eastAsia="ja-JP"/>
        </w:rPr>
      </w:pPr>
      <w:r>
        <w:rPr>
          <w:lang w:eastAsia="ja-JP"/>
        </w:rPr>
        <w:t>swollen abdomen</w:t>
      </w:r>
    </w:p>
    <w:p w14:paraId="198441E3" w14:textId="77777777" w:rsidR="00295944" w:rsidRDefault="00BF271F" w:rsidP="00670874">
      <w:pPr>
        <w:pStyle w:val="ListBullet"/>
        <w:rPr>
          <w:lang w:eastAsia="ja-JP"/>
        </w:rPr>
      </w:pPr>
      <w:r>
        <w:rPr>
          <w:lang w:eastAsia="ja-JP"/>
        </w:rPr>
        <w:t>exophthalmos (popeye)</w:t>
      </w:r>
      <w:r w:rsidR="00295944">
        <w:rPr>
          <w:lang w:eastAsia="ja-JP"/>
        </w:rPr>
        <w:t>, bleeding eyes</w:t>
      </w:r>
    </w:p>
    <w:p w14:paraId="2AD5571F" w14:textId="01E053E5" w:rsidR="00BF271F" w:rsidRDefault="00BF271F" w:rsidP="00670874">
      <w:pPr>
        <w:pStyle w:val="ListBullet"/>
        <w:rPr>
          <w:lang w:eastAsia="ja-JP"/>
        </w:rPr>
      </w:pPr>
      <w:r>
        <w:rPr>
          <w:lang w:eastAsia="ja-JP"/>
        </w:rPr>
        <w:t>fin rot</w:t>
      </w:r>
    </w:p>
    <w:p w14:paraId="557C093E" w14:textId="77777777" w:rsidR="00BF271F" w:rsidRDefault="00BF271F" w:rsidP="00BF271F">
      <w:pPr>
        <w:pStyle w:val="ListBullet"/>
        <w:rPr>
          <w:lang w:eastAsia="ja-JP"/>
        </w:rPr>
      </w:pPr>
      <w:r>
        <w:rPr>
          <w:lang w:eastAsia="ja-JP"/>
        </w:rPr>
        <w:t>ecchymotic (bruise-like) skin haemorrhages</w:t>
      </w:r>
    </w:p>
    <w:p w14:paraId="127B6638" w14:textId="77777777" w:rsidR="00BF271F" w:rsidRDefault="00BF271F" w:rsidP="00BF271F">
      <w:pPr>
        <w:pStyle w:val="ListBullet"/>
        <w:rPr>
          <w:lang w:eastAsia="ja-JP"/>
        </w:rPr>
      </w:pPr>
      <w:r>
        <w:rPr>
          <w:lang w:eastAsia="ja-JP"/>
        </w:rPr>
        <w:lastRenderedPageBreak/>
        <w:t>scale-pocket oedema</w:t>
      </w:r>
    </w:p>
    <w:p w14:paraId="230D2BE4" w14:textId="77777777" w:rsidR="00BF271F" w:rsidRDefault="00BF271F" w:rsidP="00BF271F">
      <w:pPr>
        <w:pStyle w:val="ListBullet"/>
        <w:rPr>
          <w:lang w:eastAsia="ja-JP"/>
        </w:rPr>
      </w:pPr>
      <w:r>
        <w:rPr>
          <w:lang w:eastAsia="ja-JP"/>
        </w:rPr>
        <w:t>swollen and dark liver, kidney and spleen (early sign); liver may be almost black</w:t>
      </w:r>
    </w:p>
    <w:p w14:paraId="4B59907C" w14:textId="77777777" w:rsidR="00BF271F" w:rsidRDefault="00BF271F" w:rsidP="00BF271F">
      <w:pPr>
        <w:pStyle w:val="ListBullet"/>
        <w:rPr>
          <w:lang w:eastAsia="ja-JP"/>
        </w:rPr>
      </w:pPr>
      <w:r>
        <w:rPr>
          <w:lang w:eastAsia="ja-JP"/>
        </w:rPr>
        <w:t>petechial (pinpoint) haemorrhages in internal fat, peritoneum and skeletal muscle</w:t>
      </w:r>
    </w:p>
    <w:p w14:paraId="4608C9E6" w14:textId="77777777" w:rsidR="00BF271F" w:rsidRDefault="00BF271F" w:rsidP="00BF271F">
      <w:pPr>
        <w:pStyle w:val="ListBullet"/>
        <w:rPr>
          <w:lang w:eastAsia="ja-JP"/>
        </w:rPr>
      </w:pPr>
      <w:r>
        <w:rPr>
          <w:lang w:eastAsia="ja-JP"/>
        </w:rPr>
        <w:t>dark red intestinal wall mucosa</w:t>
      </w:r>
    </w:p>
    <w:p w14:paraId="5A366920" w14:textId="77777777" w:rsidR="00BF271F" w:rsidRDefault="00BF271F" w:rsidP="00BF271F">
      <w:pPr>
        <w:pStyle w:val="ListBullet"/>
        <w:rPr>
          <w:lang w:eastAsia="ja-JP"/>
        </w:rPr>
      </w:pPr>
      <w:r>
        <w:rPr>
          <w:lang w:eastAsia="ja-JP"/>
        </w:rPr>
        <w:t>ascites (fluid in the abdominal cavity)</w:t>
      </w:r>
    </w:p>
    <w:p w14:paraId="06EC2B36" w14:textId="7EC3BA64" w:rsidR="00ED0614" w:rsidRDefault="00BF271F" w:rsidP="00BF271F">
      <w:pPr>
        <w:pStyle w:val="ListBullet"/>
        <w:rPr>
          <w:lang w:eastAsia="ja-JP"/>
        </w:rPr>
      </w:pPr>
      <w:r>
        <w:rPr>
          <w:lang w:eastAsia="ja-JP"/>
        </w:rPr>
        <w:t>surface haemorrhages on liver</w:t>
      </w:r>
      <w:r w:rsidR="002521EC">
        <w:rPr>
          <w:lang w:eastAsia="ja-JP"/>
        </w:rPr>
        <w:t>.</w:t>
      </w:r>
    </w:p>
    <w:p w14:paraId="2D426F0A" w14:textId="77777777" w:rsidR="00ED0614" w:rsidRDefault="00E260DC">
      <w:pPr>
        <w:rPr>
          <w:lang w:eastAsia="ja-JP"/>
        </w:rPr>
      </w:pPr>
      <w:r>
        <w:rPr>
          <w:lang w:eastAsia="ja-JP"/>
        </w:rPr>
        <w:t>Microscopic pathological signs are:</w:t>
      </w:r>
    </w:p>
    <w:p w14:paraId="00201750" w14:textId="77777777" w:rsidR="00BF271F" w:rsidRPr="00BF271F" w:rsidRDefault="00BF271F" w:rsidP="00BF271F">
      <w:pPr>
        <w:pStyle w:val="ListBullet"/>
        <w:rPr>
          <w:lang w:val="en-US"/>
        </w:rPr>
      </w:pPr>
      <w:r w:rsidRPr="00BF271F">
        <w:rPr>
          <w:lang w:val="en-US"/>
        </w:rPr>
        <w:t>renal interstitial haemorrhage and tubular necrosis</w:t>
      </w:r>
    </w:p>
    <w:p w14:paraId="6A2AF5BB" w14:textId="77777777" w:rsidR="00BF271F" w:rsidRPr="00BF271F" w:rsidRDefault="00BF271F" w:rsidP="00BF271F">
      <w:pPr>
        <w:pStyle w:val="ListBullet"/>
        <w:rPr>
          <w:lang w:val="en-US"/>
        </w:rPr>
      </w:pPr>
      <w:r w:rsidRPr="00BF271F">
        <w:rPr>
          <w:lang w:val="en-US"/>
        </w:rPr>
        <w:t>branchial lamellar and filamental congestion</w:t>
      </w:r>
    </w:p>
    <w:p w14:paraId="0D220472" w14:textId="77777777" w:rsidR="00BF271F" w:rsidRPr="00BF271F" w:rsidRDefault="00BF271F" w:rsidP="00BF271F">
      <w:pPr>
        <w:pStyle w:val="ListBullet"/>
        <w:rPr>
          <w:lang w:val="en-US"/>
        </w:rPr>
      </w:pPr>
      <w:r w:rsidRPr="00BF271F">
        <w:rPr>
          <w:lang w:val="en-US"/>
        </w:rPr>
        <w:t>congestion of the intestine and pyloric caecae</w:t>
      </w:r>
    </w:p>
    <w:p w14:paraId="68AAA3DA" w14:textId="35D27954" w:rsidR="00ED0614" w:rsidRDefault="00BF271F" w:rsidP="00BF271F">
      <w:pPr>
        <w:pStyle w:val="ListBullet"/>
        <w:rPr>
          <w:lang w:val="en-US"/>
        </w:rPr>
      </w:pPr>
      <w:r w:rsidRPr="00BF271F">
        <w:rPr>
          <w:lang w:val="en-US"/>
        </w:rPr>
        <w:t>perivascular inflammation and focal necrosis in liver</w:t>
      </w:r>
      <w:r w:rsidR="00E260DC">
        <w:rPr>
          <w:lang w:val="en-US"/>
        </w:rPr>
        <w:t>.</w:t>
      </w:r>
    </w:p>
    <w:p w14:paraId="755CDE80" w14:textId="77777777" w:rsidR="00ED0614" w:rsidRDefault="00E260DC">
      <w:pPr>
        <w:pStyle w:val="Heading2"/>
      </w:pPr>
      <w:r>
        <w:t>Disease agent</w:t>
      </w:r>
    </w:p>
    <w:p w14:paraId="54C7B5E3" w14:textId="4FDDAD53" w:rsidR="00CB11B9" w:rsidRPr="00CB11B9" w:rsidRDefault="00BF271F" w:rsidP="00876983">
      <w:r w:rsidRPr="00BF271F">
        <w:t>ISA is caused by infection with the pathogenic highly polymorphic region (HPR</w:t>
      </w:r>
      <w:r w:rsidR="00C87D4C">
        <w:t>)</w:t>
      </w:r>
      <w:r w:rsidR="00C87D4C">
        <w:noBreakHyphen/>
      </w:r>
      <w:r w:rsidRPr="00BF271F">
        <w:t xml:space="preserve">deleted infectious salmon anaemia virus (ISAV), or the non-pathogenic HPR0 (non-deleted HPR) ISAV, a single stranded RNA virus classified within the genus </w:t>
      </w:r>
      <w:r w:rsidRPr="00BF271F">
        <w:rPr>
          <w:rStyle w:val="Emphasis"/>
        </w:rPr>
        <w:t>Isavirus</w:t>
      </w:r>
      <w:r w:rsidRPr="00BF271F">
        <w:t xml:space="preserve"> within the family </w:t>
      </w:r>
      <w:r w:rsidRPr="00BF271F">
        <w:rPr>
          <w:rStyle w:val="Emphasis"/>
        </w:rPr>
        <w:t>Orthomyxoviridae</w:t>
      </w:r>
      <w:r w:rsidRPr="00BF271F">
        <w:t xml:space="preserve">. Infection with </w:t>
      </w:r>
      <w:r w:rsidR="00C87D4C">
        <w:t>HPR</w:t>
      </w:r>
      <w:r w:rsidR="00C87D4C">
        <w:noBreakHyphen/>
      </w:r>
      <w:r w:rsidRPr="00BF271F">
        <w:t>deleted ISAV may cause severe disease in Atlantic salmon (</w:t>
      </w:r>
      <w:r w:rsidRPr="00BF271F">
        <w:rPr>
          <w:rStyle w:val="Emphasis"/>
        </w:rPr>
        <w:t>Salmo salar</w:t>
      </w:r>
      <w:r w:rsidRPr="00BF271F">
        <w:t>)</w:t>
      </w:r>
      <w:r w:rsidR="00F80772">
        <w:t>.</w:t>
      </w:r>
      <w:r w:rsidRPr="00BF271F">
        <w:t xml:space="preserve"> </w:t>
      </w:r>
      <w:r w:rsidR="00485E32">
        <w:t>H</w:t>
      </w:r>
      <w:r w:rsidRPr="00BF271F">
        <w:t>owever</w:t>
      </w:r>
      <w:r w:rsidR="00485E32">
        <w:t>,</w:t>
      </w:r>
      <w:r w:rsidRPr="00BF271F">
        <w:t xml:space="preserve"> </w:t>
      </w:r>
      <w:r w:rsidR="00F93E78">
        <w:t>D</w:t>
      </w:r>
      <w:r w:rsidRPr="00BF271F">
        <w:t>etection of HPR0 ISAV has never been associated with clinical signs of disease in Atlantic salmon.</w:t>
      </w:r>
    </w:p>
    <w:p w14:paraId="10B41ACC" w14:textId="77777777" w:rsidR="00ED0614" w:rsidRDefault="00E260DC" w:rsidP="00270423">
      <w:pPr>
        <w:pStyle w:val="Heading2"/>
        <w:keepLines/>
      </w:pPr>
      <w:r>
        <w:t>Host range</w:t>
      </w:r>
    </w:p>
    <w:p w14:paraId="7CCED3A8" w14:textId="246BA28B" w:rsidR="00162F1F" w:rsidRPr="00162F1F" w:rsidRDefault="00BF271F" w:rsidP="00162F1F">
      <w:pPr>
        <w:rPr>
          <w:lang w:eastAsia="ja-JP"/>
        </w:rPr>
      </w:pPr>
      <w:r w:rsidRPr="00BF271F">
        <w:rPr>
          <w:lang w:eastAsia="ja-JP"/>
        </w:rPr>
        <w:t>The only species known to display clinical signs of ISA is the Atlantic salmon (</w:t>
      </w:r>
      <w:r w:rsidRPr="00BF271F">
        <w:rPr>
          <w:rStyle w:val="Emphasis"/>
          <w:lang w:eastAsia="ja-JP"/>
        </w:rPr>
        <w:t>Salmo salar</w:t>
      </w:r>
      <w:r w:rsidRPr="00BF271F">
        <w:rPr>
          <w:lang w:eastAsia="ja-JP"/>
        </w:rPr>
        <w:t>)</w:t>
      </w:r>
      <w:r w:rsidR="00F80772">
        <w:rPr>
          <w:lang w:eastAsia="ja-JP"/>
        </w:rPr>
        <w:t>.</w:t>
      </w:r>
      <w:r w:rsidRPr="00BF271F">
        <w:rPr>
          <w:lang w:eastAsia="ja-JP"/>
        </w:rPr>
        <w:t xml:space="preserve"> </w:t>
      </w:r>
      <w:r w:rsidR="00F80772">
        <w:rPr>
          <w:lang w:eastAsia="ja-JP"/>
        </w:rPr>
        <w:t>S</w:t>
      </w:r>
      <w:r w:rsidRPr="00BF271F">
        <w:rPr>
          <w:lang w:eastAsia="ja-JP"/>
        </w:rPr>
        <w:t>everal other fish species have been confirmed to be asymptomatic carriers of the virus.</w:t>
      </w:r>
    </w:p>
    <w:p w14:paraId="63E14290" w14:textId="060D3BCE" w:rsidR="00ED0614" w:rsidRDefault="00E260DC">
      <w:pPr>
        <w:pStyle w:val="Caption"/>
      </w:pPr>
      <w:r>
        <w:t xml:space="preserve">Table </w:t>
      </w:r>
      <w:r>
        <w:rPr>
          <w:noProof/>
        </w:rPr>
        <w:fldChar w:fldCharType="begin"/>
      </w:r>
      <w:r>
        <w:rPr>
          <w:noProof/>
        </w:rPr>
        <w:instrText xml:space="preserve"> SEQ Table \* ARABIC </w:instrText>
      </w:r>
      <w:r>
        <w:rPr>
          <w:noProof/>
        </w:rPr>
        <w:fldChar w:fldCharType="separate"/>
      </w:r>
      <w:r w:rsidR="00035375">
        <w:rPr>
          <w:noProof/>
        </w:rPr>
        <w:t>1</w:t>
      </w:r>
      <w:r>
        <w:rPr>
          <w:noProof/>
        </w:rPr>
        <w:fldChar w:fldCharType="end"/>
      </w:r>
      <w:r>
        <w:t xml:space="preserve"> </w:t>
      </w:r>
      <w:r w:rsidR="00BF271F" w:rsidRPr="00BF271F">
        <w:t>Species known to display clinical signs of ISA</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ED0614" w14:paraId="7F099F95" w14:textId="77777777">
        <w:trPr>
          <w:cantSplit/>
          <w:trHeight w:val="300"/>
          <w:tblHeader/>
        </w:trPr>
        <w:tc>
          <w:tcPr>
            <w:tcW w:w="2500" w:type="pct"/>
            <w:tcBorders>
              <w:top w:val="single" w:sz="4" w:space="0" w:color="auto"/>
              <w:bottom w:val="single" w:sz="4" w:space="0" w:color="auto"/>
            </w:tcBorders>
            <w:noWrap/>
          </w:tcPr>
          <w:p w14:paraId="53C37EB4" w14:textId="77777777" w:rsidR="00ED0614" w:rsidRDefault="00E260DC">
            <w:pPr>
              <w:pStyle w:val="TableHeading"/>
            </w:pPr>
            <w:r>
              <w:t>Common name</w:t>
            </w:r>
          </w:p>
        </w:tc>
        <w:tc>
          <w:tcPr>
            <w:tcW w:w="2500" w:type="pct"/>
            <w:tcBorders>
              <w:top w:val="single" w:sz="4" w:space="0" w:color="auto"/>
              <w:bottom w:val="single" w:sz="4" w:space="0" w:color="auto"/>
            </w:tcBorders>
            <w:noWrap/>
          </w:tcPr>
          <w:p w14:paraId="0DE0AAEB" w14:textId="77777777" w:rsidR="00ED0614" w:rsidRDefault="00E260DC">
            <w:pPr>
              <w:pStyle w:val="TableHeading"/>
            </w:pPr>
            <w:r>
              <w:t>Scientific name</w:t>
            </w:r>
          </w:p>
        </w:tc>
      </w:tr>
      <w:tr w:rsidR="00162F1F" w14:paraId="42EB7617" w14:textId="77777777">
        <w:trPr>
          <w:cantSplit/>
          <w:trHeight w:val="315"/>
        </w:trPr>
        <w:tc>
          <w:tcPr>
            <w:tcW w:w="2500" w:type="pct"/>
            <w:noWrap/>
          </w:tcPr>
          <w:p w14:paraId="71A33549" w14:textId="10E4CEB4" w:rsidR="00162F1F" w:rsidRDefault="00162F1F" w:rsidP="00162F1F">
            <w:pPr>
              <w:pStyle w:val="TableText"/>
            </w:pPr>
            <w:r w:rsidRPr="00175660">
              <w:t>Atlantic salmon</w:t>
            </w:r>
          </w:p>
        </w:tc>
        <w:tc>
          <w:tcPr>
            <w:tcW w:w="2500" w:type="pct"/>
            <w:noWrap/>
          </w:tcPr>
          <w:p w14:paraId="1D4032D9" w14:textId="2CF11A30" w:rsidR="00162F1F" w:rsidRPr="00162F1F" w:rsidRDefault="00162F1F" w:rsidP="00162F1F">
            <w:pPr>
              <w:pStyle w:val="TableText"/>
              <w:rPr>
                <w:rStyle w:val="Emphasis"/>
                <w:rFonts w:eastAsia="SimSun"/>
              </w:rPr>
            </w:pPr>
            <w:r w:rsidRPr="00162F1F">
              <w:rPr>
                <w:rStyle w:val="Emphasis"/>
              </w:rPr>
              <w:t>Salmo salar</w:t>
            </w:r>
          </w:p>
        </w:tc>
      </w:tr>
    </w:tbl>
    <w:p w14:paraId="38E29C17" w14:textId="33C2B7C0" w:rsidR="007F73EC" w:rsidRDefault="007F73EC" w:rsidP="00F93E78">
      <w:pPr>
        <w:pStyle w:val="Caption"/>
        <w:spacing w:before="120"/>
      </w:pPr>
      <w:r>
        <w:t xml:space="preserve">Table </w:t>
      </w:r>
      <w:r>
        <w:rPr>
          <w:noProof/>
        </w:rPr>
        <w:fldChar w:fldCharType="begin"/>
      </w:r>
      <w:r>
        <w:rPr>
          <w:noProof/>
        </w:rPr>
        <w:instrText xml:space="preserve"> SEQ Table \* ARABIC </w:instrText>
      </w:r>
      <w:r>
        <w:rPr>
          <w:noProof/>
        </w:rPr>
        <w:fldChar w:fldCharType="separate"/>
      </w:r>
      <w:r w:rsidR="00035375">
        <w:rPr>
          <w:noProof/>
        </w:rPr>
        <w:t>2</w:t>
      </w:r>
      <w:r>
        <w:rPr>
          <w:noProof/>
        </w:rPr>
        <w:fldChar w:fldCharType="end"/>
      </w:r>
      <w:r>
        <w:t xml:space="preserve"> </w:t>
      </w:r>
      <w:r w:rsidR="00BF271F" w:rsidRPr="00BF271F">
        <w:t>Species known to be asymptomatic carriers or vectors of ISAV</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4537"/>
        <w:gridCol w:w="4533"/>
      </w:tblGrid>
      <w:tr w:rsidR="007F73EC" w14:paraId="297654F6" w14:textId="77777777" w:rsidTr="00F93E78">
        <w:trPr>
          <w:cantSplit/>
          <w:trHeight w:val="300"/>
          <w:tblHeader/>
        </w:trPr>
        <w:tc>
          <w:tcPr>
            <w:tcW w:w="2501" w:type="pct"/>
            <w:tcBorders>
              <w:top w:val="single" w:sz="4" w:space="0" w:color="auto"/>
              <w:bottom w:val="single" w:sz="4" w:space="0" w:color="auto"/>
            </w:tcBorders>
            <w:noWrap/>
          </w:tcPr>
          <w:p w14:paraId="688AFA5E" w14:textId="77777777" w:rsidR="007F73EC" w:rsidRDefault="007F73EC" w:rsidP="00395270">
            <w:pPr>
              <w:pStyle w:val="TableHeading"/>
            </w:pPr>
            <w:r>
              <w:t>Common name</w:t>
            </w:r>
          </w:p>
        </w:tc>
        <w:tc>
          <w:tcPr>
            <w:tcW w:w="2499" w:type="pct"/>
            <w:tcBorders>
              <w:top w:val="single" w:sz="4" w:space="0" w:color="auto"/>
              <w:bottom w:val="single" w:sz="4" w:space="0" w:color="auto"/>
            </w:tcBorders>
            <w:noWrap/>
          </w:tcPr>
          <w:p w14:paraId="36B3C416" w14:textId="77777777" w:rsidR="007F73EC" w:rsidRDefault="007F73EC" w:rsidP="00395270">
            <w:pPr>
              <w:pStyle w:val="TableHeading"/>
            </w:pPr>
            <w:r>
              <w:t>Scientific name</w:t>
            </w:r>
          </w:p>
        </w:tc>
      </w:tr>
      <w:tr w:rsidR="00BF271F" w14:paraId="4BDA0795" w14:textId="77777777" w:rsidTr="00F93E78">
        <w:trPr>
          <w:cantSplit/>
          <w:trHeight w:val="315"/>
        </w:trPr>
        <w:tc>
          <w:tcPr>
            <w:tcW w:w="2501" w:type="pct"/>
            <w:tcBorders>
              <w:top w:val="single" w:sz="4" w:space="0" w:color="auto"/>
            </w:tcBorders>
            <w:noWrap/>
          </w:tcPr>
          <w:p w14:paraId="3BA63A75" w14:textId="3C69A004" w:rsidR="00BF271F" w:rsidRDefault="00BF271F" w:rsidP="00BF271F">
            <w:pPr>
              <w:pStyle w:val="TableText"/>
              <w:tabs>
                <w:tab w:val="left" w:pos="1640"/>
              </w:tabs>
            </w:pPr>
            <w:r w:rsidRPr="00FD151D">
              <w:t>Arctic char</w:t>
            </w:r>
          </w:p>
        </w:tc>
        <w:tc>
          <w:tcPr>
            <w:tcW w:w="2499" w:type="pct"/>
            <w:tcBorders>
              <w:top w:val="single" w:sz="4" w:space="0" w:color="auto"/>
            </w:tcBorders>
            <w:noWrap/>
          </w:tcPr>
          <w:p w14:paraId="731D7337" w14:textId="374C7F3B" w:rsidR="00BF271F" w:rsidRPr="00BF271F" w:rsidRDefault="00BF271F" w:rsidP="00BF271F">
            <w:pPr>
              <w:pStyle w:val="TableText"/>
              <w:rPr>
                <w:rStyle w:val="Emphasis"/>
              </w:rPr>
            </w:pPr>
            <w:r w:rsidRPr="00BF271F">
              <w:rPr>
                <w:rStyle w:val="Emphasis"/>
              </w:rPr>
              <w:t>Salvelinus alpinus</w:t>
            </w:r>
          </w:p>
        </w:tc>
      </w:tr>
      <w:tr w:rsidR="00BF271F" w14:paraId="77097DE5" w14:textId="77777777" w:rsidTr="00F93E78">
        <w:trPr>
          <w:cantSplit/>
          <w:trHeight w:val="315"/>
        </w:trPr>
        <w:tc>
          <w:tcPr>
            <w:tcW w:w="2501" w:type="pct"/>
            <w:noWrap/>
          </w:tcPr>
          <w:p w14:paraId="0661A9B0" w14:textId="4E792577" w:rsidR="00BF271F" w:rsidRDefault="00BF271F" w:rsidP="00BF271F">
            <w:pPr>
              <w:pStyle w:val="TableText"/>
            </w:pPr>
            <w:r w:rsidRPr="00FD151D">
              <w:t>Atlantic cod</w:t>
            </w:r>
          </w:p>
        </w:tc>
        <w:tc>
          <w:tcPr>
            <w:tcW w:w="2499" w:type="pct"/>
            <w:noWrap/>
          </w:tcPr>
          <w:p w14:paraId="6BB76E25" w14:textId="2D02942D" w:rsidR="00BF271F" w:rsidRPr="00BF271F" w:rsidRDefault="00BF271F" w:rsidP="00BF271F">
            <w:pPr>
              <w:pStyle w:val="TableText"/>
              <w:rPr>
                <w:rStyle w:val="Emphasis"/>
                <w:rFonts w:eastAsia="SimSun"/>
              </w:rPr>
            </w:pPr>
            <w:r w:rsidRPr="00BF271F">
              <w:rPr>
                <w:rStyle w:val="Emphasis"/>
              </w:rPr>
              <w:t>Gadus morhua</w:t>
            </w:r>
          </w:p>
        </w:tc>
      </w:tr>
      <w:tr w:rsidR="00BF271F" w14:paraId="77064B71" w14:textId="77777777" w:rsidTr="00F93E78">
        <w:trPr>
          <w:cantSplit/>
          <w:trHeight w:val="315"/>
        </w:trPr>
        <w:tc>
          <w:tcPr>
            <w:tcW w:w="2501" w:type="pct"/>
            <w:noWrap/>
          </w:tcPr>
          <w:p w14:paraId="422FAF28" w14:textId="0223C519" w:rsidR="00BF271F" w:rsidRDefault="00BF271F" w:rsidP="00BF271F">
            <w:pPr>
              <w:pStyle w:val="TableText"/>
            </w:pPr>
            <w:r w:rsidRPr="00FD151D">
              <w:t>Atlantic herring</w:t>
            </w:r>
          </w:p>
        </w:tc>
        <w:tc>
          <w:tcPr>
            <w:tcW w:w="2499" w:type="pct"/>
            <w:noWrap/>
          </w:tcPr>
          <w:p w14:paraId="3A5F59D6" w14:textId="73FE4611" w:rsidR="00BF271F" w:rsidRPr="00BF271F" w:rsidRDefault="00BF271F" w:rsidP="00BF271F">
            <w:pPr>
              <w:pStyle w:val="TableText"/>
              <w:rPr>
                <w:rStyle w:val="Emphasis"/>
                <w:rFonts w:eastAsia="SimSun"/>
              </w:rPr>
            </w:pPr>
            <w:r w:rsidRPr="00BF271F">
              <w:rPr>
                <w:rStyle w:val="Emphasis"/>
              </w:rPr>
              <w:t>Clupea harengus</w:t>
            </w:r>
          </w:p>
        </w:tc>
      </w:tr>
      <w:tr w:rsidR="00BF271F" w14:paraId="20CC33C9" w14:textId="77777777" w:rsidTr="00F93E78">
        <w:trPr>
          <w:cantSplit/>
          <w:trHeight w:val="315"/>
        </w:trPr>
        <w:tc>
          <w:tcPr>
            <w:tcW w:w="2501" w:type="pct"/>
            <w:noWrap/>
          </w:tcPr>
          <w:p w14:paraId="4789330C" w14:textId="7DD32137" w:rsidR="00BF271F" w:rsidRDefault="00BF271F" w:rsidP="00BF271F">
            <w:pPr>
              <w:pStyle w:val="TableText"/>
            </w:pPr>
            <w:r w:rsidRPr="00FD151D">
              <w:t>Brown trout</w:t>
            </w:r>
            <w:r w:rsidRPr="00BF271F">
              <w:rPr>
                <w:vertAlign w:val="superscript"/>
              </w:rPr>
              <w:t>a</w:t>
            </w:r>
          </w:p>
        </w:tc>
        <w:tc>
          <w:tcPr>
            <w:tcW w:w="2499" w:type="pct"/>
            <w:noWrap/>
          </w:tcPr>
          <w:p w14:paraId="75783D15" w14:textId="721FC688" w:rsidR="00BF271F" w:rsidRPr="00BF271F" w:rsidRDefault="00BF271F" w:rsidP="00BF271F">
            <w:pPr>
              <w:pStyle w:val="TableText"/>
              <w:rPr>
                <w:rStyle w:val="Emphasis"/>
                <w:rFonts w:eastAsia="SimSun"/>
              </w:rPr>
            </w:pPr>
            <w:r w:rsidRPr="00BF271F">
              <w:rPr>
                <w:rStyle w:val="Emphasis"/>
              </w:rPr>
              <w:t>Salmo trutta</w:t>
            </w:r>
          </w:p>
        </w:tc>
      </w:tr>
      <w:tr w:rsidR="00BF271F" w14:paraId="74B9AFFF" w14:textId="77777777" w:rsidTr="00F93E78">
        <w:trPr>
          <w:cantSplit/>
          <w:trHeight w:val="315"/>
        </w:trPr>
        <w:tc>
          <w:tcPr>
            <w:tcW w:w="2501" w:type="pct"/>
            <w:noWrap/>
          </w:tcPr>
          <w:p w14:paraId="79609FD7" w14:textId="359F9BD9" w:rsidR="00BF271F" w:rsidRPr="00505B06" w:rsidRDefault="00BF271F" w:rsidP="00BF271F">
            <w:pPr>
              <w:pStyle w:val="TableText"/>
            </w:pPr>
            <w:r w:rsidRPr="00FD151D">
              <w:t>Coalfish or pollock</w:t>
            </w:r>
          </w:p>
        </w:tc>
        <w:tc>
          <w:tcPr>
            <w:tcW w:w="2499" w:type="pct"/>
            <w:noWrap/>
          </w:tcPr>
          <w:p w14:paraId="0AE0FF95" w14:textId="4C9A428B" w:rsidR="00BF271F" w:rsidRPr="00BF271F" w:rsidRDefault="00BF271F" w:rsidP="00BF271F">
            <w:pPr>
              <w:pStyle w:val="TableText"/>
              <w:rPr>
                <w:rStyle w:val="Emphasis"/>
              </w:rPr>
            </w:pPr>
            <w:r w:rsidRPr="00BF271F">
              <w:rPr>
                <w:rStyle w:val="Emphasis"/>
              </w:rPr>
              <w:t>Pollachius virens</w:t>
            </w:r>
          </w:p>
        </w:tc>
      </w:tr>
      <w:tr w:rsidR="00BF271F" w14:paraId="7A3E2C3E" w14:textId="77777777" w:rsidTr="00F93E78">
        <w:trPr>
          <w:cantSplit/>
          <w:trHeight w:val="315"/>
        </w:trPr>
        <w:tc>
          <w:tcPr>
            <w:tcW w:w="2501" w:type="pct"/>
            <w:noWrap/>
          </w:tcPr>
          <w:p w14:paraId="7A53F6F7" w14:textId="6440934D" w:rsidR="00BF271F" w:rsidRPr="00505B06" w:rsidRDefault="00BF271F" w:rsidP="00BF271F">
            <w:pPr>
              <w:pStyle w:val="TableText"/>
            </w:pPr>
            <w:r w:rsidRPr="00FD151D">
              <w:t>Coho salmon</w:t>
            </w:r>
            <w:r w:rsidRPr="00BF271F">
              <w:rPr>
                <w:vertAlign w:val="superscript"/>
              </w:rPr>
              <w:t>a</w:t>
            </w:r>
          </w:p>
        </w:tc>
        <w:tc>
          <w:tcPr>
            <w:tcW w:w="2499" w:type="pct"/>
            <w:noWrap/>
          </w:tcPr>
          <w:p w14:paraId="02365A98" w14:textId="437495AB" w:rsidR="00BF271F" w:rsidRPr="00BF271F" w:rsidRDefault="00BF271F" w:rsidP="00BF271F">
            <w:pPr>
              <w:pStyle w:val="TableText"/>
              <w:rPr>
                <w:rStyle w:val="Emphasis"/>
              </w:rPr>
            </w:pPr>
            <w:r w:rsidRPr="00BF271F">
              <w:rPr>
                <w:rStyle w:val="Emphasis"/>
              </w:rPr>
              <w:t>Oncorhynchus kisutch</w:t>
            </w:r>
          </w:p>
        </w:tc>
      </w:tr>
      <w:tr w:rsidR="00BF271F" w14:paraId="4AC251C1" w14:textId="77777777" w:rsidTr="00F93E78">
        <w:trPr>
          <w:cantSplit/>
          <w:trHeight w:val="315"/>
        </w:trPr>
        <w:tc>
          <w:tcPr>
            <w:tcW w:w="2501" w:type="pct"/>
            <w:noWrap/>
          </w:tcPr>
          <w:p w14:paraId="36BBA368" w14:textId="25E551D8" w:rsidR="00BF271F" w:rsidRDefault="00BF271F" w:rsidP="00BF271F">
            <w:pPr>
              <w:pStyle w:val="TableText"/>
            </w:pPr>
            <w:r w:rsidRPr="00FD151D">
              <w:t>Masu salmon</w:t>
            </w:r>
            <w:r w:rsidRPr="00BF271F">
              <w:rPr>
                <w:vertAlign w:val="superscript"/>
              </w:rPr>
              <w:t>a</w:t>
            </w:r>
          </w:p>
        </w:tc>
        <w:tc>
          <w:tcPr>
            <w:tcW w:w="2499" w:type="pct"/>
            <w:noWrap/>
          </w:tcPr>
          <w:p w14:paraId="5778A798" w14:textId="5FF6B4B2" w:rsidR="00BF271F" w:rsidRPr="00BF271F" w:rsidRDefault="00BF271F" w:rsidP="00BF271F">
            <w:pPr>
              <w:pStyle w:val="TableText"/>
              <w:rPr>
                <w:rStyle w:val="Emphasis"/>
              </w:rPr>
            </w:pPr>
            <w:r w:rsidRPr="00BF271F">
              <w:rPr>
                <w:rStyle w:val="Emphasis"/>
              </w:rPr>
              <w:t>Oncorhynchus masou</w:t>
            </w:r>
          </w:p>
        </w:tc>
      </w:tr>
      <w:tr w:rsidR="00BF271F" w14:paraId="42A53FDB" w14:textId="77777777" w:rsidTr="00F93E78">
        <w:trPr>
          <w:cantSplit/>
          <w:trHeight w:val="315"/>
        </w:trPr>
        <w:tc>
          <w:tcPr>
            <w:tcW w:w="2501" w:type="pct"/>
            <w:noWrap/>
          </w:tcPr>
          <w:p w14:paraId="76693F4D" w14:textId="2990A8D6" w:rsidR="00BF271F" w:rsidRDefault="00BF271F" w:rsidP="00BF271F">
            <w:pPr>
              <w:pStyle w:val="TableText"/>
            </w:pPr>
            <w:r w:rsidRPr="00FD151D">
              <w:t>Rainbow trout</w:t>
            </w:r>
            <w:r w:rsidRPr="00BF271F">
              <w:rPr>
                <w:vertAlign w:val="superscript"/>
              </w:rPr>
              <w:t>a</w:t>
            </w:r>
          </w:p>
        </w:tc>
        <w:tc>
          <w:tcPr>
            <w:tcW w:w="2499" w:type="pct"/>
            <w:noWrap/>
          </w:tcPr>
          <w:p w14:paraId="3EAE5FFD" w14:textId="1FC8D396" w:rsidR="00BF271F" w:rsidRPr="00BF271F" w:rsidRDefault="00BF271F" w:rsidP="00BF271F">
            <w:pPr>
              <w:pStyle w:val="TableText"/>
              <w:rPr>
                <w:rStyle w:val="Emphasis"/>
              </w:rPr>
            </w:pPr>
            <w:r w:rsidRPr="00BF271F">
              <w:rPr>
                <w:rStyle w:val="Emphasis"/>
              </w:rPr>
              <w:t>Oncorhynchus mykiss</w:t>
            </w:r>
          </w:p>
        </w:tc>
      </w:tr>
      <w:tr w:rsidR="00BF271F" w14:paraId="4213695D" w14:textId="77777777" w:rsidTr="00F93E78">
        <w:trPr>
          <w:cantSplit/>
          <w:trHeight w:val="315"/>
        </w:trPr>
        <w:tc>
          <w:tcPr>
            <w:tcW w:w="2501" w:type="pct"/>
            <w:noWrap/>
          </w:tcPr>
          <w:p w14:paraId="6380CAB2" w14:textId="7669EB72" w:rsidR="00BF271F" w:rsidRDefault="00BF271F" w:rsidP="00BF271F">
            <w:pPr>
              <w:pStyle w:val="TableText"/>
            </w:pPr>
            <w:r w:rsidRPr="00FD151D">
              <w:t>Salmon louse</w:t>
            </w:r>
          </w:p>
        </w:tc>
        <w:tc>
          <w:tcPr>
            <w:tcW w:w="2499" w:type="pct"/>
            <w:noWrap/>
          </w:tcPr>
          <w:p w14:paraId="5EECEB80" w14:textId="504773E1" w:rsidR="00BF271F" w:rsidRPr="00BF271F" w:rsidRDefault="00BF271F" w:rsidP="00BF271F">
            <w:pPr>
              <w:pStyle w:val="TableText"/>
              <w:rPr>
                <w:rStyle w:val="Emphasis"/>
                <w:i w:val="0"/>
                <w:iCs w:val="0"/>
              </w:rPr>
            </w:pPr>
            <w:r w:rsidRPr="00BF271F">
              <w:rPr>
                <w:rStyle w:val="Emphasis"/>
              </w:rPr>
              <w:t>Lepeophtheirus salmonis</w:t>
            </w:r>
            <w:r w:rsidRPr="00FD151D">
              <w:t xml:space="preserve"> and </w:t>
            </w:r>
            <w:r w:rsidRPr="00BF271F">
              <w:rPr>
                <w:rStyle w:val="Emphasis"/>
              </w:rPr>
              <w:t xml:space="preserve">Caligus </w:t>
            </w:r>
            <w:r w:rsidR="006F6E14" w:rsidRPr="006F6E14">
              <w:rPr>
                <w:rStyle w:val="Emphasis"/>
              </w:rPr>
              <w:t>coryphaenae</w:t>
            </w:r>
          </w:p>
        </w:tc>
      </w:tr>
    </w:tbl>
    <w:p w14:paraId="4FF1EEC1" w14:textId="7AB92A3E" w:rsidR="00BF271F" w:rsidRDefault="00BF271F" w:rsidP="00BF271F">
      <w:pPr>
        <w:pStyle w:val="FigureTableNoteSource"/>
      </w:pPr>
      <w:r w:rsidRPr="00DF2031">
        <w:rPr>
          <w:rStyle w:val="Strong"/>
        </w:rPr>
        <w:t>a</w:t>
      </w:r>
      <w:r w:rsidRPr="00DF2031">
        <w:t xml:space="preserve"> Naturally susceptible</w:t>
      </w:r>
      <w:r>
        <w:t>. Note:</w:t>
      </w:r>
      <w:r w:rsidRPr="00DF2031">
        <w:t xml:space="preserve"> </w:t>
      </w:r>
      <w:r>
        <w:t>O</w:t>
      </w:r>
      <w:r w:rsidRPr="00DF2031">
        <w:t>ther species have been shown to be experimentally susceptible</w:t>
      </w:r>
      <w:r>
        <w:t>.</w:t>
      </w:r>
    </w:p>
    <w:p w14:paraId="07189146" w14:textId="77777777" w:rsidR="00ED0614" w:rsidRDefault="00E260DC">
      <w:pPr>
        <w:pStyle w:val="Heading2"/>
      </w:pPr>
      <w:r>
        <w:lastRenderedPageBreak/>
        <w:t>Presence in Australia</w:t>
      </w:r>
    </w:p>
    <w:p w14:paraId="12DFE40E" w14:textId="277F361A" w:rsidR="00FD7D78" w:rsidRDefault="004B703A">
      <w:pPr>
        <w:keepNext/>
        <w:keepLines/>
      </w:pPr>
      <w:r w:rsidRPr="004B703A">
        <w:t>Exotic disease—not recorded in Australia.</w:t>
      </w:r>
    </w:p>
    <w:p w14:paraId="0E915BBC" w14:textId="031DDB0A" w:rsidR="00162F1F" w:rsidRDefault="00BF271F">
      <w:pPr>
        <w:keepNext/>
        <w:keepLines/>
      </w:pPr>
      <w:r w:rsidRPr="00BF271F">
        <w:t>The distantly related pilchard orthomyxo-like virus (POMV) has been reported from wild caught pilchards and cultured Atlantic salmon in Tasmania, but infectious salmon anaemia caused by infection with HPR-deleted or HPR0 ISAV has not been recorded in Australia and is considered exotic.</w:t>
      </w:r>
    </w:p>
    <w:p w14:paraId="55B0F228" w14:textId="1E002AC8" w:rsidR="00ED0614" w:rsidRDefault="00E260DC">
      <w:pPr>
        <w:pStyle w:val="Caption"/>
      </w:pPr>
      <w:r>
        <w:t xml:space="preserve">Map </w:t>
      </w:r>
      <w:r>
        <w:rPr>
          <w:noProof/>
        </w:rPr>
        <w:fldChar w:fldCharType="begin"/>
      </w:r>
      <w:r>
        <w:rPr>
          <w:noProof/>
        </w:rPr>
        <w:instrText xml:space="preserve"> SEQ Map \* ARABIC </w:instrText>
      </w:r>
      <w:r>
        <w:rPr>
          <w:noProof/>
        </w:rPr>
        <w:fldChar w:fldCharType="separate"/>
      </w:r>
      <w:r w:rsidR="00035375">
        <w:rPr>
          <w:noProof/>
        </w:rPr>
        <w:t>1</w:t>
      </w:r>
      <w:r>
        <w:rPr>
          <w:noProof/>
        </w:rPr>
        <w:fldChar w:fldCharType="end"/>
      </w:r>
      <w:r>
        <w:t xml:space="preserve"> Presence </w:t>
      </w:r>
      <w:r w:rsidR="004B703A" w:rsidRPr="004B703A">
        <w:t xml:space="preserve">of </w:t>
      </w:r>
      <w:r w:rsidR="006B048B">
        <w:t>ISAV</w:t>
      </w:r>
      <w:r>
        <w:t>, by jurisdiction</w:t>
      </w:r>
    </w:p>
    <w:p w14:paraId="0046BA22" w14:textId="77777777" w:rsidR="00ED0614" w:rsidRDefault="00E260DC">
      <w:r>
        <w:rPr>
          <w:noProof/>
          <w:lang w:eastAsia="en-AU"/>
        </w:rPr>
        <w:drawing>
          <wp:inline distT="0" distB="0" distL="0" distR="0" wp14:anchorId="1C3B5809" wp14:editId="7EAC54EB">
            <wp:extent cx="4137772" cy="2946411"/>
            <wp:effectExtent l="0" t="0" r="0" b="635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ie and Vic AVG.png"/>
                    <pic:cNvPicPr/>
                  </pic:nvPicPr>
                  <pic:blipFill>
                    <a:blip r:embed="rId12" cstate="print">
                      <a:extLst>
                        <a:ext uri="{28A0092B-C50C-407E-A947-70E740481C1C}">
                          <a14:useLocalDpi xmlns:a14="http://schemas.microsoft.com/office/drawing/2010/main"/>
                        </a:ext>
                      </a:extLst>
                    </a:blip>
                    <a:stretch>
                      <a:fillRect/>
                    </a:stretch>
                  </pic:blipFill>
                  <pic:spPr>
                    <a:xfrm>
                      <a:off x="0" y="0"/>
                      <a:ext cx="4137772" cy="2946411"/>
                    </a:xfrm>
                    <a:prstGeom prst="rect">
                      <a:avLst/>
                    </a:prstGeom>
                  </pic:spPr>
                </pic:pic>
              </a:graphicData>
            </a:graphic>
          </wp:inline>
        </w:drawing>
      </w:r>
    </w:p>
    <w:p w14:paraId="345F5669" w14:textId="77777777" w:rsidR="00ED0614" w:rsidRDefault="00E260DC" w:rsidP="002521EC">
      <w:pPr>
        <w:pStyle w:val="Heading2"/>
        <w:keepLines/>
      </w:pPr>
      <w:r>
        <w:t>Epidemiology</w:t>
      </w:r>
    </w:p>
    <w:p w14:paraId="117F74DB" w14:textId="140F411F" w:rsidR="00BF271F" w:rsidRDefault="00BF271F" w:rsidP="00BF271F">
      <w:pPr>
        <w:pStyle w:val="ListBullet"/>
      </w:pPr>
      <w:r>
        <w:t xml:space="preserve">ISA occurs mainly in the </w:t>
      </w:r>
      <w:r w:rsidR="00F93E78">
        <w:t>n</w:t>
      </w:r>
      <w:r>
        <w:t xml:space="preserve">orthern </w:t>
      </w:r>
      <w:r w:rsidR="00F93E78">
        <w:t>h</w:t>
      </w:r>
      <w:r>
        <w:t xml:space="preserve">emisphere in spring and early winter </w:t>
      </w:r>
      <w:r w:rsidR="00C0247F">
        <w:t>(</w:t>
      </w:r>
      <w:r>
        <w:t>water temperatures from</w:t>
      </w:r>
      <w:r w:rsidR="00F80772">
        <w:t> </w:t>
      </w:r>
      <w:r>
        <w:t>3°C to above</w:t>
      </w:r>
      <w:r w:rsidR="00F80772">
        <w:t> </w:t>
      </w:r>
      <w:r>
        <w:t>15°C</w:t>
      </w:r>
      <w:r w:rsidR="00C0247F">
        <w:t>)</w:t>
      </w:r>
      <w:r>
        <w:t>.</w:t>
      </w:r>
    </w:p>
    <w:p w14:paraId="61B2ACA1" w14:textId="77777777" w:rsidR="00BF271F" w:rsidRDefault="00BF271F" w:rsidP="00BF271F">
      <w:pPr>
        <w:pStyle w:val="ListBullet"/>
      </w:pPr>
      <w:r>
        <w:t>The disease has caused major epizootics and severely impacted Atlantic salmon aquaculture production in Norway, Scotland, Canada and Chile.</w:t>
      </w:r>
    </w:p>
    <w:p w14:paraId="1E9589BC" w14:textId="095CD8B8" w:rsidR="00BF271F" w:rsidRDefault="00BF271F" w:rsidP="00BF271F">
      <w:pPr>
        <w:pStyle w:val="ListBullet"/>
      </w:pPr>
      <w:r>
        <w:t>Mortality rates vary from</w:t>
      </w:r>
      <w:r w:rsidR="00F80772">
        <w:t> </w:t>
      </w:r>
      <w:r>
        <w:t>15% to</w:t>
      </w:r>
      <w:r w:rsidR="00F80772">
        <w:t> </w:t>
      </w:r>
      <w:r>
        <w:t>100%; mortality may occur over a prolonged period, not necessarily as acute outbreaks.</w:t>
      </w:r>
    </w:p>
    <w:p w14:paraId="69D1C4B1" w14:textId="49F2BB8C" w:rsidR="00BF271F" w:rsidRDefault="00BF271F" w:rsidP="00BF271F">
      <w:pPr>
        <w:pStyle w:val="ListBullet"/>
      </w:pPr>
      <w:r>
        <w:t>ISA is mainly transmitted horizontally through the water column</w:t>
      </w:r>
      <w:r w:rsidR="00F80772">
        <w:t>,</w:t>
      </w:r>
      <w:r>
        <w:t xml:space="preserve"> but also by vectors (sea</w:t>
      </w:r>
      <w:r w:rsidR="00F80772">
        <w:t> </w:t>
      </w:r>
      <w:r>
        <w:t>lice and populations of asymptomatic wild fish carriers).</w:t>
      </w:r>
    </w:p>
    <w:p w14:paraId="2F739A83" w14:textId="0011C640" w:rsidR="00BF271F" w:rsidRDefault="00BF271F" w:rsidP="00BF271F">
      <w:pPr>
        <w:pStyle w:val="ListBullet"/>
      </w:pPr>
      <w:r>
        <w:t>Experimental infection demonstrated mortalities within 15</w:t>
      </w:r>
      <w:r w:rsidR="00F80772">
        <w:t> </w:t>
      </w:r>
      <w:r>
        <w:t>days of exposure to ISA</w:t>
      </w:r>
      <w:r w:rsidR="00F80772">
        <w:t>V</w:t>
      </w:r>
      <w:r>
        <w:t>.</w:t>
      </w:r>
    </w:p>
    <w:p w14:paraId="00FB4FC3" w14:textId="28296BB4" w:rsidR="00BF271F" w:rsidRDefault="00BF271F" w:rsidP="00BF271F">
      <w:pPr>
        <w:pStyle w:val="ListBullet"/>
      </w:pPr>
      <w:r>
        <w:t xml:space="preserve">Spread of the disease has occurred with the movement of live juvenile salmonids </w:t>
      </w:r>
      <w:r w:rsidR="00C0247F">
        <w:t>between</w:t>
      </w:r>
      <w:r>
        <w:t xml:space="preserve"> fish farm</w:t>
      </w:r>
      <w:r w:rsidR="00C0247F">
        <w:t>s</w:t>
      </w:r>
      <w:r>
        <w:t>, with the discharge of organic waste from fish processing plants into the marine environment and via water movement.</w:t>
      </w:r>
    </w:p>
    <w:p w14:paraId="442F99D9" w14:textId="77777777" w:rsidR="00BF271F" w:rsidRDefault="00BF271F" w:rsidP="00BF271F">
      <w:pPr>
        <w:pStyle w:val="ListBullet"/>
      </w:pPr>
      <w:r>
        <w:t>The majority of natural outbreaks seem to occur in salmonid post-smolts.</w:t>
      </w:r>
    </w:p>
    <w:p w14:paraId="712DE189" w14:textId="58159AA0" w:rsidR="00BF271F" w:rsidRDefault="00BF271F" w:rsidP="00BF271F">
      <w:pPr>
        <w:pStyle w:val="ListBullet"/>
      </w:pPr>
      <w:r>
        <w:t>ISA has been the subject of extensive eradication campaigns in several countries. These can be successful</w:t>
      </w:r>
      <w:r w:rsidR="00F80772">
        <w:t>,</w:t>
      </w:r>
      <w:r>
        <w:t xml:space="preserve"> </w:t>
      </w:r>
      <w:r w:rsidR="00F80772">
        <w:t xml:space="preserve">but </w:t>
      </w:r>
      <w:r>
        <w:t>require vigilance to maintain 'free' status.</w:t>
      </w:r>
    </w:p>
    <w:p w14:paraId="45CF7725" w14:textId="4FD9DBD8" w:rsidR="00ED0614" w:rsidRDefault="00BF271F" w:rsidP="00BF271F">
      <w:pPr>
        <w:pStyle w:val="ListBullet"/>
      </w:pPr>
      <w:r>
        <w:lastRenderedPageBreak/>
        <w:t>It appears that stressors such as husbandry practices (</w:t>
      </w:r>
      <w:r w:rsidR="00C87D4C">
        <w:t>including</w:t>
      </w:r>
      <w:r>
        <w:t xml:space="preserve"> treatment against salmon lice or infectious diseases), rising or falling temperatures, and poor water quality can predispose salmon to outbreaks of ISA</w:t>
      </w:r>
      <w:r w:rsidR="00162F1F">
        <w:t>.</w:t>
      </w:r>
    </w:p>
    <w:p w14:paraId="431A90C5" w14:textId="77777777" w:rsidR="00ED0614" w:rsidRDefault="00E260DC">
      <w:pPr>
        <w:pStyle w:val="Heading2"/>
      </w:pPr>
      <w:r>
        <w:t>Differential diagnosis</w:t>
      </w:r>
    </w:p>
    <w:p w14:paraId="00D9EE0B" w14:textId="19BE95C1" w:rsidR="00ED0614" w:rsidRDefault="00E260DC">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0D38F7" w:rsidRPr="000D38F7">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38DC32F" w14:textId="77777777" w:rsidR="00ED0614" w:rsidRDefault="00E260DC">
      <w:pPr>
        <w:pStyle w:val="Heading2"/>
      </w:pPr>
      <w:bookmarkStart w:id="1" w:name="_Similar_diseases"/>
      <w:bookmarkEnd w:id="1"/>
      <w:r>
        <w:t>Similar diseases</w:t>
      </w:r>
    </w:p>
    <w:p w14:paraId="3085BBD7" w14:textId="7D3A8AAB" w:rsidR="00ED0614" w:rsidRDefault="00BF271F">
      <w:r w:rsidRPr="00BF271F">
        <w:t xml:space="preserve">Bacterial kidney disease (BKD), enteric red mouth disease (ERMD), infection with </w:t>
      </w:r>
      <w:r w:rsidRPr="00BF271F">
        <w:rPr>
          <w:rStyle w:val="Emphasis"/>
        </w:rPr>
        <w:t>Aeromonas</w:t>
      </w:r>
      <w:r w:rsidRPr="00BF271F">
        <w:t xml:space="preserve"> </w:t>
      </w:r>
      <w:r w:rsidRPr="00BF271F">
        <w:rPr>
          <w:rStyle w:val="Emphasis"/>
        </w:rPr>
        <w:t>salmonicida</w:t>
      </w:r>
      <w:r w:rsidRPr="00BF271F">
        <w:t xml:space="preserve"> atypical strains, infection with salmonid alphavirus (SAV), infectious haematopoietic necrosis (IHN), infectious pancreatic necrosis (IPN)</w:t>
      </w:r>
      <w:r w:rsidR="002A2191">
        <w:t xml:space="preserve"> </w:t>
      </w:r>
      <w:r w:rsidR="00C87D4C">
        <w:t>and</w:t>
      </w:r>
      <w:r w:rsidRPr="00BF271F">
        <w:t xml:space="preserve"> piscirickettsiosis</w:t>
      </w:r>
      <w:r w:rsidR="00C87D4C">
        <w:t>.</w:t>
      </w:r>
    </w:p>
    <w:p w14:paraId="1583FD47" w14:textId="77777777" w:rsidR="00ED0614" w:rsidRDefault="00E260DC">
      <w:pPr>
        <w:pStyle w:val="Heading2"/>
      </w:pPr>
      <w:r>
        <w:t>Sample collection</w:t>
      </w:r>
    </w:p>
    <w:p w14:paraId="023FB03E" w14:textId="73624794" w:rsidR="00ED0614" w:rsidRDefault="00742002">
      <w:r w:rsidRPr="00742002">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6058F664" w14:textId="77777777" w:rsidR="00ED0614" w:rsidRDefault="00E260DC">
      <w:pPr>
        <w:pStyle w:val="Heading2"/>
      </w:pPr>
      <w:r>
        <w:t>Emergency disease hotline</w:t>
      </w:r>
    </w:p>
    <w:p w14:paraId="4FF13930" w14:textId="77777777" w:rsidR="00ED0614" w:rsidRDefault="00E260DC" w:rsidP="00270423">
      <w:pPr>
        <w:keepNext/>
      </w:pPr>
      <w:r>
        <w:t>See something you think is this disease? Report it. Even if you’re not sure.</w:t>
      </w:r>
    </w:p>
    <w:p w14:paraId="57CF72E2" w14:textId="3DD8C984" w:rsidR="002521EC" w:rsidRPr="002521EC" w:rsidRDefault="00E260DC" w:rsidP="004A5DDC">
      <w:pPr>
        <w:rPr>
          <w:lang w:eastAsia="ja-JP"/>
        </w:rPr>
      </w:pPr>
      <w:r>
        <w:t xml:space="preserve">Call the Emergency Animal Disease Watch Hotline on </w:t>
      </w:r>
      <w:r w:rsidR="007B72EC">
        <w:rPr>
          <w:rStyle w:val="Strong"/>
        </w:rPr>
        <w:t>1800 675 888</w:t>
      </w:r>
      <w:r>
        <w:t>. They will refer you to the right state or territory agency.</w:t>
      </w:r>
    </w:p>
    <w:p w14:paraId="2830B649" w14:textId="4065ADE8" w:rsidR="00BF271F" w:rsidRDefault="00BF271F" w:rsidP="003C1061">
      <w:pPr>
        <w:pStyle w:val="Heading2"/>
        <w:keepLines/>
      </w:pPr>
      <w:r>
        <w:t>Microscope images</w:t>
      </w:r>
    </w:p>
    <w:p w14:paraId="5D969941" w14:textId="17A362F3" w:rsidR="00BF271F" w:rsidRPr="007F1EDC" w:rsidRDefault="00BF271F" w:rsidP="00BF271F">
      <w:pPr>
        <w:pStyle w:val="Caption"/>
      </w:pPr>
      <w:r>
        <w:t xml:space="preserve">Figure </w:t>
      </w:r>
      <w:r w:rsidR="006208AC">
        <w:rPr>
          <w:noProof/>
        </w:rPr>
        <w:fldChar w:fldCharType="begin"/>
      </w:r>
      <w:r w:rsidR="006208AC">
        <w:rPr>
          <w:noProof/>
        </w:rPr>
        <w:instrText xml:space="preserve"> SEQ Figure \* ARABIC </w:instrText>
      </w:r>
      <w:r w:rsidR="006208AC">
        <w:rPr>
          <w:noProof/>
        </w:rPr>
        <w:fldChar w:fldCharType="separate"/>
      </w:r>
      <w:r w:rsidR="00035375">
        <w:rPr>
          <w:noProof/>
        </w:rPr>
        <w:t>2</w:t>
      </w:r>
      <w:r w:rsidR="006208AC">
        <w:rPr>
          <w:noProof/>
        </w:rPr>
        <w:fldChar w:fldCharType="end"/>
      </w:r>
      <w:r>
        <w:t xml:space="preserve"> </w:t>
      </w:r>
      <w:r w:rsidRPr="00BF271F">
        <w:rPr>
          <w:noProof/>
        </w:rPr>
        <w:t>Histopathology of liver of Atlantic salmon (</w:t>
      </w:r>
      <w:r w:rsidRPr="00BF271F">
        <w:rPr>
          <w:rStyle w:val="Emphasis"/>
        </w:rPr>
        <w:t>Salmo salar</w:t>
      </w:r>
      <w:r w:rsidRPr="00BF271F">
        <w:rPr>
          <w:noProof/>
        </w:rPr>
        <w:t>) with ISA</w:t>
      </w:r>
    </w:p>
    <w:p w14:paraId="75823A29" w14:textId="77777777" w:rsidR="00BF271F" w:rsidRPr="007F1EDC" w:rsidRDefault="00BF271F" w:rsidP="00BF271F">
      <w:r w:rsidRPr="002C4140">
        <w:rPr>
          <w:noProof/>
          <w:lang w:eastAsia="en-AU"/>
        </w:rPr>
        <w:drawing>
          <wp:inline distT="0" distB="0" distL="0" distR="0" wp14:anchorId="67F07EC1" wp14:editId="643B37A0">
            <wp:extent cx="3960000" cy="2520000"/>
            <wp:effectExtent l="0" t="0" r="2540" b="0"/>
            <wp:docPr id="8" name="Picture 10" descr="Liver from Atlantic salmon (Salmo salar) with ISA, showing multifocal bridging necrosis, leaving tissue around smaller veins viable. Source: T Po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4-liver.jpg"/>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3960000" cy="2520000"/>
                    </a:xfrm>
                    <a:prstGeom prst="rect">
                      <a:avLst/>
                    </a:prstGeom>
                    <a:ln>
                      <a:noFill/>
                    </a:ln>
                    <a:extLst>
                      <a:ext uri="{53640926-AAD7-44D8-BBD7-CCE9431645EC}">
                        <a14:shadowObscured xmlns:a14="http://schemas.microsoft.com/office/drawing/2010/main"/>
                      </a:ext>
                    </a:extLst>
                  </pic:spPr>
                </pic:pic>
              </a:graphicData>
            </a:graphic>
          </wp:inline>
        </w:drawing>
      </w:r>
    </w:p>
    <w:p w14:paraId="1FFE3826" w14:textId="77777777" w:rsidR="00BF271F" w:rsidRDefault="00BF271F" w:rsidP="00BF271F">
      <w:pPr>
        <w:pStyle w:val="FigureTableNoteSource"/>
      </w:pPr>
      <w:r w:rsidRPr="007F1EDC">
        <w:t xml:space="preserve">Note: </w:t>
      </w:r>
      <w:r>
        <w:t>Multifocal bridging necrosis, leaving viable tissue around smaller veins.</w:t>
      </w:r>
    </w:p>
    <w:p w14:paraId="76BCCA04" w14:textId="77777777" w:rsidR="00BF271F" w:rsidRDefault="00BF271F" w:rsidP="00BF271F">
      <w:pPr>
        <w:pStyle w:val="FigureTableNoteSource"/>
      </w:pPr>
      <w:r>
        <w:t>Source: T Poppe.</w:t>
      </w:r>
    </w:p>
    <w:p w14:paraId="439EEED8" w14:textId="05DE7CB1" w:rsidR="00BF271F" w:rsidRPr="007F1EDC" w:rsidRDefault="00BF271F" w:rsidP="00BF271F">
      <w:pPr>
        <w:pStyle w:val="Caption"/>
      </w:pPr>
      <w:r>
        <w:lastRenderedPageBreak/>
        <w:t xml:space="preserve">Figure </w:t>
      </w:r>
      <w:r w:rsidR="006208AC">
        <w:rPr>
          <w:noProof/>
        </w:rPr>
        <w:fldChar w:fldCharType="begin"/>
      </w:r>
      <w:r w:rsidR="006208AC">
        <w:rPr>
          <w:noProof/>
        </w:rPr>
        <w:instrText xml:space="preserve"> SEQ Figure \* ARABIC </w:instrText>
      </w:r>
      <w:r w:rsidR="006208AC">
        <w:rPr>
          <w:noProof/>
        </w:rPr>
        <w:fldChar w:fldCharType="separate"/>
      </w:r>
      <w:r w:rsidR="00035375">
        <w:rPr>
          <w:noProof/>
        </w:rPr>
        <w:t>3</w:t>
      </w:r>
      <w:r w:rsidR="006208AC">
        <w:rPr>
          <w:noProof/>
        </w:rPr>
        <w:fldChar w:fldCharType="end"/>
      </w:r>
      <w:r>
        <w:t xml:space="preserve"> </w:t>
      </w:r>
      <w:r w:rsidRPr="00BF271F">
        <w:rPr>
          <w:noProof/>
        </w:rPr>
        <w:t>Histopathology of kidney of Atlantic salmon (</w:t>
      </w:r>
      <w:r w:rsidRPr="00BF271F">
        <w:rPr>
          <w:rStyle w:val="Emphasis"/>
        </w:rPr>
        <w:t>Salmo salar</w:t>
      </w:r>
      <w:r w:rsidRPr="00BF271F">
        <w:rPr>
          <w:noProof/>
        </w:rPr>
        <w:t>) with ISA</w:t>
      </w:r>
    </w:p>
    <w:p w14:paraId="433DA3D1" w14:textId="77777777" w:rsidR="00BF271F" w:rsidRPr="007F1EDC" w:rsidRDefault="00BF271F" w:rsidP="00BF271F">
      <w:r w:rsidRPr="002C4140">
        <w:rPr>
          <w:noProof/>
          <w:lang w:eastAsia="en-AU"/>
        </w:rPr>
        <w:drawing>
          <wp:inline distT="0" distB="0" distL="0" distR="0" wp14:anchorId="5A3DC13D" wp14:editId="7DCAE7B1">
            <wp:extent cx="3959589" cy="3073372"/>
            <wp:effectExtent l="0" t="0" r="3175"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5-kidney.jpg"/>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3960000" cy="3073691"/>
                    </a:xfrm>
                    <a:prstGeom prst="rect">
                      <a:avLst/>
                    </a:prstGeom>
                    <a:ln>
                      <a:noFill/>
                    </a:ln>
                    <a:extLst>
                      <a:ext uri="{53640926-AAD7-44D8-BBD7-CCE9431645EC}">
                        <a14:shadowObscured xmlns:a14="http://schemas.microsoft.com/office/drawing/2010/main"/>
                      </a:ext>
                    </a:extLst>
                  </pic:spPr>
                </pic:pic>
              </a:graphicData>
            </a:graphic>
          </wp:inline>
        </w:drawing>
      </w:r>
    </w:p>
    <w:p w14:paraId="42B9FF25" w14:textId="77777777" w:rsidR="00C87D4C" w:rsidRDefault="00BF271F" w:rsidP="00C87D4C">
      <w:pPr>
        <w:pStyle w:val="FigureTableNoteSource"/>
      </w:pPr>
      <w:r w:rsidRPr="007F1EDC">
        <w:t xml:space="preserve">Note: </w:t>
      </w:r>
      <w:r>
        <w:t>Renal interstitial haemorrhage.</w:t>
      </w:r>
    </w:p>
    <w:p w14:paraId="7461D335" w14:textId="747E0B33" w:rsidR="00BF271F" w:rsidRDefault="00BF271F" w:rsidP="00C87D4C">
      <w:pPr>
        <w:pStyle w:val="FigureTableNoteSource"/>
      </w:pPr>
      <w:r>
        <w:t>Source: T Poppe</w:t>
      </w:r>
    </w:p>
    <w:p w14:paraId="6B39C243" w14:textId="77777777" w:rsidR="00ED0614" w:rsidRDefault="00E260DC" w:rsidP="003C1061">
      <w:pPr>
        <w:pStyle w:val="Heading2"/>
        <w:keepLines/>
        <w:rPr>
          <w:rFonts w:ascii="Cambria" w:eastAsiaTheme="minorHAnsi" w:hAnsi="Cambria"/>
          <w:b w:val="0"/>
          <w:bCs w:val="0"/>
          <w:color w:val="auto"/>
          <w:sz w:val="22"/>
          <w:szCs w:val="22"/>
          <w:lang w:eastAsia="en-US"/>
        </w:rPr>
      </w:pPr>
      <w:r>
        <w:t>Further reading</w:t>
      </w:r>
    </w:p>
    <w:p w14:paraId="27C95C41" w14:textId="74EADCBC" w:rsidR="00BF271F" w:rsidRDefault="00035375" w:rsidP="00BF271F">
      <w:r>
        <w:t>Department of Agriculture, Water and the Environment</w:t>
      </w:r>
      <w:r w:rsidR="00BF271F">
        <w:t xml:space="preserve"> </w:t>
      </w:r>
      <w:hyperlink r:id="rId15" w:history="1">
        <w:r w:rsidR="00BF271F" w:rsidRPr="00BF271F">
          <w:rPr>
            <w:rStyle w:val="Hyperlink"/>
          </w:rPr>
          <w:t>AQUAVETPLAN</w:t>
        </w:r>
        <w:r w:rsidR="00905361" w:rsidRPr="00BF271F">
          <w:rPr>
            <w:rStyle w:val="Hyperlink"/>
          </w:rPr>
          <w:t xml:space="preserve"> disease str</w:t>
        </w:r>
        <w:r w:rsidR="00BF271F" w:rsidRPr="00BF271F">
          <w:rPr>
            <w:rStyle w:val="Hyperlink"/>
          </w:rPr>
          <w:t>ategy</w:t>
        </w:r>
        <w:r w:rsidR="00905361">
          <w:rPr>
            <w:rStyle w:val="Hyperlink"/>
          </w:rPr>
          <w:t xml:space="preserve"> manual</w:t>
        </w:r>
        <w:r w:rsidR="00BF271F" w:rsidRPr="00BF271F">
          <w:rPr>
            <w:rStyle w:val="Hyperlink"/>
          </w:rPr>
          <w:t>: Infectious salmon anaemia</w:t>
        </w:r>
      </w:hyperlink>
    </w:p>
    <w:p w14:paraId="65AC697A" w14:textId="315CD74A" w:rsidR="00BF271F" w:rsidRDefault="00BF271F" w:rsidP="00BF271F">
      <w:r w:rsidRPr="004A5DDC">
        <w:t xml:space="preserve">World Organisation for Animal Health </w:t>
      </w:r>
      <w:hyperlink r:id="rId16" w:history="1">
        <w:r w:rsidRPr="004A5DDC">
          <w:rPr>
            <w:rStyle w:val="Hyperlink"/>
          </w:rPr>
          <w:t>Manual o</w:t>
        </w:r>
        <w:r w:rsidR="00905361" w:rsidRPr="004A5DDC">
          <w:rPr>
            <w:rStyle w:val="Hyperlink"/>
          </w:rPr>
          <w:t>f diagnostic tests for aquatic an</w:t>
        </w:r>
        <w:r w:rsidRPr="004A5DDC">
          <w:rPr>
            <w:rStyle w:val="Hyperlink"/>
          </w:rPr>
          <w:t>imals</w:t>
        </w:r>
      </w:hyperlink>
    </w:p>
    <w:p w14:paraId="651B3923" w14:textId="0B45157F" w:rsidR="004B703A" w:rsidRDefault="00515A0F" w:rsidP="00BF271F">
      <w:r>
        <w:t>These</w:t>
      </w:r>
      <w:r w:rsidR="004B703A">
        <w:t xml:space="preserve"> hyperlink</w:t>
      </w:r>
      <w:r>
        <w:t>s</w:t>
      </w:r>
      <w:r w:rsidR="004B703A">
        <w:t xml:space="preserve"> w</w:t>
      </w:r>
      <w:r>
        <w:t>ere</w:t>
      </w:r>
      <w:r w:rsidR="004B703A">
        <w:t xml:space="preserve"> correct at the time of publication.</w:t>
      </w:r>
    </w:p>
    <w:p w14:paraId="1AF792C8" w14:textId="77777777" w:rsidR="00ED0614" w:rsidRDefault="00E260DC">
      <w:pPr>
        <w:pStyle w:val="Heading2"/>
        <w:ind w:left="0" w:firstLine="0"/>
      </w:pPr>
      <w:r>
        <w:t>Contact details</w:t>
      </w:r>
    </w:p>
    <w:p w14:paraId="26C6D2C2" w14:textId="77777777" w:rsidR="00ED0614" w:rsidRDefault="00E260DC">
      <w:pPr>
        <w:spacing w:after="0"/>
      </w:pPr>
      <w:r>
        <w:t>Emergency Animal Disease Watch Hotline 1800 675 888</w:t>
      </w:r>
    </w:p>
    <w:p w14:paraId="3490169F" w14:textId="77777777" w:rsidR="00ED0614" w:rsidRDefault="00E260DC">
      <w:r>
        <w:t xml:space="preserve">Email </w:t>
      </w:r>
      <w:hyperlink r:id="rId17" w:history="1">
        <w:r>
          <w:rPr>
            <w:rStyle w:val="Hyperlink"/>
          </w:rPr>
          <w:t>AAH@agriculture.gov.au</w:t>
        </w:r>
      </w:hyperlink>
      <w:r>
        <w:cr/>
        <w:t xml:space="preserve">Website </w:t>
      </w:r>
      <w:hyperlink r:id="rId18" w:history="1">
        <w:r>
          <w:rPr>
            <w:rStyle w:val="Hyperlink"/>
          </w:rPr>
          <w:t>agriculture.gov.au/pests-diseases-weeds/aquatic</w:t>
        </w:r>
      </w:hyperlink>
    </w:p>
    <w:p w14:paraId="16C0A9CE" w14:textId="601002D7" w:rsidR="00ED0614" w:rsidRDefault="00E260DC">
      <w:pPr>
        <w:pStyle w:val="Normalsmall"/>
      </w:pPr>
      <w:r>
        <w:t>© Commonwealth of Australia 20</w:t>
      </w:r>
      <w:r w:rsidR="00035375">
        <w:t>20</w:t>
      </w:r>
      <w:bookmarkStart w:id="2" w:name="_GoBack"/>
      <w:bookmarkEnd w:id="2"/>
    </w:p>
    <w:p w14:paraId="783F07B8" w14:textId="77777777" w:rsidR="00ED0614" w:rsidRDefault="00E260DC">
      <w:pPr>
        <w:pStyle w:val="Normalsmall"/>
      </w:pPr>
      <w:r>
        <w:t>This work is copyright. It may be reproduced in whole or in part subject to the inclusion of an acknowledgement of the source and no commercial usage or sale.</w:t>
      </w:r>
    </w:p>
    <w:sectPr w:rsidR="00ED0614">
      <w:headerReference w:type="default" r:id="rId19"/>
      <w:footerReference w:type="default" r:id="rId20"/>
      <w:headerReference w:type="first" r:id="rId2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78D9" w14:textId="77777777" w:rsidR="00ED0614" w:rsidRDefault="00E260DC">
      <w:r>
        <w:separator/>
      </w:r>
    </w:p>
    <w:p w14:paraId="0AA4D9C1" w14:textId="77777777" w:rsidR="00ED0614" w:rsidRDefault="00ED0614"/>
    <w:p w14:paraId="71426813" w14:textId="77777777" w:rsidR="00ED0614" w:rsidRDefault="00ED0614"/>
  </w:endnote>
  <w:endnote w:type="continuationSeparator" w:id="0">
    <w:p w14:paraId="52CF7EC4" w14:textId="77777777" w:rsidR="00ED0614" w:rsidRDefault="00E260DC">
      <w:r>
        <w:continuationSeparator/>
      </w:r>
    </w:p>
    <w:p w14:paraId="7D3F088E" w14:textId="77777777" w:rsidR="00ED0614" w:rsidRDefault="00ED0614"/>
    <w:p w14:paraId="76382A3E" w14:textId="77777777" w:rsidR="00ED0614" w:rsidRDefault="00ED0614"/>
  </w:endnote>
  <w:endnote w:type="continuationNotice" w:id="1">
    <w:p w14:paraId="5C987883" w14:textId="77777777" w:rsidR="00ED0614" w:rsidRDefault="00ED0614">
      <w:pPr>
        <w:pStyle w:val="Footer"/>
      </w:pPr>
    </w:p>
    <w:p w14:paraId="6054154D" w14:textId="77777777" w:rsidR="00ED0614" w:rsidRDefault="00ED0614"/>
    <w:p w14:paraId="14C21167" w14:textId="77777777" w:rsidR="00ED0614" w:rsidRDefault="00ED0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225E" w14:textId="6913E7F8" w:rsidR="00ED0614" w:rsidRDefault="00035375">
    <w:pPr>
      <w:pStyle w:val="Footer"/>
    </w:pPr>
    <w:r>
      <w:t>Department of Agriculture, Water and the Environment</w:t>
    </w:r>
  </w:p>
  <w:p w14:paraId="17457BBE" w14:textId="77777777" w:rsidR="00ED0614" w:rsidRDefault="00E260DC">
    <w:pPr>
      <w:pStyle w:val="Footer"/>
    </w:pPr>
    <w:r>
      <w:fldChar w:fldCharType="begin"/>
    </w:r>
    <w:r>
      <w:instrText xml:space="preserve"> PAGE   \* MERGEFORMAT </w:instrText>
    </w:r>
    <w:r>
      <w:fldChar w:fldCharType="separate"/>
    </w:r>
    <w:r w:rsidR="00613FE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4587" w14:textId="77777777" w:rsidR="00ED0614" w:rsidRDefault="00E260DC">
      <w:r>
        <w:separator/>
      </w:r>
    </w:p>
    <w:p w14:paraId="653B3757" w14:textId="77777777" w:rsidR="00ED0614" w:rsidRDefault="00ED0614"/>
    <w:p w14:paraId="2BC6E2A4" w14:textId="77777777" w:rsidR="00ED0614" w:rsidRDefault="00ED0614"/>
  </w:footnote>
  <w:footnote w:type="continuationSeparator" w:id="0">
    <w:p w14:paraId="57A88842" w14:textId="77777777" w:rsidR="00ED0614" w:rsidRDefault="00E260DC">
      <w:r>
        <w:continuationSeparator/>
      </w:r>
    </w:p>
    <w:p w14:paraId="77802F2E" w14:textId="77777777" w:rsidR="00ED0614" w:rsidRDefault="00ED0614"/>
    <w:p w14:paraId="0B9EE46F" w14:textId="77777777" w:rsidR="00ED0614" w:rsidRDefault="00ED0614"/>
  </w:footnote>
  <w:footnote w:type="continuationNotice" w:id="1">
    <w:p w14:paraId="5CC249E6" w14:textId="77777777" w:rsidR="00ED0614" w:rsidRDefault="00ED0614">
      <w:pPr>
        <w:pStyle w:val="Footer"/>
      </w:pPr>
    </w:p>
    <w:p w14:paraId="2499D858" w14:textId="77777777" w:rsidR="00ED0614" w:rsidRDefault="00ED0614"/>
    <w:p w14:paraId="3D0D6F00" w14:textId="77777777" w:rsidR="00ED0614" w:rsidRDefault="00ED0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61D1" w14:textId="20513FA7" w:rsidR="00ED0614" w:rsidRPr="00CB11B9" w:rsidRDefault="00BF271F" w:rsidP="00CB11B9">
    <w:pPr>
      <w:pStyle w:val="Header"/>
    </w:pPr>
    <w:r w:rsidRPr="00BF271F">
      <w:t xml:space="preserve">Infection with </w:t>
    </w:r>
    <w:r w:rsidR="00C87D4C">
      <w:t>HPR</w:t>
    </w:r>
    <w:r w:rsidR="00C87D4C">
      <w:noBreakHyphen/>
    </w:r>
    <w:r w:rsidRPr="00BF271F">
      <w:t>deleted or HPR0 infectious salmon anaemia virus</w:t>
    </w:r>
    <w:r w:rsidR="006B048B">
      <w:t xml:space="preserve"> (ISAV)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4C9" w14:textId="77777777" w:rsidR="00ED0614" w:rsidRDefault="00E260DC">
    <w:pPr>
      <w:pStyle w:val="Header"/>
      <w:jc w:val="left"/>
    </w:pPr>
    <w:r>
      <w:rPr>
        <w:noProof/>
        <w:lang w:eastAsia="en-AU"/>
      </w:rPr>
      <w:drawing>
        <wp:anchor distT="0" distB="0" distL="114300" distR="114300" simplePos="0" relativeHeight="251658240" behindDoc="1" locked="0" layoutInCell="1" allowOverlap="1" wp14:anchorId="21AE8159" wp14:editId="67D64528">
          <wp:simplePos x="0" y="0"/>
          <wp:positionH relativeFrom="column">
            <wp:posOffset>-900429</wp:posOffset>
          </wp:positionH>
          <wp:positionV relativeFrom="paragraph">
            <wp:posOffset>-360045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14"/>
    <w:rsid w:val="00025DF0"/>
    <w:rsid w:val="00030111"/>
    <w:rsid w:val="00035375"/>
    <w:rsid w:val="00050C3A"/>
    <w:rsid w:val="00052B5F"/>
    <w:rsid w:val="00073506"/>
    <w:rsid w:val="000B2163"/>
    <w:rsid w:val="000C051E"/>
    <w:rsid w:val="000D05F1"/>
    <w:rsid w:val="000D38F7"/>
    <w:rsid w:val="000E0DC0"/>
    <w:rsid w:val="001413A7"/>
    <w:rsid w:val="001474D1"/>
    <w:rsid w:val="00150862"/>
    <w:rsid w:val="00162F1F"/>
    <w:rsid w:val="00164E54"/>
    <w:rsid w:val="001726AA"/>
    <w:rsid w:val="00193434"/>
    <w:rsid w:val="001A7824"/>
    <w:rsid w:val="001E366B"/>
    <w:rsid w:val="001E6330"/>
    <w:rsid w:val="001F30EF"/>
    <w:rsid w:val="002521EC"/>
    <w:rsid w:val="00266BD4"/>
    <w:rsid w:val="00270423"/>
    <w:rsid w:val="00274A52"/>
    <w:rsid w:val="00295944"/>
    <w:rsid w:val="002A2191"/>
    <w:rsid w:val="003C1061"/>
    <w:rsid w:val="003F4E8E"/>
    <w:rsid w:val="00422C3A"/>
    <w:rsid w:val="0045639F"/>
    <w:rsid w:val="0045792C"/>
    <w:rsid w:val="00485E32"/>
    <w:rsid w:val="004A104B"/>
    <w:rsid w:val="004A5DDC"/>
    <w:rsid w:val="004B703A"/>
    <w:rsid w:val="004E3720"/>
    <w:rsid w:val="004F69DB"/>
    <w:rsid w:val="00515A0F"/>
    <w:rsid w:val="005312B5"/>
    <w:rsid w:val="00583281"/>
    <w:rsid w:val="00583B3C"/>
    <w:rsid w:val="005A359A"/>
    <w:rsid w:val="005B0B25"/>
    <w:rsid w:val="005B5670"/>
    <w:rsid w:val="005C17C2"/>
    <w:rsid w:val="005E28F6"/>
    <w:rsid w:val="005E5930"/>
    <w:rsid w:val="005E698C"/>
    <w:rsid w:val="00613FEC"/>
    <w:rsid w:val="006208AC"/>
    <w:rsid w:val="006649F0"/>
    <w:rsid w:val="006B048B"/>
    <w:rsid w:val="006D51D3"/>
    <w:rsid w:val="006E3E02"/>
    <w:rsid w:val="006F6E14"/>
    <w:rsid w:val="00742002"/>
    <w:rsid w:val="00756677"/>
    <w:rsid w:val="007757E1"/>
    <w:rsid w:val="00793DD5"/>
    <w:rsid w:val="007A0952"/>
    <w:rsid w:val="007A15D5"/>
    <w:rsid w:val="007B72EC"/>
    <w:rsid w:val="007D5853"/>
    <w:rsid w:val="007E3043"/>
    <w:rsid w:val="007F1EDC"/>
    <w:rsid w:val="007F73EC"/>
    <w:rsid w:val="00844BA3"/>
    <w:rsid w:val="0085325A"/>
    <w:rsid w:val="00853ED4"/>
    <w:rsid w:val="00876983"/>
    <w:rsid w:val="00880A10"/>
    <w:rsid w:val="008B4009"/>
    <w:rsid w:val="00905361"/>
    <w:rsid w:val="0095639C"/>
    <w:rsid w:val="009A09FC"/>
    <w:rsid w:val="009B5DE8"/>
    <w:rsid w:val="009C7070"/>
    <w:rsid w:val="009E53A8"/>
    <w:rsid w:val="00A46EC0"/>
    <w:rsid w:val="00A83382"/>
    <w:rsid w:val="00A93B2B"/>
    <w:rsid w:val="00A94C32"/>
    <w:rsid w:val="00B93085"/>
    <w:rsid w:val="00BD10C7"/>
    <w:rsid w:val="00BE5CB5"/>
    <w:rsid w:val="00BF271F"/>
    <w:rsid w:val="00C0247F"/>
    <w:rsid w:val="00C10318"/>
    <w:rsid w:val="00C36630"/>
    <w:rsid w:val="00C605BC"/>
    <w:rsid w:val="00C87D4C"/>
    <w:rsid w:val="00CB11B9"/>
    <w:rsid w:val="00CC02C5"/>
    <w:rsid w:val="00CD0FA5"/>
    <w:rsid w:val="00D1126F"/>
    <w:rsid w:val="00D12B64"/>
    <w:rsid w:val="00D467E7"/>
    <w:rsid w:val="00D53029"/>
    <w:rsid w:val="00DD769F"/>
    <w:rsid w:val="00DD7F2B"/>
    <w:rsid w:val="00DF2031"/>
    <w:rsid w:val="00E260DC"/>
    <w:rsid w:val="00E263C9"/>
    <w:rsid w:val="00E84766"/>
    <w:rsid w:val="00ED0614"/>
    <w:rsid w:val="00F03FC2"/>
    <w:rsid w:val="00F06A73"/>
    <w:rsid w:val="00F2215F"/>
    <w:rsid w:val="00F55496"/>
    <w:rsid w:val="00F5589E"/>
    <w:rsid w:val="00F72EFE"/>
    <w:rsid w:val="00F80772"/>
    <w:rsid w:val="00F93E78"/>
    <w:rsid w:val="00FA58FC"/>
    <w:rsid w:val="00FD7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DA6F63D"/>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agriculture.gov.au/pests-diseases-weeds/aquati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AH@agriculture.gov.au" TargetMode="External"/><Relationship Id="rId2" Type="http://schemas.openxmlformats.org/officeDocument/2006/relationships/customXml" Target="../customXml/item2.xml"/><Relationship Id="rId16" Type="http://schemas.openxmlformats.org/officeDocument/2006/relationships/hyperlink" Target="http://www.oie.int/en/international-standard-setting/aquatic-manual/access-onli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iculture.gov.au/animal/aquatic/aquavetplan/infectious-salmon-anaemi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B49CA2E6-FB23-4D89-964F-2C539230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19</TotalTime>
  <Pages>5</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Infection with HPR-deleted or HPR0 infectious salmon anaemia virus (ISAV)</vt:lpstr>
    </vt:vector>
  </TitlesOfParts>
  <Company>Department of Agriculture Fisheries &amp; Forestry</Company>
  <LinksUpToDate>false</LinksUpToDate>
  <CharactersWithSpaces>7214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HPR-deleted or HPR0 infectious salmon anaemia virus (ISAV)</dc:title>
  <dc:creator>Department of Agriculture</dc:creator>
  <cp:lastModifiedBy>Caldwell, Louise</cp:lastModifiedBy>
  <cp:revision>13</cp:revision>
  <cp:lastPrinted>2020-03-11T06:03:00Z</cp:lastPrinted>
  <dcterms:created xsi:type="dcterms:W3CDTF">2019-09-06T04:31:00Z</dcterms:created>
  <dcterms:modified xsi:type="dcterms:W3CDTF">2020-03-11T06:04:00Z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