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269FB4" w14:textId="6C2106D4" w:rsidR="00ED0614" w:rsidRPr="00BD6F12" w:rsidRDefault="00122979">
      <w:pPr>
        <w:pStyle w:val="Heading1"/>
      </w:pPr>
      <w:bookmarkStart w:id="0" w:name="OLE_LINK1"/>
      <w:r w:rsidRPr="00122979">
        <w:t xml:space="preserve">Infection with </w:t>
      </w:r>
      <w:r w:rsidRPr="00122979">
        <w:rPr>
          <w:rStyle w:val="Emphasis"/>
        </w:rPr>
        <w:t>Aphanomyces invadans</w:t>
      </w:r>
    </w:p>
    <w:bookmarkEnd w:id="0"/>
    <w:p w14:paraId="2779A742" w14:textId="4E1BD9E0" w:rsidR="00E52D83" w:rsidRPr="00E52D83" w:rsidRDefault="00E52D83">
      <w:pPr>
        <w:pStyle w:val="Subtitle"/>
        <w:rPr>
          <w:sz w:val="24"/>
          <w:szCs w:val="24"/>
        </w:rPr>
      </w:pPr>
      <w:r w:rsidRPr="00E52D83">
        <w:rPr>
          <w:sz w:val="24"/>
          <w:szCs w:val="24"/>
        </w:rPr>
        <w:t>Also known as epizootic ulcerative syndrome (EUS)</w:t>
      </w:r>
      <w:r>
        <w:rPr>
          <w:sz w:val="24"/>
          <w:szCs w:val="24"/>
        </w:rPr>
        <w:t>, red spot disease</w:t>
      </w:r>
      <w:r w:rsidR="000E2206">
        <w:rPr>
          <w:sz w:val="24"/>
          <w:szCs w:val="24"/>
        </w:rPr>
        <w:t xml:space="preserve"> (RSD)</w:t>
      </w:r>
      <w:r>
        <w:rPr>
          <w:sz w:val="24"/>
          <w:szCs w:val="24"/>
        </w:rPr>
        <w:t xml:space="preserve">, </w:t>
      </w:r>
      <w:r w:rsidR="009214F2">
        <w:rPr>
          <w:sz w:val="24"/>
          <w:szCs w:val="24"/>
        </w:rPr>
        <w:t>ulcerative </w:t>
      </w:r>
      <w:r w:rsidR="009214F2" w:rsidRPr="00E52D83">
        <w:rPr>
          <w:sz w:val="24"/>
          <w:szCs w:val="24"/>
        </w:rPr>
        <w:t>mycosis</w:t>
      </w:r>
      <w:r w:rsidR="009214F2">
        <w:rPr>
          <w:sz w:val="24"/>
          <w:szCs w:val="24"/>
        </w:rPr>
        <w:t xml:space="preserve"> (UM) and </w:t>
      </w:r>
      <w:r>
        <w:rPr>
          <w:sz w:val="24"/>
          <w:szCs w:val="24"/>
        </w:rPr>
        <w:t>mycotic </w:t>
      </w:r>
      <w:r w:rsidRPr="00E52D83">
        <w:rPr>
          <w:sz w:val="24"/>
          <w:szCs w:val="24"/>
        </w:rPr>
        <w:t>granulomatosis</w:t>
      </w:r>
    </w:p>
    <w:p w14:paraId="16BA856D" w14:textId="77777777" w:rsidR="00ED0614" w:rsidRDefault="00E260DC">
      <w:pPr>
        <w:pStyle w:val="Subtitle"/>
      </w:pPr>
      <w:r>
        <w:t xml:space="preserve">From </w:t>
      </w:r>
      <w:r>
        <w:rPr>
          <w:rStyle w:val="Emphasis"/>
        </w:rPr>
        <w:t>Aquatic animal diseases significant to Australia: identification field guide</w:t>
      </w:r>
      <w:r>
        <w:t>, 5th edition</w:t>
      </w:r>
    </w:p>
    <w:p w14:paraId="0C9D70DB" w14:textId="46D7C4FD" w:rsidR="00ED0614" w:rsidRDefault="00E260DC">
      <w:pPr>
        <w:pStyle w:val="Caption"/>
      </w:pPr>
      <w:r>
        <w:t xml:space="preserve">Figure </w:t>
      </w:r>
      <w:r>
        <w:rPr>
          <w:noProof/>
        </w:rPr>
        <w:fldChar w:fldCharType="begin"/>
      </w:r>
      <w:r>
        <w:rPr>
          <w:noProof/>
        </w:rPr>
        <w:instrText xml:space="preserve"> SEQ Figure \* ARABIC </w:instrText>
      </w:r>
      <w:r>
        <w:rPr>
          <w:noProof/>
        </w:rPr>
        <w:fldChar w:fldCharType="separate"/>
      </w:r>
      <w:r w:rsidR="00195CE9">
        <w:rPr>
          <w:noProof/>
        </w:rPr>
        <w:t>1</w:t>
      </w:r>
      <w:r>
        <w:rPr>
          <w:noProof/>
        </w:rPr>
        <w:fldChar w:fldCharType="end"/>
      </w:r>
      <w:r>
        <w:t xml:space="preserve"> </w:t>
      </w:r>
      <w:r w:rsidR="002D1469">
        <w:t xml:space="preserve">EUS in </w:t>
      </w:r>
      <w:r w:rsidR="00122979" w:rsidRPr="00122979">
        <w:t>golden perch (</w:t>
      </w:r>
      <w:r w:rsidR="00122979" w:rsidRPr="00E52D83">
        <w:rPr>
          <w:rStyle w:val="Emphasis"/>
        </w:rPr>
        <w:t>Macquaria ambigua</w:t>
      </w:r>
      <w:r w:rsidR="00122979" w:rsidRPr="00122979">
        <w:t>)</w:t>
      </w:r>
    </w:p>
    <w:p w14:paraId="0EFF3543" w14:textId="57CB6A9E" w:rsidR="00ED0614" w:rsidRPr="00BD6F12" w:rsidRDefault="00122979">
      <w:r w:rsidRPr="006B2A20">
        <w:rPr>
          <w:noProof/>
          <w:lang w:eastAsia="en-AU"/>
        </w:rPr>
        <w:drawing>
          <wp:inline distT="0" distB="0" distL="0" distR="0" wp14:anchorId="31C61A9F" wp14:editId="01A7EB24">
            <wp:extent cx="3960000" cy="3132000"/>
            <wp:effectExtent l="0" t="0" r="254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ig boys callop.JPG.jpg"/>
                    <pic:cNvPicPr/>
                  </pic:nvPicPr>
                  <pic:blipFill rotWithShape="1">
                    <a:blip r:embed="rId11" cstate="print"/>
                    <a:srcRect l="25803" t="28165" r="24469" b="19384"/>
                    <a:stretch/>
                  </pic:blipFill>
                  <pic:spPr bwMode="auto">
                    <a:xfrm>
                      <a:off x="0" y="0"/>
                      <a:ext cx="3960000" cy="3132000"/>
                    </a:xfrm>
                    <a:prstGeom prst="rect">
                      <a:avLst/>
                    </a:prstGeom>
                    <a:ln>
                      <a:noFill/>
                    </a:ln>
                    <a:extLst>
                      <a:ext uri="{53640926-AAD7-44D8-BBD7-CCE9431645EC}">
                        <a14:shadowObscured xmlns:a14="http://schemas.microsoft.com/office/drawing/2010/main"/>
                      </a:ext>
                    </a:extLst>
                  </pic:spPr>
                </pic:pic>
              </a:graphicData>
            </a:graphic>
          </wp:inline>
        </w:drawing>
      </w:r>
    </w:p>
    <w:p w14:paraId="4DDB85A9" w14:textId="1010293F" w:rsidR="00976D65" w:rsidRDefault="005A743F" w:rsidP="00976D65">
      <w:pPr>
        <w:pStyle w:val="FigureTableNoteSource"/>
      </w:pPr>
      <w:r w:rsidRPr="005A743F">
        <w:t xml:space="preserve">Note: </w:t>
      </w:r>
      <w:r>
        <w:t>M</w:t>
      </w:r>
      <w:r w:rsidRPr="00122979">
        <w:t>ultiple ulcerative lesions on flanks</w:t>
      </w:r>
      <w:r w:rsidR="002D1469">
        <w:t xml:space="preserve"> caused by infection with </w:t>
      </w:r>
      <w:r w:rsidR="002D1469" w:rsidRPr="00E52D83">
        <w:rPr>
          <w:rStyle w:val="Emphasis"/>
        </w:rPr>
        <w:t>Aphanomyces</w:t>
      </w:r>
      <w:r w:rsidR="002D1469">
        <w:rPr>
          <w:rStyle w:val="Emphasis"/>
        </w:rPr>
        <w:t> </w:t>
      </w:r>
      <w:r w:rsidR="002D1469" w:rsidRPr="00E52D83">
        <w:rPr>
          <w:rStyle w:val="Emphasis"/>
        </w:rPr>
        <w:t>invadans</w:t>
      </w:r>
      <w:r w:rsidR="002D1469">
        <w:rPr>
          <w:rStyle w:val="Emphasis"/>
        </w:rPr>
        <w:t>.</w:t>
      </w:r>
    </w:p>
    <w:p w14:paraId="0FE7139E" w14:textId="6A0FCA65" w:rsidR="00ED0614" w:rsidRDefault="00122979" w:rsidP="00976D65">
      <w:pPr>
        <w:pStyle w:val="FigureTableNoteSource"/>
      </w:pPr>
      <w:r>
        <w:t>Source:</w:t>
      </w:r>
      <w:r w:rsidRPr="00122979">
        <w:t xml:space="preserve"> C Boys</w:t>
      </w:r>
    </w:p>
    <w:p w14:paraId="60DF3C2C" w14:textId="2BC49C1F" w:rsidR="00122979" w:rsidRDefault="00122979" w:rsidP="00122979">
      <w:pPr>
        <w:pStyle w:val="Caption"/>
      </w:pPr>
      <w:r>
        <w:t xml:space="preserve">Figure </w:t>
      </w:r>
      <w:r>
        <w:rPr>
          <w:noProof/>
        </w:rPr>
        <w:fldChar w:fldCharType="begin"/>
      </w:r>
      <w:r>
        <w:rPr>
          <w:noProof/>
        </w:rPr>
        <w:instrText xml:space="preserve"> SEQ Figure \* ARABIC </w:instrText>
      </w:r>
      <w:r>
        <w:rPr>
          <w:noProof/>
        </w:rPr>
        <w:fldChar w:fldCharType="separate"/>
      </w:r>
      <w:r w:rsidR="00195CE9">
        <w:rPr>
          <w:noProof/>
        </w:rPr>
        <w:t>2</w:t>
      </w:r>
      <w:r>
        <w:rPr>
          <w:noProof/>
        </w:rPr>
        <w:fldChar w:fldCharType="end"/>
      </w:r>
      <w:r>
        <w:t xml:space="preserve"> </w:t>
      </w:r>
      <w:r w:rsidRPr="00122979">
        <w:t>EUS in spangled perch (</w:t>
      </w:r>
      <w:r w:rsidRPr="00E52D83">
        <w:rPr>
          <w:rStyle w:val="Emphasis"/>
        </w:rPr>
        <w:t>Leiopotherapon unicolour</w:t>
      </w:r>
      <w:r w:rsidRPr="00122979">
        <w:t>)</w:t>
      </w:r>
    </w:p>
    <w:p w14:paraId="6F1458F2" w14:textId="5183CC7B" w:rsidR="00122979" w:rsidRPr="00BD6F12" w:rsidRDefault="00122173" w:rsidP="00122979">
      <w:r>
        <w:rPr>
          <w:noProof/>
          <w:lang w:eastAsia="en-AU"/>
        </w:rPr>
        <w:drawing>
          <wp:inline distT="0" distB="0" distL="0" distR="0" wp14:anchorId="696B40AA" wp14:editId="484867F8">
            <wp:extent cx="3960000" cy="2588400"/>
            <wp:effectExtent l="0" t="0" r="254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60000" cy="2588400"/>
                    </a:xfrm>
                    <a:prstGeom prst="rect">
                      <a:avLst/>
                    </a:prstGeom>
                    <a:noFill/>
                    <a:ln>
                      <a:noFill/>
                    </a:ln>
                  </pic:spPr>
                </pic:pic>
              </a:graphicData>
            </a:graphic>
          </wp:inline>
        </w:drawing>
      </w:r>
    </w:p>
    <w:p w14:paraId="7AA52A81" w14:textId="3A89448D" w:rsidR="00122979" w:rsidRDefault="00122979" w:rsidP="00122979">
      <w:pPr>
        <w:pStyle w:val="FigureTableNoteSource"/>
      </w:pPr>
      <w:r w:rsidRPr="005A743F">
        <w:t>Note</w:t>
      </w:r>
      <w:r w:rsidR="005A743F" w:rsidRPr="005A743F">
        <w:t xml:space="preserve"> </w:t>
      </w:r>
      <w:r w:rsidR="005A743F">
        <w:t>F</w:t>
      </w:r>
      <w:r w:rsidR="005A743F" w:rsidRPr="00122979">
        <w:t>ocal haemorrhagic ulcerative lesions</w:t>
      </w:r>
      <w:r w:rsidR="00122173">
        <w:t xml:space="preserve"> (a)</w:t>
      </w:r>
      <w:r w:rsidR="005A743F" w:rsidRPr="00122979">
        <w:t xml:space="preserve"> </w:t>
      </w:r>
      <w:r w:rsidR="009F37FE">
        <w:t xml:space="preserve">will </w:t>
      </w:r>
      <w:r w:rsidR="005A743F" w:rsidRPr="00122979">
        <w:t>progress to a deep ulcer</w:t>
      </w:r>
      <w:r w:rsidR="00122173">
        <w:t xml:space="preserve"> (b)</w:t>
      </w:r>
      <w:r w:rsidR="002D1469" w:rsidRPr="009F37FE">
        <w:t>.</w:t>
      </w:r>
    </w:p>
    <w:p w14:paraId="2D5C9AF7" w14:textId="2F1194BB" w:rsidR="00122979" w:rsidRPr="00BD6F12" w:rsidRDefault="00122979" w:rsidP="00122979">
      <w:pPr>
        <w:pStyle w:val="FigureTableNoteSource"/>
      </w:pPr>
      <w:r>
        <w:t xml:space="preserve">Source: </w:t>
      </w:r>
      <w:r w:rsidRPr="00122979">
        <w:t>C Boys</w:t>
      </w:r>
    </w:p>
    <w:p w14:paraId="77A8B94F" w14:textId="0531E665" w:rsidR="00122979" w:rsidRDefault="00122979" w:rsidP="00122979">
      <w:pPr>
        <w:pStyle w:val="Caption"/>
      </w:pPr>
      <w:r>
        <w:lastRenderedPageBreak/>
        <w:t xml:space="preserve">Figure </w:t>
      </w:r>
      <w:r>
        <w:rPr>
          <w:noProof/>
        </w:rPr>
        <w:fldChar w:fldCharType="begin"/>
      </w:r>
      <w:r>
        <w:rPr>
          <w:noProof/>
        </w:rPr>
        <w:instrText xml:space="preserve"> SEQ Figure \* ARABIC </w:instrText>
      </w:r>
      <w:r>
        <w:rPr>
          <w:noProof/>
        </w:rPr>
        <w:fldChar w:fldCharType="separate"/>
      </w:r>
      <w:r w:rsidR="00195CE9">
        <w:rPr>
          <w:noProof/>
        </w:rPr>
        <w:t>3</w:t>
      </w:r>
      <w:r>
        <w:rPr>
          <w:noProof/>
        </w:rPr>
        <w:fldChar w:fldCharType="end"/>
      </w:r>
      <w:r>
        <w:t xml:space="preserve"> </w:t>
      </w:r>
      <w:r w:rsidRPr="00122979">
        <w:t>EUS in sand whiting (</w:t>
      </w:r>
      <w:r w:rsidRPr="00E52D83">
        <w:rPr>
          <w:rStyle w:val="Emphasis"/>
        </w:rPr>
        <w:t>Sillago ciliata</w:t>
      </w:r>
      <w:r w:rsidRPr="00122979">
        <w:t>)</w:t>
      </w:r>
    </w:p>
    <w:p w14:paraId="6D4F230A" w14:textId="10002D3F" w:rsidR="009214F2" w:rsidRPr="00BD6F12" w:rsidRDefault="009214F2" w:rsidP="00122979">
      <w:r>
        <w:rPr>
          <w:noProof/>
          <w:lang w:eastAsia="en-AU"/>
        </w:rPr>
        <w:drawing>
          <wp:inline distT="0" distB="0" distL="0" distR="0" wp14:anchorId="71D4920A" wp14:editId="6F0449D5">
            <wp:extent cx="3960000" cy="2671200"/>
            <wp:effectExtent l="0" t="0" r="2540" b="0"/>
            <wp:docPr id="1" name="Picture 1" descr="EUS1culli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S1cullinan.jpg"/>
                    <pic:cNvPicPr/>
                  </pic:nvPicPr>
                  <pic:blipFill rotWithShape="1">
                    <a:blip r:embed="rId13" cstate="print">
                      <a:extLst>
                        <a:ext uri="{BEBA8EAE-BF5A-486C-A8C5-ECC9F3942E4B}">
                          <a14:imgProps xmlns:a14="http://schemas.microsoft.com/office/drawing/2010/main">
                            <a14:imgLayer r:embed="rId14">
                              <a14:imgEffect>
                                <a14:brightnessContrast bright="-20000" contrast="20000"/>
                              </a14:imgEffect>
                            </a14:imgLayer>
                          </a14:imgProps>
                        </a:ext>
                      </a:extLst>
                    </a:blip>
                    <a:srcRect l="2872" t="2399" r="3960" b="3082"/>
                    <a:stretch/>
                  </pic:blipFill>
                  <pic:spPr bwMode="auto">
                    <a:xfrm>
                      <a:off x="0" y="0"/>
                      <a:ext cx="3960000" cy="2671200"/>
                    </a:xfrm>
                    <a:prstGeom prst="rect">
                      <a:avLst/>
                    </a:prstGeom>
                    <a:ln>
                      <a:noFill/>
                    </a:ln>
                    <a:extLst>
                      <a:ext uri="{53640926-AAD7-44D8-BBD7-CCE9431645EC}">
                        <a14:shadowObscured xmlns:a14="http://schemas.microsoft.com/office/drawing/2010/main"/>
                      </a:ext>
                    </a:extLst>
                  </pic:spPr>
                </pic:pic>
              </a:graphicData>
            </a:graphic>
          </wp:inline>
        </w:drawing>
      </w:r>
    </w:p>
    <w:p w14:paraId="2D01DA5C" w14:textId="3E0398BC" w:rsidR="00122979" w:rsidRDefault="00122979" w:rsidP="00122979">
      <w:pPr>
        <w:pStyle w:val="FigureTableNoteSource"/>
      </w:pPr>
      <w:r w:rsidRPr="00786B3D">
        <w:t xml:space="preserve">Note: </w:t>
      </w:r>
      <w:r w:rsidR="00786B3D">
        <w:t>P</w:t>
      </w:r>
      <w:r w:rsidR="00786B3D" w:rsidRPr="00786B3D">
        <w:t>rogression of red lesion (</w:t>
      </w:r>
      <w:r w:rsidR="009214F2">
        <w:t>top</w:t>
      </w:r>
      <w:r w:rsidR="00786B3D" w:rsidRPr="00786B3D">
        <w:t>) to deep ulcer (</w:t>
      </w:r>
      <w:r w:rsidR="009214F2">
        <w:t>bottom</w:t>
      </w:r>
      <w:r w:rsidR="00786B3D" w:rsidRPr="00786B3D">
        <w:t xml:space="preserve">) </w:t>
      </w:r>
      <w:r w:rsidR="000E2206">
        <w:t>of</w:t>
      </w:r>
      <w:r w:rsidR="00786B3D" w:rsidRPr="00786B3D">
        <w:t xml:space="preserve"> classical red sores on the body</w:t>
      </w:r>
      <w:r w:rsidRPr="00786B3D">
        <w:t>.</w:t>
      </w:r>
    </w:p>
    <w:p w14:paraId="1F1AC408" w14:textId="7580CA1D" w:rsidR="00122979" w:rsidRPr="00BD6F12" w:rsidRDefault="00122979" w:rsidP="00122979">
      <w:pPr>
        <w:pStyle w:val="FigureTableNoteSource"/>
      </w:pPr>
      <w:r>
        <w:t xml:space="preserve">Source: </w:t>
      </w:r>
      <w:r w:rsidRPr="00122979">
        <w:t>NSW Department of Primary Industries</w:t>
      </w:r>
    </w:p>
    <w:p w14:paraId="34D7581A" w14:textId="77777777" w:rsidR="00ED0614" w:rsidRDefault="00E260DC">
      <w:pPr>
        <w:pStyle w:val="Heading2"/>
      </w:pPr>
      <w:r>
        <w:t>Signs of disease</w:t>
      </w:r>
    </w:p>
    <w:p w14:paraId="445BBFA4" w14:textId="77777777" w:rsidR="00ED0614" w:rsidRDefault="00E260DC">
      <w:pPr>
        <w:rPr>
          <w:lang w:eastAsia="ja-JP"/>
        </w:rPr>
      </w:pPr>
      <w:r>
        <w:rPr>
          <w:lang w:eastAsia="ja-JP"/>
        </w:rPr>
        <w:t>Important: Animals with this disease may show one or more of these signs, but the pathogen may still be present in the absence of any signs.</w:t>
      </w:r>
    </w:p>
    <w:p w14:paraId="0ED3BEC6" w14:textId="77777777" w:rsidR="00ED0614" w:rsidRDefault="00E260DC">
      <w:pPr>
        <w:rPr>
          <w:lang w:eastAsia="ja-JP"/>
        </w:rPr>
      </w:pPr>
      <w:r>
        <w:rPr>
          <w:lang w:eastAsia="ja-JP"/>
        </w:rPr>
        <w:t>Disease signs at the farm, tank or pond level are:</w:t>
      </w:r>
    </w:p>
    <w:p w14:paraId="6D95836E" w14:textId="77777777" w:rsidR="00122979" w:rsidRDefault="00122979" w:rsidP="00122979">
      <w:pPr>
        <w:pStyle w:val="ListBullet"/>
        <w:rPr>
          <w:lang w:eastAsia="ja-JP"/>
        </w:rPr>
      </w:pPr>
      <w:r>
        <w:rPr>
          <w:lang w:eastAsia="ja-JP"/>
        </w:rPr>
        <w:t>loss of appetite</w:t>
      </w:r>
    </w:p>
    <w:p w14:paraId="1BDFFC16" w14:textId="77777777" w:rsidR="00122979" w:rsidRDefault="00122979" w:rsidP="00122979">
      <w:pPr>
        <w:pStyle w:val="ListBullet"/>
        <w:rPr>
          <w:lang w:eastAsia="ja-JP"/>
        </w:rPr>
      </w:pPr>
      <w:r>
        <w:rPr>
          <w:lang w:eastAsia="ja-JP"/>
        </w:rPr>
        <w:t>dark body colour</w:t>
      </w:r>
    </w:p>
    <w:p w14:paraId="7AD6ABD5" w14:textId="77777777" w:rsidR="00122979" w:rsidRDefault="00122979" w:rsidP="00122979">
      <w:pPr>
        <w:pStyle w:val="ListBullet"/>
        <w:rPr>
          <w:lang w:eastAsia="ja-JP"/>
        </w:rPr>
      </w:pPr>
      <w:r>
        <w:rPr>
          <w:lang w:eastAsia="ja-JP"/>
        </w:rPr>
        <w:t>mass mortality</w:t>
      </w:r>
    </w:p>
    <w:p w14:paraId="188B1466" w14:textId="77777777" w:rsidR="00122979" w:rsidRDefault="00122979" w:rsidP="00122979">
      <w:pPr>
        <w:pStyle w:val="ListBullet"/>
        <w:rPr>
          <w:lang w:eastAsia="ja-JP"/>
        </w:rPr>
      </w:pPr>
      <w:r>
        <w:rPr>
          <w:lang w:eastAsia="ja-JP"/>
        </w:rPr>
        <w:t>erratic swimming</w:t>
      </w:r>
    </w:p>
    <w:p w14:paraId="2A9A5703" w14:textId="2037E95D" w:rsidR="00122979" w:rsidRDefault="00122979" w:rsidP="00122979">
      <w:pPr>
        <w:pStyle w:val="ListBullet"/>
        <w:rPr>
          <w:lang w:eastAsia="ja-JP"/>
        </w:rPr>
      </w:pPr>
      <w:r>
        <w:rPr>
          <w:lang w:eastAsia="ja-JP"/>
        </w:rPr>
        <w:t>rubbing on the surfaces of tanks</w:t>
      </w:r>
    </w:p>
    <w:p w14:paraId="64631B6C" w14:textId="7E08CC47" w:rsidR="00ED0614" w:rsidRDefault="00122979" w:rsidP="00122979">
      <w:pPr>
        <w:pStyle w:val="ListBullet"/>
        <w:rPr>
          <w:lang w:eastAsia="ja-JP"/>
        </w:rPr>
      </w:pPr>
      <w:r>
        <w:rPr>
          <w:lang w:eastAsia="ja-JP"/>
        </w:rPr>
        <w:t>increased respiratory rate and effort</w:t>
      </w:r>
      <w:r w:rsidR="00E260DC">
        <w:rPr>
          <w:lang w:eastAsia="ja-JP"/>
        </w:rPr>
        <w:t>.</w:t>
      </w:r>
    </w:p>
    <w:p w14:paraId="491FFB70" w14:textId="77777777" w:rsidR="00ED0614" w:rsidRDefault="00E260DC">
      <w:pPr>
        <w:rPr>
          <w:lang w:eastAsia="ja-JP"/>
        </w:rPr>
      </w:pPr>
      <w:r>
        <w:rPr>
          <w:lang w:eastAsia="ja-JP"/>
        </w:rPr>
        <w:t>Gross pathological signs are:</w:t>
      </w:r>
    </w:p>
    <w:p w14:paraId="19BCFB4E" w14:textId="52E3B85F" w:rsidR="00122979" w:rsidRDefault="00122979" w:rsidP="00122979">
      <w:pPr>
        <w:pStyle w:val="ListBullet"/>
        <w:rPr>
          <w:lang w:eastAsia="ja-JP"/>
        </w:rPr>
      </w:pPr>
      <w:r>
        <w:rPr>
          <w:lang w:eastAsia="ja-JP"/>
        </w:rPr>
        <w:t>lesions on the body</w:t>
      </w:r>
      <w:r w:rsidR="00786B3D">
        <w:rPr>
          <w:lang w:eastAsia="ja-JP"/>
        </w:rPr>
        <w:t xml:space="preserve"> showing as</w:t>
      </w:r>
      <w:r w:rsidR="003F64E0">
        <w:rPr>
          <w:lang w:eastAsia="ja-JP"/>
        </w:rPr>
        <w:t xml:space="preserve"> </w:t>
      </w:r>
      <w:r>
        <w:rPr>
          <w:lang w:eastAsia="ja-JP"/>
        </w:rPr>
        <w:t>red spots, black burn-like marks or deeper ulcers with red centres and white rims</w:t>
      </w:r>
    </w:p>
    <w:p w14:paraId="5CB0FD1E" w14:textId="77777777" w:rsidR="00786B3D" w:rsidRDefault="00122979" w:rsidP="00122979">
      <w:pPr>
        <w:pStyle w:val="ListBullet"/>
        <w:rPr>
          <w:lang w:eastAsia="ja-JP"/>
        </w:rPr>
      </w:pPr>
      <w:r>
        <w:rPr>
          <w:lang w:eastAsia="ja-JP"/>
        </w:rPr>
        <w:t>progressive lesions</w:t>
      </w:r>
    </w:p>
    <w:p w14:paraId="3BAF9A04" w14:textId="76B02F28" w:rsidR="00786B3D" w:rsidRDefault="00122979" w:rsidP="00196BF2">
      <w:pPr>
        <w:pStyle w:val="ListBullet2"/>
        <w:rPr>
          <w:lang w:eastAsia="ja-JP"/>
        </w:rPr>
      </w:pPr>
      <w:r>
        <w:rPr>
          <w:lang w:eastAsia="ja-JP"/>
        </w:rPr>
        <w:t>lesions start as reddening under a single scale but quickly spread to involve adjacent scales</w:t>
      </w:r>
    </w:p>
    <w:p w14:paraId="0201A4A6" w14:textId="600DF99B" w:rsidR="00122979" w:rsidRDefault="00786B3D" w:rsidP="00196BF2">
      <w:pPr>
        <w:pStyle w:val="ListBullet2"/>
        <w:rPr>
          <w:lang w:eastAsia="ja-JP"/>
        </w:rPr>
      </w:pPr>
      <w:r>
        <w:rPr>
          <w:lang w:eastAsia="ja-JP"/>
        </w:rPr>
        <w:t>l</w:t>
      </w:r>
      <w:r w:rsidR="00122979">
        <w:rPr>
          <w:lang w:eastAsia="ja-JP"/>
        </w:rPr>
        <w:t>esions continue to widen and deepen, forming ulcers that erode underlying tissues to expose (depending on infection location) skeletal musculature, vertebrae, brain or viscera.</w:t>
      </w:r>
    </w:p>
    <w:p w14:paraId="06EC2B36" w14:textId="14162875" w:rsidR="00ED0614" w:rsidRDefault="00122979" w:rsidP="00122979">
      <w:pPr>
        <w:pStyle w:val="ListBullet"/>
        <w:rPr>
          <w:lang w:eastAsia="ja-JP"/>
        </w:rPr>
      </w:pPr>
      <w:r>
        <w:rPr>
          <w:lang w:eastAsia="ja-JP"/>
        </w:rPr>
        <w:t>unilateral or bilateral clouding of the eye (particularly in barramundi)</w:t>
      </w:r>
      <w:r w:rsidR="00E260DC">
        <w:rPr>
          <w:lang w:eastAsia="ja-JP"/>
        </w:rPr>
        <w:t>.</w:t>
      </w:r>
    </w:p>
    <w:p w14:paraId="2D426F0A" w14:textId="77777777" w:rsidR="00ED0614" w:rsidRDefault="00E260DC" w:rsidP="000E2206">
      <w:pPr>
        <w:keepNext/>
        <w:rPr>
          <w:lang w:eastAsia="ja-JP"/>
        </w:rPr>
      </w:pPr>
      <w:r>
        <w:rPr>
          <w:lang w:eastAsia="ja-JP"/>
        </w:rPr>
        <w:lastRenderedPageBreak/>
        <w:t>Microscopic pathological signs are:</w:t>
      </w:r>
    </w:p>
    <w:p w14:paraId="5A7A0283" w14:textId="77777777" w:rsidR="00122979" w:rsidRPr="00122979" w:rsidRDefault="00122979" w:rsidP="000E2206">
      <w:pPr>
        <w:pStyle w:val="ListBullet"/>
        <w:keepNext/>
        <w:rPr>
          <w:lang w:val="en-US"/>
        </w:rPr>
      </w:pPr>
      <w:r w:rsidRPr="00122979">
        <w:rPr>
          <w:lang w:val="en-US"/>
        </w:rPr>
        <w:t>erythematous dermatitis</w:t>
      </w:r>
    </w:p>
    <w:p w14:paraId="15BF2EFD" w14:textId="77777777" w:rsidR="00122979" w:rsidRPr="00122979" w:rsidRDefault="00122979" w:rsidP="00122979">
      <w:pPr>
        <w:pStyle w:val="ListBullet"/>
        <w:rPr>
          <w:lang w:val="en-US"/>
        </w:rPr>
      </w:pPr>
      <w:r w:rsidRPr="00122979">
        <w:rPr>
          <w:lang w:val="en-US"/>
        </w:rPr>
        <w:t>hyphae (fungal threads) associated with granulomatous tissue, sometimes extending into visceral organs</w:t>
      </w:r>
    </w:p>
    <w:p w14:paraId="68AAA3DA" w14:textId="627A59C1" w:rsidR="00ED0614" w:rsidRDefault="00122979" w:rsidP="00122979">
      <w:pPr>
        <w:pStyle w:val="ListBullet"/>
        <w:rPr>
          <w:lang w:val="en-US"/>
        </w:rPr>
      </w:pPr>
      <w:r w:rsidRPr="00122979">
        <w:rPr>
          <w:lang w:val="en-US"/>
        </w:rPr>
        <w:t>liquefactive necrosis of muscle tissue</w:t>
      </w:r>
      <w:r w:rsidR="00E260DC">
        <w:rPr>
          <w:lang w:val="en-US"/>
        </w:rPr>
        <w:t>.</w:t>
      </w:r>
    </w:p>
    <w:p w14:paraId="755CDE80" w14:textId="77777777" w:rsidR="00ED0614" w:rsidRDefault="00E260DC">
      <w:pPr>
        <w:pStyle w:val="Heading2"/>
      </w:pPr>
      <w:r>
        <w:t>Disease agent</w:t>
      </w:r>
    </w:p>
    <w:p w14:paraId="5CA24389" w14:textId="56ADF48F" w:rsidR="008B4009" w:rsidRDefault="00122979" w:rsidP="008B4009">
      <w:r w:rsidRPr="00122979">
        <w:t xml:space="preserve">Infection with the oomycete fungus </w:t>
      </w:r>
      <w:r w:rsidRPr="00122979">
        <w:rPr>
          <w:rStyle w:val="Emphasis"/>
        </w:rPr>
        <w:t>Aphanomyces invadans</w:t>
      </w:r>
      <w:r w:rsidRPr="00122979">
        <w:t xml:space="preserve"> causes a disease called epizootic ulcerative syndrome (EUS)</w:t>
      </w:r>
      <w:r w:rsidR="000E2206">
        <w:t>;</w:t>
      </w:r>
      <w:r w:rsidRPr="00122979">
        <w:t xml:space="preserve"> also known as red spot disease (RSD), ulcerative mycosis (UM)</w:t>
      </w:r>
      <w:r w:rsidR="009214F2">
        <w:t xml:space="preserve"> or mycotic granulomatosis</w:t>
      </w:r>
      <w:r w:rsidRPr="00122979">
        <w:t xml:space="preserve">. Although previously regarded as a fungus, the genus </w:t>
      </w:r>
      <w:r w:rsidRPr="00122979">
        <w:rPr>
          <w:rStyle w:val="Emphasis"/>
        </w:rPr>
        <w:t>Aphanomyces</w:t>
      </w:r>
      <w:r w:rsidRPr="00122979">
        <w:t xml:space="preserve"> is now classified with diatoms and brown algae in a group called Stramenopiles or Chromista.</w:t>
      </w:r>
    </w:p>
    <w:p w14:paraId="10B41ACC" w14:textId="77777777" w:rsidR="00ED0614" w:rsidRDefault="00E260DC">
      <w:pPr>
        <w:pStyle w:val="Heading2"/>
        <w:keepLines/>
      </w:pPr>
      <w:r>
        <w:t>Host range</w:t>
      </w:r>
    </w:p>
    <w:p w14:paraId="7A4DEA4C" w14:textId="1770D892" w:rsidR="00122979" w:rsidRDefault="00122979" w:rsidP="00122979">
      <w:r w:rsidRPr="00122979">
        <w:t>More than</w:t>
      </w:r>
      <w:r w:rsidR="009F37FE">
        <w:t> </w:t>
      </w:r>
      <w:r w:rsidRPr="00122979">
        <w:t xml:space="preserve">100 estuarine and freshwater species of fish are known to be susceptible to </w:t>
      </w:r>
      <w:r w:rsidR="00EB6516">
        <w:t xml:space="preserve">infection with </w:t>
      </w:r>
      <w:r w:rsidR="00EB6516">
        <w:rPr>
          <w:rStyle w:val="Emphasis"/>
        </w:rPr>
        <w:t>A. </w:t>
      </w:r>
      <w:r w:rsidR="00EB6516" w:rsidRPr="00EB6516">
        <w:rPr>
          <w:rStyle w:val="Emphasis"/>
        </w:rPr>
        <w:t>invadans</w:t>
      </w:r>
      <w:r w:rsidRPr="00122979">
        <w:t>.</w:t>
      </w:r>
    </w:p>
    <w:p w14:paraId="63E14290" w14:textId="39CDA8D4" w:rsidR="00ED0614" w:rsidRDefault="00E260DC">
      <w:pPr>
        <w:pStyle w:val="Caption"/>
      </w:pPr>
      <w:r>
        <w:t xml:space="preserve">Table </w:t>
      </w:r>
      <w:r>
        <w:rPr>
          <w:noProof/>
        </w:rPr>
        <w:fldChar w:fldCharType="begin"/>
      </w:r>
      <w:r>
        <w:rPr>
          <w:noProof/>
        </w:rPr>
        <w:instrText xml:space="preserve"> SEQ Table \* ARABIC </w:instrText>
      </w:r>
      <w:r>
        <w:rPr>
          <w:noProof/>
        </w:rPr>
        <w:fldChar w:fldCharType="separate"/>
      </w:r>
      <w:r w:rsidR="00195CE9">
        <w:rPr>
          <w:noProof/>
        </w:rPr>
        <w:t>1</w:t>
      </w:r>
      <w:r>
        <w:rPr>
          <w:noProof/>
        </w:rPr>
        <w:fldChar w:fldCharType="end"/>
      </w:r>
      <w:r>
        <w:t xml:space="preserve"> </w:t>
      </w:r>
      <w:r w:rsidR="00122979" w:rsidRPr="00122979">
        <w:t xml:space="preserve">Species in Australia known to be susceptible to </w:t>
      </w:r>
      <w:r w:rsidR="00122979" w:rsidRPr="00122979">
        <w:rPr>
          <w:rStyle w:val="Emphasis"/>
        </w:rPr>
        <w:t>Aphanomyces invadans</w:t>
      </w:r>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ED0614" w14:paraId="7F099F95" w14:textId="77777777">
        <w:trPr>
          <w:cantSplit/>
          <w:trHeight w:val="300"/>
          <w:tblHeader/>
        </w:trPr>
        <w:tc>
          <w:tcPr>
            <w:tcW w:w="2500" w:type="pct"/>
            <w:tcBorders>
              <w:top w:val="single" w:sz="4" w:space="0" w:color="auto"/>
              <w:bottom w:val="single" w:sz="4" w:space="0" w:color="auto"/>
            </w:tcBorders>
            <w:noWrap/>
          </w:tcPr>
          <w:p w14:paraId="53C37EB4" w14:textId="77777777" w:rsidR="00ED0614" w:rsidRDefault="00E260DC">
            <w:pPr>
              <w:pStyle w:val="TableHeading"/>
            </w:pPr>
            <w:r>
              <w:t>Common name</w:t>
            </w:r>
          </w:p>
        </w:tc>
        <w:tc>
          <w:tcPr>
            <w:tcW w:w="2500" w:type="pct"/>
            <w:tcBorders>
              <w:top w:val="single" w:sz="4" w:space="0" w:color="auto"/>
              <w:bottom w:val="single" w:sz="4" w:space="0" w:color="auto"/>
            </w:tcBorders>
            <w:noWrap/>
          </w:tcPr>
          <w:p w14:paraId="0DE0AAEB" w14:textId="77777777" w:rsidR="00ED0614" w:rsidRDefault="00E260DC">
            <w:pPr>
              <w:pStyle w:val="TableHeading"/>
            </w:pPr>
            <w:r>
              <w:t>Scientific name</w:t>
            </w:r>
          </w:p>
        </w:tc>
      </w:tr>
      <w:tr w:rsidR="00122979" w14:paraId="3B818FD2" w14:textId="77777777">
        <w:trPr>
          <w:cantSplit/>
          <w:trHeight w:val="315"/>
        </w:trPr>
        <w:tc>
          <w:tcPr>
            <w:tcW w:w="2500" w:type="pct"/>
            <w:tcBorders>
              <w:top w:val="single" w:sz="4" w:space="0" w:color="auto"/>
            </w:tcBorders>
            <w:noWrap/>
          </w:tcPr>
          <w:p w14:paraId="2F3C0965" w14:textId="6206869B" w:rsidR="00122979" w:rsidRDefault="00122979" w:rsidP="00122979">
            <w:pPr>
              <w:pStyle w:val="TableText"/>
            </w:pPr>
            <w:r w:rsidRPr="00A93A67">
              <w:t>Australian bass</w:t>
            </w:r>
            <w:r w:rsidRPr="00122979">
              <w:rPr>
                <w:vertAlign w:val="superscript"/>
              </w:rPr>
              <w:t>a</w:t>
            </w:r>
          </w:p>
        </w:tc>
        <w:tc>
          <w:tcPr>
            <w:tcW w:w="2500" w:type="pct"/>
            <w:tcBorders>
              <w:top w:val="single" w:sz="4" w:space="0" w:color="auto"/>
            </w:tcBorders>
            <w:noWrap/>
          </w:tcPr>
          <w:p w14:paraId="2D4141AF" w14:textId="07925181" w:rsidR="00122979" w:rsidRPr="00122979" w:rsidRDefault="00122979" w:rsidP="00122979">
            <w:pPr>
              <w:pStyle w:val="TableText"/>
              <w:rPr>
                <w:rStyle w:val="Emphasis"/>
              </w:rPr>
            </w:pPr>
            <w:r w:rsidRPr="00122979">
              <w:rPr>
                <w:rStyle w:val="Emphasis"/>
              </w:rPr>
              <w:t>Macquaria novemaculeata</w:t>
            </w:r>
          </w:p>
        </w:tc>
      </w:tr>
      <w:tr w:rsidR="00122979" w14:paraId="163A359F" w14:textId="77777777">
        <w:trPr>
          <w:cantSplit/>
          <w:trHeight w:val="315"/>
        </w:trPr>
        <w:tc>
          <w:tcPr>
            <w:tcW w:w="2500" w:type="pct"/>
            <w:noWrap/>
          </w:tcPr>
          <w:p w14:paraId="74773C6F" w14:textId="5F311F8C" w:rsidR="00122979" w:rsidRDefault="00122979" w:rsidP="00122979">
            <w:pPr>
              <w:pStyle w:val="TableText"/>
            </w:pPr>
            <w:r w:rsidRPr="00A93A67">
              <w:t>Archerfish</w:t>
            </w:r>
            <w:r w:rsidRPr="00122979">
              <w:rPr>
                <w:vertAlign w:val="superscript"/>
              </w:rPr>
              <w:t>a</w:t>
            </w:r>
          </w:p>
        </w:tc>
        <w:tc>
          <w:tcPr>
            <w:tcW w:w="2500" w:type="pct"/>
            <w:noWrap/>
          </w:tcPr>
          <w:p w14:paraId="1D5663AA" w14:textId="02ED675F" w:rsidR="00122979" w:rsidRPr="00122979" w:rsidRDefault="00122979" w:rsidP="00122979">
            <w:pPr>
              <w:pStyle w:val="TableText"/>
              <w:rPr>
                <w:rStyle w:val="Emphasis"/>
                <w:rFonts w:eastAsia="SimSun"/>
              </w:rPr>
            </w:pPr>
            <w:r>
              <w:rPr>
                <w:rStyle w:val="Emphasis"/>
              </w:rPr>
              <w:t>Toxotes chatareus</w:t>
            </w:r>
          </w:p>
        </w:tc>
      </w:tr>
      <w:tr w:rsidR="00122979" w14:paraId="5C3B7FD0" w14:textId="77777777">
        <w:trPr>
          <w:cantSplit/>
          <w:trHeight w:val="315"/>
        </w:trPr>
        <w:tc>
          <w:tcPr>
            <w:tcW w:w="2500" w:type="pct"/>
            <w:noWrap/>
          </w:tcPr>
          <w:p w14:paraId="5227C577" w14:textId="4CDE1D41" w:rsidR="00122979" w:rsidRDefault="00122979" w:rsidP="00122979">
            <w:pPr>
              <w:pStyle w:val="TableText"/>
            </w:pPr>
            <w:r w:rsidRPr="00A93A67">
              <w:t>Banded archerfish</w:t>
            </w:r>
            <w:r w:rsidRPr="00122979">
              <w:rPr>
                <w:vertAlign w:val="superscript"/>
              </w:rPr>
              <w:t>a</w:t>
            </w:r>
          </w:p>
        </w:tc>
        <w:tc>
          <w:tcPr>
            <w:tcW w:w="2500" w:type="pct"/>
            <w:noWrap/>
          </w:tcPr>
          <w:p w14:paraId="5ACF429E" w14:textId="4BD1DDB3" w:rsidR="00122979" w:rsidRPr="00122979" w:rsidRDefault="00122979" w:rsidP="00122979">
            <w:pPr>
              <w:pStyle w:val="TableText"/>
              <w:rPr>
                <w:rStyle w:val="Emphasis"/>
                <w:rFonts w:eastAsia="SimSun"/>
              </w:rPr>
            </w:pPr>
            <w:r w:rsidRPr="00122979">
              <w:rPr>
                <w:rStyle w:val="Emphasis"/>
              </w:rPr>
              <w:t>Toxotes jaculatrix</w:t>
            </w:r>
          </w:p>
        </w:tc>
      </w:tr>
      <w:tr w:rsidR="00122979" w14:paraId="42EB7617" w14:textId="77777777">
        <w:trPr>
          <w:cantSplit/>
          <w:trHeight w:val="315"/>
        </w:trPr>
        <w:tc>
          <w:tcPr>
            <w:tcW w:w="2500" w:type="pct"/>
            <w:noWrap/>
          </w:tcPr>
          <w:p w14:paraId="71A33549" w14:textId="4709229D" w:rsidR="00122979" w:rsidRDefault="00122979" w:rsidP="00122979">
            <w:pPr>
              <w:pStyle w:val="TableText"/>
            </w:pPr>
            <w:r w:rsidRPr="00A93A67">
              <w:t>Barcoo grunter</w:t>
            </w:r>
            <w:r w:rsidRPr="00122979">
              <w:rPr>
                <w:vertAlign w:val="superscript"/>
              </w:rPr>
              <w:t>a</w:t>
            </w:r>
          </w:p>
        </w:tc>
        <w:tc>
          <w:tcPr>
            <w:tcW w:w="2500" w:type="pct"/>
            <w:noWrap/>
          </w:tcPr>
          <w:p w14:paraId="1D4032D9" w14:textId="5EE47285" w:rsidR="00122979" w:rsidRPr="00122979" w:rsidRDefault="00122979" w:rsidP="00122979">
            <w:pPr>
              <w:pStyle w:val="TableText"/>
              <w:rPr>
                <w:rStyle w:val="Emphasis"/>
                <w:rFonts w:eastAsia="SimSun"/>
              </w:rPr>
            </w:pPr>
            <w:r w:rsidRPr="00122979">
              <w:rPr>
                <w:rStyle w:val="Emphasis"/>
              </w:rPr>
              <w:t>Scortum barcoo</w:t>
            </w:r>
          </w:p>
        </w:tc>
      </w:tr>
      <w:tr w:rsidR="00122979" w14:paraId="2B6394AD" w14:textId="77777777">
        <w:trPr>
          <w:cantSplit/>
          <w:trHeight w:val="315"/>
        </w:trPr>
        <w:tc>
          <w:tcPr>
            <w:tcW w:w="2500" w:type="pct"/>
            <w:noWrap/>
          </w:tcPr>
          <w:p w14:paraId="5E1E203A" w14:textId="3E333679" w:rsidR="00122979" w:rsidRDefault="00122979" w:rsidP="00122979">
            <w:pPr>
              <w:pStyle w:val="TableText"/>
            </w:pPr>
            <w:r w:rsidRPr="00A93A67">
              <w:t>Barramundi</w:t>
            </w:r>
            <w:r w:rsidRPr="00122979">
              <w:rPr>
                <w:vertAlign w:val="superscript"/>
              </w:rPr>
              <w:t>a</w:t>
            </w:r>
          </w:p>
        </w:tc>
        <w:tc>
          <w:tcPr>
            <w:tcW w:w="2500" w:type="pct"/>
            <w:noWrap/>
          </w:tcPr>
          <w:p w14:paraId="44C74309" w14:textId="5D0357CD" w:rsidR="00122979" w:rsidRPr="00122979" w:rsidRDefault="00122979" w:rsidP="00122979">
            <w:pPr>
              <w:pStyle w:val="TableText"/>
              <w:rPr>
                <w:rStyle w:val="Emphasis"/>
              </w:rPr>
            </w:pPr>
            <w:r>
              <w:rPr>
                <w:rStyle w:val="Emphasis"/>
              </w:rPr>
              <w:t>Lates calcarifer</w:t>
            </w:r>
          </w:p>
        </w:tc>
      </w:tr>
      <w:tr w:rsidR="00122979" w14:paraId="6920FABC" w14:textId="77777777">
        <w:trPr>
          <w:cantSplit/>
          <w:trHeight w:val="315"/>
        </w:trPr>
        <w:tc>
          <w:tcPr>
            <w:tcW w:w="2500" w:type="pct"/>
            <w:noWrap/>
          </w:tcPr>
          <w:p w14:paraId="264B739C" w14:textId="7AC83B0D" w:rsidR="00122979" w:rsidRDefault="00122979" w:rsidP="00122979">
            <w:pPr>
              <w:pStyle w:val="TableText"/>
            </w:pPr>
            <w:r w:rsidRPr="00A93A67">
              <w:t>Bony bream</w:t>
            </w:r>
            <w:r w:rsidRPr="00122979">
              <w:rPr>
                <w:vertAlign w:val="superscript"/>
              </w:rPr>
              <w:t>a</w:t>
            </w:r>
          </w:p>
        </w:tc>
        <w:tc>
          <w:tcPr>
            <w:tcW w:w="2500" w:type="pct"/>
            <w:noWrap/>
          </w:tcPr>
          <w:p w14:paraId="379EFB71" w14:textId="59E062D2" w:rsidR="00122979" w:rsidRPr="00122979" w:rsidRDefault="00122979" w:rsidP="00122979">
            <w:pPr>
              <w:pStyle w:val="TableText"/>
              <w:rPr>
                <w:rStyle w:val="Emphasis"/>
              </w:rPr>
            </w:pPr>
            <w:r>
              <w:rPr>
                <w:rStyle w:val="Emphasis"/>
              </w:rPr>
              <w:t>Nematalosa erebi</w:t>
            </w:r>
          </w:p>
        </w:tc>
      </w:tr>
      <w:tr w:rsidR="00122979" w14:paraId="27D2B09B" w14:textId="77777777">
        <w:trPr>
          <w:cantSplit/>
          <w:trHeight w:val="315"/>
        </w:trPr>
        <w:tc>
          <w:tcPr>
            <w:tcW w:w="2500" w:type="pct"/>
            <w:noWrap/>
          </w:tcPr>
          <w:p w14:paraId="3D632EB6" w14:textId="642D96D9" w:rsidR="00122979" w:rsidRPr="002F7844" w:rsidRDefault="00122979" w:rsidP="00122979">
            <w:pPr>
              <w:pStyle w:val="TableText"/>
            </w:pPr>
            <w:r w:rsidRPr="00A93A67">
              <w:t>Chanda perch</w:t>
            </w:r>
            <w:r w:rsidRPr="00122979">
              <w:rPr>
                <w:vertAlign w:val="superscript"/>
              </w:rPr>
              <w:t>a</w:t>
            </w:r>
          </w:p>
        </w:tc>
        <w:tc>
          <w:tcPr>
            <w:tcW w:w="2500" w:type="pct"/>
            <w:noWrap/>
          </w:tcPr>
          <w:p w14:paraId="2103BF68" w14:textId="655485DE" w:rsidR="00122979" w:rsidRPr="00122979" w:rsidRDefault="00122979" w:rsidP="00122979">
            <w:pPr>
              <w:pStyle w:val="TableText"/>
              <w:rPr>
                <w:rStyle w:val="Emphasis"/>
              </w:rPr>
            </w:pPr>
            <w:r>
              <w:rPr>
                <w:rStyle w:val="Emphasis"/>
              </w:rPr>
              <w:t>Ambassis agassizii</w:t>
            </w:r>
          </w:p>
        </w:tc>
      </w:tr>
      <w:tr w:rsidR="00122979" w14:paraId="2FF2CE6C" w14:textId="77777777">
        <w:trPr>
          <w:cantSplit/>
          <w:trHeight w:val="315"/>
        </w:trPr>
        <w:tc>
          <w:tcPr>
            <w:tcW w:w="2500" w:type="pct"/>
            <w:noWrap/>
          </w:tcPr>
          <w:p w14:paraId="058E54A7" w14:textId="75A4C486" w:rsidR="00122979" w:rsidRPr="002F7844" w:rsidRDefault="00122979" w:rsidP="00122979">
            <w:pPr>
              <w:pStyle w:val="TableText"/>
            </w:pPr>
            <w:r w:rsidRPr="00A93A67">
              <w:t>Cichlids</w:t>
            </w:r>
            <w:r w:rsidRPr="00122979">
              <w:rPr>
                <w:vertAlign w:val="superscript"/>
              </w:rPr>
              <w:t>a</w:t>
            </w:r>
          </w:p>
        </w:tc>
        <w:tc>
          <w:tcPr>
            <w:tcW w:w="2500" w:type="pct"/>
            <w:noWrap/>
          </w:tcPr>
          <w:p w14:paraId="40524A22" w14:textId="04B69684" w:rsidR="00122979" w:rsidRPr="00122979" w:rsidRDefault="00122979" w:rsidP="00122979">
            <w:pPr>
              <w:pStyle w:val="TableText"/>
              <w:rPr>
                <w:rStyle w:val="Emphasis"/>
              </w:rPr>
            </w:pPr>
            <w:r>
              <w:rPr>
                <w:rStyle w:val="Emphasis"/>
              </w:rPr>
              <w:t>Cichlidae</w:t>
            </w:r>
          </w:p>
        </w:tc>
      </w:tr>
      <w:tr w:rsidR="00122979" w14:paraId="788A4292" w14:textId="77777777">
        <w:trPr>
          <w:cantSplit/>
          <w:trHeight w:val="315"/>
        </w:trPr>
        <w:tc>
          <w:tcPr>
            <w:tcW w:w="2500" w:type="pct"/>
            <w:noWrap/>
          </w:tcPr>
          <w:p w14:paraId="2E2088F2" w14:textId="1F060ECC" w:rsidR="00122979" w:rsidRPr="002F7844" w:rsidRDefault="00122979" w:rsidP="00122979">
            <w:pPr>
              <w:pStyle w:val="TableText"/>
            </w:pPr>
            <w:r w:rsidRPr="00A93A67">
              <w:t>Climbing perch</w:t>
            </w:r>
            <w:r w:rsidRPr="00122979">
              <w:rPr>
                <w:vertAlign w:val="superscript"/>
              </w:rPr>
              <w:t>a</w:t>
            </w:r>
          </w:p>
        </w:tc>
        <w:tc>
          <w:tcPr>
            <w:tcW w:w="2500" w:type="pct"/>
            <w:noWrap/>
          </w:tcPr>
          <w:p w14:paraId="31327A4A" w14:textId="327F400C" w:rsidR="00122979" w:rsidRPr="00122979" w:rsidRDefault="00122979" w:rsidP="00122979">
            <w:pPr>
              <w:pStyle w:val="TableText"/>
              <w:rPr>
                <w:rStyle w:val="Emphasis"/>
              </w:rPr>
            </w:pPr>
            <w:r>
              <w:rPr>
                <w:rStyle w:val="Emphasis"/>
              </w:rPr>
              <w:t>Anabas testudineus</w:t>
            </w:r>
          </w:p>
        </w:tc>
      </w:tr>
      <w:tr w:rsidR="00122979" w14:paraId="2E937A5A" w14:textId="77777777">
        <w:trPr>
          <w:cantSplit/>
          <w:trHeight w:val="315"/>
        </w:trPr>
        <w:tc>
          <w:tcPr>
            <w:tcW w:w="2500" w:type="pct"/>
            <w:noWrap/>
          </w:tcPr>
          <w:p w14:paraId="58E370E2" w14:textId="2FED901A" w:rsidR="00122979" w:rsidRPr="002F7844" w:rsidRDefault="00122979" w:rsidP="00122979">
            <w:pPr>
              <w:pStyle w:val="TableText"/>
            </w:pPr>
            <w:r w:rsidRPr="00A93A67">
              <w:t>Cyprinids</w:t>
            </w:r>
            <w:r w:rsidRPr="00122979">
              <w:rPr>
                <w:vertAlign w:val="superscript"/>
              </w:rPr>
              <w:t>a</w:t>
            </w:r>
          </w:p>
        </w:tc>
        <w:tc>
          <w:tcPr>
            <w:tcW w:w="2500" w:type="pct"/>
            <w:noWrap/>
          </w:tcPr>
          <w:p w14:paraId="286E67DE" w14:textId="734E0E8B" w:rsidR="00122979" w:rsidRPr="00122979" w:rsidRDefault="00122979" w:rsidP="00122979">
            <w:pPr>
              <w:pStyle w:val="TableText"/>
              <w:rPr>
                <w:rStyle w:val="Emphasis"/>
              </w:rPr>
            </w:pPr>
            <w:r>
              <w:rPr>
                <w:rStyle w:val="Emphasis"/>
              </w:rPr>
              <w:t>Cyprinidae</w:t>
            </w:r>
          </w:p>
        </w:tc>
      </w:tr>
      <w:tr w:rsidR="00122979" w14:paraId="5275A884" w14:textId="77777777">
        <w:trPr>
          <w:cantSplit/>
          <w:trHeight w:val="315"/>
        </w:trPr>
        <w:tc>
          <w:tcPr>
            <w:tcW w:w="2500" w:type="pct"/>
            <w:noWrap/>
          </w:tcPr>
          <w:p w14:paraId="16484A29" w14:textId="5CDC890D" w:rsidR="00122979" w:rsidRPr="002F7844" w:rsidRDefault="00122979" w:rsidP="00122979">
            <w:pPr>
              <w:pStyle w:val="TableText"/>
            </w:pPr>
            <w:r w:rsidRPr="00A93A67">
              <w:t>Dusky flathead</w:t>
            </w:r>
            <w:r w:rsidRPr="00122979">
              <w:rPr>
                <w:vertAlign w:val="superscript"/>
              </w:rPr>
              <w:t>a</w:t>
            </w:r>
          </w:p>
        </w:tc>
        <w:tc>
          <w:tcPr>
            <w:tcW w:w="2500" w:type="pct"/>
            <w:noWrap/>
          </w:tcPr>
          <w:p w14:paraId="6E51C814" w14:textId="14218274" w:rsidR="00122979" w:rsidRPr="00122979" w:rsidRDefault="00122979" w:rsidP="00122979">
            <w:pPr>
              <w:pStyle w:val="TableText"/>
              <w:rPr>
                <w:rStyle w:val="Emphasis"/>
              </w:rPr>
            </w:pPr>
            <w:r>
              <w:rPr>
                <w:rStyle w:val="Emphasis"/>
              </w:rPr>
              <w:t>Platycephalus fuscus</w:t>
            </w:r>
          </w:p>
        </w:tc>
      </w:tr>
      <w:tr w:rsidR="00122979" w14:paraId="56776968" w14:textId="77777777">
        <w:trPr>
          <w:cantSplit/>
          <w:trHeight w:val="315"/>
        </w:trPr>
        <w:tc>
          <w:tcPr>
            <w:tcW w:w="2500" w:type="pct"/>
            <w:noWrap/>
          </w:tcPr>
          <w:p w14:paraId="1E87CBD7" w14:textId="02362E8E" w:rsidR="00122979" w:rsidRPr="00A91745" w:rsidRDefault="00122979" w:rsidP="00122979">
            <w:pPr>
              <w:pStyle w:val="TableText"/>
            </w:pPr>
            <w:r w:rsidRPr="00A93A67">
              <w:t>Eastern freshwater cod</w:t>
            </w:r>
          </w:p>
        </w:tc>
        <w:tc>
          <w:tcPr>
            <w:tcW w:w="2500" w:type="pct"/>
            <w:noWrap/>
          </w:tcPr>
          <w:p w14:paraId="5AA3BC30" w14:textId="0EBC74EA" w:rsidR="00122979" w:rsidRPr="00122979" w:rsidRDefault="00122979" w:rsidP="00122979">
            <w:pPr>
              <w:pStyle w:val="TableText"/>
              <w:rPr>
                <w:rStyle w:val="Emphasis"/>
              </w:rPr>
            </w:pPr>
            <w:r w:rsidRPr="00122979">
              <w:rPr>
                <w:rStyle w:val="Emphasis"/>
              </w:rPr>
              <w:t>Maccullochella ikei</w:t>
            </w:r>
          </w:p>
        </w:tc>
      </w:tr>
      <w:tr w:rsidR="00122979" w14:paraId="6F57F918" w14:textId="77777777">
        <w:trPr>
          <w:cantSplit/>
          <w:trHeight w:val="315"/>
        </w:trPr>
        <w:tc>
          <w:tcPr>
            <w:tcW w:w="2500" w:type="pct"/>
            <w:noWrap/>
          </w:tcPr>
          <w:p w14:paraId="602C4C4A" w14:textId="6EDDF153" w:rsidR="00122979" w:rsidRPr="002D2E15" w:rsidRDefault="00122979" w:rsidP="00122979">
            <w:pPr>
              <w:pStyle w:val="TableText"/>
            </w:pPr>
            <w:r w:rsidRPr="00A93A67">
              <w:t>Eels</w:t>
            </w:r>
          </w:p>
        </w:tc>
        <w:tc>
          <w:tcPr>
            <w:tcW w:w="2500" w:type="pct"/>
            <w:noWrap/>
          </w:tcPr>
          <w:p w14:paraId="1E77A740" w14:textId="537FDF75" w:rsidR="00122979" w:rsidRPr="00122979" w:rsidRDefault="00122979" w:rsidP="00122979">
            <w:pPr>
              <w:pStyle w:val="TableText"/>
              <w:rPr>
                <w:rStyle w:val="Emphasis"/>
                <w:i w:val="0"/>
                <w:iCs w:val="0"/>
              </w:rPr>
            </w:pPr>
            <w:r w:rsidRPr="00122979">
              <w:rPr>
                <w:rStyle w:val="Emphasis"/>
              </w:rPr>
              <w:t>Anguillidae</w:t>
            </w:r>
            <w:r w:rsidRPr="00122979">
              <w:t xml:space="preserve"> all species </w:t>
            </w:r>
          </w:p>
        </w:tc>
      </w:tr>
      <w:tr w:rsidR="00122979" w14:paraId="0F99513B" w14:textId="77777777">
        <w:trPr>
          <w:cantSplit/>
          <w:trHeight w:val="315"/>
        </w:trPr>
        <w:tc>
          <w:tcPr>
            <w:tcW w:w="2500" w:type="pct"/>
            <w:noWrap/>
          </w:tcPr>
          <w:p w14:paraId="1CFC0C6D" w14:textId="1375EEB8" w:rsidR="00122979" w:rsidRPr="002D2E15" w:rsidRDefault="00122979" w:rsidP="00122979">
            <w:pPr>
              <w:pStyle w:val="TableText"/>
            </w:pPr>
            <w:r w:rsidRPr="00A93A67">
              <w:t>Estuarine rockcod</w:t>
            </w:r>
            <w:r w:rsidRPr="00122979">
              <w:rPr>
                <w:vertAlign w:val="superscript"/>
              </w:rPr>
              <w:t>a</w:t>
            </w:r>
          </w:p>
        </w:tc>
        <w:tc>
          <w:tcPr>
            <w:tcW w:w="2500" w:type="pct"/>
            <w:noWrap/>
          </w:tcPr>
          <w:p w14:paraId="0C756B12" w14:textId="76620798" w:rsidR="00122979" w:rsidRPr="00122979" w:rsidRDefault="00122979" w:rsidP="00122979">
            <w:pPr>
              <w:pStyle w:val="TableText"/>
              <w:rPr>
                <w:rStyle w:val="Emphasis"/>
              </w:rPr>
            </w:pPr>
            <w:r>
              <w:rPr>
                <w:rStyle w:val="Emphasis"/>
              </w:rPr>
              <w:t>Epinephelus tauvina</w:t>
            </w:r>
          </w:p>
        </w:tc>
      </w:tr>
      <w:tr w:rsidR="00122979" w14:paraId="0DF9C5BC" w14:textId="77777777">
        <w:trPr>
          <w:cantSplit/>
          <w:trHeight w:val="315"/>
        </w:trPr>
        <w:tc>
          <w:tcPr>
            <w:tcW w:w="2500" w:type="pct"/>
            <w:noWrap/>
          </w:tcPr>
          <w:p w14:paraId="07CE070C" w14:textId="5FF8EA1A" w:rsidR="00122979" w:rsidRPr="002D2E15" w:rsidRDefault="00122979" w:rsidP="00122979">
            <w:pPr>
              <w:pStyle w:val="TableText"/>
            </w:pPr>
            <w:r w:rsidRPr="00A93A67">
              <w:t>Flathead goby</w:t>
            </w:r>
            <w:r w:rsidRPr="00122979">
              <w:rPr>
                <w:vertAlign w:val="superscript"/>
              </w:rPr>
              <w:t>a</w:t>
            </w:r>
          </w:p>
        </w:tc>
        <w:tc>
          <w:tcPr>
            <w:tcW w:w="2500" w:type="pct"/>
            <w:noWrap/>
          </w:tcPr>
          <w:p w14:paraId="05F11D32" w14:textId="4DAF9A42" w:rsidR="00122979" w:rsidRPr="00122979" w:rsidRDefault="00122979" w:rsidP="00122979">
            <w:pPr>
              <w:pStyle w:val="TableText"/>
              <w:rPr>
                <w:rStyle w:val="Emphasis"/>
              </w:rPr>
            </w:pPr>
            <w:r>
              <w:rPr>
                <w:rStyle w:val="Emphasis"/>
              </w:rPr>
              <w:t>Glossogobius giuris</w:t>
            </w:r>
          </w:p>
        </w:tc>
      </w:tr>
      <w:tr w:rsidR="00122979" w14:paraId="23285ED1" w14:textId="77777777">
        <w:trPr>
          <w:cantSplit/>
          <w:trHeight w:val="315"/>
        </w:trPr>
        <w:tc>
          <w:tcPr>
            <w:tcW w:w="2500" w:type="pct"/>
            <w:noWrap/>
          </w:tcPr>
          <w:p w14:paraId="4223641C" w14:textId="7CECE25C" w:rsidR="00122979" w:rsidRPr="002D2E15" w:rsidRDefault="00122979" w:rsidP="00122979">
            <w:pPr>
              <w:pStyle w:val="TableText"/>
            </w:pPr>
            <w:r w:rsidRPr="00A93A67">
              <w:t>Fork-tailed catfish</w:t>
            </w:r>
          </w:p>
        </w:tc>
        <w:tc>
          <w:tcPr>
            <w:tcW w:w="2500" w:type="pct"/>
            <w:noWrap/>
          </w:tcPr>
          <w:p w14:paraId="62C46375" w14:textId="64BDC551" w:rsidR="00122979" w:rsidRPr="00122979" w:rsidRDefault="00122979" w:rsidP="00122979">
            <w:pPr>
              <w:pStyle w:val="TableText"/>
              <w:rPr>
                <w:rStyle w:val="Emphasis"/>
                <w:i w:val="0"/>
                <w:iCs w:val="0"/>
              </w:rPr>
            </w:pPr>
            <w:r w:rsidRPr="00122979">
              <w:rPr>
                <w:rStyle w:val="Emphasis"/>
              </w:rPr>
              <w:t>Arius</w:t>
            </w:r>
            <w:r w:rsidRPr="00122979">
              <w:t xml:space="preserve"> spp.</w:t>
            </w:r>
          </w:p>
        </w:tc>
      </w:tr>
      <w:tr w:rsidR="00122979" w14:paraId="400E991F" w14:textId="77777777">
        <w:trPr>
          <w:cantSplit/>
          <w:trHeight w:val="315"/>
        </w:trPr>
        <w:tc>
          <w:tcPr>
            <w:tcW w:w="2500" w:type="pct"/>
            <w:noWrap/>
          </w:tcPr>
          <w:p w14:paraId="5ECA2D33" w14:textId="02F2354B" w:rsidR="00122979" w:rsidRPr="002D2E15" w:rsidRDefault="00122979" w:rsidP="00122979">
            <w:pPr>
              <w:pStyle w:val="TableText"/>
            </w:pPr>
            <w:r w:rsidRPr="00A93A67">
              <w:t>Froggatt’s catfish</w:t>
            </w:r>
          </w:p>
        </w:tc>
        <w:tc>
          <w:tcPr>
            <w:tcW w:w="2500" w:type="pct"/>
            <w:noWrap/>
          </w:tcPr>
          <w:p w14:paraId="0D34DCFD" w14:textId="5C709B97" w:rsidR="00122979" w:rsidRPr="00122979" w:rsidRDefault="00122979" w:rsidP="00122979">
            <w:pPr>
              <w:pStyle w:val="TableText"/>
              <w:rPr>
                <w:rStyle w:val="Emphasis"/>
              </w:rPr>
            </w:pPr>
            <w:r>
              <w:rPr>
                <w:rStyle w:val="Emphasis"/>
              </w:rPr>
              <w:t>Cinetodus froggatti</w:t>
            </w:r>
          </w:p>
        </w:tc>
      </w:tr>
      <w:tr w:rsidR="00122979" w14:paraId="06FE0D1E" w14:textId="77777777">
        <w:trPr>
          <w:cantSplit/>
          <w:trHeight w:val="315"/>
        </w:trPr>
        <w:tc>
          <w:tcPr>
            <w:tcW w:w="2500" w:type="pct"/>
            <w:noWrap/>
          </w:tcPr>
          <w:p w14:paraId="0B15117B" w14:textId="2531173B" w:rsidR="00122979" w:rsidRPr="002D2E15" w:rsidRDefault="00122979" w:rsidP="00122979">
            <w:pPr>
              <w:pStyle w:val="TableText"/>
            </w:pPr>
            <w:r w:rsidRPr="00A93A67">
              <w:t>Giant glassfish</w:t>
            </w:r>
            <w:r w:rsidRPr="00122979">
              <w:rPr>
                <w:vertAlign w:val="superscript"/>
              </w:rPr>
              <w:t>a</w:t>
            </w:r>
          </w:p>
        </w:tc>
        <w:tc>
          <w:tcPr>
            <w:tcW w:w="2500" w:type="pct"/>
            <w:noWrap/>
          </w:tcPr>
          <w:p w14:paraId="424C5FA5" w14:textId="19DF623B" w:rsidR="00122979" w:rsidRPr="00122979" w:rsidRDefault="00122979" w:rsidP="00122979">
            <w:pPr>
              <w:pStyle w:val="TableText"/>
              <w:rPr>
                <w:rStyle w:val="Emphasis"/>
              </w:rPr>
            </w:pPr>
            <w:r>
              <w:rPr>
                <w:rStyle w:val="Emphasis"/>
              </w:rPr>
              <w:t>Parambassis gulliveri</w:t>
            </w:r>
          </w:p>
        </w:tc>
      </w:tr>
      <w:tr w:rsidR="00122979" w14:paraId="78538359" w14:textId="77777777">
        <w:trPr>
          <w:cantSplit/>
          <w:trHeight w:val="315"/>
        </w:trPr>
        <w:tc>
          <w:tcPr>
            <w:tcW w:w="2500" w:type="pct"/>
            <w:noWrap/>
          </w:tcPr>
          <w:p w14:paraId="5B49F903" w14:textId="4470D808" w:rsidR="00122979" w:rsidRPr="002D2E15" w:rsidRDefault="00FE45B7" w:rsidP="00FE45B7">
            <w:pPr>
              <w:pStyle w:val="TableText"/>
            </w:pPr>
            <w:r>
              <w:t>Giant</w:t>
            </w:r>
            <w:r w:rsidR="00122979" w:rsidRPr="00A93A67">
              <w:t xml:space="preserve"> grouper</w:t>
            </w:r>
          </w:p>
        </w:tc>
        <w:tc>
          <w:tcPr>
            <w:tcW w:w="2500" w:type="pct"/>
            <w:noWrap/>
          </w:tcPr>
          <w:p w14:paraId="3FE2BC03" w14:textId="010B6FFD" w:rsidR="00122979" w:rsidRPr="00122979" w:rsidRDefault="00122979" w:rsidP="00122979">
            <w:pPr>
              <w:pStyle w:val="TableText"/>
              <w:rPr>
                <w:rStyle w:val="Emphasis"/>
              </w:rPr>
            </w:pPr>
            <w:r>
              <w:rPr>
                <w:rStyle w:val="Emphasis"/>
              </w:rPr>
              <w:t>Epinephelus lanceolatus</w:t>
            </w:r>
          </w:p>
        </w:tc>
      </w:tr>
      <w:tr w:rsidR="00122979" w14:paraId="7D9EAD97" w14:textId="77777777">
        <w:trPr>
          <w:cantSplit/>
          <w:trHeight w:val="315"/>
        </w:trPr>
        <w:tc>
          <w:tcPr>
            <w:tcW w:w="2500" w:type="pct"/>
            <w:noWrap/>
          </w:tcPr>
          <w:p w14:paraId="36E2D961" w14:textId="4399B88D" w:rsidR="00122979" w:rsidRPr="002D2E15" w:rsidRDefault="00122979" w:rsidP="00122979">
            <w:pPr>
              <w:pStyle w:val="TableText"/>
            </w:pPr>
            <w:r w:rsidRPr="00A93A67">
              <w:t>Giant gudgeon</w:t>
            </w:r>
            <w:r w:rsidRPr="00122979">
              <w:rPr>
                <w:vertAlign w:val="superscript"/>
              </w:rPr>
              <w:t>a</w:t>
            </w:r>
          </w:p>
        </w:tc>
        <w:tc>
          <w:tcPr>
            <w:tcW w:w="2500" w:type="pct"/>
            <w:noWrap/>
          </w:tcPr>
          <w:p w14:paraId="37BA3561" w14:textId="147D4ED9" w:rsidR="00122979" w:rsidRPr="00122979" w:rsidRDefault="00122979" w:rsidP="00122979">
            <w:pPr>
              <w:pStyle w:val="TableText"/>
              <w:rPr>
                <w:rStyle w:val="Emphasis"/>
              </w:rPr>
            </w:pPr>
            <w:r>
              <w:rPr>
                <w:rStyle w:val="Emphasis"/>
              </w:rPr>
              <w:t>Oxyeleotris selheimi</w:t>
            </w:r>
          </w:p>
        </w:tc>
      </w:tr>
      <w:tr w:rsidR="00122979" w14:paraId="09D0B99E" w14:textId="77777777">
        <w:trPr>
          <w:cantSplit/>
          <w:trHeight w:val="315"/>
        </w:trPr>
        <w:tc>
          <w:tcPr>
            <w:tcW w:w="2500" w:type="pct"/>
            <w:noWrap/>
          </w:tcPr>
          <w:p w14:paraId="4B767483" w14:textId="5499E7FC" w:rsidR="00122979" w:rsidRPr="002D2E15" w:rsidRDefault="00122979" w:rsidP="00122979">
            <w:pPr>
              <w:pStyle w:val="TableText"/>
            </w:pPr>
            <w:r w:rsidRPr="00A93A67">
              <w:t>Goldfish</w:t>
            </w:r>
          </w:p>
        </w:tc>
        <w:tc>
          <w:tcPr>
            <w:tcW w:w="2500" w:type="pct"/>
            <w:noWrap/>
          </w:tcPr>
          <w:p w14:paraId="1A60ACC5" w14:textId="2F658F35" w:rsidR="00122979" w:rsidRPr="00122979" w:rsidRDefault="00122979" w:rsidP="00122979">
            <w:pPr>
              <w:pStyle w:val="TableText"/>
              <w:rPr>
                <w:rStyle w:val="Emphasis"/>
              </w:rPr>
            </w:pPr>
            <w:r w:rsidRPr="00122979">
              <w:rPr>
                <w:rStyle w:val="Emphasis"/>
              </w:rPr>
              <w:t>Carassius auratus auratus</w:t>
            </w:r>
          </w:p>
        </w:tc>
      </w:tr>
      <w:tr w:rsidR="00122979" w14:paraId="19F17930" w14:textId="77777777">
        <w:trPr>
          <w:cantSplit/>
          <w:trHeight w:val="315"/>
        </w:trPr>
        <w:tc>
          <w:tcPr>
            <w:tcW w:w="2500" w:type="pct"/>
            <w:noWrap/>
          </w:tcPr>
          <w:p w14:paraId="276D90C8" w14:textId="6633A3DE" w:rsidR="00122979" w:rsidRPr="002D2E15" w:rsidRDefault="00122979" w:rsidP="00122979">
            <w:pPr>
              <w:pStyle w:val="TableText"/>
            </w:pPr>
            <w:r w:rsidRPr="00A93A67">
              <w:t>Golden perch</w:t>
            </w:r>
          </w:p>
        </w:tc>
        <w:tc>
          <w:tcPr>
            <w:tcW w:w="2500" w:type="pct"/>
            <w:noWrap/>
          </w:tcPr>
          <w:p w14:paraId="31580CD8" w14:textId="66225DA7" w:rsidR="00122979" w:rsidRPr="00122979" w:rsidRDefault="00122979" w:rsidP="00122979">
            <w:pPr>
              <w:pStyle w:val="TableText"/>
              <w:rPr>
                <w:rStyle w:val="Emphasis"/>
              </w:rPr>
            </w:pPr>
            <w:r w:rsidRPr="00122979">
              <w:rPr>
                <w:rStyle w:val="Emphasis"/>
              </w:rPr>
              <w:t>Macquaria ambigua</w:t>
            </w:r>
          </w:p>
        </w:tc>
      </w:tr>
      <w:tr w:rsidR="00122979" w14:paraId="62595352" w14:textId="77777777">
        <w:trPr>
          <w:cantSplit/>
          <w:trHeight w:val="315"/>
        </w:trPr>
        <w:tc>
          <w:tcPr>
            <w:tcW w:w="2500" w:type="pct"/>
            <w:noWrap/>
          </w:tcPr>
          <w:p w14:paraId="45FE42E5" w14:textId="5B1E93E1" w:rsidR="00122979" w:rsidRPr="002D2E15" w:rsidRDefault="00122979" w:rsidP="00122979">
            <w:pPr>
              <w:pStyle w:val="TableText"/>
            </w:pPr>
            <w:r w:rsidRPr="00A93A67">
              <w:t>Grouper and estuary cod</w:t>
            </w:r>
            <w:r w:rsidRPr="00122979">
              <w:rPr>
                <w:vertAlign w:val="superscript"/>
              </w:rPr>
              <w:t>a</w:t>
            </w:r>
          </w:p>
        </w:tc>
        <w:tc>
          <w:tcPr>
            <w:tcW w:w="2500" w:type="pct"/>
            <w:noWrap/>
          </w:tcPr>
          <w:p w14:paraId="465913CC" w14:textId="0D250B1B" w:rsidR="00122979" w:rsidRPr="00122979" w:rsidRDefault="00122979" w:rsidP="00122979">
            <w:pPr>
              <w:pStyle w:val="TableText"/>
              <w:rPr>
                <w:rStyle w:val="Emphasis"/>
              </w:rPr>
            </w:pPr>
            <w:r w:rsidRPr="00122979">
              <w:rPr>
                <w:rStyle w:val="Emphasis"/>
              </w:rPr>
              <w:t>Epinephelus spp.</w:t>
            </w:r>
          </w:p>
        </w:tc>
      </w:tr>
      <w:tr w:rsidR="00122979" w14:paraId="5D80435C" w14:textId="77777777">
        <w:trPr>
          <w:cantSplit/>
          <w:trHeight w:val="315"/>
        </w:trPr>
        <w:tc>
          <w:tcPr>
            <w:tcW w:w="2500" w:type="pct"/>
            <w:noWrap/>
          </w:tcPr>
          <w:p w14:paraId="17DE654E" w14:textId="30248B8A" w:rsidR="00122979" w:rsidRPr="002D2E15" w:rsidRDefault="00122979" w:rsidP="00122979">
            <w:pPr>
              <w:pStyle w:val="TableText"/>
            </w:pPr>
            <w:r w:rsidRPr="00A93A67">
              <w:lastRenderedPageBreak/>
              <w:t>Long tom</w:t>
            </w:r>
            <w:r w:rsidRPr="00122979">
              <w:rPr>
                <w:vertAlign w:val="superscript"/>
              </w:rPr>
              <w:t>a</w:t>
            </w:r>
          </w:p>
        </w:tc>
        <w:tc>
          <w:tcPr>
            <w:tcW w:w="2500" w:type="pct"/>
            <w:noWrap/>
          </w:tcPr>
          <w:p w14:paraId="49E1261F" w14:textId="7BB5CF78" w:rsidR="00122979" w:rsidRPr="00122979" w:rsidRDefault="00122979" w:rsidP="00122979">
            <w:pPr>
              <w:pStyle w:val="TableText"/>
              <w:rPr>
                <w:rStyle w:val="Emphasis"/>
              </w:rPr>
            </w:pPr>
            <w:r w:rsidRPr="00122979">
              <w:rPr>
                <w:rStyle w:val="Emphasis"/>
              </w:rPr>
              <w:t xml:space="preserve">Strongylura </w:t>
            </w:r>
            <w:r>
              <w:rPr>
                <w:rStyle w:val="Emphasis"/>
              </w:rPr>
              <w:t>krefftii</w:t>
            </w:r>
          </w:p>
        </w:tc>
      </w:tr>
      <w:tr w:rsidR="00122979" w14:paraId="7D9852BF" w14:textId="77777777">
        <w:trPr>
          <w:cantSplit/>
          <w:trHeight w:val="315"/>
        </w:trPr>
        <w:tc>
          <w:tcPr>
            <w:tcW w:w="2500" w:type="pct"/>
            <w:noWrap/>
          </w:tcPr>
          <w:p w14:paraId="1CA500EF" w14:textId="6D558925" w:rsidR="00122979" w:rsidRPr="002D2E15" w:rsidRDefault="00122979" w:rsidP="00122979">
            <w:pPr>
              <w:pStyle w:val="TableText"/>
            </w:pPr>
            <w:r w:rsidRPr="00A93A67">
              <w:t>Mangrove jack</w:t>
            </w:r>
            <w:r w:rsidRPr="00122979">
              <w:rPr>
                <w:vertAlign w:val="superscript"/>
              </w:rPr>
              <w:t>a</w:t>
            </w:r>
          </w:p>
        </w:tc>
        <w:tc>
          <w:tcPr>
            <w:tcW w:w="2500" w:type="pct"/>
            <w:noWrap/>
          </w:tcPr>
          <w:p w14:paraId="01218281" w14:textId="57D01188" w:rsidR="00122979" w:rsidRPr="00122979" w:rsidRDefault="00122979" w:rsidP="00122979">
            <w:pPr>
              <w:pStyle w:val="TableText"/>
              <w:rPr>
                <w:rStyle w:val="Emphasis"/>
              </w:rPr>
            </w:pPr>
            <w:r>
              <w:rPr>
                <w:rStyle w:val="Emphasis"/>
              </w:rPr>
              <w:t>Lutjanus argentimaculatus</w:t>
            </w:r>
          </w:p>
        </w:tc>
      </w:tr>
      <w:tr w:rsidR="00122979" w14:paraId="53B5A7A9" w14:textId="77777777">
        <w:trPr>
          <w:cantSplit/>
          <w:trHeight w:val="315"/>
        </w:trPr>
        <w:tc>
          <w:tcPr>
            <w:tcW w:w="2500" w:type="pct"/>
            <w:noWrap/>
          </w:tcPr>
          <w:p w14:paraId="57AB58F4" w14:textId="6225D17C" w:rsidR="00122979" w:rsidRPr="002D2E15" w:rsidRDefault="00122979" w:rsidP="00122979">
            <w:pPr>
              <w:pStyle w:val="TableText"/>
            </w:pPr>
            <w:r w:rsidRPr="00A93A67">
              <w:t>Mouth almighty</w:t>
            </w:r>
            <w:r w:rsidRPr="00122979">
              <w:rPr>
                <w:vertAlign w:val="superscript"/>
              </w:rPr>
              <w:t>a</w:t>
            </w:r>
          </w:p>
        </w:tc>
        <w:tc>
          <w:tcPr>
            <w:tcW w:w="2500" w:type="pct"/>
            <w:noWrap/>
          </w:tcPr>
          <w:p w14:paraId="63807FDA" w14:textId="23E61E46" w:rsidR="00122979" w:rsidRPr="00122979" w:rsidRDefault="00122979" w:rsidP="00122979">
            <w:pPr>
              <w:pStyle w:val="TableText"/>
              <w:rPr>
                <w:rStyle w:val="Emphasis"/>
              </w:rPr>
            </w:pPr>
            <w:r>
              <w:rPr>
                <w:rStyle w:val="Emphasis"/>
              </w:rPr>
              <w:t>Glossamia aprion</w:t>
            </w:r>
          </w:p>
        </w:tc>
      </w:tr>
      <w:tr w:rsidR="00122979" w14:paraId="3EEDFAC3" w14:textId="77777777">
        <w:trPr>
          <w:cantSplit/>
          <w:trHeight w:val="315"/>
        </w:trPr>
        <w:tc>
          <w:tcPr>
            <w:tcW w:w="2500" w:type="pct"/>
            <w:noWrap/>
          </w:tcPr>
          <w:p w14:paraId="7AEDD396" w14:textId="0ED9CC5E" w:rsidR="00122979" w:rsidRPr="002D2E15" w:rsidRDefault="00122979" w:rsidP="00122979">
            <w:pPr>
              <w:pStyle w:val="TableText"/>
            </w:pPr>
            <w:r w:rsidRPr="00A93A67">
              <w:t>Sea mullet</w:t>
            </w:r>
            <w:r w:rsidRPr="00122979">
              <w:rPr>
                <w:vertAlign w:val="superscript"/>
              </w:rPr>
              <w:t>a</w:t>
            </w:r>
          </w:p>
        </w:tc>
        <w:tc>
          <w:tcPr>
            <w:tcW w:w="2500" w:type="pct"/>
            <w:noWrap/>
          </w:tcPr>
          <w:p w14:paraId="10DB0F7D" w14:textId="5E104018" w:rsidR="00122979" w:rsidRPr="00122979" w:rsidRDefault="00122979" w:rsidP="00122979">
            <w:pPr>
              <w:pStyle w:val="TableText"/>
              <w:rPr>
                <w:rStyle w:val="Emphasis"/>
              </w:rPr>
            </w:pPr>
            <w:r>
              <w:rPr>
                <w:rStyle w:val="Emphasis"/>
              </w:rPr>
              <w:t>Mugil cephalus</w:t>
            </w:r>
          </w:p>
        </w:tc>
      </w:tr>
      <w:tr w:rsidR="00122979" w14:paraId="025D005B" w14:textId="77777777">
        <w:trPr>
          <w:cantSplit/>
          <w:trHeight w:val="315"/>
        </w:trPr>
        <w:tc>
          <w:tcPr>
            <w:tcW w:w="2500" w:type="pct"/>
            <w:noWrap/>
          </w:tcPr>
          <w:p w14:paraId="4AB9E833" w14:textId="1558E80D" w:rsidR="00122979" w:rsidRPr="002D2E15" w:rsidRDefault="00122979" w:rsidP="00122979">
            <w:pPr>
              <w:pStyle w:val="TableText"/>
            </w:pPr>
            <w:r w:rsidRPr="00A93A67">
              <w:t>Mullets</w:t>
            </w:r>
            <w:r w:rsidRPr="00122979">
              <w:rPr>
                <w:vertAlign w:val="superscript"/>
              </w:rPr>
              <w:t>a</w:t>
            </w:r>
          </w:p>
        </w:tc>
        <w:tc>
          <w:tcPr>
            <w:tcW w:w="2500" w:type="pct"/>
            <w:noWrap/>
          </w:tcPr>
          <w:p w14:paraId="590DD2CE" w14:textId="7A888F70" w:rsidR="00122979" w:rsidRPr="00122979" w:rsidRDefault="00122979" w:rsidP="00122979">
            <w:pPr>
              <w:pStyle w:val="TableText"/>
              <w:rPr>
                <w:rStyle w:val="Emphasis"/>
              </w:rPr>
            </w:pPr>
            <w:r>
              <w:rPr>
                <w:rStyle w:val="Emphasis"/>
              </w:rPr>
              <w:t>Mugilidae</w:t>
            </w:r>
          </w:p>
        </w:tc>
      </w:tr>
      <w:tr w:rsidR="00122979" w14:paraId="766ED1B1" w14:textId="77777777">
        <w:trPr>
          <w:cantSplit/>
          <w:trHeight w:val="315"/>
        </w:trPr>
        <w:tc>
          <w:tcPr>
            <w:tcW w:w="2500" w:type="pct"/>
            <w:noWrap/>
          </w:tcPr>
          <w:p w14:paraId="44E35C87" w14:textId="33D57A03" w:rsidR="00122979" w:rsidRPr="002D2E15" w:rsidRDefault="00122979" w:rsidP="00122979">
            <w:pPr>
              <w:pStyle w:val="TableText"/>
            </w:pPr>
            <w:r w:rsidRPr="00A93A67">
              <w:t>Murray cod</w:t>
            </w:r>
          </w:p>
        </w:tc>
        <w:tc>
          <w:tcPr>
            <w:tcW w:w="2500" w:type="pct"/>
            <w:noWrap/>
          </w:tcPr>
          <w:p w14:paraId="61618D19" w14:textId="1FB68E39" w:rsidR="00122979" w:rsidRPr="00122979" w:rsidRDefault="00122979" w:rsidP="00122979">
            <w:pPr>
              <w:pStyle w:val="TableText"/>
              <w:rPr>
                <w:rStyle w:val="Emphasis"/>
              </w:rPr>
            </w:pPr>
            <w:r w:rsidRPr="00122979">
              <w:rPr>
                <w:rStyle w:val="Emphasis"/>
              </w:rPr>
              <w:t>Maccullochella peelii</w:t>
            </w:r>
          </w:p>
        </w:tc>
      </w:tr>
      <w:tr w:rsidR="00122979" w14:paraId="45F9A479" w14:textId="77777777">
        <w:trPr>
          <w:cantSplit/>
          <w:trHeight w:val="315"/>
        </w:trPr>
        <w:tc>
          <w:tcPr>
            <w:tcW w:w="2500" w:type="pct"/>
            <w:noWrap/>
          </w:tcPr>
          <w:p w14:paraId="146F7CCC" w14:textId="397ADEF9" w:rsidR="00122979" w:rsidRPr="002D2E15" w:rsidRDefault="00122979" w:rsidP="00122979">
            <w:pPr>
              <w:pStyle w:val="TableText"/>
            </w:pPr>
            <w:r w:rsidRPr="00A93A67">
              <w:t>Nurseryfish</w:t>
            </w:r>
          </w:p>
        </w:tc>
        <w:tc>
          <w:tcPr>
            <w:tcW w:w="2500" w:type="pct"/>
            <w:noWrap/>
          </w:tcPr>
          <w:p w14:paraId="14135D94" w14:textId="7A9414C6" w:rsidR="00122979" w:rsidRPr="00122979" w:rsidRDefault="00122979" w:rsidP="00122979">
            <w:pPr>
              <w:pStyle w:val="TableText"/>
              <w:rPr>
                <w:rStyle w:val="Emphasis"/>
              </w:rPr>
            </w:pPr>
            <w:r w:rsidRPr="00122979">
              <w:rPr>
                <w:rStyle w:val="Emphasis"/>
              </w:rPr>
              <w:t>Kurtus gulliveri</w:t>
            </w:r>
          </w:p>
        </w:tc>
      </w:tr>
      <w:tr w:rsidR="00122979" w14:paraId="7C33DF32" w14:textId="77777777">
        <w:trPr>
          <w:cantSplit/>
          <w:trHeight w:val="315"/>
        </w:trPr>
        <w:tc>
          <w:tcPr>
            <w:tcW w:w="2500" w:type="pct"/>
            <w:noWrap/>
          </w:tcPr>
          <w:p w14:paraId="15278828" w14:textId="1C0C7616" w:rsidR="00122979" w:rsidRPr="002D2E15" w:rsidRDefault="00122979" w:rsidP="00122979">
            <w:pPr>
              <w:pStyle w:val="TableText"/>
            </w:pPr>
            <w:r w:rsidRPr="00A93A67">
              <w:t>Primitive archer fish</w:t>
            </w:r>
            <w:r w:rsidRPr="00122979">
              <w:rPr>
                <w:vertAlign w:val="superscript"/>
              </w:rPr>
              <w:t>a</w:t>
            </w:r>
          </w:p>
        </w:tc>
        <w:tc>
          <w:tcPr>
            <w:tcW w:w="2500" w:type="pct"/>
            <w:noWrap/>
          </w:tcPr>
          <w:p w14:paraId="289F23F9" w14:textId="1DEDE4BF" w:rsidR="00122979" w:rsidRPr="00122979" w:rsidRDefault="00122979" w:rsidP="00122979">
            <w:pPr>
              <w:pStyle w:val="TableText"/>
              <w:rPr>
                <w:rStyle w:val="Emphasis"/>
              </w:rPr>
            </w:pPr>
            <w:r w:rsidRPr="00122979">
              <w:rPr>
                <w:rStyle w:val="Emphasis"/>
              </w:rPr>
              <w:t>Toxotes lorentzi</w:t>
            </w:r>
          </w:p>
        </w:tc>
      </w:tr>
      <w:tr w:rsidR="00122979" w14:paraId="3084FC39" w14:textId="77777777">
        <w:trPr>
          <w:cantSplit/>
          <w:trHeight w:val="315"/>
        </w:trPr>
        <w:tc>
          <w:tcPr>
            <w:tcW w:w="2500" w:type="pct"/>
            <w:noWrap/>
          </w:tcPr>
          <w:p w14:paraId="6D0675E6" w14:textId="163E4D46" w:rsidR="00122979" w:rsidRPr="002D2E15" w:rsidRDefault="00122979" w:rsidP="00122979">
            <w:pPr>
              <w:pStyle w:val="TableText"/>
            </w:pPr>
            <w:r w:rsidRPr="00A93A67">
              <w:t>Rainbow fish</w:t>
            </w:r>
            <w:r w:rsidRPr="00122979">
              <w:rPr>
                <w:vertAlign w:val="superscript"/>
              </w:rPr>
              <w:t>a</w:t>
            </w:r>
          </w:p>
        </w:tc>
        <w:tc>
          <w:tcPr>
            <w:tcW w:w="2500" w:type="pct"/>
            <w:noWrap/>
          </w:tcPr>
          <w:p w14:paraId="2BE5F8C2" w14:textId="4A6D2DC1" w:rsidR="00122979" w:rsidRPr="00122979" w:rsidRDefault="00122979" w:rsidP="00122979">
            <w:pPr>
              <w:pStyle w:val="TableText"/>
              <w:rPr>
                <w:rStyle w:val="Emphasis"/>
              </w:rPr>
            </w:pPr>
            <w:r w:rsidRPr="00122979">
              <w:rPr>
                <w:rStyle w:val="Emphasis"/>
              </w:rPr>
              <w:t>Melanotaenia splendida</w:t>
            </w:r>
          </w:p>
        </w:tc>
      </w:tr>
      <w:tr w:rsidR="00122979" w14:paraId="2AB6C35C" w14:textId="77777777">
        <w:trPr>
          <w:cantSplit/>
          <w:trHeight w:val="315"/>
        </w:trPr>
        <w:tc>
          <w:tcPr>
            <w:tcW w:w="2500" w:type="pct"/>
            <w:noWrap/>
          </w:tcPr>
          <w:p w14:paraId="78CCF710" w14:textId="014F0715" w:rsidR="00122979" w:rsidRPr="002D2E15" w:rsidRDefault="00122979" w:rsidP="00122979">
            <w:pPr>
              <w:pStyle w:val="TableText"/>
            </w:pPr>
            <w:r w:rsidRPr="00A93A67">
              <w:t>Rainbow trout</w:t>
            </w:r>
          </w:p>
        </w:tc>
        <w:tc>
          <w:tcPr>
            <w:tcW w:w="2500" w:type="pct"/>
            <w:noWrap/>
          </w:tcPr>
          <w:p w14:paraId="6A2F1147" w14:textId="4FCF5B30" w:rsidR="00122979" w:rsidRPr="00122979" w:rsidRDefault="00122979" w:rsidP="00122979">
            <w:pPr>
              <w:pStyle w:val="TableText"/>
              <w:rPr>
                <w:rStyle w:val="Emphasis"/>
              </w:rPr>
            </w:pPr>
            <w:r w:rsidRPr="00122979">
              <w:rPr>
                <w:rStyle w:val="Emphasis"/>
              </w:rPr>
              <w:t>Oncorhynchus mykiss</w:t>
            </w:r>
          </w:p>
        </w:tc>
      </w:tr>
      <w:tr w:rsidR="00122979" w14:paraId="5CF283AD" w14:textId="77777777">
        <w:trPr>
          <w:cantSplit/>
          <w:trHeight w:val="315"/>
        </w:trPr>
        <w:tc>
          <w:tcPr>
            <w:tcW w:w="2500" w:type="pct"/>
            <w:noWrap/>
          </w:tcPr>
          <w:p w14:paraId="40716FD9" w14:textId="4C209F38" w:rsidR="00122979" w:rsidRPr="002D2E15" w:rsidRDefault="00122979" w:rsidP="00122979">
            <w:pPr>
              <w:pStyle w:val="TableText"/>
            </w:pPr>
            <w:r w:rsidRPr="00A93A67">
              <w:t>Saratoga</w:t>
            </w:r>
            <w:r w:rsidRPr="00122979">
              <w:rPr>
                <w:vertAlign w:val="superscript"/>
              </w:rPr>
              <w:t>a</w:t>
            </w:r>
          </w:p>
        </w:tc>
        <w:tc>
          <w:tcPr>
            <w:tcW w:w="2500" w:type="pct"/>
            <w:noWrap/>
          </w:tcPr>
          <w:p w14:paraId="5ADC9FFD" w14:textId="17765745" w:rsidR="00122979" w:rsidRPr="00122979" w:rsidRDefault="00122979" w:rsidP="00122979">
            <w:pPr>
              <w:pStyle w:val="TableText"/>
              <w:rPr>
                <w:rStyle w:val="Emphasis"/>
              </w:rPr>
            </w:pPr>
            <w:r>
              <w:rPr>
                <w:rStyle w:val="Emphasis"/>
              </w:rPr>
              <w:t>Scleropages jardini</w:t>
            </w:r>
          </w:p>
        </w:tc>
      </w:tr>
      <w:tr w:rsidR="00122979" w14:paraId="2937050A" w14:textId="77777777">
        <w:trPr>
          <w:cantSplit/>
          <w:trHeight w:val="315"/>
        </w:trPr>
        <w:tc>
          <w:tcPr>
            <w:tcW w:w="2500" w:type="pct"/>
            <w:noWrap/>
          </w:tcPr>
          <w:p w14:paraId="5EB26AB9" w14:textId="1812D650" w:rsidR="00122979" w:rsidRPr="002D2E15" w:rsidRDefault="00122979" w:rsidP="00122979">
            <w:pPr>
              <w:pStyle w:val="TableText"/>
            </w:pPr>
            <w:r w:rsidRPr="00A93A67">
              <w:t>Scat</w:t>
            </w:r>
            <w:r w:rsidRPr="00122979">
              <w:rPr>
                <w:vertAlign w:val="superscript"/>
              </w:rPr>
              <w:t>a</w:t>
            </w:r>
          </w:p>
        </w:tc>
        <w:tc>
          <w:tcPr>
            <w:tcW w:w="2500" w:type="pct"/>
            <w:noWrap/>
          </w:tcPr>
          <w:p w14:paraId="7DB5241A" w14:textId="1585849B" w:rsidR="00122979" w:rsidRPr="00122979" w:rsidRDefault="00122979" w:rsidP="00122979">
            <w:pPr>
              <w:pStyle w:val="TableText"/>
              <w:rPr>
                <w:rStyle w:val="Emphasis"/>
              </w:rPr>
            </w:pPr>
            <w:r>
              <w:rPr>
                <w:rStyle w:val="Emphasis"/>
              </w:rPr>
              <w:t>Scatophagus argus</w:t>
            </w:r>
          </w:p>
        </w:tc>
      </w:tr>
      <w:tr w:rsidR="00122979" w14:paraId="06B1D48F" w14:textId="77777777">
        <w:trPr>
          <w:cantSplit/>
          <w:trHeight w:val="315"/>
        </w:trPr>
        <w:tc>
          <w:tcPr>
            <w:tcW w:w="2500" w:type="pct"/>
            <w:noWrap/>
          </w:tcPr>
          <w:p w14:paraId="3EC91365" w14:textId="1931D114" w:rsidR="00122979" w:rsidRPr="002D2E15" w:rsidRDefault="00122979" w:rsidP="00122979">
            <w:pPr>
              <w:pStyle w:val="TableText"/>
            </w:pPr>
            <w:r w:rsidRPr="00A93A67">
              <w:t>Shortfin eel</w:t>
            </w:r>
            <w:r w:rsidRPr="00122979">
              <w:rPr>
                <w:vertAlign w:val="superscript"/>
              </w:rPr>
              <w:t>a</w:t>
            </w:r>
          </w:p>
        </w:tc>
        <w:tc>
          <w:tcPr>
            <w:tcW w:w="2500" w:type="pct"/>
            <w:noWrap/>
          </w:tcPr>
          <w:p w14:paraId="42F9DD76" w14:textId="409A8E99" w:rsidR="00122979" w:rsidRPr="00122979" w:rsidRDefault="00122979" w:rsidP="00122979">
            <w:pPr>
              <w:pStyle w:val="TableText"/>
              <w:rPr>
                <w:rStyle w:val="Emphasis"/>
              </w:rPr>
            </w:pPr>
            <w:r>
              <w:rPr>
                <w:rStyle w:val="Emphasis"/>
              </w:rPr>
              <w:t>Anguilla australis</w:t>
            </w:r>
          </w:p>
        </w:tc>
      </w:tr>
      <w:tr w:rsidR="00122979" w14:paraId="34FEA3EB" w14:textId="77777777">
        <w:trPr>
          <w:cantSplit/>
          <w:trHeight w:val="315"/>
        </w:trPr>
        <w:tc>
          <w:tcPr>
            <w:tcW w:w="2500" w:type="pct"/>
            <w:noWrap/>
          </w:tcPr>
          <w:p w14:paraId="6F341982" w14:textId="45762DE2" w:rsidR="00122979" w:rsidRPr="002D2E15" w:rsidRDefault="00122979" w:rsidP="00122979">
            <w:pPr>
              <w:pStyle w:val="TableText"/>
            </w:pPr>
            <w:r w:rsidRPr="00A93A67">
              <w:t>Silver perch</w:t>
            </w:r>
            <w:r w:rsidRPr="00122979">
              <w:rPr>
                <w:vertAlign w:val="superscript"/>
              </w:rPr>
              <w:t>a</w:t>
            </w:r>
          </w:p>
        </w:tc>
        <w:tc>
          <w:tcPr>
            <w:tcW w:w="2500" w:type="pct"/>
            <w:noWrap/>
          </w:tcPr>
          <w:p w14:paraId="3CC38CD5" w14:textId="0B577B1C" w:rsidR="00122979" w:rsidRPr="00122979" w:rsidRDefault="00122979" w:rsidP="00122979">
            <w:pPr>
              <w:pStyle w:val="TableText"/>
              <w:rPr>
                <w:rStyle w:val="Emphasis"/>
              </w:rPr>
            </w:pPr>
            <w:r>
              <w:rPr>
                <w:rStyle w:val="Emphasis"/>
              </w:rPr>
              <w:t>Bidyanus bidyanus</w:t>
            </w:r>
          </w:p>
        </w:tc>
      </w:tr>
      <w:tr w:rsidR="00122979" w14:paraId="44FD68FE" w14:textId="77777777">
        <w:trPr>
          <w:cantSplit/>
          <w:trHeight w:val="315"/>
        </w:trPr>
        <w:tc>
          <w:tcPr>
            <w:tcW w:w="2500" w:type="pct"/>
            <w:noWrap/>
          </w:tcPr>
          <w:p w14:paraId="27E32E5D" w14:textId="43D1DC31" w:rsidR="00122979" w:rsidRPr="002D2E15" w:rsidRDefault="00122979" w:rsidP="00122979">
            <w:pPr>
              <w:pStyle w:val="TableText"/>
            </w:pPr>
            <w:r w:rsidRPr="00A93A67">
              <w:t>Silver trevally</w:t>
            </w:r>
            <w:r w:rsidRPr="00122979">
              <w:rPr>
                <w:vertAlign w:val="superscript"/>
              </w:rPr>
              <w:t>a</w:t>
            </w:r>
          </w:p>
        </w:tc>
        <w:tc>
          <w:tcPr>
            <w:tcW w:w="2500" w:type="pct"/>
            <w:noWrap/>
          </w:tcPr>
          <w:p w14:paraId="51765DE8" w14:textId="365AC3BE" w:rsidR="00122979" w:rsidRPr="00122979" w:rsidRDefault="00122979" w:rsidP="00122979">
            <w:pPr>
              <w:pStyle w:val="TableText"/>
              <w:rPr>
                <w:rStyle w:val="Emphasis"/>
              </w:rPr>
            </w:pPr>
            <w:r>
              <w:rPr>
                <w:rStyle w:val="Emphasis"/>
              </w:rPr>
              <w:t>Pseudocaranx dentex</w:t>
            </w:r>
          </w:p>
        </w:tc>
      </w:tr>
      <w:tr w:rsidR="00122979" w14:paraId="6CB14C46" w14:textId="77777777">
        <w:trPr>
          <w:cantSplit/>
          <w:trHeight w:val="315"/>
        </w:trPr>
        <w:tc>
          <w:tcPr>
            <w:tcW w:w="2500" w:type="pct"/>
            <w:noWrap/>
          </w:tcPr>
          <w:p w14:paraId="48B1BEB3" w14:textId="443DAAE3" w:rsidR="00122979" w:rsidRPr="002D2E15" w:rsidRDefault="00122979" w:rsidP="00122979">
            <w:pPr>
              <w:pStyle w:val="TableText"/>
            </w:pPr>
            <w:r w:rsidRPr="00A93A67">
              <w:t>Sleepy cod</w:t>
            </w:r>
            <w:r w:rsidRPr="00122979">
              <w:rPr>
                <w:vertAlign w:val="superscript"/>
              </w:rPr>
              <w:t>a</w:t>
            </w:r>
          </w:p>
        </w:tc>
        <w:tc>
          <w:tcPr>
            <w:tcW w:w="2500" w:type="pct"/>
            <w:noWrap/>
          </w:tcPr>
          <w:p w14:paraId="65EDBE7A" w14:textId="46ADFF6F" w:rsidR="00122979" w:rsidRPr="00122979" w:rsidRDefault="00122979" w:rsidP="00122979">
            <w:pPr>
              <w:pStyle w:val="TableText"/>
              <w:rPr>
                <w:rStyle w:val="Emphasis"/>
              </w:rPr>
            </w:pPr>
            <w:r w:rsidRPr="00122979">
              <w:rPr>
                <w:rStyle w:val="Emphasis"/>
              </w:rPr>
              <w:t>Oxyeleotris lineo</w:t>
            </w:r>
            <w:r>
              <w:rPr>
                <w:rStyle w:val="Emphasis"/>
              </w:rPr>
              <w:t>latus</w:t>
            </w:r>
          </w:p>
        </w:tc>
      </w:tr>
      <w:tr w:rsidR="00122979" w14:paraId="187D0E23" w14:textId="77777777">
        <w:trPr>
          <w:cantSplit/>
          <w:trHeight w:val="315"/>
        </w:trPr>
        <w:tc>
          <w:tcPr>
            <w:tcW w:w="2500" w:type="pct"/>
            <w:noWrap/>
          </w:tcPr>
          <w:p w14:paraId="68C8003B" w14:textId="621F1513" w:rsidR="00122979" w:rsidRPr="002D2E15" w:rsidRDefault="00122979" w:rsidP="00122979">
            <w:pPr>
              <w:pStyle w:val="TableText"/>
            </w:pPr>
            <w:r w:rsidRPr="00A93A67">
              <w:t>Striped grunter</w:t>
            </w:r>
            <w:r w:rsidRPr="00122979">
              <w:rPr>
                <w:vertAlign w:val="superscript"/>
              </w:rPr>
              <w:t>a</w:t>
            </w:r>
          </w:p>
        </w:tc>
        <w:tc>
          <w:tcPr>
            <w:tcW w:w="2500" w:type="pct"/>
            <w:noWrap/>
          </w:tcPr>
          <w:p w14:paraId="5BBDB95D" w14:textId="0848547F" w:rsidR="00122979" w:rsidRPr="00122979" w:rsidRDefault="00122979" w:rsidP="00122979">
            <w:pPr>
              <w:pStyle w:val="TableText"/>
              <w:rPr>
                <w:rStyle w:val="Emphasis"/>
              </w:rPr>
            </w:pPr>
            <w:r>
              <w:rPr>
                <w:rStyle w:val="Emphasis"/>
              </w:rPr>
              <w:t>Amniataba percoides</w:t>
            </w:r>
          </w:p>
        </w:tc>
      </w:tr>
      <w:tr w:rsidR="00122979" w14:paraId="00200EB4" w14:textId="77777777">
        <w:trPr>
          <w:cantSplit/>
          <w:trHeight w:val="315"/>
        </w:trPr>
        <w:tc>
          <w:tcPr>
            <w:tcW w:w="2500" w:type="pct"/>
            <w:noWrap/>
          </w:tcPr>
          <w:p w14:paraId="10941708" w14:textId="6D9BA166" w:rsidR="00122979" w:rsidRPr="002D2E15" w:rsidRDefault="00122979" w:rsidP="00122979">
            <w:pPr>
              <w:pStyle w:val="TableText"/>
            </w:pPr>
            <w:r w:rsidRPr="00A93A67">
              <w:t>Spangled perch</w:t>
            </w:r>
            <w:r w:rsidRPr="00122979">
              <w:rPr>
                <w:vertAlign w:val="superscript"/>
              </w:rPr>
              <w:t>a</w:t>
            </w:r>
          </w:p>
        </w:tc>
        <w:tc>
          <w:tcPr>
            <w:tcW w:w="2500" w:type="pct"/>
            <w:noWrap/>
          </w:tcPr>
          <w:p w14:paraId="1C4437DE" w14:textId="3E9FD72E" w:rsidR="00122979" w:rsidRPr="00122979" w:rsidRDefault="00122979" w:rsidP="00122979">
            <w:pPr>
              <w:pStyle w:val="TableText"/>
              <w:rPr>
                <w:rStyle w:val="Emphasis"/>
              </w:rPr>
            </w:pPr>
            <w:r>
              <w:rPr>
                <w:rStyle w:val="Emphasis"/>
              </w:rPr>
              <w:t>Leiopotherapon unicolor</w:t>
            </w:r>
          </w:p>
        </w:tc>
      </w:tr>
      <w:tr w:rsidR="00122979" w14:paraId="6DD1543A" w14:textId="77777777">
        <w:trPr>
          <w:cantSplit/>
          <w:trHeight w:val="315"/>
        </w:trPr>
        <w:tc>
          <w:tcPr>
            <w:tcW w:w="2500" w:type="pct"/>
            <w:noWrap/>
          </w:tcPr>
          <w:p w14:paraId="68E0B4B4" w14:textId="5981320F" w:rsidR="00122979" w:rsidRPr="002D2E15" w:rsidRDefault="00122979" w:rsidP="00337FFE">
            <w:pPr>
              <w:pStyle w:val="TableText"/>
            </w:pPr>
            <w:r w:rsidRPr="00A93A67">
              <w:t>Triangular shield catfish</w:t>
            </w:r>
            <w:r w:rsidRPr="00122979">
              <w:rPr>
                <w:vertAlign w:val="superscript"/>
              </w:rPr>
              <w:t>a</w:t>
            </w:r>
          </w:p>
        </w:tc>
        <w:tc>
          <w:tcPr>
            <w:tcW w:w="2500" w:type="pct"/>
            <w:noWrap/>
          </w:tcPr>
          <w:p w14:paraId="0F8148C5" w14:textId="4C6A4755" w:rsidR="00122979" w:rsidRPr="00122979" w:rsidRDefault="00337FFE" w:rsidP="00337FFE">
            <w:pPr>
              <w:pStyle w:val="TableText"/>
              <w:rPr>
                <w:rStyle w:val="Emphasis"/>
              </w:rPr>
            </w:pPr>
            <w:r>
              <w:rPr>
                <w:rStyle w:val="Emphasis"/>
              </w:rPr>
              <w:t>Neoarius</w:t>
            </w:r>
            <w:r w:rsidR="00122979">
              <w:rPr>
                <w:rStyle w:val="Emphasis"/>
              </w:rPr>
              <w:t xml:space="preserve"> leptaspis</w:t>
            </w:r>
          </w:p>
        </w:tc>
      </w:tr>
      <w:tr w:rsidR="00122979" w14:paraId="5B2F0603" w14:textId="77777777">
        <w:trPr>
          <w:cantSplit/>
          <w:trHeight w:val="315"/>
        </w:trPr>
        <w:tc>
          <w:tcPr>
            <w:tcW w:w="2500" w:type="pct"/>
            <w:noWrap/>
          </w:tcPr>
          <w:p w14:paraId="12992AC9" w14:textId="7D005C00" w:rsidR="00122979" w:rsidRPr="002D2E15" w:rsidRDefault="00122979" w:rsidP="00122979">
            <w:pPr>
              <w:pStyle w:val="TableText"/>
            </w:pPr>
            <w:r w:rsidRPr="00A93A67">
              <w:t>Tropical two-winged flying fish</w:t>
            </w:r>
            <w:r w:rsidRPr="00122979">
              <w:rPr>
                <w:vertAlign w:val="superscript"/>
              </w:rPr>
              <w:t>a</w:t>
            </w:r>
          </w:p>
        </w:tc>
        <w:tc>
          <w:tcPr>
            <w:tcW w:w="2500" w:type="pct"/>
            <w:noWrap/>
          </w:tcPr>
          <w:p w14:paraId="190B2249" w14:textId="46854B3A" w:rsidR="00122979" w:rsidRPr="00122979" w:rsidRDefault="00122979" w:rsidP="00122979">
            <w:pPr>
              <w:pStyle w:val="TableText"/>
              <w:rPr>
                <w:rStyle w:val="Emphasis"/>
              </w:rPr>
            </w:pPr>
            <w:r>
              <w:rPr>
                <w:rStyle w:val="Emphasis"/>
              </w:rPr>
              <w:t>Exocoetus volitans</w:t>
            </w:r>
          </w:p>
        </w:tc>
      </w:tr>
      <w:tr w:rsidR="00122979" w14:paraId="0299EF48" w14:textId="77777777">
        <w:trPr>
          <w:cantSplit/>
          <w:trHeight w:val="315"/>
        </w:trPr>
        <w:tc>
          <w:tcPr>
            <w:tcW w:w="2500" w:type="pct"/>
            <w:noWrap/>
          </w:tcPr>
          <w:p w14:paraId="36068379" w14:textId="6BFEA1AB" w:rsidR="00122979" w:rsidRPr="002D2E15" w:rsidRDefault="00122979" w:rsidP="00122979">
            <w:pPr>
              <w:pStyle w:val="TableText"/>
            </w:pPr>
            <w:r w:rsidRPr="00A93A67">
              <w:t>Whiting</w:t>
            </w:r>
            <w:r w:rsidRPr="00122979">
              <w:rPr>
                <w:vertAlign w:val="superscript"/>
              </w:rPr>
              <w:t>a</w:t>
            </w:r>
          </w:p>
        </w:tc>
        <w:tc>
          <w:tcPr>
            <w:tcW w:w="2500" w:type="pct"/>
            <w:noWrap/>
          </w:tcPr>
          <w:p w14:paraId="32EE7F64" w14:textId="61FE505F" w:rsidR="00122979" w:rsidRPr="00122979" w:rsidRDefault="00122979" w:rsidP="00122979">
            <w:pPr>
              <w:pStyle w:val="TableText"/>
              <w:rPr>
                <w:rStyle w:val="Emphasis"/>
              </w:rPr>
            </w:pPr>
            <w:r>
              <w:rPr>
                <w:rStyle w:val="Emphasis"/>
              </w:rPr>
              <w:t>Sillago ciliata</w:t>
            </w:r>
          </w:p>
        </w:tc>
      </w:tr>
      <w:tr w:rsidR="00122979" w14:paraId="5AF66FBE" w14:textId="77777777">
        <w:trPr>
          <w:cantSplit/>
          <w:trHeight w:val="315"/>
        </w:trPr>
        <w:tc>
          <w:tcPr>
            <w:tcW w:w="2500" w:type="pct"/>
            <w:noWrap/>
          </w:tcPr>
          <w:p w14:paraId="5FC2DB2F" w14:textId="1A856CA8" w:rsidR="00122979" w:rsidRPr="002D2E15" w:rsidRDefault="00122979" w:rsidP="00122979">
            <w:pPr>
              <w:pStyle w:val="TableText"/>
            </w:pPr>
            <w:r w:rsidRPr="00A93A67">
              <w:t>Yellowfin bream</w:t>
            </w:r>
            <w:r w:rsidRPr="00122979">
              <w:rPr>
                <w:vertAlign w:val="superscript"/>
              </w:rPr>
              <w:t>a</w:t>
            </w:r>
          </w:p>
        </w:tc>
        <w:tc>
          <w:tcPr>
            <w:tcW w:w="2500" w:type="pct"/>
            <w:noWrap/>
          </w:tcPr>
          <w:p w14:paraId="515F957B" w14:textId="745E497E" w:rsidR="00122979" w:rsidRPr="00122979" w:rsidRDefault="00122979" w:rsidP="00122979">
            <w:pPr>
              <w:pStyle w:val="TableText"/>
              <w:rPr>
                <w:rStyle w:val="Emphasis"/>
              </w:rPr>
            </w:pPr>
            <w:r w:rsidRPr="00122979">
              <w:rPr>
                <w:rStyle w:val="Emphasis"/>
              </w:rPr>
              <w:t>Acanthopagrus australis</w:t>
            </w:r>
          </w:p>
        </w:tc>
      </w:tr>
    </w:tbl>
    <w:p w14:paraId="16F452B2" w14:textId="5CB522AF" w:rsidR="00976D65" w:rsidRDefault="00976D65" w:rsidP="00122979">
      <w:pPr>
        <w:pStyle w:val="FigureTableNoteSource"/>
      </w:pPr>
      <w:r w:rsidRPr="00976D65">
        <w:rPr>
          <w:rStyle w:val="Strong"/>
        </w:rPr>
        <w:t>a</w:t>
      </w:r>
      <w:r w:rsidRPr="00976D65">
        <w:t xml:space="preserve"> </w:t>
      </w:r>
      <w:r w:rsidR="00122979">
        <w:t xml:space="preserve">Naturally susceptible. Note: Other species have been shown to be experimentally susceptible. A current list of known susceptible species found both within and outside of Australia </w:t>
      </w:r>
      <w:r w:rsidR="00E52D83">
        <w:t xml:space="preserve">is included in the </w:t>
      </w:r>
      <w:r w:rsidR="00E52D83" w:rsidRPr="00E52D83">
        <w:t xml:space="preserve">World Organisation for Animal Health </w:t>
      </w:r>
      <w:hyperlink r:id="rId15" w:history="1">
        <w:r w:rsidR="00E52D83" w:rsidRPr="00E52D83">
          <w:rPr>
            <w:rStyle w:val="Hyperlink"/>
          </w:rPr>
          <w:t>Manual of Diagnostic Tests for Aquatic Animals</w:t>
        </w:r>
      </w:hyperlink>
      <w:r w:rsidRPr="00976D65">
        <w:t>.</w:t>
      </w:r>
    </w:p>
    <w:p w14:paraId="07189146" w14:textId="77777777" w:rsidR="00ED0614" w:rsidRDefault="00E260DC">
      <w:pPr>
        <w:pStyle w:val="Heading2"/>
      </w:pPr>
      <w:r>
        <w:lastRenderedPageBreak/>
        <w:t>Presence in Australia</w:t>
      </w:r>
    </w:p>
    <w:p w14:paraId="12DFE40E" w14:textId="2C006C37" w:rsidR="00FD7D78" w:rsidRDefault="00E52D83">
      <w:pPr>
        <w:keepNext/>
        <w:keepLines/>
      </w:pPr>
      <w:r w:rsidRPr="00E52D83">
        <w:t>EUS is endemic in many freshwater catchments and estuaries in Australia</w:t>
      </w:r>
      <w:r w:rsidR="009F37FE">
        <w:t>. The disease</w:t>
      </w:r>
      <w:r w:rsidRPr="00E52D83">
        <w:t xml:space="preserve"> has been officially reported from New South Wales, the Northern Territory, Queensland, Victoria, South Australia and Western Australia.</w:t>
      </w:r>
    </w:p>
    <w:p w14:paraId="55B0F228" w14:textId="638AA6DA" w:rsidR="00ED0614" w:rsidRDefault="00E260DC">
      <w:pPr>
        <w:pStyle w:val="Caption"/>
      </w:pPr>
      <w:r>
        <w:t xml:space="preserve">Map </w:t>
      </w:r>
      <w:r>
        <w:rPr>
          <w:noProof/>
        </w:rPr>
        <w:fldChar w:fldCharType="begin"/>
      </w:r>
      <w:r>
        <w:rPr>
          <w:noProof/>
        </w:rPr>
        <w:instrText xml:space="preserve"> SEQ Map \* ARABIC </w:instrText>
      </w:r>
      <w:r>
        <w:rPr>
          <w:noProof/>
        </w:rPr>
        <w:fldChar w:fldCharType="separate"/>
      </w:r>
      <w:r w:rsidR="00195CE9">
        <w:rPr>
          <w:noProof/>
        </w:rPr>
        <w:t>1</w:t>
      </w:r>
      <w:r>
        <w:rPr>
          <w:noProof/>
        </w:rPr>
        <w:fldChar w:fldCharType="end"/>
      </w:r>
      <w:r>
        <w:t xml:space="preserve"> Presence of</w:t>
      </w:r>
      <w:r w:rsidR="00BF4AA9">
        <w:t xml:space="preserve"> </w:t>
      </w:r>
      <w:r w:rsidR="00E52D83" w:rsidRPr="00E52D83">
        <w:rPr>
          <w:rStyle w:val="Emphasis"/>
        </w:rPr>
        <w:t>Aphanomyces invadans</w:t>
      </w:r>
      <w:r>
        <w:t>, by jurisdiction</w:t>
      </w:r>
    </w:p>
    <w:p w14:paraId="0046BA22" w14:textId="77777777" w:rsidR="00ED0614" w:rsidRDefault="00E260DC">
      <w:r>
        <w:rPr>
          <w:noProof/>
          <w:lang w:eastAsia="en-AU"/>
        </w:rPr>
        <w:drawing>
          <wp:inline distT="0" distB="0" distL="0" distR="0" wp14:anchorId="1C3B5809" wp14:editId="44A9825D">
            <wp:extent cx="4142056" cy="2949461"/>
            <wp:effectExtent l="0" t="0" r="0" b="381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sie and Vic AV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42056" cy="2949461"/>
                    </a:xfrm>
                    <a:prstGeom prst="rect">
                      <a:avLst/>
                    </a:prstGeom>
                  </pic:spPr>
                </pic:pic>
              </a:graphicData>
            </a:graphic>
          </wp:inline>
        </w:drawing>
      </w:r>
    </w:p>
    <w:p w14:paraId="345F5669" w14:textId="77777777" w:rsidR="00ED0614" w:rsidRDefault="00E260DC">
      <w:pPr>
        <w:pStyle w:val="Heading2"/>
        <w:keepLines/>
      </w:pPr>
      <w:r>
        <w:t>Epidemiology</w:t>
      </w:r>
    </w:p>
    <w:p w14:paraId="021C4DBC" w14:textId="27444F40" w:rsidR="00E52D83" w:rsidRDefault="00E52D83" w:rsidP="00E52D83">
      <w:pPr>
        <w:pStyle w:val="ListBullet"/>
      </w:pPr>
      <w:r>
        <w:t>The disease is seen in more than 100</w:t>
      </w:r>
      <w:r w:rsidR="00EB6516">
        <w:t> </w:t>
      </w:r>
      <w:r>
        <w:t>freshwater and estuarine species of fish and infection has spread rapidly throughout Asia, associated with the movement of ornamental fish.</w:t>
      </w:r>
    </w:p>
    <w:p w14:paraId="12DED507" w14:textId="02A118DB" w:rsidR="00E52D83" w:rsidRDefault="00E52D83" w:rsidP="00E52D83">
      <w:pPr>
        <w:pStyle w:val="ListBullet"/>
      </w:pPr>
      <w:r>
        <w:t xml:space="preserve">Predisposing factors leading to skin damage </w:t>
      </w:r>
      <w:r w:rsidR="00EB6516">
        <w:t>(</w:t>
      </w:r>
      <w:r>
        <w:t>such as parasites, bacterial or viral infection, physical trauma or acidic water</w:t>
      </w:r>
      <w:r w:rsidR="00EB6516">
        <w:t>)</w:t>
      </w:r>
      <w:r>
        <w:t xml:space="preserve"> are normally required to allow the </w:t>
      </w:r>
      <w:r w:rsidRPr="00EB6516">
        <w:rPr>
          <w:rStyle w:val="Emphasis"/>
        </w:rPr>
        <w:t>Aphanomyces</w:t>
      </w:r>
      <w:r>
        <w:t xml:space="preserve"> oomycete to initiate clinical signs of EUS. Secondary opportunistic infections are also a common finding.</w:t>
      </w:r>
    </w:p>
    <w:p w14:paraId="099F3C13" w14:textId="2BC300A4" w:rsidR="00E52D83" w:rsidRDefault="00E52D83" w:rsidP="00E52D83">
      <w:pPr>
        <w:pStyle w:val="ListBullet"/>
      </w:pPr>
      <w:r>
        <w:t>Disease is often associated with acid water run-off and can appear after heavy rains (particularly after a long dry period) with water temperatures of 18</w:t>
      </w:r>
      <w:r w:rsidR="00EB6516">
        <w:t xml:space="preserve">°C to </w:t>
      </w:r>
      <w:r>
        <w:t>22°C favouring sporulation.</w:t>
      </w:r>
    </w:p>
    <w:p w14:paraId="3CD056CE" w14:textId="77777777" w:rsidR="00E52D83" w:rsidRDefault="00E52D83" w:rsidP="00E52D83">
      <w:pPr>
        <w:pStyle w:val="ListBullet"/>
      </w:pPr>
      <w:r>
        <w:t>Disease transmission is through zoospore transfer in freshwater, direct contact between fish and skin contamination (penetration assisted by damage to skin).</w:t>
      </w:r>
    </w:p>
    <w:p w14:paraId="1F9EF5A1" w14:textId="72FC4D6C" w:rsidR="00E52D83" w:rsidRDefault="00E52D83" w:rsidP="00E52D83">
      <w:pPr>
        <w:pStyle w:val="ListBullet"/>
      </w:pPr>
      <w:r>
        <w:t>Zoospores can encyst if they do not find a host, and can survive for at least 19</w:t>
      </w:r>
      <w:r w:rsidR="00EB6516">
        <w:t> </w:t>
      </w:r>
      <w:r>
        <w:t>days.</w:t>
      </w:r>
    </w:p>
    <w:p w14:paraId="45CF7725" w14:textId="54330AC4" w:rsidR="00ED0614" w:rsidRDefault="00E52D83" w:rsidP="00E52D83">
      <w:pPr>
        <w:pStyle w:val="ListBullet"/>
      </w:pPr>
      <w:r>
        <w:t>Water salinity above 2</w:t>
      </w:r>
      <w:r w:rsidR="00EB6516">
        <w:t> </w:t>
      </w:r>
      <w:r>
        <w:t>ppt can stop the spread of this obligate freshwater disease agent</w:t>
      </w:r>
      <w:r w:rsidR="00FD7D78">
        <w:t>.</w:t>
      </w:r>
    </w:p>
    <w:p w14:paraId="431A90C5" w14:textId="77777777" w:rsidR="00ED0614" w:rsidRDefault="00E260DC" w:rsidP="000E2206">
      <w:pPr>
        <w:pStyle w:val="Heading2"/>
        <w:pageBreakBefore/>
      </w:pPr>
      <w:r>
        <w:lastRenderedPageBreak/>
        <w:t>Differential diagnosis</w:t>
      </w:r>
    </w:p>
    <w:p w14:paraId="00D9EE0B" w14:textId="362E95F6" w:rsidR="00ED0614" w:rsidRDefault="00E260DC">
      <w:pPr>
        <w:keepLines/>
      </w:pPr>
      <w:r>
        <w:rPr>
          <w:lang w:eastAsia="en-AU"/>
        </w:rPr>
        <w:t xml:space="preserve">The list of </w:t>
      </w:r>
      <w:hyperlink w:anchor="_Similar_diseases" w:history="1">
        <w:r>
          <w:rPr>
            <w:rStyle w:val="Hyperlink"/>
            <w:lang w:eastAsia="en-AU"/>
          </w:rPr>
          <w:t>similar diseases</w:t>
        </w:r>
      </w:hyperlink>
      <w:r>
        <w:rPr>
          <w:lang w:eastAsia="en-AU"/>
        </w:rPr>
        <w:t xml:space="preserve"> in the next section refers only to the diseases covered by this field guide. </w:t>
      </w:r>
      <w:r w:rsidR="00091BA8" w:rsidRPr="00091BA8">
        <w:rPr>
          <w:lang w:eastAsia="en-AU"/>
        </w:rPr>
        <w:t>Gross pathological signs may also be representative of diseases not included in this guide. Do not rely on gross signs to provide a definitive diagnosis. Use them as a tool to help identify the listed diseases that most closely account for the observed signs</w:t>
      </w:r>
      <w:r>
        <w:rPr>
          <w:lang w:eastAsia="en-AU"/>
        </w:rPr>
        <w:t>.</w:t>
      </w:r>
    </w:p>
    <w:p w14:paraId="438DC32F" w14:textId="77777777" w:rsidR="00ED0614" w:rsidRDefault="00E260DC">
      <w:pPr>
        <w:pStyle w:val="Heading2"/>
      </w:pPr>
      <w:bookmarkStart w:id="1" w:name="_Similar_diseases"/>
      <w:bookmarkEnd w:id="1"/>
      <w:r>
        <w:t>Similar diseases</w:t>
      </w:r>
    </w:p>
    <w:p w14:paraId="3085BBD7" w14:textId="5B4EDF62" w:rsidR="00ED0614" w:rsidRDefault="00E52D83">
      <w:r w:rsidRPr="00E52D83">
        <w:t xml:space="preserve">Enteric septicaemia of catfish, grouper iridoviral disease, infection with </w:t>
      </w:r>
      <w:r w:rsidRPr="00E52D83">
        <w:rPr>
          <w:rStyle w:val="Emphasis"/>
        </w:rPr>
        <w:t>Aeromonas salmonicida</w:t>
      </w:r>
      <w:r w:rsidRPr="00E52D83">
        <w:t>—atypical strains, koi herpesvirus disease (KHV), viral haemorrhagic septicaemia (VHS)</w:t>
      </w:r>
      <w:r>
        <w:t xml:space="preserve"> and</w:t>
      </w:r>
      <w:r w:rsidRPr="00E52D83">
        <w:t xml:space="preserve"> tilapia lake virus (TiLV) disease</w:t>
      </w:r>
      <w:r w:rsidR="005A359A">
        <w:t>.</w:t>
      </w:r>
    </w:p>
    <w:p w14:paraId="1583FD47" w14:textId="77777777" w:rsidR="00ED0614" w:rsidRDefault="00E260DC">
      <w:pPr>
        <w:pStyle w:val="Heading2"/>
      </w:pPr>
      <w:r>
        <w:t>Sample collection</w:t>
      </w:r>
    </w:p>
    <w:p w14:paraId="023FB03E" w14:textId="73624794" w:rsidR="00ED0614" w:rsidRDefault="00742002">
      <w:r w:rsidRPr="00742002">
        <w:rPr>
          <w:lang w:eastAsia="en-AU"/>
        </w:rPr>
        <w:t>Only trained personnel should collect samples. Using only gross pathological signs to differentiate between diseases is not reliable, and some aquatic animal disease agents pose a risk to humans. If you are not appropriately trained, phone your state or territory hotline number and report your observations. If you have to collect samples, the agency taking your call will advise you on the appropriate course of action. Local or district fisheries or veterinary authorities may also advise on sampling.</w:t>
      </w:r>
    </w:p>
    <w:p w14:paraId="6058F664" w14:textId="77777777" w:rsidR="00ED0614" w:rsidRDefault="00E260DC">
      <w:pPr>
        <w:pStyle w:val="Heading2"/>
      </w:pPr>
      <w:r>
        <w:t>Emergency disease hotline</w:t>
      </w:r>
    </w:p>
    <w:p w14:paraId="4FF13930" w14:textId="77777777" w:rsidR="00ED0614" w:rsidRDefault="00E260DC">
      <w:r>
        <w:t>See something you think is this disease? Report it. Even if you’re not sure.</w:t>
      </w:r>
    </w:p>
    <w:p w14:paraId="742BD5A1" w14:textId="62CBD941" w:rsidR="00ED0614" w:rsidRDefault="00E260DC">
      <w:r>
        <w:t xml:space="preserve">Call the Emergency Animal Disease Watch Hotline on </w:t>
      </w:r>
      <w:r w:rsidR="008656B7">
        <w:rPr>
          <w:rStyle w:val="Strong"/>
        </w:rPr>
        <w:t>1800 675 888</w:t>
      </w:r>
      <w:r>
        <w:t>. They will refer you to the right state or territory agency.</w:t>
      </w:r>
    </w:p>
    <w:p w14:paraId="50AF709B" w14:textId="77777777" w:rsidR="00ED0614" w:rsidRDefault="00E260DC">
      <w:pPr>
        <w:pStyle w:val="Heading2"/>
        <w:keepLines/>
        <w:rPr>
          <w:rFonts w:ascii="Cambria" w:eastAsiaTheme="minorHAnsi" w:hAnsi="Cambria"/>
          <w:b w:val="0"/>
          <w:bCs w:val="0"/>
          <w:color w:val="auto"/>
          <w:sz w:val="22"/>
          <w:szCs w:val="22"/>
          <w:lang w:eastAsia="en-US"/>
        </w:rPr>
      </w:pPr>
      <w:r>
        <w:t>Further reading</w:t>
      </w:r>
    </w:p>
    <w:p w14:paraId="40A635D9" w14:textId="77777777" w:rsidR="005A743F" w:rsidRDefault="005A743F" w:rsidP="005A743F">
      <w:r>
        <w:t xml:space="preserve">CABI Invasive species compendium </w:t>
      </w:r>
      <w:hyperlink r:id="rId17" w:history="1">
        <w:r w:rsidRPr="00E52D83">
          <w:rPr>
            <w:rStyle w:val="Hyperlink"/>
          </w:rPr>
          <w:t>Epizootic ulcerative syndrome</w:t>
        </w:r>
      </w:hyperlink>
    </w:p>
    <w:p w14:paraId="436C8F69" w14:textId="41F3E98A" w:rsidR="005A743F" w:rsidRDefault="005A743F" w:rsidP="005A743F">
      <w:r>
        <w:t>N</w:t>
      </w:r>
      <w:r w:rsidRPr="00E52D83">
        <w:t>etwork of Aqua</w:t>
      </w:r>
      <w:r>
        <w:t>culture Centres in Asia–Pacific</w:t>
      </w:r>
      <w:hyperlink r:id="rId18" w:history="1">
        <w:r w:rsidRPr="005A743F">
          <w:t xml:space="preserve"> </w:t>
        </w:r>
        <w:r w:rsidR="00AE4B97">
          <w:rPr>
            <w:rStyle w:val="Hyperlink"/>
          </w:rPr>
          <w:t>Epizootic ulcerative syndrome: d</w:t>
        </w:r>
        <w:r w:rsidRPr="005A743F">
          <w:rPr>
            <w:rStyle w:val="Hyperlink"/>
          </w:rPr>
          <w:t>isease card</w:t>
        </w:r>
      </w:hyperlink>
    </w:p>
    <w:p w14:paraId="65320F32" w14:textId="210E33DC" w:rsidR="005A743F" w:rsidRDefault="005A743F" w:rsidP="00E52D83">
      <w:r w:rsidRPr="00E52D83">
        <w:t xml:space="preserve">World Organisation for Animal Health </w:t>
      </w:r>
      <w:hyperlink r:id="rId19" w:history="1">
        <w:r w:rsidRPr="00E52D83">
          <w:rPr>
            <w:rStyle w:val="Hyperlink"/>
          </w:rPr>
          <w:t xml:space="preserve">Manual </w:t>
        </w:r>
        <w:r w:rsidR="00AE4B97" w:rsidRPr="00E52D83">
          <w:rPr>
            <w:rStyle w:val="Hyperlink"/>
          </w:rPr>
          <w:t>of diagnostic tests for aquatic ani</w:t>
        </w:r>
        <w:r w:rsidRPr="00E52D83">
          <w:rPr>
            <w:rStyle w:val="Hyperlink"/>
          </w:rPr>
          <w:t>mals</w:t>
        </w:r>
      </w:hyperlink>
    </w:p>
    <w:p w14:paraId="5F7DA703" w14:textId="4DBF37D4" w:rsidR="00ED0614" w:rsidRDefault="00E260DC" w:rsidP="00E52D83">
      <w:r>
        <w:t>These hyperlinks were correct at the time of publication.</w:t>
      </w:r>
    </w:p>
    <w:p w14:paraId="1AF792C8" w14:textId="77777777" w:rsidR="00ED0614" w:rsidRDefault="00E260DC" w:rsidP="005A743F">
      <w:pPr>
        <w:pStyle w:val="Heading2"/>
        <w:ind w:left="0" w:firstLine="0"/>
      </w:pPr>
      <w:r>
        <w:t>Contact details</w:t>
      </w:r>
    </w:p>
    <w:p w14:paraId="26C6D2C2" w14:textId="77777777" w:rsidR="00ED0614" w:rsidRDefault="00E260DC">
      <w:pPr>
        <w:spacing w:after="0"/>
      </w:pPr>
      <w:r>
        <w:t>Emergency Animal Disease Watch Hotline 1800 675 888</w:t>
      </w:r>
    </w:p>
    <w:p w14:paraId="3490169F" w14:textId="77777777" w:rsidR="00ED0614" w:rsidRDefault="00E260DC">
      <w:r>
        <w:t xml:space="preserve">Email </w:t>
      </w:r>
      <w:hyperlink r:id="rId20" w:history="1">
        <w:r>
          <w:rPr>
            <w:rStyle w:val="Hyperlink"/>
          </w:rPr>
          <w:t>AAH@agriculture.gov.au</w:t>
        </w:r>
      </w:hyperlink>
      <w:r>
        <w:cr/>
        <w:t xml:space="preserve">Website </w:t>
      </w:r>
      <w:hyperlink r:id="rId21" w:history="1">
        <w:r>
          <w:rPr>
            <w:rStyle w:val="Hyperlink"/>
          </w:rPr>
          <w:t>agriculture.gov.au/pests-diseases-weeds/aquatic</w:t>
        </w:r>
      </w:hyperlink>
    </w:p>
    <w:p w14:paraId="16C0A9CE" w14:textId="29AE73D9" w:rsidR="00ED0614" w:rsidRDefault="00E260DC">
      <w:pPr>
        <w:pStyle w:val="Normalsmall"/>
      </w:pPr>
      <w:r>
        <w:t>© Commonwealth of Australia 20</w:t>
      </w:r>
      <w:r w:rsidR="00F30711">
        <w:t>20</w:t>
      </w:r>
      <w:bookmarkStart w:id="2" w:name="_GoBack"/>
      <w:bookmarkEnd w:id="2"/>
    </w:p>
    <w:p w14:paraId="783F07B8" w14:textId="77777777" w:rsidR="00ED0614" w:rsidRDefault="00E260DC">
      <w:pPr>
        <w:pStyle w:val="Normalsmall"/>
      </w:pPr>
      <w:r>
        <w:t>This work is copyright. It may be reproduced in whole or in part subject to the inclusion of an acknowledgement of the source and no commercial usage or sale.</w:t>
      </w:r>
    </w:p>
    <w:sectPr w:rsidR="00ED0614">
      <w:headerReference w:type="default" r:id="rId22"/>
      <w:footerReference w:type="default" r:id="rId23"/>
      <w:headerReference w:type="first" r:id="rId24"/>
      <w:pgSz w:w="11906" w:h="16838"/>
      <w:pgMar w:top="1418" w:right="1418" w:bottom="1418" w:left="1418"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AC78D9" w14:textId="77777777" w:rsidR="00ED0614" w:rsidRDefault="00E260DC">
      <w:r>
        <w:separator/>
      </w:r>
    </w:p>
    <w:p w14:paraId="0AA4D9C1" w14:textId="77777777" w:rsidR="00ED0614" w:rsidRDefault="00ED0614"/>
    <w:p w14:paraId="71426813" w14:textId="77777777" w:rsidR="00ED0614" w:rsidRDefault="00ED0614"/>
  </w:endnote>
  <w:endnote w:type="continuationSeparator" w:id="0">
    <w:p w14:paraId="52CF7EC4" w14:textId="77777777" w:rsidR="00ED0614" w:rsidRDefault="00E260DC">
      <w:r>
        <w:continuationSeparator/>
      </w:r>
    </w:p>
    <w:p w14:paraId="7D3F088E" w14:textId="77777777" w:rsidR="00ED0614" w:rsidRDefault="00ED0614"/>
    <w:p w14:paraId="76382A3E" w14:textId="77777777" w:rsidR="00ED0614" w:rsidRDefault="00ED0614"/>
  </w:endnote>
  <w:endnote w:type="continuationNotice" w:id="1">
    <w:p w14:paraId="5C987883" w14:textId="77777777" w:rsidR="00ED0614" w:rsidRDefault="00ED0614">
      <w:pPr>
        <w:pStyle w:val="Footer"/>
      </w:pPr>
    </w:p>
    <w:p w14:paraId="6054154D" w14:textId="77777777" w:rsidR="00ED0614" w:rsidRDefault="00ED0614"/>
    <w:p w14:paraId="14C21167" w14:textId="77777777" w:rsidR="00ED0614" w:rsidRDefault="00ED06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A225E" w14:textId="547B397E" w:rsidR="00ED0614" w:rsidRDefault="00F30711">
    <w:pPr>
      <w:pStyle w:val="Footer"/>
    </w:pPr>
    <w:r>
      <w:t>Department of Agriculture, Water and the Environment</w:t>
    </w:r>
  </w:p>
  <w:p w14:paraId="17457BBE" w14:textId="77777777" w:rsidR="00ED0614" w:rsidRDefault="00E260DC">
    <w:pPr>
      <w:pStyle w:val="Footer"/>
    </w:pPr>
    <w:r>
      <w:fldChar w:fldCharType="begin"/>
    </w:r>
    <w:r>
      <w:instrText xml:space="preserve"> PAGE   \* MERGEFORMAT </w:instrText>
    </w:r>
    <w:r>
      <w:fldChar w:fldCharType="separate"/>
    </w:r>
    <w:r w:rsidR="005B6652">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9F4587" w14:textId="77777777" w:rsidR="00ED0614" w:rsidRDefault="00E260DC">
      <w:r>
        <w:separator/>
      </w:r>
    </w:p>
    <w:p w14:paraId="653B3757" w14:textId="77777777" w:rsidR="00ED0614" w:rsidRDefault="00ED0614"/>
    <w:p w14:paraId="2BC6E2A4" w14:textId="77777777" w:rsidR="00ED0614" w:rsidRDefault="00ED0614"/>
  </w:footnote>
  <w:footnote w:type="continuationSeparator" w:id="0">
    <w:p w14:paraId="57A88842" w14:textId="77777777" w:rsidR="00ED0614" w:rsidRDefault="00E260DC">
      <w:r>
        <w:continuationSeparator/>
      </w:r>
    </w:p>
    <w:p w14:paraId="77802F2E" w14:textId="77777777" w:rsidR="00ED0614" w:rsidRDefault="00ED0614"/>
    <w:p w14:paraId="0B9EE46F" w14:textId="77777777" w:rsidR="00ED0614" w:rsidRDefault="00ED0614"/>
  </w:footnote>
  <w:footnote w:type="continuationNotice" w:id="1">
    <w:p w14:paraId="5CC249E6" w14:textId="77777777" w:rsidR="00ED0614" w:rsidRDefault="00ED0614">
      <w:pPr>
        <w:pStyle w:val="Footer"/>
      </w:pPr>
    </w:p>
    <w:p w14:paraId="2499D858" w14:textId="77777777" w:rsidR="00ED0614" w:rsidRDefault="00ED0614"/>
    <w:p w14:paraId="3D0D6F00" w14:textId="77777777" w:rsidR="00ED0614" w:rsidRDefault="00ED06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D61D1" w14:textId="1291DC3B" w:rsidR="00ED0614" w:rsidRDefault="00122979" w:rsidP="000E2206">
    <w:pPr>
      <w:pStyle w:val="Header"/>
    </w:pPr>
    <w:r w:rsidRPr="00122979">
      <w:t xml:space="preserve">Infection with </w:t>
    </w:r>
    <w:r w:rsidRPr="00122979">
      <w:rPr>
        <w:rStyle w:val="Emphasis"/>
      </w:rPr>
      <w:t>Aphanomyces invadans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3F4C9" w14:textId="77777777" w:rsidR="00ED0614" w:rsidRDefault="00E260DC">
    <w:pPr>
      <w:pStyle w:val="Header"/>
      <w:jc w:val="left"/>
    </w:pPr>
    <w:r>
      <w:rPr>
        <w:noProof/>
        <w:lang w:eastAsia="en-AU"/>
      </w:rPr>
      <w:drawing>
        <wp:anchor distT="0" distB="0" distL="114300" distR="114300" simplePos="0" relativeHeight="251658240" behindDoc="1" locked="0" layoutInCell="1" allowOverlap="1" wp14:anchorId="21AE8159" wp14:editId="4C9CCA80">
          <wp:simplePos x="0" y="0"/>
          <wp:positionH relativeFrom="column">
            <wp:posOffset>-900429</wp:posOffset>
          </wp:positionH>
          <wp:positionV relativeFrom="paragraph">
            <wp:posOffset>-360045</wp:posOffset>
          </wp:positionV>
          <wp:extent cx="7584375" cy="162492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4375" cy="16249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5136E848"/>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A727430"/>
    <w:multiLevelType w:val="hybridMultilevel"/>
    <w:tmpl w:val="495E2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0DD54AFF"/>
    <w:multiLevelType w:val="hybridMultilevel"/>
    <w:tmpl w:val="B6820B98"/>
    <w:lvl w:ilvl="0" w:tplc="8B58330A">
      <w:start w:val="1"/>
      <w:numFmt w:val="bullet"/>
      <w:lvlText w:val="◦"/>
      <w:lvlJc w:val="left"/>
      <w:pPr>
        <w:ind w:left="1800" w:hanging="360"/>
      </w:pPr>
      <w:rPr>
        <w:rFonts w:ascii="Calibri" w:hAnsi="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0F77062D"/>
    <w:multiLevelType w:val="hybridMultilevel"/>
    <w:tmpl w:val="44B42D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394A15FE"/>
    <w:multiLevelType w:val="multilevel"/>
    <w:tmpl w:val="F36C17E8"/>
    <w:numStyleLink w:val="Headinglist"/>
  </w:abstractNum>
  <w:abstractNum w:abstractNumId="18" w15:restartNumberingAfterBreak="0">
    <w:nsid w:val="414F4729"/>
    <w:multiLevelType w:val="multilevel"/>
    <w:tmpl w:val="A0241B28"/>
    <w:numStyleLink w:val="List1"/>
  </w:abstractNum>
  <w:abstractNum w:abstractNumId="19" w15:restartNumberingAfterBreak="0">
    <w:nsid w:val="486800B4"/>
    <w:multiLevelType w:val="multilevel"/>
    <w:tmpl w:val="A0241B28"/>
    <w:numStyleLink w:val="List1"/>
  </w:abstractNum>
  <w:abstractNum w:abstractNumId="2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1" w15:restartNumberingAfterBreak="0">
    <w:nsid w:val="496159DC"/>
    <w:multiLevelType w:val="multilevel"/>
    <w:tmpl w:val="BE78A4F8"/>
    <w:numStyleLink w:val="Numberlist"/>
  </w:abstractNum>
  <w:abstractNum w:abstractNumId="2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8C10A1"/>
    <w:multiLevelType w:val="multilevel"/>
    <w:tmpl w:val="BE78A4F8"/>
    <w:numStyleLink w:val="Numberlist"/>
  </w:abstractNum>
  <w:abstractNum w:abstractNumId="29" w15:restartNumberingAfterBreak="0">
    <w:nsid w:val="733934B7"/>
    <w:multiLevelType w:val="multilevel"/>
    <w:tmpl w:val="A0241B28"/>
    <w:numStyleLink w:val="List1"/>
  </w:abstractNum>
  <w:num w:numId="1">
    <w:abstractNumId w:val="6"/>
  </w:num>
  <w:num w:numId="2">
    <w:abstractNumId w:val="19"/>
  </w:num>
  <w:num w:numId="3">
    <w:abstractNumId w:val="20"/>
  </w:num>
  <w:num w:numId="4">
    <w:abstractNumId w:val="12"/>
  </w:num>
  <w:num w:numId="5">
    <w:abstractNumId w:val="25"/>
  </w:num>
  <w:num w:numId="6">
    <w:abstractNumId w:val="26"/>
  </w:num>
  <w:num w:numId="7">
    <w:abstractNumId w:val="8"/>
  </w:num>
  <w:num w:numId="8">
    <w:abstractNumId w:val="15"/>
  </w:num>
  <w:num w:numId="9">
    <w:abstractNumId w:val="17"/>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3"/>
  </w:num>
  <w:num w:numId="16">
    <w:abstractNumId w:val="23"/>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1"/>
  </w:num>
  <w:num w:numId="20">
    <w:abstractNumId w:val="0"/>
  </w:num>
  <w:num w:numId="21">
    <w:abstractNumId w:val="16"/>
  </w:num>
  <w:num w:numId="22">
    <w:abstractNumId w:val="21"/>
  </w:num>
  <w:num w:numId="23">
    <w:abstractNumId w:val="28"/>
  </w:num>
  <w:num w:numId="24">
    <w:abstractNumId w:val="14"/>
  </w:num>
  <w:num w:numId="25">
    <w:abstractNumId w:val="18"/>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2"/>
  </w:num>
  <w:num w:numId="29">
    <w:abstractNumId w:val="24"/>
  </w:num>
  <w:num w:numId="30">
    <w:abstractNumId w:val="11"/>
  </w:num>
  <w:num w:numId="31">
    <w:abstractNumId w:val="7"/>
  </w:num>
  <w:num w:numId="32">
    <w:abstractNumId w:val="9"/>
  </w:num>
  <w:num w:numId="33">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614"/>
    <w:rsid w:val="000063EA"/>
    <w:rsid w:val="00025DF0"/>
    <w:rsid w:val="00091BA8"/>
    <w:rsid w:val="000C051E"/>
    <w:rsid w:val="000D0409"/>
    <w:rsid w:val="000E2206"/>
    <w:rsid w:val="000F7B60"/>
    <w:rsid w:val="00122173"/>
    <w:rsid w:val="00122979"/>
    <w:rsid w:val="00171D49"/>
    <w:rsid w:val="00195CE9"/>
    <w:rsid w:val="00196BF2"/>
    <w:rsid w:val="00213C9E"/>
    <w:rsid w:val="00240AF2"/>
    <w:rsid w:val="00274A52"/>
    <w:rsid w:val="00292815"/>
    <w:rsid w:val="002D1469"/>
    <w:rsid w:val="002D2A0E"/>
    <w:rsid w:val="00337FFE"/>
    <w:rsid w:val="00394213"/>
    <w:rsid w:val="00394D07"/>
    <w:rsid w:val="003B60C3"/>
    <w:rsid w:val="003F4E8E"/>
    <w:rsid w:val="003F64E0"/>
    <w:rsid w:val="00431F01"/>
    <w:rsid w:val="00477260"/>
    <w:rsid w:val="004C6489"/>
    <w:rsid w:val="005808F8"/>
    <w:rsid w:val="005A359A"/>
    <w:rsid w:val="005A743F"/>
    <w:rsid w:val="005B6652"/>
    <w:rsid w:val="006E2E28"/>
    <w:rsid w:val="00742002"/>
    <w:rsid w:val="00786B3D"/>
    <w:rsid w:val="00844BA3"/>
    <w:rsid w:val="008656B7"/>
    <w:rsid w:val="008B4009"/>
    <w:rsid w:val="009214F2"/>
    <w:rsid w:val="00922F31"/>
    <w:rsid w:val="00976D65"/>
    <w:rsid w:val="009C7070"/>
    <w:rsid w:val="009F37FE"/>
    <w:rsid w:val="00A16754"/>
    <w:rsid w:val="00A94C32"/>
    <w:rsid w:val="00AE4B97"/>
    <w:rsid w:val="00BD6F12"/>
    <w:rsid w:val="00BF4AA9"/>
    <w:rsid w:val="00C36630"/>
    <w:rsid w:val="00CC51B2"/>
    <w:rsid w:val="00D12B64"/>
    <w:rsid w:val="00DA168B"/>
    <w:rsid w:val="00E1016C"/>
    <w:rsid w:val="00E260DC"/>
    <w:rsid w:val="00E52D83"/>
    <w:rsid w:val="00EB6516"/>
    <w:rsid w:val="00ED0614"/>
    <w:rsid w:val="00F03FC2"/>
    <w:rsid w:val="00F30711"/>
    <w:rsid w:val="00F67665"/>
    <w:rsid w:val="00FD7D78"/>
    <w:rsid w:val="00FE45B7"/>
    <w:rsid w:val="00FE64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7DA6F63D"/>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pPr>
      <w:widowControl w:val="0"/>
      <w:spacing w:before="600"/>
      <w:contextualSpacing/>
      <w:outlineLvl w:val="0"/>
    </w:pPr>
    <w:rPr>
      <w:rFonts w:ascii="Calibri" w:eastAsiaTheme="minorHAnsi" w:hAnsi="Calibri" w:cstheme="minorBidi"/>
      <w:b/>
      <w:bCs/>
      <w:color w:val="000000"/>
      <w:spacing w:val="5"/>
      <w:kern w:val="28"/>
      <w:sz w:val="40"/>
      <w:szCs w:val="28"/>
      <w:lang w:eastAsia="en-US"/>
    </w:rPr>
  </w:style>
  <w:style w:type="paragraph" w:styleId="Heading2">
    <w:name w:val="heading 2"/>
    <w:basedOn w:val="Normal"/>
    <w:next w:val="Normal"/>
    <w:link w:val="Heading2Char"/>
    <w:uiPriority w:val="3"/>
    <w:pPr>
      <w:keepNext/>
      <w:spacing w:before="120" w:line="240" w:lineRule="auto"/>
      <w:ind w:left="720" w:hanging="720"/>
      <w:outlineLvl w:val="1"/>
    </w:pPr>
    <w:rPr>
      <w:rFonts w:ascii="Calibri" w:eastAsiaTheme="minorEastAsia" w:hAnsi="Calibri"/>
      <w:b/>
      <w:bCs/>
      <w:color w:val="EF3829"/>
      <w:sz w:val="28"/>
      <w:szCs w:val="28"/>
      <w:lang w:eastAsia="ja-JP"/>
    </w:rPr>
  </w:style>
  <w:style w:type="paragraph" w:styleId="Heading3">
    <w:name w:val="heading 3"/>
    <w:next w:val="Normal"/>
    <w:link w:val="Heading3Char"/>
    <w:uiPriority w:val="4"/>
    <w:qFormat/>
    <w:pPr>
      <w:keepNext/>
      <w:keepLines/>
      <w:ind w:left="964" w:hanging="964"/>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pPr>
      <w:keepNext/>
      <w:ind w:left="964" w:hanging="964"/>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40"/>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
      <w:bCs/>
      <w:color w:val="EF3829"/>
      <w:sz w:val="28"/>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12"/>
    <w:qFormat/>
    <w:pPr>
      <w:keepNext/>
      <w:spacing w:line="240" w:lineRule="auto"/>
    </w:pPr>
    <w:rPr>
      <w:rFonts w:ascii="Calibri" w:hAnsi="Calibri"/>
      <w:b/>
      <w:bCs/>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after="360"/>
    </w:pPr>
    <w:rPr>
      <w:sz w:val="22"/>
      <w:szCs w:val="22"/>
    </w:rPr>
  </w:style>
  <w:style w:type="character" w:customStyle="1" w:styleId="SubtitleChar">
    <w:name w:val="Subtitle Char"/>
    <w:basedOn w:val="DefaultParagraphFont"/>
    <w:link w:val="Subtitle"/>
    <w:uiPriority w:val="23"/>
    <w:rPr>
      <w:rFonts w:ascii="Calibri" w:eastAsiaTheme="minorHAnsi" w:hAnsi="Calibri" w:cstheme="minorBidi"/>
      <w:b/>
      <w:bCs/>
      <w:color w:val="000000"/>
      <w:spacing w:val="5"/>
      <w:kern w:val="28"/>
      <w:sz w:val="22"/>
      <w:szCs w:val="22"/>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pPr>
  </w:style>
  <w:style w:type="paragraph" w:styleId="TableofFigures">
    <w:name w:val="table of figures"/>
    <w:basedOn w:val="Normal"/>
    <w:next w:val="Normal"/>
    <w:uiPriority w:val="99"/>
    <w:pPr>
      <w:spacing w:before="120" w:line="240" w:lineRule="auto"/>
    </w:pPr>
  </w:style>
  <w:style w:type="paragraph" w:styleId="ListBullet2">
    <w:name w:val="List Bullet 2"/>
    <w:basedOn w:val="Normal"/>
    <w:uiPriority w:val="8"/>
    <w:qFormat/>
    <w:pPr>
      <w:numPr>
        <w:ilvl w:val="1"/>
        <w:numId w:val="5"/>
      </w:numPr>
      <w:spacing w:before="120"/>
      <w:contextualSpacing/>
    </w:pPr>
  </w:style>
  <w:style w:type="paragraph" w:styleId="ListNumber">
    <w:name w:val="List Number"/>
    <w:basedOn w:val="Normal"/>
    <w:uiPriority w:val="9"/>
    <w:qFormat/>
    <w:pPr>
      <w:numPr>
        <w:numId w:val="24"/>
      </w:numPr>
      <w:tabs>
        <w:tab w:val="left" w:pos="142"/>
      </w:tabs>
      <w:spacing w:before="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pPr>
      <w:keepNext/>
      <w:spacing w:before="60" w:after="60" w:line="240" w:lineRule="auto"/>
    </w:pPr>
    <w:rPr>
      <w:b/>
      <w:sz w:val="19"/>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Normal"/>
    <w:uiPriority w:val="15"/>
    <w:qFormat/>
    <w:pPr>
      <w:numPr>
        <w:numId w:val="4"/>
      </w:numPr>
      <w:spacing w:before="60" w:after="60" w:line="240" w:lineRule="auto"/>
      <w:ind w:left="284" w:hanging="284"/>
    </w:pPr>
    <w:rPr>
      <w:sz w:val="20"/>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asciiTheme="minorHAnsi" w:eastAsia="Calibri" w:hAnsiTheme="minorHAnsi"/>
      <w:color w:val="000000" w:themeColor="text1"/>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Revision">
    <w:name w:val="Revision"/>
    <w:hidden/>
    <w:uiPriority w:val="99"/>
    <w:semiHidden/>
    <w:rPr>
      <w:rFonts w:eastAsiaTheme="minorHAnsi" w:cstheme="minorBidi"/>
      <w:sz w:val="22"/>
      <w:szCs w:val="22"/>
      <w:lang w:eastAsia="en-US"/>
    </w:rPr>
  </w:style>
  <w:style w:type="paragraph" w:customStyle="1" w:styleId="TableText">
    <w:name w:val="Table Text"/>
    <w:qFormat/>
    <w:pPr>
      <w:spacing w:before="60" w:after="60"/>
    </w:pPr>
    <w:rPr>
      <w:rFonts w:ascii="Calibri" w:eastAsia="Times New Roman" w:hAnsi="Calibri" w:cs="Arial"/>
      <w:color w:val="000000"/>
      <w:sz w:val="19"/>
      <w:szCs w:val="22"/>
      <w:lang w:val="en-GB"/>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2814970">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enaca.org/?id=701&amp;title=epizootic-ulcerative-syndrom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agriculture.gov.au/pests-diseases-weeds/aquatic"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cabi.org/isc/datasheet/83971"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mailto:AAH@agriculture.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www.oie.int/en/international-standard-setting/aquatic-manual/access-online"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oie.int/en/international-standard-setting/aquatic-manual/access-onlin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7cf0e0db-f490-4122-abae-21917392c748" xsi:nil="true"/>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cf0e0db-f490-4122-abae-21917392c748"/>
    <ds:schemaRef ds:uri="http://purl.org/dc/elements/1.1/"/>
    <ds:schemaRef ds:uri="http://schemas.microsoft.com/office/2006/metadata/properties"/>
    <ds:schemaRef ds:uri="http://schemas.microsoft.com/sharepoint/v3"/>
    <ds:schemaRef ds:uri="http://www.w3.org/XML/1998/namespace"/>
    <ds:schemaRef ds:uri="http://purl.org/dc/dcmitype/"/>
  </ds:schemaRefs>
</ds:datastoreItem>
</file>

<file path=customXml/itemProps2.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EC8B1889-47CF-4C24-AEDB-27B7CBC60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(1).dotx</Template>
  <TotalTime>8</TotalTime>
  <Pages>6</Pages>
  <Words>1229</Words>
  <Characters>7009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Infection with Aphanomyces invadans</vt:lpstr>
    </vt:vector>
  </TitlesOfParts>
  <Company>Department of Agriculture Fisheries &amp; Forestry</Company>
  <LinksUpToDate>false</LinksUpToDate>
  <CharactersWithSpaces>8222</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Infection with Aphanomyces invadans</dc:title>
  <dc:creator>Department of Agriculture</dc:creator>
  <cp:lastModifiedBy>Caldwell, Louise</cp:lastModifiedBy>
  <cp:revision>11</cp:revision>
  <cp:lastPrinted>2020-03-11T05:55:00Z</cp:lastPrinted>
  <dcterms:created xsi:type="dcterms:W3CDTF">2019-08-30T06:14:00Z</dcterms:created>
  <dcterms:modified xsi:type="dcterms:W3CDTF">2020-03-11T05:55:00Z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