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A9D4" w14:textId="77777777" w:rsidR="006913AF" w:rsidRDefault="006913AF" w:rsidP="00210DA9">
      <w:pPr>
        <w:pStyle w:val="Heading1"/>
      </w:pPr>
    </w:p>
    <w:p w14:paraId="1F8E98DD" w14:textId="568EBDCB" w:rsidR="00B82095" w:rsidRPr="00143126" w:rsidRDefault="004919F6" w:rsidP="00143126">
      <w:pPr>
        <w:pStyle w:val="Heading1"/>
      </w:pPr>
      <w:r>
        <w:t>How to</w:t>
      </w:r>
      <w:r w:rsidR="009B1C6D">
        <w:t xml:space="preserve"> login to</w:t>
      </w:r>
      <w:r w:rsidR="00A56A90">
        <w:t xml:space="preserve"> </w:t>
      </w:r>
      <w:r w:rsidR="007C70CA" w:rsidRPr="00143126">
        <w:t>Learnhub</w:t>
      </w:r>
    </w:p>
    <w:p w14:paraId="01C73872" w14:textId="285EF927" w:rsidR="00210DA9" w:rsidRDefault="00210DA9" w:rsidP="000C24FF">
      <w:r>
        <w:t xml:space="preserve">Accredited persons </w:t>
      </w:r>
      <w:r w:rsidR="00FA7621">
        <w:t xml:space="preserve">can </w:t>
      </w:r>
      <w:r>
        <w:t xml:space="preserve">access </w:t>
      </w:r>
      <w:r w:rsidR="008A7C41">
        <w:t xml:space="preserve">approved arrangement </w:t>
      </w:r>
      <w:r w:rsidR="00FA7621">
        <w:t xml:space="preserve">class 19 </w:t>
      </w:r>
      <w:r w:rsidR="00143126" w:rsidRPr="00143126">
        <w:t>continued biosecurity competency</w:t>
      </w:r>
      <w:r w:rsidR="00143126">
        <w:t xml:space="preserve"> activities</w:t>
      </w:r>
      <w:r w:rsidR="00FA7621">
        <w:t xml:space="preserve"> and </w:t>
      </w:r>
      <w:r w:rsidR="00143126">
        <w:t>other</w:t>
      </w:r>
      <w:r w:rsidR="00C3040E">
        <w:t xml:space="preserve"> </w:t>
      </w:r>
      <w:r w:rsidR="00143126">
        <w:t>resources</w:t>
      </w:r>
      <w:r w:rsidR="00FA7621">
        <w:t xml:space="preserve"> through </w:t>
      </w:r>
      <w:r w:rsidR="00CE4955">
        <w:t>our</w:t>
      </w:r>
      <w:r w:rsidR="00FA7621">
        <w:t xml:space="preserve"> Learnhub platform</w:t>
      </w:r>
      <w:r>
        <w:t>.</w:t>
      </w:r>
      <w:r w:rsidR="004919F6">
        <w:t xml:space="preserve"> </w:t>
      </w:r>
    </w:p>
    <w:p w14:paraId="40AED8ED" w14:textId="30C723B4" w:rsidR="00210DA9" w:rsidRPr="00143126" w:rsidRDefault="00CE4955" w:rsidP="00143126">
      <w:pPr>
        <w:pStyle w:val="Heading2"/>
      </w:pPr>
      <w:r>
        <w:t>C</w:t>
      </w:r>
      <w:r w:rsidR="009B1C6D">
        <w:t>reate a password and</w:t>
      </w:r>
      <w:r w:rsidR="00210DA9" w:rsidRPr="00143126">
        <w:t xml:space="preserve"> </w:t>
      </w:r>
      <w:r w:rsidR="00CD6E9A">
        <w:t>login to</w:t>
      </w:r>
      <w:r w:rsidR="00FB3352">
        <w:t xml:space="preserve"> </w:t>
      </w:r>
      <w:r w:rsidR="00FB3352" w:rsidRPr="00143126">
        <w:t xml:space="preserve">Learnhub </w:t>
      </w:r>
    </w:p>
    <w:p w14:paraId="54FE21E3" w14:textId="07080320" w:rsidR="00DF4972" w:rsidRPr="00975C8C" w:rsidRDefault="00FB3352" w:rsidP="00DF4972">
      <w:pPr>
        <w:pStyle w:val="ListNumber"/>
        <w:rPr>
          <w:rStyle w:val="Hyperlink"/>
          <w:color w:val="auto"/>
          <w:u w:val="none"/>
        </w:rPr>
      </w:pPr>
      <w:r>
        <w:t xml:space="preserve">To access Learnhub, </w:t>
      </w:r>
      <w:r w:rsidR="00F92105">
        <w:t xml:space="preserve">visit </w:t>
      </w:r>
      <w:r>
        <w:t>the following link or type it directly into the address bar of your internet browser</w:t>
      </w:r>
      <w:r w:rsidR="00211D8E">
        <w:t>:</w:t>
      </w:r>
      <w:r>
        <w:t xml:space="preserve"> </w:t>
      </w:r>
      <w:hyperlink r:id="rId11" w:history="1">
        <w:r w:rsidR="0077618E" w:rsidRPr="0077618E">
          <w:rPr>
            <w:rStyle w:val="Hyperlink"/>
          </w:rPr>
          <w:t>https://www.learnhub.agriculture.gov.au</w:t>
        </w:r>
      </w:hyperlink>
    </w:p>
    <w:p w14:paraId="1E25E834" w14:textId="6B234AAF" w:rsidR="00FB3352" w:rsidRPr="00DF4972" w:rsidRDefault="00FB3352" w:rsidP="00975C8C">
      <w:pPr>
        <w:pStyle w:val="ListNumber"/>
        <w:numPr>
          <w:ilvl w:val="0"/>
          <w:numId w:val="0"/>
        </w:numPr>
        <w:ind w:left="425"/>
        <w:rPr>
          <w:rStyle w:val="Emphasis"/>
        </w:rPr>
      </w:pPr>
      <w:r w:rsidRPr="00DF4972">
        <w:rPr>
          <w:rStyle w:val="Emphasis"/>
        </w:rPr>
        <w:t>Note: we recommend you bookmark this site for quick access.</w:t>
      </w:r>
    </w:p>
    <w:p w14:paraId="25478F77" w14:textId="0AF0E2B2" w:rsidR="00DF4972" w:rsidRPr="00F823B6" w:rsidRDefault="009B1C6D" w:rsidP="00F823B6">
      <w:pPr>
        <w:pStyle w:val="ListNumber"/>
        <w:rPr>
          <w:rStyle w:val="Emphasis"/>
          <w:i w:val="0"/>
          <w:iCs w:val="0"/>
        </w:rPr>
      </w:pPr>
      <w:r>
        <w:rPr>
          <w:noProof/>
        </w:rPr>
        <w:t>Under</w:t>
      </w:r>
      <w:r w:rsidR="00FB3352" w:rsidRPr="00F823B6">
        <w:t xml:space="preserve"> the </w:t>
      </w:r>
      <w:r w:rsidR="00FB3352" w:rsidRPr="00975C8C">
        <w:rPr>
          <w:b/>
          <w:bCs/>
        </w:rPr>
        <w:t>Manual Login</w:t>
      </w:r>
      <w:r w:rsidR="00FB3352" w:rsidRPr="00F823B6">
        <w:t xml:space="preserve"> </w:t>
      </w:r>
      <w:r w:rsidR="00757A65" w:rsidRPr="00F823B6">
        <w:t>field</w:t>
      </w:r>
      <w:r w:rsidR="00FB3352" w:rsidRPr="00F823B6">
        <w:t xml:space="preserve">, </w:t>
      </w:r>
      <w:r w:rsidR="00211D8E">
        <w:t>click</w:t>
      </w:r>
      <w:r w:rsidR="00211D8E" w:rsidRPr="00975C8C">
        <w:rPr>
          <w:rStyle w:val="Emphasis"/>
          <w:i w:val="0"/>
          <w:iCs w:val="0"/>
        </w:rPr>
        <w:t xml:space="preserve"> </w:t>
      </w:r>
      <w:r w:rsidR="00CB6BA0" w:rsidRPr="00975C8C">
        <w:rPr>
          <w:rStyle w:val="Emphasis"/>
          <w:i w:val="0"/>
          <w:iCs w:val="0"/>
        </w:rPr>
        <w:t xml:space="preserve">the </w:t>
      </w:r>
      <w:r w:rsidR="00CB6BA0" w:rsidRPr="00975C8C">
        <w:rPr>
          <w:rStyle w:val="Strong"/>
        </w:rPr>
        <w:t>Forgot your password</w:t>
      </w:r>
      <w:r w:rsidR="00CB6BA0" w:rsidRPr="00975C8C">
        <w:rPr>
          <w:rStyle w:val="Emphasis"/>
          <w:i w:val="0"/>
          <w:iCs w:val="0"/>
        </w:rPr>
        <w:t xml:space="preserve"> button</w:t>
      </w:r>
      <w:r w:rsidR="00AE09E6" w:rsidRPr="00975C8C">
        <w:rPr>
          <w:rStyle w:val="Emphasis"/>
          <w:i w:val="0"/>
          <w:iCs w:val="0"/>
        </w:rPr>
        <w:t>. This allows you</w:t>
      </w:r>
      <w:r w:rsidR="00CB6BA0" w:rsidRPr="00975C8C">
        <w:rPr>
          <w:rStyle w:val="Emphasis"/>
          <w:i w:val="0"/>
          <w:iCs w:val="0"/>
        </w:rPr>
        <w:t xml:space="preserve"> to setup a password</w:t>
      </w:r>
      <w:r w:rsidR="00AE09E6" w:rsidRPr="00975C8C">
        <w:rPr>
          <w:rStyle w:val="Emphasis"/>
          <w:i w:val="0"/>
          <w:iCs w:val="0"/>
        </w:rPr>
        <w:t xml:space="preserve"> for the first time or </w:t>
      </w:r>
      <w:r w:rsidR="00306469">
        <w:rPr>
          <w:rStyle w:val="Emphasis"/>
          <w:i w:val="0"/>
          <w:iCs w:val="0"/>
        </w:rPr>
        <w:t>create a new password</w:t>
      </w:r>
      <w:r w:rsidR="00CE4955">
        <w:rPr>
          <w:rStyle w:val="Emphasis"/>
          <w:i w:val="0"/>
          <w:iCs w:val="0"/>
        </w:rPr>
        <w:t>.</w:t>
      </w:r>
    </w:p>
    <w:p w14:paraId="3BD95391" w14:textId="77777777" w:rsidR="00D6627D" w:rsidRDefault="00193BE8" w:rsidP="00975C8C">
      <w:pPr>
        <w:pStyle w:val="ListParagraph"/>
        <w:ind w:left="360"/>
        <w:rPr>
          <w:rStyle w:val="Emphasis"/>
          <w:i w:val="0"/>
          <w:iCs w:val="0"/>
          <w:lang w:eastAsia="ja-JP"/>
        </w:rPr>
      </w:pPr>
      <w:r>
        <w:rPr>
          <w:rStyle w:val="Emphasis"/>
          <w:i w:val="0"/>
          <w:iCs w:val="0"/>
          <w:noProof/>
          <w:lang w:eastAsia="ja-JP"/>
        </w:rPr>
        <w:drawing>
          <wp:anchor distT="0" distB="0" distL="114300" distR="114300" simplePos="0" relativeHeight="251658240" behindDoc="0" locked="0" layoutInCell="1" allowOverlap="1" wp14:anchorId="5B5E8E0B" wp14:editId="7A4BFBF7">
            <wp:simplePos x="1021278" y="4073236"/>
            <wp:positionH relativeFrom="column">
              <wp:align>left</wp:align>
            </wp:positionH>
            <wp:positionV relativeFrom="paragraph">
              <wp:align>top</wp:align>
            </wp:positionV>
            <wp:extent cx="2088000" cy="3099600"/>
            <wp:effectExtent l="0" t="0" r="7620" b="5715"/>
            <wp:wrapSquare wrapText="bothSides"/>
            <wp:docPr id="6" name="Picture 6" descr="A screenshot of the Learnhub login screen. A red box highlights the 'Forgot your password'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the Learnhub login screen. A red box highlights the 'Forgot your password' butt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8000" cy="3099600"/>
                    </a:xfrm>
                    <a:prstGeom prst="rect">
                      <a:avLst/>
                    </a:prstGeom>
                    <a:noFill/>
                    <a:ln>
                      <a:noFill/>
                    </a:ln>
                  </pic:spPr>
                </pic:pic>
              </a:graphicData>
            </a:graphic>
          </wp:anchor>
        </w:drawing>
      </w:r>
    </w:p>
    <w:p w14:paraId="76BC7B2C" w14:textId="77777777" w:rsidR="00D6627D" w:rsidRPr="00D6627D" w:rsidRDefault="00D6627D" w:rsidP="00D6627D">
      <w:pPr>
        <w:rPr>
          <w:lang w:eastAsia="ja-JP"/>
        </w:rPr>
      </w:pPr>
    </w:p>
    <w:p w14:paraId="7E7F9A56" w14:textId="77777777" w:rsidR="00D6627D" w:rsidRPr="00D6627D" w:rsidRDefault="00D6627D" w:rsidP="00D6627D">
      <w:pPr>
        <w:rPr>
          <w:lang w:eastAsia="ja-JP"/>
        </w:rPr>
      </w:pPr>
    </w:p>
    <w:p w14:paraId="39A3165E" w14:textId="77777777" w:rsidR="00D6627D" w:rsidRPr="00D6627D" w:rsidRDefault="00D6627D" w:rsidP="00D6627D">
      <w:pPr>
        <w:rPr>
          <w:lang w:eastAsia="ja-JP"/>
        </w:rPr>
      </w:pPr>
    </w:p>
    <w:p w14:paraId="074F70FF" w14:textId="77777777" w:rsidR="00D6627D" w:rsidRPr="00D6627D" w:rsidRDefault="00D6627D" w:rsidP="00D6627D">
      <w:pPr>
        <w:rPr>
          <w:lang w:eastAsia="ja-JP"/>
        </w:rPr>
      </w:pPr>
    </w:p>
    <w:p w14:paraId="7DF680BB" w14:textId="77777777" w:rsidR="00D6627D" w:rsidRDefault="00D6627D" w:rsidP="00975C8C">
      <w:pPr>
        <w:pStyle w:val="ListParagraph"/>
        <w:ind w:left="360"/>
        <w:rPr>
          <w:rStyle w:val="Emphasis"/>
          <w:i w:val="0"/>
          <w:iCs w:val="0"/>
          <w:lang w:eastAsia="ja-JP"/>
        </w:rPr>
      </w:pPr>
    </w:p>
    <w:p w14:paraId="7174EF38" w14:textId="77777777" w:rsidR="00D6627D" w:rsidRDefault="00D6627D" w:rsidP="00975C8C">
      <w:pPr>
        <w:pStyle w:val="ListParagraph"/>
        <w:ind w:left="360"/>
        <w:rPr>
          <w:rStyle w:val="Emphasis"/>
          <w:i w:val="0"/>
          <w:iCs w:val="0"/>
          <w:lang w:eastAsia="ja-JP"/>
        </w:rPr>
      </w:pPr>
    </w:p>
    <w:p w14:paraId="7D0B546E" w14:textId="2E0A1947" w:rsidR="00193BE8" w:rsidRDefault="00D6627D" w:rsidP="00D6627D">
      <w:pPr>
        <w:pStyle w:val="ListParagraph"/>
        <w:tabs>
          <w:tab w:val="left" w:pos="1833"/>
        </w:tabs>
        <w:ind w:left="360"/>
        <w:rPr>
          <w:rStyle w:val="Emphasis"/>
          <w:i w:val="0"/>
          <w:iCs w:val="0"/>
          <w:lang w:eastAsia="ja-JP"/>
        </w:rPr>
      </w:pPr>
      <w:r>
        <w:rPr>
          <w:rStyle w:val="Emphasis"/>
          <w:i w:val="0"/>
          <w:iCs w:val="0"/>
          <w:lang w:eastAsia="ja-JP"/>
        </w:rPr>
        <w:tab/>
      </w:r>
      <w:r>
        <w:rPr>
          <w:rStyle w:val="Emphasis"/>
          <w:i w:val="0"/>
          <w:iCs w:val="0"/>
          <w:lang w:eastAsia="ja-JP"/>
        </w:rPr>
        <w:br w:type="textWrapping" w:clear="all"/>
      </w:r>
    </w:p>
    <w:p w14:paraId="60C50A73" w14:textId="77777777" w:rsidR="009B1C6D" w:rsidRDefault="009B1C6D">
      <w:pPr>
        <w:spacing w:after="0" w:line="240" w:lineRule="auto"/>
        <w:rPr>
          <w:rStyle w:val="Emphasis"/>
          <w:i w:val="0"/>
          <w:iCs w:val="0"/>
          <w:lang w:eastAsia="ja-JP"/>
        </w:rPr>
      </w:pPr>
      <w:r>
        <w:rPr>
          <w:rStyle w:val="Emphasis"/>
          <w:i w:val="0"/>
          <w:iCs w:val="0"/>
          <w:lang w:eastAsia="ja-JP"/>
        </w:rPr>
        <w:br w:type="page"/>
      </w:r>
    </w:p>
    <w:p w14:paraId="74384029" w14:textId="6AE126A6" w:rsidR="00306469" w:rsidRDefault="008578FB">
      <w:pPr>
        <w:pStyle w:val="ListNumber"/>
        <w:rPr>
          <w:rStyle w:val="Emphasis"/>
          <w:i w:val="0"/>
          <w:iCs w:val="0"/>
          <w:lang w:eastAsia="ja-JP"/>
        </w:rPr>
      </w:pPr>
      <w:r>
        <w:rPr>
          <w:rStyle w:val="Emphasis"/>
          <w:i w:val="0"/>
          <w:iCs w:val="0"/>
          <w:lang w:eastAsia="ja-JP"/>
        </w:rPr>
        <w:lastRenderedPageBreak/>
        <w:t xml:space="preserve">Type your email </w:t>
      </w:r>
      <w:r w:rsidR="00C236F2">
        <w:rPr>
          <w:rStyle w:val="Emphasis"/>
          <w:i w:val="0"/>
          <w:iCs w:val="0"/>
          <w:lang w:eastAsia="ja-JP"/>
        </w:rPr>
        <w:t xml:space="preserve">address </w:t>
      </w:r>
      <w:r>
        <w:rPr>
          <w:rStyle w:val="Emphasis"/>
          <w:i w:val="0"/>
          <w:iCs w:val="0"/>
          <w:lang w:eastAsia="ja-JP"/>
        </w:rPr>
        <w:t xml:space="preserve">into the </w:t>
      </w:r>
      <w:r w:rsidR="00CB6BA0" w:rsidRPr="00975C8C">
        <w:rPr>
          <w:rStyle w:val="Strong"/>
        </w:rPr>
        <w:t>Enter</w:t>
      </w:r>
      <w:r w:rsidR="00FB3352" w:rsidRPr="00975C8C">
        <w:rPr>
          <w:rStyle w:val="Strong"/>
        </w:rPr>
        <w:t xml:space="preserve"> </w:t>
      </w:r>
      <w:r w:rsidRPr="00975C8C">
        <w:rPr>
          <w:rStyle w:val="Strong"/>
        </w:rPr>
        <w:t>your username</w:t>
      </w:r>
      <w:r>
        <w:rPr>
          <w:rStyle w:val="Emphasis"/>
          <w:i w:val="0"/>
          <w:iCs w:val="0"/>
          <w:lang w:eastAsia="ja-JP"/>
        </w:rPr>
        <w:t xml:space="preserve"> and </w:t>
      </w:r>
      <w:r w:rsidRPr="00975C8C">
        <w:rPr>
          <w:rStyle w:val="Strong"/>
        </w:rPr>
        <w:t>Confirm your username</w:t>
      </w:r>
      <w:r>
        <w:rPr>
          <w:rStyle w:val="Emphasis"/>
          <w:i w:val="0"/>
          <w:iCs w:val="0"/>
          <w:lang w:eastAsia="ja-JP"/>
        </w:rPr>
        <w:t xml:space="preserve"> fields</w:t>
      </w:r>
      <w:r w:rsidR="00FB3352">
        <w:rPr>
          <w:rStyle w:val="Emphasis"/>
          <w:i w:val="0"/>
          <w:iCs w:val="0"/>
          <w:lang w:eastAsia="ja-JP"/>
        </w:rPr>
        <w:t xml:space="preserve">. </w:t>
      </w:r>
    </w:p>
    <w:p w14:paraId="55E5572F" w14:textId="1E7F7265" w:rsidR="00DE05F5" w:rsidRPr="00D267B3" w:rsidRDefault="008578FB" w:rsidP="00975C8C">
      <w:pPr>
        <w:pStyle w:val="ListNumber"/>
        <w:numPr>
          <w:ilvl w:val="0"/>
          <w:numId w:val="0"/>
        </w:numPr>
        <w:ind w:left="425"/>
        <w:rPr>
          <w:rStyle w:val="Emphasis"/>
        </w:rPr>
      </w:pPr>
      <w:r w:rsidRPr="00D267B3">
        <w:rPr>
          <w:rStyle w:val="Emphasis"/>
        </w:rPr>
        <w:t xml:space="preserve">Note: Your </w:t>
      </w:r>
      <w:r>
        <w:rPr>
          <w:rStyle w:val="Emphasis"/>
        </w:rPr>
        <w:t>username/</w:t>
      </w:r>
      <w:r w:rsidRPr="00D267B3">
        <w:rPr>
          <w:rStyle w:val="Emphasis"/>
        </w:rPr>
        <w:t>email is the unique email address</w:t>
      </w:r>
      <w:r w:rsidR="00C3040E">
        <w:rPr>
          <w:rStyle w:val="Emphasis"/>
        </w:rPr>
        <w:t xml:space="preserve"> that is</w:t>
      </w:r>
      <w:r w:rsidRPr="00D267B3">
        <w:rPr>
          <w:rStyle w:val="Emphasis"/>
        </w:rPr>
        <w:t xml:space="preserve"> registered with the department.</w:t>
      </w:r>
      <w:r w:rsidR="00DE05F5" w:rsidRPr="00DE05F5">
        <w:t xml:space="preserve"> </w:t>
      </w:r>
      <w:r w:rsidR="00DE05F5" w:rsidRPr="00DE05F5">
        <w:rPr>
          <w:rStyle w:val="Emphasis"/>
        </w:rPr>
        <w:t xml:space="preserve">If you are unsure of your registered </w:t>
      </w:r>
      <w:r w:rsidR="00ED391F" w:rsidRPr="00DE05F5">
        <w:rPr>
          <w:rStyle w:val="Emphasis"/>
        </w:rPr>
        <w:t>email,</w:t>
      </w:r>
      <w:r w:rsidR="00DE05F5" w:rsidRPr="00DE05F5">
        <w:rPr>
          <w:rStyle w:val="Emphasis"/>
        </w:rPr>
        <w:t xml:space="preserve"> please contact </w:t>
      </w:r>
      <w:hyperlink r:id="rId13" w:history="1">
        <w:r w:rsidR="00DE05F5" w:rsidRPr="0011267C">
          <w:rPr>
            <w:rStyle w:val="Hyperlink"/>
          </w:rPr>
          <w:t>AEPSupport@aff.gov.au</w:t>
        </w:r>
      </w:hyperlink>
      <w:r w:rsidR="00DE05F5" w:rsidRPr="00DE05F5">
        <w:rPr>
          <w:rStyle w:val="Emphasis"/>
        </w:rPr>
        <w:t>.</w:t>
      </w:r>
      <w:r w:rsidR="00724C97">
        <w:rPr>
          <w:rStyle w:val="Emphasis"/>
        </w:rPr>
        <w:t xml:space="preserve"> </w:t>
      </w:r>
    </w:p>
    <w:p w14:paraId="2BB22653" w14:textId="7849B9FB" w:rsidR="008578FB" w:rsidRPr="00193BE8" w:rsidRDefault="008578FB" w:rsidP="00975C8C">
      <w:pPr>
        <w:pStyle w:val="ListNumber"/>
        <w:numPr>
          <w:ilvl w:val="0"/>
          <w:numId w:val="0"/>
        </w:numPr>
        <w:ind w:left="425"/>
        <w:rPr>
          <w:rStyle w:val="Emphasis"/>
          <w:i w:val="0"/>
          <w:iCs w:val="0"/>
          <w:lang w:eastAsia="ja-JP"/>
        </w:rPr>
      </w:pPr>
      <w:r>
        <w:rPr>
          <w:rStyle w:val="Emphasis"/>
          <w:i w:val="0"/>
          <w:iCs w:val="0"/>
          <w:noProof/>
          <w:lang w:eastAsia="ja-JP"/>
        </w:rPr>
        <w:drawing>
          <wp:inline distT="0" distB="0" distL="0" distR="0" wp14:anchorId="5AAFF654" wp14:editId="4E7F0768">
            <wp:extent cx="2088000" cy="2617200"/>
            <wp:effectExtent l="0" t="0" r="7620" b="0"/>
            <wp:docPr id="9" name="Picture 9" descr="A screenshot of the Learnhub reset password screen. A red box highlights where to enter your username and confirm your user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the Learnhub reset password screen. A red box highlights where to enter your username and confirm your usernam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8000" cy="2617200"/>
                    </a:xfrm>
                    <a:prstGeom prst="rect">
                      <a:avLst/>
                    </a:prstGeom>
                    <a:noFill/>
                    <a:ln>
                      <a:noFill/>
                    </a:ln>
                  </pic:spPr>
                </pic:pic>
              </a:graphicData>
            </a:graphic>
          </wp:inline>
        </w:drawing>
      </w:r>
    </w:p>
    <w:p w14:paraId="3CE5F984" w14:textId="5DC39B6E" w:rsidR="008578FB" w:rsidRDefault="00C236F2">
      <w:pPr>
        <w:pStyle w:val="ListNumber"/>
        <w:rPr>
          <w:rStyle w:val="Emphasis"/>
          <w:i w:val="0"/>
          <w:iCs w:val="0"/>
          <w:lang w:eastAsia="ja-JP"/>
        </w:rPr>
      </w:pPr>
      <w:r>
        <w:rPr>
          <w:rStyle w:val="Emphasis"/>
          <w:i w:val="0"/>
          <w:iCs w:val="0"/>
          <w:lang w:eastAsia="ja-JP"/>
        </w:rPr>
        <w:t>Click</w:t>
      </w:r>
      <w:r w:rsidRPr="00CB6BA0">
        <w:rPr>
          <w:rStyle w:val="Emphasis"/>
          <w:i w:val="0"/>
          <w:iCs w:val="0"/>
          <w:lang w:eastAsia="ja-JP"/>
        </w:rPr>
        <w:t xml:space="preserve"> </w:t>
      </w:r>
      <w:r w:rsidR="00B82F04">
        <w:rPr>
          <w:rStyle w:val="Emphasis"/>
          <w:i w:val="0"/>
          <w:iCs w:val="0"/>
          <w:lang w:eastAsia="ja-JP"/>
        </w:rPr>
        <w:t xml:space="preserve">the </w:t>
      </w:r>
      <w:r w:rsidR="008578FB" w:rsidRPr="001442C8">
        <w:rPr>
          <w:rStyle w:val="Emphasis"/>
          <w:b/>
          <w:bCs/>
          <w:i w:val="0"/>
          <w:iCs w:val="0"/>
          <w:lang w:eastAsia="ja-JP"/>
        </w:rPr>
        <w:t>Send reset email</w:t>
      </w:r>
      <w:r w:rsidR="008578FB" w:rsidRPr="00CB6BA0">
        <w:rPr>
          <w:rStyle w:val="Emphasis"/>
          <w:i w:val="0"/>
          <w:iCs w:val="0"/>
          <w:lang w:eastAsia="ja-JP"/>
        </w:rPr>
        <w:t xml:space="preserve"> </w:t>
      </w:r>
      <w:r w:rsidR="00B82F04">
        <w:rPr>
          <w:rStyle w:val="Emphasis"/>
          <w:i w:val="0"/>
          <w:iCs w:val="0"/>
          <w:lang w:eastAsia="ja-JP"/>
        </w:rPr>
        <w:t xml:space="preserve">button </w:t>
      </w:r>
      <w:r w:rsidR="008578FB" w:rsidRPr="00CB6BA0">
        <w:rPr>
          <w:rStyle w:val="Emphasis"/>
          <w:i w:val="0"/>
          <w:iCs w:val="0"/>
          <w:lang w:eastAsia="ja-JP"/>
        </w:rPr>
        <w:t>to generate a password reset link.</w:t>
      </w:r>
    </w:p>
    <w:p w14:paraId="6D681007" w14:textId="32ED478E" w:rsidR="008578FB" w:rsidRDefault="008578FB" w:rsidP="00975C8C">
      <w:pPr>
        <w:pStyle w:val="ListNumber"/>
        <w:numPr>
          <w:ilvl w:val="0"/>
          <w:numId w:val="0"/>
        </w:numPr>
        <w:ind w:left="425"/>
        <w:rPr>
          <w:rStyle w:val="Emphasis"/>
          <w:i w:val="0"/>
          <w:iCs w:val="0"/>
          <w:lang w:eastAsia="ja-JP"/>
        </w:rPr>
      </w:pPr>
      <w:r>
        <w:rPr>
          <w:rStyle w:val="Emphasis"/>
          <w:i w:val="0"/>
          <w:iCs w:val="0"/>
          <w:noProof/>
          <w:lang w:eastAsia="ja-JP"/>
        </w:rPr>
        <w:drawing>
          <wp:inline distT="0" distB="0" distL="0" distR="0" wp14:anchorId="7E1BDCA0" wp14:editId="4EDB4F53">
            <wp:extent cx="2088000" cy="2617200"/>
            <wp:effectExtent l="0" t="0" r="7620" b="0"/>
            <wp:docPr id="10" name="Picture 10" descr="A screenshot of the Learnhub reset password screen. A red box highlights where to click to send a reset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the Learnhub reset password screen. A red box highlights where to click to send a reset emai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8000" cy="2617200"/>
                    </a:xfrm>
                    <a:prstGeom prst="rect">
                      <a:avLst/>
                    </a:prstGeom>
                    <a:noFill/>
                    <a:ln>
                      <a:noFill/>
                    </a:ln>
                  </pic:spPr>
                </pic:pic>
              </a:graphicData>
            </a:graphic>
          </wp:inline>
        </w:drawing>
      </w:r>
    </w:p>
    <w:p w14:paraId="653D942A" w14:textId="55A469F3" w:rsidR="00CB6BA0" w:rsidRPr="00CB6BA0" w:rsidRDefault="00CB6BA0" w:rsidP="00975C8C">
      <w:pPr>
        <w:pStyle w:val="ListNumber"/>
        <w:rPr>
          <w:rStyle w:val="Emphasis"/>
          <w:i w:val="0"/>
          <w:iCs w:val="0"/>
          <w:lang w:eastAsia="ja-JP"/>
        </w:rPr>
      </w:pPr>
      <w:r w:rsidRPr="00CB6BA0">
        <w:rPr>
          <w:rStyle w:val="Emphasis"/>
          <w:i w:val="0"/>
          <w:iCs w:val="0"/>
          <w:lang w:eastAsia="ja-JP"/>
        </w:rPr>
        <w:t xml:space="preserve">Head to your </w:t>
      </w:r>
      <w:r w:rsidR="00143126">
        <w:rPr>
          <w:rStyle w:val="Emphasis"/>
          <w:i w:val="0"/>
          <w:iCs w:val="0"/>
          <w:lang w:eastAsia="ja-JP"/>
        </w:rPr>
        <w:t xml:space="preserve">email </w:t>
      </w:r>
      <w:r w:rsidRPr="00CB6BA0">
        <w:rPr>
          <w:rStyle w:val="Emphasis"/>
          <w:i w:val="0"/>
          <w:iCs w:val="0"/>
          <w:lang w:eastAsia="ja-JP"/>
        </w:rPr>
        <w:t>inbox</w:t>
      </w:r>
      <w:r w:rsidR="00193BE8">
        <w:rPr>
          <w:rStyle w:val="Emphasis"/>
          <w:i w:val="0"/>
          <w:iCs w:val="0"/>
          <w:lang w:eastAsia="ja-JP"/>
        </w:rPr>
        <w:t xml:space="preserve"> and follow the </w:t>
      </w:r>
      <w:r w:rsidR="00DF4972">
        <w:rPr>
          <w:rStyle w:val="Emphasis"/>
          <w:i w:val="0"/>
          <w:iCs w:val="0"/>
          <w:lang w:eastAsia="ja-JP"/>
        </w:rPr>
        <w:t xml:space="preserve">email </w:t>
      </w:r>
      <w:r w:rsidR="00193BE8">
        <w:rPr>
          <w:rStyle w:val="Emphasis"/>
          <w:i w:val="0"/>
          <w:iCs w:val="0"/>
          <w:lang w:eastAsia="ja-JP"/>
        </w:rPr>
        <w:t>instructions to set</w:t>
      </w:r>
      <w:r w:rsidR="00757A65">
        <w:rPr>
          <w:rStyle w:val="Emphasis"/>
          <w:i w:val="0"/>
          <w:iCs w:val="0"/>
          <w:lang w:eastAsia="ja-JP"/>
        </w:rPr>
        <w:t>up</w:t>
      </w:r>
      <w:r w:rsidR="00193BE8">
        <w:rPr>
          <w:rStyle w:val="Emphasis"/>
          <w:i w:val="0"/>
          <w:iCs w:val="0"/>
          <w:lang w:eastAsia="ja-JP"/>
        </w:rPr>
        <w:t xml:space="preserve"> a </w:t>
      </w:r>
      <w:r w:rsidR="00757A65">
        <w:rPr>
          <w:rStyle w:val="Emphasis"/>
          <w:i w:val="0"/>
          <w:iCs w:val="0"/>
          <w:lang w:eastAsia="ja-JP"/>
        </w:rPr>
        <w:t xml:space="preserve">new </w:t>
      </w:r>
      <w:r w:rsidRPr="00CB6BA0">
        <w:rPr>
          <w:rStyle w:val="Emphasis"/>
          <w:i w:val="0"/>
          <w:iCs w:val="0"/>
          <w:lang w:eastAsia="ja-JP"/>
        </w:rPr>
        <w:t>password.</w:t>
      </w:r>
      <w:r w:rsidR="00CD6E9A">
        <w:rPr>
          <w:rStyle w:val="Emphasis"/>
          <w:i w:val="0"/>
          <w:iCs w:val="0"/>
          <w:lang w:eastAsia="ja-JP"/>
        </w:rPr>
        <w:t xml:space="preserve"> The process will redirect you back </w:t>
      </w:r>
      <w:r w:rsidR="00CD6E9A" w:rsidRPr="00CD6E9A">
        <w:rPr>
          <w:rStyle w:val="Emphasis"/>
          <w:i w:val="0"/>
          <w:iCs w:val="0"/>
          <w:lang w:eastAsia="ja-JP"/>
        </w:rPr>
        <w:t xml:space="preserve">to the Learnhub </w:t>
      </w:r>
      <w:r w:rsidR="005263CA">
        <w:rPr>
          <w:rStyle w:val="Emphasis"/>
          <w:i w:val="0"/>
          <w:iCs w:val="0"/>
          <w:lang w:eastAsia="ja-JP"/>
        </w:rPr>
        <w:t>l</w:t>
      </w:r>
      <w:r w:rsidR="00CD6E9A" w:rsidRPr="00CD6E9A">
        <w:rPr>
          <w:rStyle w:val="Emphasis"/>
          <w:i w:val="0"/>
          <w:iCs w:val="0"/>
          <w:lang w:eastAsia="ja-JP"/>
        </w:rPr>
        <w:t>ogin page</w:t>
      </w:r>
      <w:r w:rsidR="009B1C6D">
        <w:rPr>
          <w:rStyle w:val="Emphasis"/>
          <w:i w:val="0"/>
          <w:iCs w:val="0"/>
          <w:lang w:eastAsia="ja-JP"/>
        </w:rPr>
        <w:t>,</w:t>
      </w:r>
      <w:r w:rsidR="00CD6E9A" w:rsidRPr="00CD6E9A">
        <w:rPr>
          <w:rStyle w:val="Emphasis"/>
          <w:i w:val="0"/>
          <w:iCs w:val="0"/>
          <w:lang w:eastAsia="ja-JP"/>
        </w:rPr>
        <w:t xml:space="preserve"> </w:t>
      </w:r>
      <w:r w:rsidR="00CD6E9A">
        <w:rPr>
          <w:rStyle w:val="Emphasis"/>
          <w:i w:val="0"/>
          <w:iCs w:val="0"/>
          <w:lang w:eastAsia="ja-JP"/>
        </w:rPr>
        <w:t>where you will be</w:t>
      </w:r>
      <w:r w:rsidR="00CD6E9A" w:rsidRPr="00CD6E9A">
        <w:rPr>
          <w:rStyle w:val="Emphasis"/>
          <w:i w:val="0"/>
          <w:iCs w:val="0"/>
          <w:lang w:eastAsia="ja-JP"/>
        </w:rPr>
        <w:t xml:space="preserve"> prompted to </w:t>
      </w:r>
      <w:r w:rsidR="002C1685">
        <w:rPr>
          <w:rStyle w:val="Emphasis"/>
          <w:i w:val="0"/>
          <w:iCs w:val="0"/>
          <w:lang w:eastAsia="ja-JP"/>
        </w:rPr>
        <w:t>create a new password</w:t>
      </w:r>
      <w:r w:rsidR="00CD6E9A">
        <w:rPr>
          <w:rStyle w:val="Emphasis"/>
          <w:i w:val="0"/>
          <w:iCs w:val="0"/>
          <w:lang w:eastAsia="ja-JP"/>
        </w:rPr>
        <w:t>.</w:t>
      </w:r>
    </w:p>
    <w:p w14:paraId="22A79F3D" w14:textId="77777777" w:rsidR="009B1C6D" w:rsidRDefault="009B1C6D">
      <w:pPr>
        <w:spacing w:after="0" w:line="240" w:lineRule="auto"/>
        <w:rPr>
          <w:rStyle w:val="Emphasis"/>
          <w:i w:val="0"/>
          <w:iCs w:val="0"/>
          <w:lang w:eastAsia="ja-JP"/>
        </w:rPr>
      </w:pPr>
      <w:r>
        <w:rPr>
          <w:rStyle w:val="Emphasis"/>
          <w:i w:val="0"/>
          <w:iCs w:val="0"/>
          <w:lang w:eastAsia="ja-JP"/>
        </w:rPr>
        <w:br w:type="page"/>
      </w:r>
    </w:p>
    <w:p w14:paraId="6BDA7B08" w14:textId="6659EB60" w:rsidR="00DF4972" w:rsidRDefault="00143126">
      <w:pPr>
        <w:pStyle w:val="ListNumber"/>
        <w:rPr>
          <w:rStyle w:val="Emphasis"/>
          <w:i w:val="0"/>
          <w:iCs w:val="0"/>
          <w:lang w:eastAsia="ja-JP"/>
        </w:rPr>
      </w:pPr>
      <w:r>
        <w:rPr>
          <w:rStyle w:val="Emphasis"/>
          <w:i w:val="0"/>
          <w:iCs w:val="0"/>
          <w:lang w:eastAsia="ja-JP"/>
        </w:rPr>
        <w:lastRenderedPageBreak/>
        <w:t>Y</w:t>
      </w:r>
      <w:r w:rsidR="00CB6BA0" w:rsidRPr="00CB6BA0">
        <w:rPr>
          <w:rStyle w:val="Emphasis"/>
          <w:i w:val="0"/>
          <w:iCs w:val="0"/>
          <w:lang w:eastAsia="ja-JP"/>
        </w:rPr>
        <w:t xml:space="preserve">ou </w:t>
      </w:r>
      <w:r w:rsidR="00155B04">
        <w:rPr>
          <w:rStyle w:val="Emphasis"/>
          <w:i w:val="0"/>
          <w:iCs w:val="0"/>
          <w:lang w:eastAsia="ja-JP"/>
        </w:rPr>
        <w:t>should</w:t>
      </w:r>
      <w:r w:rsidR="00CB6BA0" w:rsidRPr="00CB6BA0">
        <w:rPr>
          <w:rStyle w:val="Emphasis"/>
          <w:i w:val="0"/>
          <w:iCs w:val="0"/>
          <w:lang w:eastAsia="ja-JP"/>
        </w:rPr>
        <w:t xml:space="preserve"> </w:t>
      </w:r>
      <w:r>
        <w:rPr>
          <w:rStyle w:val="Emphasis"/>
          <w:i w:val="0"/>
          <w:iCs w:val="0"/>
          <w:lang w:eastAsia="ja-JP"/>
        </w:rPr>
        <w:t xml:space="preserve">now </w:t>
      </w:r>
      <w:r w:rsidR="00155B04">
        <w:rPr>
          <w:rStyle w:val="Emphasis"/>
          <w:i w:val="0"/>
          <w:iCs w:val="0"/>
          <w:lang w:eastAsia="ja-JP"/>
        </w:rPr>
        <w:t xml:space="preserve">be able to </w:t>
      </w:r>
      <w:r w:rsidR="00B82F04">
        <w:rPr>
          <w:rStyle w:val="Emphasis"/>
          <w:i w:val="0"/>
          <w:iCs w:val="0"/>
          <w:lang w:eastAsia="ja-JP"/>
        </w:rPr>
        <w:t>login to</w:t>
      </w:r>
      <w:r>
        <w:rPr>
          <w:rStyle w:val="Emphasis"/>
          <w:i w:val="0"/>
          <w:iCs w:val="0"/>
          <w:lang w:eastAsia="ja-JP"/>
        </w:rPr>
        <w:t xml:space="preserve"> Learn</w:t>
      </w:r>
      <w:r w:rsidR="00AE09E6">
        <w:rPr>
          <w:rStyle w:val="Emphasis"/>
          <w:i w:val="0"/>
          <w:iCs w:val="0"/>
          <w:lang w:eastAsia="ja-JP"/>
        </w:rPr>
        <w:t>h</w:t>
      </w:r>
      <w:r>
        <w:rPr>
          <w:rStyle w:val="Emphasis"/>
          <w:i w:val="0"/>
          <w:iCs w:val="0"/>
          <w:lang w:eastAsia="ja-JP"/>
        </w:rPr>
        <w:t xml:space="preserve">ub by completing the </w:t>
      </w:r>
      <w:r w:rsidRPr="00975C8C">
        <w:rPr>
          <w:rStyle w:val="Emphasis"/>
          <w:b/>
          <w:bCs/>
          <w:i w:val="0"/>
          <w:iCs w:val="0"/>
          <w:lang w:eastAsia="ja-JP"/>
        </w:rPr>
        <w:t>Manual Login</w:t>
      </w:r>
      <w:r>
        <w:rPr>
          <w:rStyle w:val="Emphasis"/>
          <w:i w:val="0"/>
          <w:iCs w:val="0"/>
          <w:lang w:eastAsia="ja-JP"/>
        </w:rPr>
        <w:t xml:space="preserve"> </w:t>
      </w:r>
      <w:r w:rsidR="00757A65">
        <w:rPr>
          <w:rStyle w:val="Emphasis"/>
          <w:i w:val="0"/>
          <w:iCs w:val="0"/>
          <w:lang w:eastAsia="ja-JP"/>
        </w:rPr>
        <w:t>fields</w:t>
      </w:r>
      <w:r w:rsidR="00B82F04">
        <w:rPr>
          <w:rStyle w:val="Emphasis"/>
          <w:i w:val="0"/>
          <w:iCs w:val="0"/>
          <w:lang w:eastAsia="ja-JP"/>
        </w:rPr>
        <w:t xml:space="preserve"> (</w:t>
      </w:r>
      <w:r w:rsidR="00CB6BA0" w:rsidRPr="00CB6BA0">
        <w:rPr>
          <w:rStyle w:val="Emphasis"/>
          <w:i w:val="0"/>
          <w:iCs w:val="0"/>
          <w:lang w:eastAsia="ja-JP"/>
        </w:rPr>
        <w:t>email and password</w:t>
      </w:r>
      <w:r w:rsidR="00B82F04">
        <w:rPr>
          <w:rStyle w:val="Emphasis"/>
          <w:i w:val="0"/>
          <w:iCs w:val="0"/>
          <w:lang w:eastAsia="ja-JP"/>
        </w:rPr>
        <w:t xml:space="preserve">) and </w:t>
      </w:r>
      <w:r w:rsidR="00AC28AC">
        <w:rPr>
          <w:rStyle w:val="Emphasis"/>
          <w:i w:val="0"/>
          <w:iCs w:val="0"/>
          <w:lang w:eastAsia="ja-JP"/>
        </w:rPr>
        <w:t>selecting</w:t>
      </w:r>
      <w:r w:rsidR="00B82F04">
        <w:rPr>
          <w:rStyle w:val="Emphasis"/>
          <w:i w:val="0"/>
          <w:iCs w:val="0"/>
          <w:lang w:eastAsia="ja-JP"/>
        </w:rPr>
        <w:t xml:space="preserve"> the </w:t>
      </w:r>
      <w:r w:rsidR="00B82F04" w:rsidRPr="00975C8C">
        <w:rPr>
          <w:rStyle w:val="Strong"/>
        </w:rPr>
        <w:t>L</w:t>
      </w:r>
      <w:r w:rsidR="00C052DB">
        <w:rPr>
          <w:rStyle w:val="Strong"/>
        </w:rPr>
        <w:t>ogin</w:t>
      </w:r>
      <w:r w:rsidR="00B82F04">
        <w:rPr>
          <w:rStyle w:val="Emphasis"/>
          <w:i w:val="0"/>
          <w:iCs w:val="0"/>
          <w:lang w:eastAsia="ja-JP"/>
        </w:rPr>
        <w:t xml:space="preserve"> button.</w:t>
      </w:r>
    </w:p>
    <w:p w14:paraId="4D998B43" w14:textId="76EF159B" w:rsidR="007D46F9" w:rsidRPr="00975C8C" w:rsidRDefault="007D46F9" w:rsidP="00975C8C">
      <w:pPr>
        <w:pStyle w:val="ListNumber"/>
        <w:numPr>
          <w:ilvl w:val="0"/>
          <w:numId w:val="0"/>
        </w:numPr>
        <w:ind w:left="425"/>
        <w:rPr>
          <w:rStyle w:val="Emphasis"/>
        </w:rPr>
      </w:pPr>
      <w:r w:rsidRPr="00F823B6">
        <w:rPr>
          <w:rStyle w:val="Emphasis"/>
        </w:rPr>
        <w:t xml:space="preserve">Note: </w:t>
      </w:r>
      <w:r w:rsidR="00C3040E">
        <w:rPr>
          <w:rStyle w:val="Emphasis"/>
        </w:rPr>
        <w:t xml:space="preserve">the </w:t>
      </w:r>
      <w:r w:rsidR="00C3040E" w:rsidRPr="00C3040E">
        <w:rPr>
          <w:rStyle w:val="Emphasis"/>
          <w:b/>
          <w:bCs/>
        </w:rPr>
        <w:t>SSO Login</w:t>
      </w:r>
      <w:r w:rsidR="00C3040E">
        <w:rPr>
          <w:rStyle w:val="Emphasis"/>
        </w:rPr>
        <w:t xml:space="preserve"> option is not available </w:t>
      </w:r>
      <w:r w:rsidRPr="00F823B6">
        <w:rPr>
          <w:rStyle w:val="Emphasis"/>
        </w:rPr>
        <w:t>for accredited persons.</w:t>
      </w:r>
    </w:p>
    <w:p w14:paraId="1560E09A" w14:textId="75E87974" w:rsidR="00CB6BA0" w:rsidRDefault="00143126" w:rsidP="00975C8C">
      <w:pPr>
        <w:pStyle w:val="ListParagraph"/>
        <w:ind w:left="360"/>
        <w:rPr>
          <w:lang w:eastAsia="ja-JP"/>
        </w:rPr>
      </w:pPr>
      <w:r>
        <w:rPr>
          <w:rStyle w:val="Emphasis"/>
          <w:i w:val="0"/>
          <w:iCs w:val="0"/>
          <w:noProof/>
          <w:lang w:eastAsia="ja-JP"/>
        </w:rPr>
        <w:drawing>
          <wp:inline distT="0" distB="0" distL="0" distR="0" wp14:anchorId="0BD90FE3" wp14:editId="569FE32E">
            <wp:extent cx="2088000" cy="3114000"/>
            <wp:effectExtent l="0" t="0" r="7620" b="0"/>
            <wp:docPr id="8" name="Picture 8" descr="A screenshot of the Learnhub login screen. A red box highlights the manual login fields and login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the Learnhub login screen. A red box highlights the manual login fields and login butt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8000" cy="3114000"/>
                    </a:xfrm>
                    <a:prstGeom prst="rect">
                      <a:avLst/>
                    </a:prstGeom>
                    <a:noFill/>
                    <a:ln>
                      <a:noFill/>
                    </a:ln>
                  </pic:spPr>
                </pic:pic>
              </a:graphicData>
            </a:graphic>
          </wp:inline>
        </w:drawing>
      </w:r>
    </w:p>
    <w:p w14:paraId="73DEB639" w14:textId="618EA5D8" w:rsidR="00B82095" w:rsidRPr="00F823B6" w:rsidRDefault="000913B5" w:rsidP="00F823B6">
      <w:pPr>
        <w:pStyle w:val="Heading2"/>
      </w:pPr>
      <w:r w:rsidRPr="00F823B6">
        <w:t>More</w:t>
      </w:r>
      <w:r w:rsidR="00B82095" w:rsidRPr="00F823B6">
        <w:t xml:space="preserve"> information</w:t>
      </w:r>
    </w:p>
    <w:p w14:paraId="7D7CC04B" w14:textId="771AA01A" w:rsidR="007941D4" w:rsidRDefault="007941D4" w:rsidP="00975C8C">
      <w:pPr>
        <w:spacing w:after="480"/>
        <w:rPr>
          <w:rStyle w:val="Strong"/>
        </w:rPr>
      </w:pPr>
      <w:r>
        <w:t xml:space="preserve">If you </w:t>
      </w:r>
      <w:r w:rsidR="00143126">
        <w:t>require further assistance</w:t>
      </w:r>
      <w:r w:rsidR="002429F6">
        <w:t xml:space="preserve">, please email </w:t>
      </w:r>
      <w:hyperlink r:id="rId17" w:history="1">
        <w:r w:rsidR="00143126">
          <w:rPr>
            <w:rStyle w:val="Hyperlink"/>
            <w:lang w:eastAsia="en-AU"/>
          </w:rPr>
          <w:t>AEPSupport@aff.gov.au</w:t>
        </w:r>
      </w:hyperlink>
      <w:r w:rsidR="0099598F">
        <w:rPr>
          <w:rStyle w:val="Hyperlink"/>
        </w:rPr>
        <w:t>.</w:t>
      </w:r>
    </w:p>
    <w:p w14:paraId="29FD4496" w14:textId="411C808F" w:rsidR="000A5BA0" w:rsidRDefault="000A5BA0" w:rsidP="000A5BA0">
      <w:pPr>
        <w:pStyle w:val="Normalsmall"/>
      </w:pPr>
      <w:r>
        <w:rPr>
          <w:rStyle w:val="Strong"/>
        </w:rPr>
        <w:t>Acknowledgement of Country</w:t>
      </w:r>
    </w:p>
    <w:p w14:paraId="743D034F"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3B4DF37" w14:textId="77777777" w:rsidR="00E9781D" w:rsidRDefault="00E9781D" w:rsidP="00E9781D">
      <w:pPr>
        <w:pStyle w:val="Normalsmall"/>
        <w:spacing w:before="360"/>
      </w:pPr>
      <w:r>
        <w:t>© Commonwealth of Australia 202</w:t>
      </w:r>
      <w:r w:rsidR="00A0018B">
        <w:t>3</w:t>
      </w:r>
    </w:p>
    <w:p w14:paraId="2CE42204"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46F9AF8C" w14:textId="77777777" w:rsidR="00E9781D" w:rsidRDefault="00E9781D" w:rsidP="00E9781D">
      <w:pPr>
        <w:pStyle w:val="Normalsmall"/>
      </w:pPr>
      <w:r>
        <w:t xml:space="preserve">All material in this publication is licensed under a </w:t>
      </w:r>
      <w:hyperlink r:id="rId18" w:history="1">
        <w:r>
          <w:rPr>
            <w:rStyle w:val="Hyperlink"/>
          </w:rPr>
          <w:t>Creative Commons Attribution 4.0 International Licence</w:t>
        </w:r>
      </w:hyperlink>
      <w:r>
        <w:t xml:space="preserve"> except content supplied by third parties, logos and the Commonwealth Coat of Arms.</w:t>
      </w:r>
    </w:p>
    <w:p w14:paraId="73D05B42"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5B656B" w:rsidSect="0013173D">
      <w:headerReference w:type="default" r:id="rId19"/>
      <w:footerReference w:type="default" r:id="rId20"/>
      <w:headerReference w:type="first" r:id="rId21"/>
      <w:footerReference w:type="first" r:id="rId22"/>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BE16" w14:textId="77777777" w:rsidR="00112D1B" w:rsidRDefault="00112D1B">
      <w:r>
        <w:separator/>
      </w:r>
    </w:p>
    <w:p w14:paraId="06DB228B" w14:textId="77777777" w:rsidR="00112D1B" w:rsidRDefault="00112D1B"/>
    <w:p w14:paraId="1FC8EC17" w14:textId="77777777" w:rsidR="00112D1B" w:rsidRDefault="00112D1B"/>
  </w:endnote>
  <w:endnote w:type="continuationSeparator" w:id="0">
    <w:p w14:paraId="364BA59E" w14:textId="77777777" w:rsidR="00112D1B" w:rsidRDefault="00112D1B">
      <w:r>
        <w:continuationSeparator/>
      </w:r>
    </w:p>
    <w:p w14:paraId="0F1D78D7" w14:textId="77777777" w:rsidR="00112D1B" w:rsidRDefault="00112D1B"/>
    <w:p w14:paraId="78B18CCB" w14:textId="77777777" w:rsidR="00112D1B" w:rsidRDefault="00112D1B"/>
  </w:endnote>
  <w:endnote w:type="continuationNotice" w:id="1">
    <w:p w14:paraId="3859BE7D" w14:textId="77777777" w:rsidR="00112D1B" w:rsidRDefault="00112D1B">
      <w:pPr>
        <w:pStyle w:val="Footer"/>
      </w:pPr>
    </w:p>
    <w:p w14:paraId="65ED9E52" w14:textId="77777777" w:rsidR="00112D1B" w:rsidRDefault="00112D1B"/>
    <w:p w14:paraId="67DF929E" w14:textId="77777777" w:rsidR="00112D1B" w:rsidRDefault="00112D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20B9" w14:textId="4ACA9604" w:rsidR="00863E83" w:rsidRDefault="00863E83" w:rsidP="00863E83">
    <w:pPr>
      <w:pStyle w:val="Footer"/>
    </w:pPr>
    <w:r w:rsidRPr="007B1F92">
      <w:t>Department of Agriculture, Fisheries and Forestry</w:t>
    </w:r>
    <w:r w:rsidR="00DC4E21">
      <w:t xml:space="preserve"> - Version </w:t>
    </w:r>
    <w:r w:rsidR="0077618E">
      <w:t>3</w:t>
    </w:r>
    <w:r w:rsidR="00DC4E21">
      <w:t>.0 April 202</w:t>
    </w:r>
    <w:r w:rsidR="0077618E">
      <w:t>4</w:t>
    </w:r>
    <w:r w:rsidR="00DC4E21">
      <w:t xml:space="preserve"> </w:t>
    </w:r>
  </w:p>
  <w:p w14:paraId="2A03148D" w14:textId="77777777" w:rsidR="000542B4" w:rsidRDefault="008D2DD5"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34446851"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FB94" w14:textId="77777777" w:rsidR="00112D1B" w:rsidRDefault="00112D1B">
      <w:r>
        <w:separator/>
      </w:r>
    </w:p>
    <w:p w14:paraId="3BB21C88" w14:textId="77777777" w:rsidR="00112D1B" w:rsidRDefault="00112D1B"/>
    <w:p w14:paraId="3AFD56FD" w14:textId="77777777" w:rsidR="00112D1B" w:rsidRDefault="00112D1B"/>
  </w:footnote>
  <w:footnote w:type="continuationSeparator" w:id="0">
    <w:p w14:paraId="05555E12" w14:textId="77777777" w:rsidR="00112D1B" w:rsidRDefault="00112D1B">
      <w:r>
        <w:continuationSeparator/>
      </w:r>
    </w:p>
    <w:p w14:paraId="37067BD5" w14:textId="77777777" w:rsidR="00112D1B" w:rsidRDefault="00112D1B"/>
    <w:p w14:paraId="0EC96310" w14:textId="77777777" w:rsidR="00112D1B" w:rsidRDefault="00112D1B"/>
  </w:footnote>
  <w:footnote w:type="continuationNotice" w:id="1">
    <w:p w14:paraId="55996BE1" w14:textId="77777777" w:rsidR="00112D1B" w:rsidRDefault="00112D1B">
      <w:pPr>
        <w:pStyle w:val="Footer"/>
      </w:pPr>
    </w:p>
    <w:p w14:paraId="79CC8242" w14:textId="77777777" w:rsidR="00112D1B" w:rsidRDefault="00112D1B"/>
    <w:p w14:paraId="35AE10EB" w14:textId="77777777" w:rsidR="00112D1B" w:rsidRDefault="00112D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AD2D" w14:textId="0BD4CCEA" w:rsidR="000542B4" w:rsidRDefault="00DC4E21" w:rsidP="00DC4E21">
    <w:pPr>
      <w:pStyle w:val="Heading1"/>
      <w:jc w:val="center"/>
    </w:pPr>
    <w:r w:rsidRPr="00DC4E21">
      <w:rPr>
        <w:b w:val="0"/>
        <w:bCs w:val="0"/>
        <w:spacing w:val="0"/>
        <w:kern w:val="0"/>
        <w:sz w:val="20"/>
        <w:szCs w:val="22"/>
      </w:rPr>
      <w:t>Accessing Learnhub Tip 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23CC" w14:textId="575CA9CB" w:rsidR="000E455C" w:rsidRDefault="007C70CA" w:rsidP="00A8157A">
    <w:pPr>
      <w:pStyle w:val="Footer"/>
      <w:spacing w:after="0"/>
      <w:jc w:val="left"/>
    </w:pPr>
    <w:r>
      <w:rPr>
        <w:noProof/>
      </w:rPr>
      <w:drawing>
        <wp:anchor distT="0" distB="0" distL="114300" distR="114300" simplePos="0" relativeHeight="251657216" behindDoc="1" locked="0" layoutInCell="1" allowOverlap="1" wp14:anchorId="2ED73ACA" wp14:editId="50968B40">
          <wp:simplePos x="0" y="0"/>
          <wp:positionH relativeFrom="page">
            <wp:posOffset>-14908</wp:posOffset>
          </wp:positionH>
          <wp:positionV relativeFrom="paragraph">
            <wp:posOffset>-373048</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EC79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114B6"/>
    <w:multiLevelType w:val="multilevel"/>
    <w:tmpl w:val="A0241B28"/>
    <w:numStyleLink w:val="List1"/>
  </w:abstractNum>
  <w:abstractNum w:abstractNumId="2"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663CFA"/>
    <w:multiLevelType w:val="hybridMultilevel"/>
    <w:tmpl w:val="01580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0A96554"/>
    <w:multiLevelType w:val="hybridMultilevel"/>
    <w:tmpl w:val="158ACD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5CF8557F"/>
    <w:multiLevelType w:val="hybridMultilevel"/>
    <w:tmpl w:val="1696BF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39E7AC0"/>
    <w:multiLevelType w:val="hybridMultilevel"/>
    <w:tmpl w:val="D6C006A8"/>
    <w:lvl w:ilvl="0" w:tplc="ED404B80">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11D3654"/>
    <w:multiLevelType w:val="hybridMultilevel"/>
    <w:tmpl w:val="C330BF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00088148">
    <w:abstractNumId w:val="7"/>
  </w:num>
  <w:num w:numId="2" w16cid:durableId="1209954464">
    <w:abstractNumId w:val="4"/>
  </w:num>
  <w:num w:numId="3" w16cid:durableId="211696695">
    <w:abstractNumId w:val="10"/>
  </w:num>
  <w:num w:numId="4" w16cid:durableId="1550148830">
    <w:abstractNumId w:val="11"/>
  </w:num>
  <w:num w:numId="5" w16cid:durableId="1460108156">
    <w:abstractNumId w:val="2"/>
  </w:num>
  <w:num w:numId="6" w16cid:durableId="1934704985">
    <w:abstractNumId w:val="8"/>
  </w:num>
  <w:num w:numId="7" w16cid:durableId="1013073201">
    <w:abstractNumId w:val="9"/>
  </w:num>
  <w:num w:numId="8" w16cid:durableId="524289160">
    <w:abstractNumId w:val="3"/>
  </w:num>
  <w:num w:numId="9" w16cid:durableId="1887645513">
    <w:abstractNumId w:val="1"/>
  </w:num>
  <w:num w:numId="10" w16cid:durableId="214510468">
    <w:abstractNumId w:val="10"/>
  </w:num>
  <w:num w:numId="11" w16cid:durableId="1776824544">
    <w:abstractNumId w:val="0"/>
  </w:num>
  <w:num w:numId="12" w16cid:durableId="73162065">
    <w:abstractNumId w:val="6"/>
  </w:num>
  <w:num w:numId="13" w16cid:durableId="1765303887">
    <w:abstractNumId w:val="10"/>
  </w:num>
  <w:num w:numId="14" w16cid:durableId="1202596710">
    <w:abstractNumId w:val="0"/>
  </w:num>
  <w:num w:numId="15" w16cid:durableId="62682721">
    <w:abstractNumId w:val="5"/>
  </w:num>
  <w:num w:numId="16" w16cid:durableId="1357124521">
    <w:abstractNumId w:val="14"/>
  </w:num>
  <w:num w:numId="17" w16cid:durableId="930352237">
    <w:abstractNumId w:val="13"/>
  </w:num>
  <w:num w:numId="18" w16cid:durableId="171882092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0CA"/>
    <w:rsid w:val="0000059E"/>
    <w:rsid w:val="0000066F"/>
    <w:rsid w:val="00001B53"/>
    <w:rsid w:val="00017ACB"/>
    <w:rsid w:val="00021590"/>
    <w:rsid w:val="00025D1B"/>
    <w:rsid w:val="000266C4"/>
    <w:rsid w:val="000542B4"/>
    <w:rsid w:val="000618F3"/>
    <w:rsid w:val="00066D0B"/>
    <w:rsid w:val="000717D2"/>
    <w:rsid w:val="00074A56"/>
    <w:rsid w:val="00080827"/>
    <w:rsid w:val="0008277A"/>
    <w:rsid w:val="000904C1"/>
    <w:rsid w:val="000913B5"/>
    <w:rsid w:val="000975F2"/>
    <w:rsid w:val="000A5BA0"/>
    <w:rsid w:val="000B3924"/>
    <w:rsid w:val="000B3C44"/>
    <w:rsid w:val="000C0412"/>
    <w:rsid w:val="000C24FF"/>
    <w:rsid w:val="000C4558"/>
    <w:rsid w:val="000E455C"/>
    <w:rsid w:val="000E4D74"/>
    <w:rsid w:val="000E7803"/>
    <w:rsid w:val="000F0491"/>
    <w:rsid w:val="001065ED"/>
    <w:rsid w:val="00112D1B"/>
    <w:rsid w:val="001233A8"/>
    <w:rsid w:val="00125818"/>
    <w:rsid w:val="0013173D"/>
    <w:rsid w:val="00140C4D"/>
    <w:rsid w:val="00143126"/>
    <w:rsid w:val="00144601"/>
    <w:rsid w:val="00155B04"/>
    <w:rsid w:val="00190D7E"/>
    <w:rsid w:val="001929D2"/>
    <w:rsid w:val="00193BE8"/>
    <w:rsid w:val="001A6968"/>
    <w:rsid w:val="001B0FC0"/>
    <w:rsid w:val="001D0EF3"/>
    <w:rsid w:val="001D73B3"/>
    <w:rsid w:val="00201BFB"/>
    <w:rsid w:val="00203DE1"/>
    <w:rsid w:val="00210DA9"/>
    <w:rsid w:val="00211D8E"/>
    <w:rsid w:val="00220618"/>
    <w:rsid w:val="00237A69"/>
    <w:rsid w:val="002429F6"/>
    <w:rsid w:val="00275B58"/>
    <w:rsid w:val="00284B53"/>
    <w:rsid w:val="002B1FAF"/>
    <w:rsid w:val="002B6A21"/>
    <w:rsid w:val="002C1685"/>
    <w:rsid w:val="002E3FD4"/>
    <w:rsid w:val="002F4595"/>
    <w:rsid w:val="00300AFD"/>
    <w:rsid w:val="003032C0"/>
    <w:rsid w:val="00306469"/>
    <w:rsid w:val="003065BB"/>
    <w:rsid w:val="003364CD"/>
    <w:rsid w:val="00336B60"/>
    <w:rsid w:val="0035108D"/>
    <w:rsid w:val="003569F9"/>
    <w:rsid w:val="00363F25"/>
    <w:rsid w:val="003644BE"/>
    <w:rsid w:val="00366721"/>
    <w:rsid w:val="00370990"/>
    <w:rsid w:val="0037698A"/>
    <w:rsid w:val="00392124"/>
    <w:rsid w:val="003937B8"/>
    <w:rsid w:val="003C2617"/>
    <w:rsid w:val="003F73D7"/>
    <w:rsid w:val="00411260"/>
    <w:rsid w:val="0043368B"/>
    <w:rsid w:val="00442630"/>
    <w:rsid w:val="0044304D"/>
    <w:rsid w:val="00446CB3"/>
    <w:rsid w:val="00474BB1"/>
    <w:rsid w:val="00477888"/>
    <w:rsid w:val="004919F6"/>
    <w:rsid w:val="00492484"/>
    <w:rsid w:val="00495068"/>
    <w:rsid w:val="004C2DA2"/>
    <w:rsid w:val="004D0888"/>
    <w:rsid w:val="004E6316"/>
    <w:rsid w:val="005019C1"/>
    <w:rsid w:val="005070C8"/>
    <w:rsid w:val="00514CEE"/>
    <w:rsid w:val="00515287"/>
    <w:rsid w:val="005157CF"/>
    <w:rsid w:val="005263CA"/>
    <w:rsid w:val="00531B5A"/>
    <w:rsid w:val="00547013"/>
    <w:rsid w:val="00553E9D"/>
    <w:rsid w:val="0055447F"/>
    <w:rsid w:val="00567DFC"/>
    <w:rsid w:val="00577F29"/>
    <w:rsid w:val="0058634D"/>
    <w:rsid w:val="005A48A6"/>
    <w:rsid w:val="005A5F7C"/>
    <w:rsid w:val="005B613F"/>
    <w:rsid w:val="005B656B"/>
    <w:rsid w:val="005C2BFD"/>
    <w:rsid w:val="00607A21"/>
    <w:rsid w:val="00607A36"/>
    <w:rsid w:val="006156DF"/>
    <w:rsid w:val="00625D8D"/>
    <w:rsid w:val="006360F9"/>
    <w:rsid w:val="00642F36"/>
    <w:rsid w:val="00646917"/>
    <w:rsid w:val="00656587"/>
    <w:rsid w:val="006913AF"/>
    <w:rsid w:val="00696682"/>
    <w:rsid w:val="006B0030"/>
    <w:rsid w:val="006B49DE"/>
    <w:rsid w:val="006D413F"/>
    <w:rsid w:val="006E353E"/>
    <w:rsid w:val="006F6FE8"/>
    <w:rsid w:val="00700A80"/>
    <w:rsid w:val="0070464B"/>
    <w:rsid w:val="00721291"/>
    <w:rsid w:val="00724C97"/>
    <w:rsid w:val="007258B1"/>
    <w:rsid w:val="00725C8B"/>
    <w:rsid w:val="00754CA3"/>
    <w:rsid w:val="00757A65"/>
    <w:rsid w:val="0076549B"/>
    <w:rsid w:val="0077618E"/>
    <w:rsid w:val="00793E18"/>
    <w:rsid w:val="007941D4"/>
    <w:rsid w:val="007A55C3"/>
    <w:rsid w:val="007B4C63"/>
    <w:rsid w:val="007C0010"/>
    <w:rsid w:val="007C70CA"/>
    <w:rsid w:val="007D46F9"/>
    <w:rsid w:val="007E69AF"/>
    <w:rsid w:val="007F1A4E"/>
    <w:rsid w:val="007F4986"/>
    <w:rsid w:val="007F6AB7"/>
    <w:rsid w:val="0080517C"/>
    <w:rsid w:val="00832638"/>
    <w:rsid w:val="008578FB"/>
    <w:rsid w:val="00863E83"/>
    <w:rsid w:val="00865130"/>
    <w:rsid w:val="00892F53"/>
    <w:rsid w:val="00895341"/>
    <w:rsid w:val="008A7C41"/>
    <w:rsid w:val="008D2DD5"/>
    <w:rsid w:val="008E3B54"/>
    <w:rsid w:val="008E62B7"/>
    <w:rsid w:val="008F1712"/>
    <w:rsid w:val="008F382A"/>
    <w:rsid w:val="00902E92"/>
    <w:rsid w:val="0090743D"/>
    <w:rsid w:val="00911F4A"/>
    <w:rsid w:val="00916FC3"/>
    <w:rsid w:val="00943779"/>
    <w:rsid w:val="00974CD6"/>
    <w:rsid w:val="00975C8C"/>
    <w:rsid w:val="009844EA"/>
    <w:rsid w:val="0099598F"/>
    <w:rsid w:val="009B1C6D"/>
    <w:rsid w:val="009C206F"/>
    <w:rsid w:val="009C37F9"/>
    <w:rsid w:val="009C3FA3"/>
    <w:rsid w:val="009C5CE4"/>
    <w:rsid w:val="009D47FC"/>
    <w:rsid w:val="009D7044"/>
    <w:rsid w:val="009F71EF"/>
    <w:rsid w:val="00A0018B"/>
    <w:rsid w:val="00A04AFD"/>
    <w:rsid w:val="00A130F7"/>
    <w:rsid w:val="00A17B8E"/>
    <w:rsid w:val="00A32860"/>
    <w:rsid w:val="00A50BD7"/>
    <w:rsid w:val="00A517CA"/>
    <w:rsid w:val="00A56A90"/>
    <w:rsid w:val="00A62CD6"/>
    <w:rsid w:val="00A62F99"/>
    <w:rsid w:val="00A65D84"/>
    <w:rsid w:val="00A77E8E"/>
    <w:rsid w:val="00A8157A"/>
    <w:rsid w:val="00A93CAB"/>
    <w:rsid w:val="00AA1D89"/>
    <w:rsid w:val="00AC28AC"/>
    <w:rsid w:val="00AE09E6"/>
    <w:rsid w:val="00AE1E6E"/>
    <w:rsid w:val="00AE40DE"/>
    <w:rsid w:val="00AE4763"/>
    <w:rsid w:val="00B0121B"/>
    <w:rsid w:val="00B0455B"/>
    <w:rsid w:val="00B11E02"/>
    <w:rsid w:val="00B3476F"/>
    <w:rsid w:val="00B404AB"/>
    <w:rsid w:val="00B43568"/>
    <w:rsid w:val="00B5690B"/>
    <w:rsid w:val="00B72CF1"/>
    <w:rsid w:val="00B82095"/>
    <w:rsid w:val="00B82F04"/>
    <w:rsid w:val="00B90975"/>
    <w:rsid w:val="00B93571"/>
    <w:rsid w:val="00B94CBD"/>
    <w:rsid w:val="00BA2806"/>
    <w:rsid w:val="00BC321A"/>
    <w:rsid w:val="00BD4F8E"/>
    <w:rsid w:val="00BE345B"/>
    <w:rsid w:val="00BF064C"/>
    <w:rsid w:val="00C052DB"/>
    <w:rsid w:val="00C236F2"/>
    <w:rsid w:val="00C253EF"/>
    <w:rsid w:val="00C3040E"/>
    <w:rsid w:val="00C44EAC"/>
    <w:rsid w:val="00C6128D"/>
    <w:rsid w:val="00C73278"/>
    <w:rsid w:val="00C765C8"/>
    <w:rsid w:val="00C82029"/>
    <w:rsid w:val="00C9283A"/>
    <w:rsid w:val="00C95039"/>
    <w:rsid w:val="00CA2F4E"/>
    <w:rsid w:val="00CA4615"/>
    <w:rsid w:val="00CA788A"/>
    <w:rsid w:val="00CA7C6F"/>
    <w:rsid w:val="00CB6BA0"/>
    <w:rsid w:val="00CC644D"/>
    <w:rsid w:val="00CD3A6F"/>
    <w:rsid w:val="00CD5030"/>
    <w:rsid w:val="00CD6263"/>
    <w:rsid w:val="00CD6E9A"/>
    <w:rsid w:val="00CE4955"/>
    <w:rsid w:val="00CE7F36"/>
    <w:rsid w:val="00CF7D08"/>
    <w:rsid w:val="00D04A3C"/>
    <w:rsid w:val="00D22097"/>
    <w:rsid w:val="00D36C41"/>
    <w:rsid w:val="00D4039B"/>
    <w:rsid w:val="00D43D4B"/>
    <w:rsid w:val="00D55A85"/>
    <w:rsid w:val="00D6627D"/>
    <w:rsid w:val="00D750D0"/>
    <w:rsid w:val="00D8055D"/>
    <w:rsid w:val="00D87480"/>
    <w:rsid w:val="00DB71FD"/>
    <w:rsid w:val="00DC453F"/>
    <w:rsid w:val="00DC4E21"/>
    <w:rsid w:val="00DC57F0"/>
    <w:rsid w:val="00DE05F5"/>
    <w:rsid w:val="00DE546F"/>
    <w:rsid w:val="00DF241E"/>
    <w:rsid w:val="00DF4972"/>
    <w:rsid w:val="00E05A6A"/>
    <w:rsid w:val="00E25A07"/>
    <w:rsid w:val="00E333DF"/>
    <w:rsid w:val="00E44E91"/>
    <w:rsid w:val="00E83C41"/>
    <w:rsid w:val="00E87842"/>
    <w:rsid w:val="00E9781D"/>
    <w:rsid w:val="00EA5D76"/>
    <w:rsid w:val="00EC2925"/>
    <w:rsid w:val="00EC5579"/>
    <w:rsid w:val="00EC5C40"/>
    <w:rsid w:val="00ED391F"/>
    <w:rsid w:val="00ED774B"/>
    <w:rsid w:val="00EE0118"/>
    <w:rsid w:val="00EE49CE"/>
    <w:rsid w:val="00EE7C8D"/>
    <w:rsid w:val="00EF24B1"/>
    <w:rsid w:val="00EF3918"/>
    <w:rsid w:val="00F23AF2"/>
    <w:rsid w:val="00F30857"/>
    <w:rsid w:val="00F330C3"/>
    <w:rsid w:val="00F3602D"/>
    <w:rsid w:val="00F75F33"/>
    <w:rsid w:val="00F823B6"/>
    <w:rsid w:val="00F84236"/>
    <w:rsid w:val="00F92105"/>
    <w:rsid w:val="00F92135"/>
    <w:rsid w:val="00FA50F7"/>
    <w:rsid w:val="00FA7621"/>
    <w:rsid w:val="00FB3352"/>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1D43"/>
  <w15:docId w15:val="{8C83F827-AC18-41F4-A66B-BF54E176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basedOn w:val="Normal"/>
    <w:uiPriority w:val="99"/>
    <w:qFormat/>
    <w:rsid w:val="00CB6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7600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10516">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830871">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78402">
      <w:bodyDiv w:val="1"/>
      <w:marLeft w:val="0"/>
      <w:marRight w:val="0"/>
      <w:marTop w:val="0"/>
      <w:marBottom w:val="0"/>
      <w:divBdr>
        <w:top w:val="none" w:sz="0" w:space="0" w:color="auto"/>
        <w:left w:val="none" w:sz="0" w:space="0" w:color="auto"/>
        <w:bottom w:val="none" w:sz="0" w:space="0" w:color="auto"/>
        <w:right w:val="none" w:sz="0" w:space="0" w:color="auto"/>
      </w:divBdr>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PSupport@aff.gov.au" TargetMode="External"/><Relationship Id="rId18" Type="http://schemas.openxmlformats.org/officeDocument/2006/relationships/hyperlink" Target="https://creativecommons.org/licenses/by/4.0/legalcod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AEPSupport@agriculture.gov.au"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arnhub.agriculture.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E6CB0291-3353-423B-828B-668236BF3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http://purl.org/dc/dcmitype/"/>
    <ds:schemaRef ds:uri="http://www.w3.org/XML/1998/namespace"/>
    <ds:schemaRef ds:uri="http://purl.org/dc/elements/1.1/"/>
    <ds:schemaRef ds:uri="81c01dc6-2c49-4730-b140-874c95cac377"/>
    <ds:schemaRef ds:uri="c95b51c2-b2ac-4224-a5b5-069909057829"/>
    <ds:schemaRef ds:uri="2b53c995-2120-4bc0-8922-c25044d37f65"/>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TotalTime>
  <Pages>3</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How to login to Learnhub - Helpcard</vt:lpstr>
    </vt:vector>
  </TitlesOfParts>
  <Manager>class 19AA Tenancy Admin Officer</Manager>
  <Company/>
  <LinksUpToDate>false</LinksUpToDate>
  <CharactersWithSpaces>2915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login to Learnhub - Helpcard</dc:title>
  <dc:creator>Department of Agriculture, Fisheries and Forestry</dc:creator>
  <cp:lastModifiedBy>Goggins, Fiona</cp:lastModifiedBy>
  <cp:revision>3</cp:revision>
  <cp:lastPrinted>2022-10-26T05:30:00Z</cp:lastPrinted>
  <dcterms:created xsi:type="dcterms:W3CDTF">2024-04-12T01:06:00Z</dcterms:created>
  <dcterms:modified xsi:type="dcterms:W3CDTF">2024-04-12T02:48:00Z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