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EB0C61B" w14:textId="77777777" w:rsidR="007E1BC9" w:rsidRPr="007E1BC9" w:rsidRDefault="007E1BC9" w:rsidP="00356636">
      <w:pPr>
        <w:pStyle w:val="Heading1"/>
        <w:rPr>
          <w:rStyle w:val="IntenseEmphasis"/>
          <w:i w:val="0"/>
          <w:color w:val="auto"/>
        </w:rPr>
      </w:pPr>
      <w:r w:rsidRPr="00356636">
        <w:rPr>
          <w:rStyle w:val="IntenseEmphasis"/>
          <w:i w:val="0"/>
          <w:iCs w:val="0"/>
          <w:color w:val="auto"/>
        </w:rPr>
        <w:t>AEPCOMM</w:t>
      </w:r>
      <w:r w:rsidRPr="007E1BC9">
        <w:rPr>
          <w:rStyle w:val="IntenseEmphasis"/>
          <w:i w:val="0"/>
          <w:color w:val="auto"/>
        </w:rPr>
        <w:t xml:space="preserve"> </w:t>
      </w:r>
      <w:r w:rsidRPr="00356636">
        <w:rPr>
          <w:rStyle w:val="IntenseEmphasis"/>
          <w:i w:val="0"/>
          <w:iCs w:val="0"/>
          <w:color w:val="auto"/>
        </w:rPr>
        <w:t>video</w:t>
      </w:r>
      <w:r w:rsidRPr="007E1BC9">
        <w:rPr>
          <w:rStyle w:val="IntenseEmphasis"/>
          <w:i w:val="0"/>
          <w:color w:val="auto"/>
        </w:rPr>
        <w:t xml:space="preserve"> tutorial</w:t>
      </w:r>
    </w:p>
    <w:p w14:paraId="7EACB6DF" w14:textId="5B40EC85" w:rsidR="007E1BC9" w:rsidRPr="007E1BC9" w:rsidRDefault="000E75C5" w:rsidP="007E1BC9">
      <w:pPr>
        <w:pStyle w:val="Heading4"/>
        <w:jc w:val="center"/>
        <w:rPr>
          <w:rStyle w:val="IntenseEmphasis"/>
          <w:i w:val="0"/>
          <w:color w:val="auto"/>
        </w:rPr>
      </w:pPr>
      <w:r>
        <w:rPr>
          <w:rStyle w:val="IntenseEmphasis"/>
          <w:i w:val="0"/>
          <w:color w:val="auto"/>
        </w:rPr>
        <w:t>Highly refined organic chemi</w:t>
      </w:r>
      <w:bookmarkStart w:id="0" w:name="_GoBack"/>
      <w:bookmarkEnd w:id="0"/>
      <w:r>
        <w:rPr>
          <w:rStyle w:val="IntenseEmphasis"/>
          <w:i w:val="0"/>
          <w:color w:val="auto"/>
        </w:rPr>
        <w:t>cals and substances</w:t>
      </w:r>
      <w:r w:rsidR="002701D5">
        <w:rPr>
          <w:rStyle w:val="IntenseEmphasis"/>
          <w:i w:val="0"/>
          <w:color w:val="auto"/>
        </w:rPr>
        <w:t xml:space="preserve"> &amp; Gum products</w:t>
      </w:r>
    </w:p>
    <w:p w14:paraId="21037259" w14:textId="77777777" w:rsidR="007E1BC9" w:rsidRPr="007E1BC9" w:rsidRDefault="007E1BC9" w:rsidP="007E1BC9">
      <w:pPr>
        <w:rPr>
          <w:lang w:eastAsia="ja-JP"/>
        </w:rPr>
      </w:pPr>
    </w:p>
    <w:p w14:paraId="1C467FB9" w14:textId="3707A574" w:rsidR="00123C37" w:rsidRPr="007E1BC9" w:rsidRDefault="000778DD" w:rsidP="00905F94">
      <w:pPr>
        <w:rPr>
          <w:rStyle w:val="IntenseEmphasis"/>
        </w:rPr>
      </w:pPr>
      <w:r>
        <w:rPr>
          <w:rStyle w:val="IntenseEmphasis"/>
        </w:rPr>
        <w:t xml:space="preserve">Slide </w:t>
      </w:r>
      <w:r w:rsidR="00647D9D">
        <w:rPr>
          <w:rStyle w:val="IntenseEmphasis"/>
        </w:rPr>
        <w:t>1</w:t>
      </w:r>
    </w:p>
    <w:p w14:paraId="579EA94F" w14:textId="73EBACE8" w:rsidR="007E1BC9" w:rsidRDefault="00E96589" w:rsidP="00123C37">
      <w:pPr>
        <w:rPr>
          <w:lang w:eastAsia="ja-JP"/>
        </w:rPr>
      </w:pPr>
      <w:r>
        <w:rPr>
          <w:lang w:eastAsia="ja-JP"/>
        </w:rPr>
        <w:t>Automatic entry processing for commodities (</w:t>
      </w:r>
      <w:r w:rsidR="00123C37">
        <w:rPr>
          <w:lang w:eastAsia="ja-JP"/>
        </w:rPr>
        <w:t>AEPCOMM</w:t>
      </w:r>
      <w:r>
        <w:rPr>
          <w:lang w:eastAsia="ja-JP"/>
        </w:rPr>
        <w:t>)</w:t>
      </w:r>
      <w:r w:rsidR="00123C37">
        <w:rPr>
          <w:lang w:eastAsia="ja-JP"/>
        </w:rPr>
        <w:t xml:space="preserve"> video tutorial for </w:t>
      </w:r>
      <w:r w:rsidR="00647D9D">
        <w:rPr>
          <w:lang w:eastAsia="ja-JP"/>
        </w:rPr>
        <w:t>H</w:t>
      </w:r>
      <w:r w:rsidR="000E75C5">
        <w:rPr>
          <w:lang w:eastAsia="ja-JP"/>
        </w:rPr>
        <w:t xml:space="preserve">ighly refined </w:t>
      </w:r>
      <w:r w:rsidR="008E3584">
        <w:rPr>
          <w:lang w:eastAsia="ja-JP"/>
        </w:rPr>
        <w:t xml:space="preserve">organic </w:t>
      </w:r>
      <w:r w:rsidR="000E75C5">
        <w:rPr>
          <w:lang w:eastAsia="ja-JP"/>
        </w:rPr>
        <w:t>chemicals and substances</w:t>
      </w:r>
      <w:r w:rsidR="00B81F24">
        <w:rPr>
          <w:lang w:eastAsia="ja-JP"/>
        </w:rPr>
        <w:t xml:space="preserve"> and Gum products</w:t>
      </w:r>
      <w:r w:rsidR="00123C37">
        <w:rPr>
          <w:lang w:eastAsia="ja-JP"/>
        </w:rPr>
        <w:t xml:space="preserve">. </w:t>
      </w:r>
    </w:p>
    <w:p w14:paraId="33554761" w14:textId="69A01AE5" w:rsidR="00647D9D" w:rsidRPr="00647D9D" w:rsidRDefault="00647D9D" w:rsidP="00123C37">
      <w:pPr>
        <w:rPr>
          <w:rStyle w:val="IntenseEmphasis"/>
        </w:rPr>
      </w:pPr>
      <w:r w:rsidRPr="00647D9D">
        <w:rPr>
          <w:rStyle w:val="IntenseEmphasis"/>
        </w:rPr>
        <w:t>Slide 2</w:t>
      </w:r>
    </w:p>
    <w:p w14:paraId="7CD21203" w14:textId="77777777" w:rsidR="00123C37" w:rsidRDefault="00123C37" w:rsidP="00123C37">
      <w:pPr>
        <w:rPr>
          <w:lang w:eastAsia="ja-JP"/>
        </w:rPr>
      </w:pPr>
      <w:r>
        <w:rPr>
          <w:lang w:eastAsia="ja-JP"/>
        </w:rPr>
        <w:t xml:space="preserve">We </w:t>
      </w:r>
      <w:r w:rsidR="007E1BC9">
        <w:rPr>
          <w:lang w:eastAsia="ja-JP"/>
        </w:rPr>
        <w:t xml:space="preserve">recommend that while watching this tutorial </w:t>
      </w:r>
      <w:r>
        <w:rPr>
          <w:lang w:eastAsia="ja-JP"/>
        </w:rPr>
        <w:t>you have access to essential resources such as:</w:t>
      </w:r>
    </w:p>
    <w:p w14:paraId="220A06E3" w14:textId="77777777" w:rsidR="00123C37" w:rsidRDefault="00123C37" w:rsidP="00123C37">
      <w:pPr>
        <w:pStyle w:val="ListBullet"/>
        <w:rPr>
          <w:lang w:eastAsia="ja-JP"/>
        </w:rPr>
      </w:pPr>
      <w:r>
        <w:rPr>
          <w:lang w:eastAsia="ja-JP"/>
        </w:rPr>
        <w:t>the class 19.2 requirements and conditions policy</w:t>
      </w:r>
    </w:p>
    <w:p w14:paraId="75B6E770" w14:textId="77777777" w:rsidR="00123C37" w:rsidRDefault="00123C37" w:rsidP="00123C37">
      <w:pPr>
        <w:pStyle w:val="ListBullet"/>
        <w:rPr>
          <w:lang w:eastAsia="ja-JP"/>
        </w:rPr>
      </w:pPr>
      <w:r>
        <w:rPr>
          <w:lang w:eastAsia="ja-JP"/>
        </w:rPr>
        <w:t xml:space="preserve">the </w:t>
      </w:r>
      <w:r w:rsidR="00253DC6">
        <w:rPr>
          <w:lang w:eastAsia="ja-JP"/>
        </w:rPr>
        <w:t>A</w:t>
      </w:r>
      <w:r>
        <w:rPr>
          <w:lang w:eastAsia="ja-JP"/>
        </w:rPr>
        <w:t xml:space="preserve">pproved commodities and related information </w:t>
      </w:r>
      <w:r w:rsidR="007E1BC9">
        <w:rPr>
          <w:lang w:eastAsia="ja-JP"/>
        </w:rPr>
        <w:t>for the class 19.2 approved arrangement</w:t>
      </w:r>
      <w:r w:rsidR="00253DC6">
        <w:rPr>
          <w:lang w:eastAsia="ja-JP"/>
        </w:rPr>
        <w:t>s webpage</w:t>
      </w:r>
      <w:r w:rsidR="007E1BC9">
        <w:rPr>
          <w:lang w:eastAsia="ja-JP"/>
        </w:rPr>
        <w:t xml:space="preserve"> and </w:t>
      </w:r>
    </w:p>
    <w:p w14:paraId="04D99DA4" w14:textId="72E7EFFE" w:rsidR="007E1BC9" w:rsidRDefault="007E1BC9" w:rsidP="00123C37">
      <w:pPr>
        <w:pStyle w:val="ListBullet"/>
        <w:rPr>
          <w:lang w:eastAsia="ja-JP"/>
        </w:rPr>
      </w:pPr>
      <w:r>
        <w:rPr>
          <w:lang w:eastAsia="ja-JP"/>
        </w:rPr>
        <w:t>BICON (AEPCOMM user access)</w:t>
      </w:r>
      <w:r w:rsidR="00294991">
        <w:rPr>
          <w:lang w:eastAsia="ja-JP"/>
        </w:rPr>
        <w:t>.</w:t>
      </w:r>
    </w:p>
    <w:p w14:paraId="2B814A10" w14:textId="051F9A92" w:rsidR="00123C37" w:rsidRPr="007E1BC9" w:rsidRDefault="000778DD" w:rsidP="00905F94">
      <w:pPr>
        <w:rPr>
          <w:rStyle w:val="IntenseEmphasis"/>
        </w:rPr>
      </w:pPr>
      <w:r>
        <w:rPr>
          <w:rStyle w:val="IntenseEmphasis"/>
        </w:rPr>
        <w:t xml:space="preserve">Slide </w:t>
      </w:r>
      <w:r w:rsidR="00647D9D">
        <w:rPr>
          <w:rStyle w:val="IntenseEmphasis"/>
        </w:rPr>
        <w:t>3</w:t>
      </w:r>
    </w:p>
    <w:p w14:paraId="6700B534" w14:textId="4185EC38" w:rsidR="00294991" w:rsidRDefault="009E16B6" w:rsidP="00294991">
      <w:pPr>
        <w:rPr>
          <w:lang w:eastAsia="ja-JP"/>
        </w:rPr>
      </w:pPr>
      <w:r>
        <w:rPr>
          <w:lang w:eastAsia="ja-JP"/>
        </w:rPr>
        <w:t>Th</w:t>
      </w:r>
      <w:r w:rsidR="0032695F">
        <w:rPr>
          <w:lang w:eastAsia="ja-JP"/>
        </w:rPr>
        <w:t xml:space="preserve">e </w:t>
      </w:r>
      <w:r w:rsidR="00417CFE">
        <w:rPr>
          <w:lang w:eastAsia="ja-JP"/>
        </w:rPr>
        <w:t>highly refined organic chemicals and substances</w:t>
      </w:r>
      <w:r w:rsidR="0032695F">
        <w:rPr>
          <w:lang w:eastAsia="ja-JP"/>
        </w:rPr>
        <w:t xml:space="preserve"> </w:t>
      </w:r>
      <w:r w:rsidR="00294991">
        <w:rPr>
          <w:lang w:eastAsia="ja-JP"/>
        </w:rPr>
        <w:t>commodity group</w:t>
      </w:r>
      <w:r>
        <w:rPr>
          <w:lang w:eastAsia="ja-JP"/>
        </w:rPr>
        <w:t xml:space="preserve"> </w:t>
      </w:r>
      <w:r w:rsidR="00294991">
        <w:rPr>
          <w:lang w:eastAsia="ja-JP"/>
        </w:rPr>
        <w:t>includes 2 subgroups:</w:t>
      </w:r>
    </w:p>
    <w:p w14:paraId="511FD968" w14:textId="0E70A313" w:rsidR="00294991" w:rsidRDefault="00C974B2" w:rsidP="00294991">
      <w:pPr>
        <w:pStyle w:val="ListBullet"/>
        <w:rPr>
          <w:lang w:eastAsia="ja-JP"/>
        </w:rPr>
      </w:pPr>
      <w:r>
        <w:rPr>
          <w:lang w:eastAsia="ja-JP"/>
        </w:rPr>
        <w:t>t</w:t>
      </w:r>
      <w:r w:rsidR="009E16B6">
        <w:rPr>
          <w:lang w:eastAsia="ja-JP"/>
        </w:rPr>
        <w:t>he H</w:t>
      </w:r>
      <w:r w:rsidR="00294991">
        <w:rPr>
          <w:lang w:eastAsia="ja-JP"/>
        </w:rPr>
        <w:t>ighly refined organic chemicals and substances and</w:t>
      </w:r>
    </w:p>
    <w:p w14:paraId="674D2B70" w14:textId="5D442FE5" w:rsidR="00294991" w:rsidRDefault="00C974B2" w:rsidP="00294991">
      <w:pPr>
        <w:pStyle w:val="ListBullet"/>
        <w:rPr>
          <w:lang w:eastAsia="ja-JP"/>
        </w:rPr>
      </w:pPr>
      <w:r>
        <w:rPr>
          <w:lang w:eastAsia="ja-JP"/>
        </w:rPr>
        <w:t>t</w:t>
      </w:r>
      <w:r w:rsidR="009E16B6">
        <w:rPr>
          <w:lang w:eastAsia="ja-JP"/>
        </w:rPr>
        <w:t>he Gum products subgroup</w:t>
      </w:r>
      <w:r w:rsidR="008F0F0B">
        <w:rPr>
          <w:lang w:eastAsia="ja-JP"/>
        </w:rPr>
        <w:t>s</w:t>
      </w:r>
      <w:r w:rsidR="009E16B6">
        <w:rPr>
          <w:lang w:eastAsia="ja-JP"/>
        </w:rPr>
        <w:t>.</w:t>
      </w:r>
    </w:p>
    <w:p w14:paraId="70D1041B" w14:textId="43A3587C" w:rsidR="002219EA" w:rsidRDefault="002219EA" w:rsidP="002219EA">
      <w:pPr>
        <w:pStyle w:val="ListBullet"/>
        <w:numPr>
          <w:ilvl w:val="0"/>
          <w:numId w:val="0"/>
        </w:numPr>
        <w:rPr>
          <w:lang w:eastAsia="ja-JP"/>
        </w:rPr>
      </w:pPr>
      <w:r>
        <w:rPr>
          <w:lang w:eastAsia="ja-JP"/>
        </w:rPr>
        <w:t>In this video we will focus on the subgroup Highly refined o</w:t>
      </w:r>
      <w:r w:rsidR="00AC4491">
        <w:rPr>
          <w:lang w:eastAsia="ja-JP"/>
        </w:rPr>
        <w:t xml:space="preserve">rganic chemicals and substances, however keep in mind that the processes for the 2 subgroups are very similar. </w:t>
      </w:r>
    </w:p>
    <w:p w14:paraId="43E1585C" w14:textId="5A4C9A90" w:rsidR="00647D9D" w:rsidRPr="00647D9D" w:rsidRDefault="00647D9D" w:rsidP="002219EA">
      <w:pPr>
        <w:pStyle w:val="ListBullet"/>
        <w:numPr>
          <w:ilvl w:val="0"/>
          <w:numId w:val="0"/>
        </w:numPr>
        <w:rPr>
          <w:rStyle w:val="IntenseEmphasis"/>
        </w:rPr>
      </w:pPr>
      <w:r>
        <w:rPr>
          <w:rStyle w:val="IntenseEmphasis"/>
        </w:rPr>
        <w:t>Slide 4</w:t>
      </w:r>
    </w:p>
    <w:p w14:paraId="2548F044" w14:textId="77777777" w:rsidR="00CB391C" w:rsidRDefault="00417CFE" w:rsidP="000E75C5">
      <w:pPr>
        <w:rPr>
          <w:lang w:eastAsia="ja-JP"/>
        </w:rPr>
      </w:pPr>
      <w:r>
        <w:rPr>
          <w:lang w:eastAsia="ja-JP"/>
        </w:rPr>
        <w:t xml:space="preserve">When performing </w:t>
      </w:r>
      <w:r w:rsidR="00AD35CB">
        <w:rPr>
          <w:lang w:eastAsia="ja-JP"/>
        </w:rPr>
        <w:t>an assessment of h</w:t>
      </w:r>
      <w:r>
        <w:rPr>
          <w:lang w:eastAsia="ja-JP"/>
        </w:rPr>
        <w:t xml:space="preserve">ighly refined organic chemicals and substances, it is critical that </w:t>
      </w:r>
      <w:r w:rsidR="000C2AB3">
        <w:rPr>
          <w:lang w:eastAsia="ja-JP"/>
        </w:rPr>
        <w:t>you</w:t>
      </w:r>
      <w:r>
        <w:rPr>
          <w:lang w:eastAsia="ja-JP"/>
        </w:rPr>
        <w:t xml:space="preserve"> </w:t>
      </w:r>
      <w:r w:rsidR="000C2AB3">
        <w:rPr>
          <w:lang w:eastAsia="ja-JP"/>
        </w:rPr>
        <w:t>are</w:t>
      </w:r>
      <w:r w:rsidR="00560A05">
        <w:rPr>
          <w:lang w:eastAsia="ja-JP"/>
        </w:rPr>
        <w:t xml:space="preserve"> able to determine if </w:t>
      </w:r>
      <w:r w:rsidR="0032695F">
        <w:rPr>
          <w:lang w:eastAsia="ja-JP"/>
        </w:rPr>
        <w:t xml:space="preserve">the product </w:t>
      </w:r>
      <w:r w:rsidR="00560A05">
        <w:rPr>
          <w:lang w:eastAsia="ja-JP"/>
        </w:rPr>
        <w:t xml:space="preserve">is classified as a highly refined organic chemical and substance. </w:t>
      </w:r>
    </w:p>
    <w:p w14:paraId="4D4D3B76" w14:textId="7A362F60" w:rsidR="00417CFE" w:rsidRDefault="00560A05" w:rsidP="000E75C5">
      <w:pPr>
        <w:rPr>
          <w:lang w:eastAsia="ja-JP"/>
        </w:rPr>
      </w:pPr>
      <w:r>
        <w:rPr>
          <w:lang w:eastAsia="ja-JP"/>
        </w:rPr>
        <w:t xml:space="preserve">These products are stipulated in the </w:t>
      </w:r>
      <w:r w:rsidR="007C587D">
        <w:rPr>
          <w:lang w:eastAsia="ja-JP"/>
        </w:rPr>
        <w:t xml:space="preserve">biosecurity </w:t>
      </w:r>
      <w:r>
        <w:rPr>
          <w:lang w:eastAsia="ja-JP"/>
        </w:rPr>
        <w:t>legislation (</w:t>
      </w:r>
      <w:r w:rsidR="009643FB">
        <w:rPr>
          <w:lang w:eastAsia="ja-JP"/>
        </w:rPr>
        <w:t xml:space="preserve">under </w:t>
      </w:r>
      <w:r>
        <w:rPr>
          <w:lang w:eastAsia="ja-JP"/>
        </w:rPr>
        <w:t xml:space="preserve">section 33 of the Prohibited and conditionally non-prohibited goods determination 2016). </w:t>
      </w:r>
      <w:r w:rsidR="009643FB">
        <w:rPr>
          <w:lang w:eastAsia="ja-JP"/>
        </w:rPr>
        <w:t xml:space="preserve">Some examples of these are on the slide. </w:t>
      </w:r>
      <w:r>
        <w:rPr>
          <w:lang w:eastAsia="ja-JP"/>
        </w:rPr>
        <w:t>Y</w:t>
      </w:r>
      <w:r w:rsidR="007C587D">
        <w:rPr>
          <w:lang w:eastAsia="ja-JP"/>
        </w:rPr>
        <w:t xml:space="preserve">ou will find a link to </w:t>
      </w:r>
      <w:r w:rsidR="000778DD">
        <w:rPr>
          <w:lang w:eastAsia="ja-JP"/>
        </w:rPr>
        <w:t xml:space="preserve">the </w:t>
      </w:r>
      <w:r w:rsidR="007C587D">
        <w:rPr>
          <w:lang w:eastAsia="ja-JP"/>
        </w:rPr>
        <w:t>approved products</w:t>
      </w:r>
      <w:r w:rsidR="009643FB">
        <w:rPr>
          <w:lang w:eastAsia="ja-JP"/>
        </w:rPr>
        <w:t xml:space="preserve"> list</w:t>
      </w:r>
      <w:r>
        <w:rPr>
          <w:lang w:eastAsia="ja-JP"/>
        </w:rPr>
        <w:t xml:space="preserve"> in BICON.</w:t>
      </w:r>
    </w:p>
    <w:p w14:paraId="3E7C5F8A" w14:textId="0438717D" w:rsidR="000C2AB3" w:rsidRDefault="003F7729" w:rsidP="000E75C5">
      <w:pPr>
        <w:rPr>
          <w:lang w:eastAsia="ja-JP"/>
        </w:rPr>
      </w:pPr>
      <w:r w:rsidRPr="00772460">
        <w:rPr>
          <w:lang w:eastAsia="ja-JP"/>
        </w:rPr>
        <w:t>If you are unable to determine whether the product fits into this category from the documentation provided, AEPCOMM should not be used to lodge the import declaration, and the documentation should be sent to the department for assessment.</w:t>
      </w:r>
    </w:p>
    <w:p w14:paraId="54E6E11A" w14:textId="1CD250EB" w:rsidR="008E1E2D" w:rsidRPr="002B3E73" w:rsidRDefault="002B3E73" w:rsidP="000E75C5">
      <w:pPr>
        <w:rPr>
          <w:rStyle w:val="IntenseEmphasis"/>
        </w:rPr>
      </w:pPr>
      <w:r w:rsidRPr="002B3E73">
        <w:rPr>
          <w:rStyle w:val="IntenseEmphasis"/>
        </w:rPr>
        <w:t>Slide 5</w:t>
      </w:r>
    </w:p>
    <w:p w14:paraId="1C5210B5" w14:textId="6C505E8D" w:rsidR="00560A05" w:rsidRDefault="005131D7" w:rsidP="000E75C5">
      <w:pPr>
        <w:rPr>
          <w:lang w:eastAsia="ja-JP"/>
        </w:rPr>
      </w:pPr>
      <w:r>
        <w:rPr>
          <w:lang w:eastAsia="ja-JP"/>
        </w:rPr>
        <w:t>The products</w:t>
      </w:r>
      <w:r w:rsidR="00193083">
        <w:rPr>
          <w:lang w:eastAsia="ja-JP"/>
        </w:rPr>
        <w:t xml:space="preserve"> or any derivatives </w:t>
      </w:r>
      <w:r w:rsidR="00193083" w:rsidRPr="009643FB">
        <w:rPr>
          <w:u w:val="single"/>
          <w:lang w:eastAsia="ja-JP"/>
        </w:rPr>
        <w:t>must not</w:t>
      </w:r>
      <w:r w:rsidR="00193083">
        <w:rPr>
          <w:lang w:eastAsia="ja-JP"/>
        </w:rPr>
        <w:t xml:space="preserve"> be </w:t>
      </w:r>
      <w:r w:rsidR="00844115">
        <w:rPr>
          <w:lang w:eastAsia="ja-JP"/>
        </w:rPr>
        <w:t>destined to be used for:</w:t>
      </w:r>
    </w:p>
    <w:p w14:paraId="03BA5825" w14:textId="0251932A" w:rsidR="00844115" w:rsidRDefault="00844115" w:rsidP="00844115">
      <w:pPr>
        <w:pStyle w:val="ListBullet"/>
        <w:rPr>
          <w:lang w:eastAsia="ja-JP"/>
        </w:rPr>
      </w:pPr>
      <w:r>
        <w:rPr>
          <w:lang w:eastAsia="ja-JP"/>
        </w:rPr>
        <w:t>animal consumption</w:t>
      </w:r>
    </w:p>
    <w:p w14:paraId="1086B2C0" w14:textId="5C8FB560" w:rsidR="00844115" w:rsidRDefault="00844115" w:rsidP="00844115">
      <w:pPr>
        <w:pStyle w:val="ListBullet"/>
        <w:rPr>
          <w:lang w:eastAsia="ja-JP"/>
        </w:rPr>
      </w:pPr>
      <w:r>
        <w:rPr>
          <w:lang w:eastAsia="ja-JP"/>
        </w:rPr>
        <w:t>veterinary use</w:t>
      </w:r>
    </w:p>
    <w:p w14:paraId="0E876C55" w14:textId="77777777" w:rsidR="00844115" w:rsidRDefault="00844115" w:rsidP="00844115">
      <w:pPr>
        <w:pStyle w:val="ListBullet"/>
        <w:rPr>
          <w:lang w:eastAsia="ja-JP"/>
        </w:rPr>
      </w:pPr>
      <w:r>
        <w:rPr>
          <w:lang w:eastAsia="ja-JP"/>
        </w:rPr>
        <w:t xml:space="preserve">fertiliser or </w:t>
      </w:r>
    </w:p>
    <w:p w14:paraId="5E2484B3" w14:textId="28F62A9F" w:rsidR="00844115" w:rsidRDefault="00844115" w:rsidP="00844115">
      <w:pPr>
        <w:pStyle w:val="ListBullet"/>
        <w:rPr>
          <w:lang w:eastAsia="ja-JP"/>
        </w:rPr>
      </w:pPr>
      <w:r>
        <w:rPr>
          <w:lang w:eastAsia="ja-JP"/>
        </w:rPr>
        <w:t>bio</w:t>
      </w:r>
      <w:r w:rsidR="008B07C8">
        <w:rPr>
          <w:lang w:eastAsia="ja-JP"/>
        </w:rPr>
        <w:t xml:space="preserve"> </w:t>
      </w:r>
      <w:r>
        <w:rPr>
          <w:lang w:eastAsia="ja-JP"/>
        </w:rPr>
        <w:t>remedial agents</w:t>
      </w:r>
      <w:r w:rsidR="000778DD">
        <w:rPr>
          <w:lang w:eastAsia="ja-JP"/>
        </w:rPr>
        <w:t>.</w:t>
      </w:r>
    </w:p>
    <w:p w14:paraId="49CF9AE8" w14:textId="77777777" w:rsidR="002169B0" w:rsidRDefault="002169B0" w:rsidP="00844115">
      <w:pPr>
        <w:pStyle w:val="ListBullet"/>
        <w:numPr>
          <w:ilvl w:val="0"/>
          <w:numId w:val="0"/>
        </w:numPr>
        <w:rPr>
          <w:rStyle w:val="IntenseEmphasis"/>
        </w:rPr>
      </w:pPr>
    </w:p>
    <w:p w14:paraId="12FDFA6D" w14:textId="768272AD" w:rsidR="00844115" w:rsidRPr="000778DD" w:rsidRDefault="0010446A" w:rsidP="00844115">
      <w:pPr>
        <w:pStyle w:val="ListBullet"/>
        <w:numPr>
          <w:ilvl w:val="0"/>
          <w:numId w:val="0"/>
        </w:numPr>
        <w:rPr>
          <w:rStyle w:val="IntenseEmphasis"/>
        </w:rPr>
      </w:pPr>
      <w:r>
        <w:rPr>
          <w:rStyle w:val="IntenseEmphasis"/>
        </w:rPr>
        <w:t>Slide</w:t>
      </w:r>
      <w:r w:rsidR="002B3E73">
        <w:rPr>
          <w:rStyle w:val="IntenseEmphasis"/>
        </w:rPr>
        <w:t xml:space="preserve"> 6</w:t>
      </w:r>
    </w:p>
    <w:p w14:paraId="26557961" w14:textId="2F02354E" w:rsidR="000E75C5" w:rsidRDefault="000778DD" w:rsidP="00905F94">
      <w:pPr>
        <w:rPr>
          <w:lang w:eastAsia="ja-JP"/>
        </w:rPr>
      </w:pPr>
      <w:r>
        <w:rPr>
          <w:lang w:eastAsia="ja-JP"/>
        </w:rPr>
        <w:t>Let’s have a look at an example.</w:t>
      </w:r>
    </w:p>
    <w:p w14:paraId="08D40220" w14:textId="0B4FED4A" w:rsidR="00ED1592" w:rsidRDefault="00ED1592" w:rsidP="00905F94">
      <w:pPr>
        <w:rPr>
          <w:lang w:eastAsia="ja-JP"/>
        </w:rPr>
      </w:pPr>
      <w:r>
        <w:rPr>
          <w:lang w:eastAsia="ja-JP"/>
        </w:rPr>
        <w:lastRenderedPageBreak/>
        <w:t>You have an LCL consignment of mung bean starch from Thailand (tariff 1108.11.00.28). You are in possession of:</w:t>
      </w:r>
    </w:p>
    <w:p w14:paraId="2C025BE1" w14:textId="77777777" w:rsidR="00ED1592" w:rsidRDefault="00ED1592" w:rsidP="00ED1592">
      <w:pPr>
        <w:pStyle w:val="ListBullet"/>
        <w:rPr>
          <w:lang w:eastAsia="ja-JP"/>
        </w:rPr>
      </w:pPr>
      <w:r>
        <w:rPr>
          <w:lang w:eastAsia="ja-JP"/>
        </w:rPr>
        <w:t>valid non-commodity documentation</w:t>
      </w:r>
    </w:p>
    <w:p w14:paraId="69B96448" w14:textId="545D1FA2" w:rsidR="00EE25C6" w:rsidRDefault="00ED1592" w:rsidP="00ED1592">
      <w:pPr>
        <w:pStyle w:val="ListBullet"/>
        <w:rPr>
          <w:lang w:eastAsia="ja-JP"/>
        </w:rPr>
      </w:pPr>
      <w:r>
        <w:rPr>
          <w:lang w:eastAsia="ja-JP"/>
        </w:rPr>
        <w:t xml:space="preserve">a manufacturer’s declaration </w:t>
      </w:r>
      <w:r w:rsidR="00772460">
        <w:rPr>
          <w:lang w:eastAsia="ja-JP"/>
        </w:rPr>
        <w:t xml:space="preserve">that complies with </w:t>
      </w:r>
      <w:r>
        <w:rPr>
          <w:lang w:eastAsia="ja-JP"/>
        </w:rPr>
        <w:t>BICON</w:t>
      </w:r>
      <w:r w:rsidR="00772460">
        <w:rPr>
          <w:lang w:eastAsia="ja-JP"/>
        </w:rPr>
        <w:t xml:space="preserve"> and the Min doc</w:t>
      </w:r>
      <w:r w:rsidR="00BF5E3B">
        <w:rPr>
          <w:lang w:eastAsia="ja-JP"/>
        </w:rPr>
        <w:t>s requirements</w:t>
      </w:r>
      <w:r w:rsidR="00772460">
        <w:rPr>
          <w:lang w:eastAsia="ja-JP"/>
        </w:rPr>
        <w:t xml:space="preserve"> policy,</w:t>
      </w:r>
      <w:r w:rsidR="00EE25C6">
        <w:rPr>
          <w:lang w:eastAsia="ja-JP"/>
        </w:rPr>
        <w:t xml:space="preserve"> and</w:t>
      </w:r>
    </w:p>
    <w:p w14:paraId="02C3C0B0" w14:textId="13B03A11" w:rsidR="000778DD" w:rsidRDefault="00EE25C6" w:rsidP="00ED1592">
      <w:pPr>
        <w:pStyle w:val="ListBullet"/>
        <w:rPr>
          <w:lang w:eastAsia="ja-JP"/>
        </w:rPr>
      </w:pPr>
      <w:r>
        <w:rPr>
          <w:lang w:eastAsia="ja-JP"/>
        </w:rPr>
        <w:t>commercial documents clearly identifying the product as mung bean starch for human consumption</w:t>
      </w:r>
    </w:p>
    <w:p w14:paraId="2454AED1" w14:textId="276985E2" w:rsidR="0010446A" w:rsidRPr="0010446A" w:rsidRDefault="0010446A" w:rsidP="00905F94">
      <w:pPr>
        <w:rPr>
          <w:rStyle w:val="IntenseEmphasis"/>
        </w:rPr>
      </w:pPr>
      <w:r w:rsidRPr="0010446A">
        <w:rPr>
          <w:rStyle w:val="IntenseEmphasis"/>
        </w:rPr>
        <w:t>Slide</w:t>
      </w:r>
      <w:r w:rsidR="002B3E73">
        <w:rPr>
          <w:rStyle w:val="IntenseEmphasis"/>
        </w:rPr>
        <w:t xml:space="preserve"> 7</w:t>
      </w:r>
    </w:p>
    <w:p w14:paraId="51EFABA7" w14:textId="76A1EF0C" w:rsidR="00253DC6" w:rsidRDefault="00EE25C6" w:rsidP="00905F94">
      <w:pPr>
        <w:rPr>
          <w:lang w:eastAsia="ja-JP"/>
        </w:rPr>
      </w:pPr>
      <w:r>
        <w:rPr>
          <w:lang w:eastAsia="ja-JP"/>
        </w:rPr>
        <w:t>Let’</w:t>
      </w:r>
      <w:r w:rsidR="005525AE">
        <w:rPr>
          <w:lang w:eastAsia="ja-JP"/>
        </w:rPr>
        <w:t>s</w:t>
      </w:r>
      <w:r>
        <w:rPr>
          <w:lang w:eastAsia="ja-JP"/>
        </w:rPr>
        <w:t xml:space="preserve"> g</w:t>
      </w:r>
      <w:r w:rsidR="00E53B7E">
        <w:rPr>
          <w:lang w:eastAsia="ja-JP"/>
        </w:rPr>
        <w:t>o</w:t>
      </w:r>
      <w:r w:rsidR="00253DC6">
        <w:rPr>
          <w:lang w:eastAsia="ja-JP"/>
        </w:rPr>
        <w:t xml:space="preserve"> to the Approved commodities and related information for class 19.2 approved arrangements webpage</w:t>
      </w:r>
      <w:r w:rsidR="00896FC4">
        <w:rPr>
          <w:lang w:eastAsia="ja-JP"/>
        </w:rPr>
        <w:t>.</w:t>
      </w:r>
    </w:p>
    <w:p w14:paraId="24F014C5" w14:textId="5F5117EF" w:rsidR="00280BAA" w:rsidRDefault="00280BAA" w:rsidP="00905F94">
      <w:pPr>
        <w:rPr>
          <w:lang w:eastAsia="ja-JP"/>
        </w:rPr>
      </w:pPr>
      <w:r>
        <w:rPr>
          <w:lang w:eastAsia="ja-JP"/>
        </w:rPr>
        <w:t>Yo</w:t>
      </w:r>
      <w:r w:rsidR="00C96013">
        <w:rPr>
          <w:lang w:eastAsia="ja-JP"/>
        </w:rPr>
        <w:t xml:space="preserve">u need to refer to the </w:t>
      </w:r>
      <w:r>
        <w:rPr>
          <w:lang w:eastAsia="ja-JP"/>
        </w:rPr>
        <w:t xml:space="preserve">Highly refined organic chemicals and substances subgroup. </w:t>
      </w:r>
    </w:p>
    <w:p w14:paraId="69A6E4A0" w14:textId="4510104E" w:rsidR="00F87B8F" w:rsidRDefault="00114C5C" w:rsidP="00905F94">
      <w:pPr>
        <w:rPr>
          <w:lang w:eastAsia="ja-JP"/>
        </w:rPr>
      </w:pPr>
      <w:r>
        <w:rPr>
          <w:lang w:eastAsia="ja-JP"/>
        </w:rPr>
        <w:t>This section</w:t>
      </w:r>
      <w:r w:rsidR="00271E1B">
        <w:rPr>
          <w:lang w:eastAsia="ja-JP"/>
        </w:rPr>
        <w:t xml:space="preserve"> specifies</w:t>
      </w:r>
      <w:r w:rsidR="00C96013">
        <w:rPr>
          <w:lang w:eastAsia="ja-JP"/>
        </w:rPr>
        <w:t xml:space="preserve"> that</w:t>
      </w:r>
      <w:r w:rsidR="00271E1B">
        <w:rPr>
          <w:lang w:eastAsia="ja-JP"/>
        </w:rPr>
        <w:t xml:space="preserve"> the BICON case containing in-scope pathways for this commodity subgroup</w:t>
      </w:r>
      <w:r w:rsidR="00280BAA">
        <w:rPr>
          <w:lang w:eastAsia="ja-JP"/>
        </w:rPr>
        <w:t xml:space="preserve"> is the Highly refined organic chemicals and substances case</w:t>
      </w:r>
      <w:r w:rsidR="00271E1B">
        <w:rPr>
          <w:lang w:eastAsia="ja-JP"/>
        </w:rPr>
        <w:t>.</w:t>
      </w:r>
    </w:p>
    <w:p w14:paraId="7D843870" w14:textId="4579F216" w:rsidR="00280BAA" w:rsidRDefault="00280BAA" w:rsidP="00905F94">
      <w:pPr>
        <w:rPr>
          <w:lang w:eastAsia="ja-JP"/>
        </w:rPr>
      </w:pPr>
      <w:r>
        <w:rPr>
          <w:lang w:eastAsia="ja-JP"/>
        </w:rPr>
        <w:t xml:space="preserve">This information also states that this subgroup includes highly </w:t>
      </w:r>
      <w:r w:rsidR="003D2C15">
        <w:rPr>
          <w:lang w:eastAsia="ja-JP"/>
        </w:rPr>
        <w:t xml:space="preserve">refined </w:t>
      </w:r>
      <w:r>
        <w:rPr>
          <w:lang w:eastAsia="ja-JP"/>
        </w:rPr>
        <w:t>organic chemicals and substances not to be used for animal consumption, bio remedial agents or fertiliser, growing purposes or veterinary therapeutic use (as mentioned previously).</w:t>
      </w:r>
    </w:p>
    <w:p w14:paraId="472B18EB" w14:textId="5B237C5A" w:rsidR="00280BAA" w:rsidRDefault="00280BAA" w:rsidP="00905F94">
      <w:pPr>
        <w:rPr>
          <w:lang w:eastAsia="ja-JP"/>
        </w:rPr>
      </w:pPr>
      <w:r>
        <w:rPr>
          <w:lang w:eastAsia="ja-JP"/>
        </w:rPr>
        <w:t>This consignment fits into this description.</w:t>
      </w:r>
    </w:p>
    <w:p w14:paraId="38D84031" w14:textId="26400102" w:rsidR="00280BAA" w:rsidRDefault="00280BAA" w:rsidP="00905F94">
      <w:pPr>
        <w:rPr>
          <w:lang w:eastAsia="ja-JP"/>
        </w:rPr>
      </w:pPr>
      <w:r>
        <w:rPr>
          <w:lang w:eastAsia="ja-JP"/>
        </w:rPr>
        <w:t>Now we check the tariff is in-scope of the approved arrangement.</w:t>
      </w:r>
    </w:p>
    <w:p w14:paraId="7B667FC1" w14:textId="1737F975" w:rsidR="00280BAA" w:rsidRDefault="00280BAA" w:rsidP="00905F94">
      <w:pPr>
        <w:rPr>
          <w:lang w:eastAsia="ja-JP"/>
        </w:rPr>
      </w:pPr>
      <w:r>
        <w:rPr>
          <w:lang w:eastAsia="ja-JP"/>
        </w:rPr>
        <w:t>Yes, it is. It fits under 1108.</w:t>
      </w:r>
    </w:p>
    <w:p w14:paraId="65555F5A" w14:textId="7C2790B2" w:rsidR="00280BAA" w:rsidRPr="00280BAA" w:rsidRDefault="00280BAA" w:rsidP="00905F94">
      <w:pPr>
        <w:rPr>
          <w:rStyle w:val="IntenseEmphasis"/>
        </w:rPr>
      </w:pPr>
      <w:r w:rsidRPr="00280BAA">
        <w:rPr>
          <w:rStyle w:val="IntenseEmphasis"/>
        </w:rPr>
        <w:t>Slide</w:t>
      </w:r>
      <w:r w:rsidR="002B3E73">
        <w:rPr>
          <w:rStyle w:val="IntenseEmphasis"/>
        </w:rPr>
        <w:t xml:space="preserve"> 8</w:t>
      </w:r>
    </w:p>
    <w:p w14:paraId="5A3BEB1D" w14:textId="472D639E" w:rsidR="002F4FBF" w:rsidRDefault="002F4FBF" w:rsidP="002F4FBF">
      <w:pPr>
        <w:rPr>
          <w:lang w:eastAsia="ja-JP"/>
        </w:rPr>
      </w:pPr>
      <w:r>
        <w:rPr>
          <w:lang w:eastAsia="ja-JP"/>
        </w:rPr>
        <w:t>Now</w:t>
      </w:r>
      <w:r w:rsidR="006A7321">
        <w:rPr>
          <w:lang w:eastAsia="ja-JP"/>
        </w:rPr>
        <w:t>,</w:t>
      </w:r>
      <w:r>
        <w:rPr>
          <w:lang w:eastAsia="ja-JP"/>
        </w:rPr>
        <w:t xml:space="preserve"> let’s go to the Highly refined organic chemicals and substances BICON case to verify the import pathway is in scope of AEPCOMM and determine the AEPCOMM code to enter in the system. Please remember AEPCOMM information is only visible through your AEPCOMM user account.</w:t>
      </w:r>
    </w:p>
    <w:p w14:paraId="6430D3E2" w14:textId="77777777" w:rsidR="00585E44" w:rsidRDefault="00954784" w:rsidP="002F4FBF">
      <w:pPr>
        <w:rPr>
          <w:lang w:eastAsia="ja-JP"/>
        </w:rPr>
      </w:pPr>
      <w:r>
        <w:rPr>
          <w:lang w:eastAsia="ja-JP"/>
        </w:rPr>
        <w:t xml:space="preserve">We check the Highly refined organic chemicals and substances list. </w:t>
      </w:r>
    </w:p>
    <w:p w14:paraId="63EDAF4B" w14:textId="403D7738" w:rsidR="00954784" w:rsidRDefault="00954784" w:rsidP="002F4FBF">
      <w:pPr>
        <w:rPr>
          <w:rStyle w:val="IntenseEmphasis"/>
        </w:rPr>
      </w:pPr>
      <w:r>
        <w:rPr>
          <w:lang w:eastAsia="ja-JP"/>
        </w:rPr>
        <w:t xml:space="preserve">Check! Starches </w:t>
      </w:r>
      <w:r w:rsidR="00BB685F">
        <w:rPr>
          <w:lang w:eastAsia="ja-JP"/>
        </w:rPr>
        <w:t xml:space="preserve">are </w:t>
      </w:r>
      <w:r>
        <w:rPr>
          <w:lang w:eastAsia="ja-JP"/>
        </w:rPr>
        <w:t>listed there.</w:t>
      </w:r>
    </w:p>
    <w:p w14:paraId="71A20EAD" w14:textId="77777777" w:rsidR="0004045B" w:rsidRDefault="0004045B" w:rsidP="0004045B">
      <w:pPr>
        <w:rPr>
          <w:lang w:eastAsia="ja-JP"/>
        </w:rPr>
      </w:pPr>
      <w:r>
        <w:rPr>
          <w:lang w:eastAsia="ja-JP"/>
        </w:rPr>
        <w:t>Now you would follow the import pathway by answering the import questions according to the scenario.</w:t>
      </w:r>
    </w:p>
    <w:p w14:paraId="63144F00" w14:textId="77777777" w:rsidR="00BA2E6E" w:rsidRDefault="002F4FBF" w:rsidP="002F4FBF">
      <w:pPr>
        <w:rPr>
          <w:rStyle w:val="IntenseEmphasis"/>
          <w:i w:val="0"/>
          <w:color w:val="auto"/>
        </w:rPr>
      </w:pPr>
      <w:r>
        <w:rPr>
          <w:rStyle w:val="IntenseEmphasis"/>
          <w:i w:val="0"/>
          <w:color w:val="auto"/>
        </w:rPr>
        <w:t xml:space="preserve">The BICON onshore outcomes displays the AEPCOMM code REL. </w:t>
      </w:r>
    </w:p>
    <w:p w14:paraId="400CCA49" w14:textId="1D278ECA" w:rsidR="002F4FBF" w:rsidRDefault="002F4FBF" w:rsidP="002F4FBF">
      <w:pPr>
        <w:rPr>
          <w:rStyle w:val="IntenseEmphasis"/>
          <w:i w:val="0"/>
          <w:color w:val="auto"/>
        </w:rPr>
      </w:pPr>
      <w:r>
        <w:rPr>
          <w:rStyle w:val="IntenseEmphasis"/>
          <w:i w:val="0"/>
          <w:color w:val="auto"/>
        </w:rPr>
        <w:t>This code needs to be entered against the relevant line in the AEP processing type field of the Integrated cargo system (or ICS).</w:t>
      </w:r>
    </w:p>
    <w:p w14:paraId="373570AF" w14:textId="5FB9649C" w:rsidR="002F4FBF" w:rsidRDefault="002F4FBF" w:rsidP="002F4FBF">
      <w:pPr>
        <w:rPr>
          <w:rStyle w:val="IntenseEmphasis"/>
          <w:i w:val="0"/>
          <w:color w:val="auto"/>
        </w:rPr>
      </w:pPr>
      <w:r>
        <w:rPr>
          <w:rStyle w:val="IntenseEmphasis"/>
          <w:i w:val="0"/>
          <w:color w:val="auto"/>
        </w:rPr>
        <w:t xml:space="preserve">When lodging the import declaration you also need to ensure that you answer Community </w:t>
      </w:r>
      <w:r w:rsidR="00EE364B">
        <w:rPr>
          <w:rStyle w:val="IntenseEmphasis"/>
          <w:i w:val="0"/>
          <w:color w:val="auto"/>
        </w:rPr>
        <w:t xml:space="preserve">protection (CP) profile </w:t>
      </w:r>
      <w:r>
        <w:rPr>
          <w:rStyle w:val="IntenseEmphasis"/>
          <w:i w:val="0"/>
          <w:color w:val="auto"/>
        </w:rPr>
        <w:t>questions</w:t>
      </w:r>
      <w:r w:rsidR="00294991">
        <w:rPr>
          <w:rStyle w:val="IntenseEmphasis"/>
          <w:i w:val="0"/>
          <w:color w:val="auto"/>
        </w:rPr>
        <w:t xml:space="preserve"> in relation to the end use of the product accurately, as the appropriate answer</w:t>
      </w:r>
      <w:r w:rsidR="00D91327">
        <w:rPr>
          <w:rStyle w:val="IntenseEmphasis"/>
          <w:i w:val="0"/>
          <w:color w:val="auto"/>
        </w:rPr>
        <w:t>s</w:t>
      </w:r>
      <w:r w:rsidR="00294991">
        <w:rPr>
          <w:rStyle w:val="IntenseEmphasis"/>
          <w:i w:val="0"/>
          <w:color w:val="auto"/>
        </w:rPr>
        <w:t xml:space="preserve"> will allow the system to process the declaration</w:t>
      </w:r>
      <w:r w:rsidR="00D91327">
        <w:rPr>
          <w:rStyle w:val="IntenseEmphasis"/>
          <w:i w:val="0"/>
          <w:color w:val="auto"/>
        </w:rPr>
        <w:t xml:space="preserve"> correctly</w:t>
      </w:r>
      <w:r w:rsidR="00294991">
        <w:rPr>
          <w:rStyle w:val="IntenseEmphasis"/>
          <w:i w:val="0"/>
          <w:color w:val="auto"/>
        </w:rPr>
        <w:t xml:space="preserve"> through AEPCOMM.</w:t>
      </w:r>
    </w:p>
    <w:p w14:paraId="21F668FC" w14:textId="25DB99A4" w:rsidR="002F4FBF" w:rsidRDefault="002F4FBF" w:rsidP="002F4FBF">
      <w:pPr>
        <w:rPr>
          <w:rStyle w:val="IntenseEmphasis"/>
          <w:i w:val="0"/>
          <w:color w:val="auto"/>
        </w:rPr>
      </w:pPr>
      <w:r>
        <w:rPr>
          <w:rStyle w:val="IntenseEmphasis"/>
        </w:rPr>
        <w:t>Slide</w:t>
      </w:r>
      <w:r w:rsidR="002B3E73">
        <w:rPr>
          <w:rStyle w:val="IntenseEmphasis"/>
        </w:rPr>
        <w:t xml:space="preserve"> </w:t>
      </w:r>
      <w:r w:rsidR="002D5F56">
        <w:rPr>
          <w:rStyle w:val="IntenseEmphasis"/>
        </w:rPr>
        <w:t>9</w:t>
      </w:r>
    </w:p>
    <w:p w14:paraId="0526453F" w14:textId="04D4F026" w:rsidR="002F4FBF" w:rsidRDefault="002F4FBF" w:rsidP="002F4FBF">
      <w:pPr>
        <w:rPr>
          <w:lang w:eastAsia="ja-JP"/>
        </w:rPr>
      </w:pPr>
      <w:r>
        <w:rPr>
          <w:lang w:eastAsia="ja-JP"/>
        </w:rPr>
        <w:t>Once the lodgement is completed, and if the import declaration is not selected for a document assessmen</w:t>
      </w:r>
      <w:r w:rsidR="005131D7">
        <w:rPr>
          <w:lang w:eastAsia="ja-JP"/>
        </w:rPr>
        <w:t>t verification by the system</w:t>
      </w:r>
      <w:r>
        <w:rPr>
          <w:lang w:eastAsia="ja-JP"/>
        </w:rPr>
        <w:t>, the Agriculture import management system (or AIMS)</w:t>
      </w:r>
      <w:r w:rsidR="00670FA6">
        <w:rPr>
          <w:lang w:eastAsia="ja-JP"/>
        </w:rPr>
        <w:t xml:space="preserve"> </w:t>
      </w:r>
      <w:r>
        <w:rPr>
          <w:lang w:eastAsia="ja-JP"/>
        </w:rPr>
        <w:t xml:space="preserve">will generate a Release </w:t>
      </w:r>
      <w:r w:rsidR="003D2C15">
        <w:rPr>
          <w:lang w:eastAsia="ja-JP"/>
        </w:rPr>
        <w:t xml:space="preserve">notice </w:t>
      </w:r>
      <w:r>
        <w:rPr>
          <w:lang w:eastAsia="ja-JP"/>
        </w:rPr>
        <w:t>and email it to your company’s nominated address.</w:t>
      </w:r>
    </w:p>
    <w:p w14:paraId="5A6D57BE" w14:textId="01FEE58B" w:rsidR="00107454" w:rsidRDefault="002F4FBF" w:rsidP="00905F94">
      <w:pPr>
        <w:rPr>
          <w:lang w:eastAsia="ja-JP"/>
        </w:rPr>
      </w:pPr>
      <w:r>
        <w:rPr>
          <w:lang w:eastAsia="ja-JP"/>
        </w:rPr>
        <w:t>If you have any AEP related questions please contact AEPsupport@awe.gov.au</w:t>
      </w:r>
    </w:p>
    <w:sectPr w:rsidR="0010745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39273" w14:textId="77777777" w:rsidR="00FA6DEE" w:rsidRDefault="00FA6DEE">
      <w:r>
        <w:separator/>
      </w:r>
    </w:p>
  </w:endnote>
  <w:endnote w:type="continuationSeparator" w:id="0">
    <w:p w14:paraId="636DDD15" w14:textId="77777777" w:rsidR="00FA6DEE" w:rsidRDefault="00FA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14:paraId="26E66326" w14:textId="77777777" w:rsidR="00C6669A" w:rsidRDefault="00C6669A" w:rsidP="00C6669A">
        <w:pPr>
          <w:pStyle w:val="Footer"/>
          <w:jc w:val="right"/>
        </w:pPr>
        <w:r>
          <w:t>Department of Agriculture</w:t>
        </w:r>
        <w:r w:rsidR="00484EEC">
          <w:t>, Water and the Environment</w:t>
        </w:r>
        <w:r>
          <w:tab/>
        </w:r>
        <w:r>
          <w:fldChar w:fldCharType="begin"/>
        </w:r>
        <w:r>
          <w:instrText xml:space="preserve"> PAGE   \* MERGEFORMAT </w:instrText>
        </w:r>
        <w:r>
          <w:fldChar w:fldCharType="separate"/>
        </w:r>
        <w:r w:rsidR="0035663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A44F1" w14:textId="77777777" w:rsidR="00FA6DEE" w:rsidRDefault="00FA6DEE">
      <w:r>
        <w:separator/>
      </w:r>
    </w:p>
  </w:footnote>
  <w:footnote w:type="continuationSeparator" w:id="0">
    <w:p w14:paraId="0839D72A" w14:textId="77777777" w:rsidR="00FA6DEE" w:rsidRDefault="00FA6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55201" w14:textId="77777777" w:rsidR="00484EEC" w:rsidRDefault="00484EEC">
    <w:pPr>
      <w:pStyle w:val="Header"/>
    </w:pPr>
    <w:r>
      <w:rPr>
        <w:noProof/>
      </w:rPr>
      <w:drawing>
        <wp:inline distT="0" distB="0" distL="0" distR="0" wp14:anchorId="5FDDA960" wp14:editId="55B7BF4F">
          <wp:extent cx="2123264" cy="6372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C01280"/>
    <w:multiLevelType w:val="multilevel"/>
    <w:tmpl w:val="DDEAD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9" w15:restartNumberingAfterBreak="0">
    <w:nsid w:val="2A913599"/>
    <w:multiLevelType w:val="multilevel"/>
    <w:tmpl w:val="02AA8FA0"/>
    <w:numStyleLink w:val="ListBullets"/>
  </w:abstractNum>
  <w:abstractNum w:abstractNumId="10" w15:restartNumberingAfterBreak="0">
    <w:nsid w:val="2F2425AB"/>
    <w:multiLevelType w:val="multilevel"/>
    <w:tmpl w:val="BC8603C0"/>
    <w:numStyleLink w:val="ListNumbers"/>
  </w:abstractNum>
  <w:abstractNum w:abstractNumId="11" w15:restartNumberingAfterBreak="0">
    <w:nsid w:val="411E5BCF"/>
    <w:multiLevelType w:val="hybridMultilevel"/>
    <w:tmpl w:val="152EF246"/>
    <w:lvl w:ilvl="0" w:tplc="0C090001">
      <w:start w:val="1"/>
      <w:numFmt w:val="bullet"/>
      <w:lvlText w:val=""/>
      <w:lvlJc w:val="left"/>
      <w:pPr>
        <w:ind w:left="720" w:hanging="360"/>
      </w:pPr>
      <w:rPr>
        <w:rFonts w:ascii="Symbol" w:hAnsi="Symbol" w:hint="default"/>
      </w:rPr>
    </w:lvl>
    <w:lvl w:ilvl="1" w:tplc="4F1444CE">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DD5C12"/>
    <w:multiLevelType w:val="multilevel"/>
    <w:tmpl w:val="20F2356A"/>
    <w:numStyleLink w:val="Appendix"/>
  </w:abstractNum>
  <w:abstractNum w:abstractNumId="13"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16248A"/>
    <w:multiLevelType w:val="hybridMultilevel"/>
    <w:tmpl w:val="E5D22D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5BA4382"/>
    <w:multiLevelType w:val="hybridMultilevel"/>
    <w:tmpl w:val="360238EC"/>
    <w:lvl w:ilvl="0" w:tplc="4F1444C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AA1E4D"/>
    <w:multiLevelType w:val="hybridMultilevel"/>
    <w:tmpl w:val="4DA63F30"/>
    <w:lvl w:ilvl="0" w:tplc="4F1444CE">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num w:numId="1">
    <w:abstractNumId w:val="14"/>
  </w:num>
  <w:num w:numId="2">
    <w:abstractNumId w:val="13"/>
  </w:num>
  <w:num w:numId="3">
    <w:abstractNumId w:val="6"/>
  </w:num>
  <w:num w:numId="4">
    <w:abstractNumId w:val="7"/>
  </w:num>
  <w:num w:numId="5">
    <w:abstractNumId w:val="3"/>
  </w:num>
  <w:num w:numId="6">
    <w:abstractNumId w:val="9"/>
  </w:num>
  <w:num w:numId="7">
    <w:abstractNumId w:val="18"/>
  </w:num>
  <w:num w:numId="8">
    <w:abstractNumId w:val="10"/>
  </w:num>
  <w:num w:numId="9">
    <w:abstractNumId w:val="15"/>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2"/>
  </w:num>
  <w:num w:numId="15">
    <w:abstractNumId w:val="1"/>
  </w:num>
  <w:num w:numId="16">
    <w:abstractNumId w:val="0"/>
  </w:num>
  <w:num w:numId="17">
    <w:abstractNumId w:val="4"/>
  </w:num>
  <w:num w:numId="18">
    <w:abstractNumId w:val="17"/>
  </w:num>
  <w:num w:numId="19">
    <w:abstractNumId w:val="5"/>
  </w:num>
  <w:num w:numId="20">
    <w:abstractNumId w:val="11"/>
  </w:num>
  <w:num w:numId="21">
    <w:abstractNumId w:val="20"/>
  </w:num>
  <w:num w:numId="22">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37"/>
    <w:rsid w:val="00004718"/>
    <w:rsid w:val="000263A9"/>
    <w:rsid w:val="00026C87"/>
    <w:rsid w:val="0004045B"/>
    <w:rsid w:val="00055D96"/>
    <w:rsid w:val="000778DD"/>
    <w:rsid w:val="000878AC"/>
    <w:rsid w:val="000C2AB3"/>
    <w:rsid w:val="000E75C5"/>
    <w:rsid w:val="0010446A"/>
    <w:rsid w:val="00107454"/>
    <w:rsid w:val="00113EC4"/>
    <w:rsid w:val="00114C5C"/>
    <w:rsid w:val="00123C37"/>
    <w:rsid w:val="001701DF"/>
    <w:rsid w:val="00193083"/>
    <w:rsid w:val="001D266D"/>
    <w:rsid w:val="00210A45"/>
    <w:rsid w:val="002169B0"/>
    <w:rsid w:val="002219EA"/>
    <w:rsid w:val="0024381A"/>
    <w:rsid w:val="00253DC6"/>
    <w:rsid w:val="002701D5"/>
    <w:rsid w:val="00271E1B"/>
    <w:rsid w:val="00280BAA"/>
    <w:rsid w:val="00294991"/>
    <w:rsid w:val="002B2EFA"/>
    <w:rsid w:val="002B3E73"/>
    <w:rsid w:val="002D5F56"/>
    <w:rsid w:val="002F4FBF"/>
    <w:rsid w:val="00301CA3"/>
    <w:rsid w:val="0032695F"/>
    <w:rsid w:val="00356636"/>
    <w:rsid w:val="00387C1B"/>
    <w:rsid w:val="003D2C15"/>
    <w:rsid w:val="003F226D"/>
    <w:rsid w:val="003F7729"/>
    <w:rsid w:val="00417CFE"/>
    <w:rsid w:val="0042079A"/>
    <w:rsid w:val="00442576"/>
    <w:rsid w:val="0045557D"/>
    <w:rsid w:val="00461807"/>
    <w:rsid w:val="00465819"/>
    <w:rsid w:val="00472184"/>
    <w:rsid w:val="00484EEC"/>
    <w:rsid w:val="00497F42"/>
    <w:rsid w:val="004F6FC9"/>
    <w:rsid w:val="00502090"/>
    <w:rsid w:val="005131D7"/>
    <w:rsid w:val="0054747E"/>
    <w:rsid w:val="005525AE"/>
    <w:rsid w:val="00560A05"/>
    <w:rsid w:val="00585E44"/>
    <w:rsid w:val="00610155"/>
    <w:rsid w:val="00616CBA"/>
    <w:rsid w:val="00626CF5"/>
    <w:rsid w:val="00626E31"/>
    <w:rsid w:val="0064305B"/>
    <w:rsid w:val="00647D9D"/>
    <w:rsid w:val="00670FA6"/>
    <w:rsid w:val="006A7321"/>
    <w:rsid w:val="006F0D63"/>
    <w:rsid w:val="00700EE4"/>
    <w:rsid w:val="0075015F"/>
    <w:rsid w:val="00767AD7"/>
    <w:rsid w:val="00772460"/>
    <w:rsid w:val="007C587D"/>
    <w:rsid w:val="007E1BC9"/>
    <w:rsid w:val="008032E0"/>
    <w:rsid w:val="008256FA"/>
    <w:rsid w:val="00844115"/>
    <w:rsid w:val="00896FC4"/>
    <w:rsid w:val="008B07C8"/>
    <w:rsid w:val="008D46F5"/>
    <w:rsid w:val="008E1E2D"/>
    <w:rsid w:val="008E3584"/>
    <w:rsid w:val="008E74FA"/>
    <w:rsid w:val="008F0F0B"/>
    <w:rsid w:val="00905F94"/>
    <w:rsid w:val="00954784"/>
    <w:rsid w:val="009643FB"/>
    <w:rsid w:val="009B1466"/>
    <w:rsid w:val="009C18FD"/>
    <w:rsid w:val="009E16B6"/>
    <w:rsid w:val="00A17FC6"/>
    <w:rsid w:val="00AA4B88"/>
    <w:rsid w:val="00AC3B35"/>
    <w:rsid w:val="00AC4491"/>
    <w:rsid w:val="00AD35CB"/>
    <w:rsid w:val="00B21813"/>
    <w:rsid w:val="00B57188"/>
    <w:rsid w:val="00B81F24"/>
    <w:rsid w:val="00BA2E6E"/>
    <w:rsid w:val="00BB685F"/>
    <w:rsid w:val="00BD7E10"/>
    <w:rsid w:val="00BF5E3B"/>
    <w:rsid w:val="00BF719A"/>
    <w:rsid w:val="00C23716"/>
    <w:rsid w:val="00C4501B"/>
    <w:rsid w:val="00C6669A"/>
    <w:rsid w:val="00C96013"/>
    <w:rsid w:val="00C974B2"/>
    <w:rsid w:val="00CB014C"/>
    <w:rsid w:val="00CB391C"/>
    <w:rsid w:val="00D15F5A"/>
    <w:rsid w:val="00D41B98"/>
    <w:rsid w:val="00D74B3A"/>
    <w:rsid w:val="00D91327"/>
    <w:rsid w:val="00D91C89"/>
    <w:rsid w:val="00DA2DBF"/>
    <w:rsid w:val="00DE6B3D"/>
    <w:rsid w:val="00DE7598"/>
    <w:rsid w:val="00E07107"/>
    <w:rsid w:val="00E319D2"/>
    <w:rsid w:val="00E3214D"/>
    <w:rsid w:val="00E53B7E"/>
    <w:rsid w:val="00E96589"/>
    <w:rsid w:val="00EB2A60"/>
    <w:rsid w:val="00ED1592"/>
    <w:rsid w:val="00EE25C6"/>
    <w:rsid w:val="00EE364B"/>
    <w:rsid w:val="00EF1D09"/>
    <w:rsid w:val="00F10F43"/>
    <w:rsid w:val="00F60BB1"/>
    <w:rsid w:val="00F74146"/>
    <w:rsid w:val="00F87B8F"/>
    <w:rsid w:val="00FA5816"/>
    <w:rsid w:val="00FA5988"/>
    <w:rsid w:val="00FA6DEE"/>
    <w:rsid w:val="00FA7E76"/>
    <w:rsid w:val="00FC64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5035F"/>
  <w15:chartTrackingRefBased/>
  <w15:docId w15:val="{6C7BB762-B7E7-4154-BC07-68DB56B9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basedOn w:val="Title"/>
    <w:next w:val="Normal"/>
    <w:link w:val="Heading1Char"/>
    <w:uiPriority w:val="1"/>
    <w:qFormat/>
    <w:rsid w:val="00356636"/>
    <w:pPr>
      <w:jc w:val="center"/>
      <w:outlineLvl w:val="0"/>
    </w:p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sid w:val="00356636"/>
    <w:rPr>
      <w:rFonts w:asciiTheme="majorHAnsi" w:eastAsiaTheme="majorEastAsia" w:hAnsiTheme="majorHAnsi" w:cstheme="majorBidi"/>
      <w:spacing w:val="-10"/>
      <w:kern w:val="28"/>
      <w:sz w:val="56"/>
      <w:szCs w:val="56"/>
      <w:lang w:eastAsia="en-US"/>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23C37"/>
    <w:pPr>
      <w:ind w:left="720"/>
      <w:contextualSpacing/>
    </w:pPr>
  </w:style>
  <w:style w:type="paragraph" w:styleId="Title">
    <w:name w:val="Title"/>
    <w:basedOn w:val="Normal"/>
    <w:next w:val="Normal"/>
    <w:link w:val="TitleChar"/>
    <w:uiPriority w:val="10"/>
    <w:qFormat/>
    <w:rsid w:val="007E1BC9"/>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BC9"/>
    <w:rPr>
      <w:rFonts w:asciiTheme="majorHAnsi" w:eastAsiaTheme="majorEastAsia" w:hAnsiTheme="majorHAnsi" w:cstheme="majorBidi"/>
      <w:spacing w:val="-10"/>
      <w:kern w:val="28"/>
      <w:sz w:val="56"/>
      <w:szCs w:val="56"/>
      <w:lang w:eastAsia="en-US"/>
    </w:rPr>
  </w:style>
  <w:style w:type="character" w:styleId="IntenseEmphasis">
    <w:name w:val="Intense Emphasis"/>
    <w:basedOn w:val="DefaultParagraphFont"/>
    <w:uiPriority w:val="21"/>
    <w:qFormat/>
    <w:rsid w:val="007E1BC9"/>
    <w:rPr>
      <w:i/>
      <w:iCs/>
      <w:color w:val="4F81BD" w:themeColor="accent1"/>
    </w:rPr>
  </w:style>
  <w:style w:type="paragraph" w:styleId="NormalWeb">
    <w:name w:val="Normal (Web)"/>
    <w:basedOn w:val="Normal"/>
    <w:uiPriority w:val="99"/>
    <w:unhideWhenUsed/>
    <w:rsid w:val="00767AD7"/>
    <w:pPr>
      <w:spacing w:before="100" w:beforeAutospacing="1" w:after="100" w:afterAutospacing="1"/>
    </w:pPr>
    <w:rPr>
      <w:rFonts w:ascii="Times New Roman" w:eastAsia="Times New Roman" w:hAnsi="Times New Roman"/>
      <w:color w:val="333333"/>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82738">
      <w:bodyDiv w:val="1"/>
      <w:marLeft w:val="0"/>
      <w:marRight w:val="0"/>
      <w:marTop w:val="0"/>
      <w:marBottom w:val="0"/>
      <w:divBdr>
        <w:top w:val="none" w:sz="0" w:space="0" w:color="auto"/>
        <w:left w:val="none" w:sz="0" w:space="0" w:color="auto"/>
        <w:bottom w:val="none" w:sz="0" w:space="0" w:color="auto"/>
        <w:right w:val="none" w:sz="0" w:space="0" w:color="auto"/>
      </w:divBdr>
      <w:divsChild>
        <w:div w:id="233903376">
          <w:marLeft w:val="0"/>
          <w:marRight w:val="0"/>
          <w:marTop w:val="0"/>
          <w:marBottom w:val="0"/>
          <w:divBdr>
            <w:top w:val="none" w:sz="0" w:space="0" w:color="auto"/>
            <w:left w:val="none" w:sz="0" w:space="0" w:color="auto"/>
            <w:bottom w:val="none" w:sz="0" w:space="0" w:color="auto"/>
            <w:right w:val="none" w:sz="0" w:space="0" w:color="auto"/>
          </w:divBdr>
          <w:divsChild>
            <w:div w:id="1654292399">
              <w:marLeft w:val="0"/>
              <w:marRight w:val="0"/>
              <w:marTop w:val="0"/>
              <w:marBottom w:val="0"/>
              <w:divBdr>
                <w:top w:val="none" w:sz="0" w:space="0" w:color="auto"/>
                <w:left w:val="none" w:sz="0" w:space="0" w:color="auto"/>
                <w:bottom w:val="none" w:sz="0" w:space="0" w:color="auto"/>
                <w:right w:val="none" w:sz="0" w:space="0" w:color="auto"/>
              </w:divBdr>
              <w:divsChild>
                <w:div w:id="6690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DC876-5A1B-439F-9C15-3239BA0E0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AEPCOMM video tutorial Highly refined organic chemicals and substances &amp; Gum products</dc:title>
  <dc:subject/>
  <dc:creator>Department of Agriculture, Water and the Environment</dc:creator>
  <cp:keywords/>
  <dc:description/>
  <cp:lastModifiedBy>Dang, Van</cp:lastModifiedBy>
  <cp:revision>45</cp:revision>
  <cp:lastPrinted>2015-08-14T05:36:00Z</cp:lastPrinted>
  <dcterms:created xsi:type="dcterms:W3CDTF">2020-07-01T04:12:00Z</dcterms:created>
  <dcterms:modified xsi:type="dcterms:W3CDTF">2020-08-11T05:03:00Z</dcterms:modified>
</cp:coreProperties>
</file>