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81F44" w14:textId="6E717DDA" w:rsidR="004B43FE" w:rsidRPr="00191ADE" w:rsidRDefault="004B43FE" w:rsidP="008C4344">
      <w:pPr>
        <w:pStyle w:val="Heading1"/>
        <w:spacing w:before="1080"/>
      </w:pPr>
      <w:bookmarkStart w:id="0" w:name="_Toc164167392"/>
      <w:bookmarkStart w:id="1" w:name="_Toc164171926"/>
      <w:bookmarkStart w:id="2" w:name="_Toc164172277"/>
      <w:bookmarkStart w:id="3" w:name="_Toc164172327"/>
      <w:bookmarkStart w:id="4" w:name="_Hlk164244456"/>
      <w:bookmarkStart w:id="5" w:name="_Hlk164182015"/>
      <w:r w:rsidRPr="00191ADE">
        <w:t>Guideline</w:t>
      </w:r>
      <w:r w:rsidR="00334F5B">
        <w:t>s</w:t>
      </w:r>
      <w:r w:rsidRPr="00191ADE">
        <w:t xml:space="preserve"> for the identification and</w:t>
      </w:r>
      <w:bookmarkStart w:id="6" w:name="_Toc164167393"/>
      <w:bookmarkStart w:id="7" w:name="_Toc164171927"/>
      <w:bookmarkStart w:id="8" w:name="_Toc164172278"/>
      <w:bookmarkStart w:id="9" w:name="_Toc164172328"/>
      <w:bookmarkEnd w:id="0"/>
      <w:bookmarkEnd w:id="1"/>
      <w:bookmarkEnd w:id="2"/>
      <w:bookmarkEnd w:id="3"/>
      <w:r w:rsidR="008C4344">
        <w:t xml:space="preserve"> </w:t>
      </w:r>
      <w:r w:rsidRPr="00191ADE">
        <w:t xml:space="preserve">management of material interests for </w:t>
      </w:r>
      <w:r w:rsidR="00DF00A2">
        <w:t>a</w:t>
      </w:r>
      <w:r w:rsidRPr="00191ADE">
        <w:t xml:space="preserve">ccredited </w:t>
      </w:r>
      <w:r w:rsidR="00DF00A2">
        <w:t>v</w:t>
      </w:r>
      <w:r w:rsidRPr="00191ADE">
        <w:t>eterinarians</w:t>
      </w:r>
      <w:bookmarkEnd w:id="6"/>
      <w:bookmarkEnd w:id="7"/>
      <w:bookmarkEnd w:id="8"/>
      <w:bookmarkEnd w:id="9"/>
    </w:p>
    <w:bookmarkEnd w:id="4"/>
    <w:p w14:paraId="64B43138" w14:textId="77777777" w:rsidR="004B43FE" w:rsidRDefault="004B43FE" w:rsidP="00914E1A">
      <w:pPr>
        <w:pStyle w:val="Author"/>
      </w:pPr>
      <w:r>
        <w:t>Live Animal Export Branch</w:t>
      </w:r>
    </w:p>
    <w:p w14:paraId="20F6EA09" w14:textId="7A5CD6B4" w:rsidR="006B4461" w:rsidRPr="006B4461" w:rsidRDefault="006233CC" w:rsidP="003C302D">
      <w:pPr>
        <w:pStyle w:val="Date"/>
      </w:pPr>
      <w:r>
        <w:t xml:space="preserve">Version </w:t>
      </w:r>
      <w:r w:rsidR="000624A2">
        <w:t>1</w:t>
      </w:r>
      <w:r>
        <w:t xml:space="preserve">.1, </w:t>
      </w:r>
      <w:r w:rsidR="005061B1">
        <w:t>July</w:t>
      </w:r>
      <w:r>
        <w:t xml:space="preserve"> 2024</w:t>
      </w:r>
      <w:bookmarkEnd w:id="5"/>
    </w:p>
    <w:p w14:paraId="67A3DE2C" w14:textId="1742BE7D" w:rsidR="003E4788" w:rsidRDefault="005C11E1" w:rsidP="006233CC">
      <w:pPr>
        <w:pStyle w:val="AuthorOrganisationAffiliation"/>
        <w:spacing w:after="0"/>
      </w:pPr>
      <w:r>
        <w:br w:type="page"/>
      </w:r>
      <w:r>
        <w:lastRenderedPageBreak/>
        <w:t xml:space="preserve">© Commonwealth of Australia </w:t>
      </w:r>
      <w:r w:rsidR="00696407">
        <w:t>202</w:t>
      </w:r>
      <w:r w:rsidR="00546070">
        <w:t>4</w:t>
      </w:r>
    </w:p>
    <w:p w14:paraId="148F2A09" w14:textId="77777777" w:rsidR="003E4788" w:rsidRDefault="005C11E1">
      <w:pPr>
        <w:pStyle w:val="Normalsmall"/>
        <w:rPr>
          <w:rStyle w:val="Strong"/>
        </w:rPr>
      </w:pPr>
      <w:r>
        <w:rPr>
          <w:rStyle w:val="Strong"/>
        </w:rPr>
        <w:t>Ownership of intellectual property rights</w:t>
      </w:r>
    </w:p>
    <w:p w14:paraId="534C4BE6" w14:textId="77777777" w:rsidR="003E4788" w:rsidRDefault="005C11E1">
      <w:pPr>
        <w:pStyle w:val="Normalsmall"/>
      </w:pPr>
      <w:r>
        <w:t>Unless otherwise noted, copyright (and any other intellectual property rights) in this publication is owned by the Commonwealth of Australia (referred to as the Commonwealth).</w:t>
      </w:r>
    </w:p>
    <w:p w14:paraId="31088BF9" w14:textId="77777777" w:rsidR="003E4788" w:rsidRDefault="005C11E1">
      <w:pPr>
        <w:pStyle w:val="Normalsmall"/>
        <w:rPr>
          <w:rStyle w:val="Strong"/>
        </w:rPr>
      </w:pPr>
      <w:r>
        <w:rPr>
          <w:rStyle w:val="Strong"/>
        </w:rPr>
        <w:t>Creative Commons licence</w:t>
      </w:r>
    </w:p>
    <w:p w14:paraId="2FEEABFF" w14:textId="77777777" w:rsidR="003E4788" w:rsidRDefault="005C11E1">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7249159F" w14:textId="77777777" w:rsidR="003E4788" w:rsidRDefault="005C11E1">
      <w:pPr>
        <w:pStyle w:val="Normalsmall"/>
      </w:pPr>
      <w:r>
        <w:rPr>
          <w:noProof/>
          <w:lang w:eastAsia="en-AU"/>
        </w:rPr>
        <w:drawing>
          <wp:inline distT="0" distB="0" distL="0" distR="0" wp14:anchorId="7A25DE07" wp14:editId="19C3B512">
            <wp:extent cx="724535" cy="255270"/>
            <wp:effectExtent l="1905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78CF799B" w14:textId="77777777" w:rsidR="003E4788" w:rsidRDefault="005C11E1">
      <w:pPr>
        <w:pStyle w:val="Normalsmall"/>
        <w:rPr>
          <w:rStyle w:val="Strong"/>
        </w:rPr>
      </w:pPr>
      <w:r>
        <w:rPr>
          <w:rStyle w:val="Strong"/>
        </w:rPr>
        <w:t>Cataloguing data</w:t>
      </w:r>
    </w:p>
    <w:p w14:paraId="4A793175" w14:textId="2B3E5279" w:rsidR="003E4788" w:rsidRDefault="005C11E1">
      <w:pPr>
        <w:pStyle w:val="Normalsmall"/>
      </w:pPr>
      <w:r>
        <w:t xml:space="preserve">This publication (and any material sourced from it) should be attributed as: </w:t>
      </w:r>
      <w:r w:rsidR="00696407">
        <w:t>D</w:t>
      </w:r>
      <w:r w:rsidR="00095E05">
        <w:t>A</w:t>
      </w:r>
      <w:r w:rsidR="008376D9">
        <w:t>FF</w:t>
      </w:r>
      <w:r w:rsidR="00095E05">
        <w:t xml:space="preserve"> 202</w:t>
      </w:r>
      <w:r w:rsidR="00546070">
        <w:t>4</w:t>
      </w:r>
      <w:r w:rsidR="00095E05">
        <w:t xml:space="preserve">, </w:t>
      </w:r>
      <w:r w:rsidR="004B43FE" w:rsidRPr="00316B1E">
        <w:rPr>
          <w:i/>
        </w:rPr>
        <w:t>Guideline for the identification and</w:t>
      </w:r>
      <w:r w:rsidR="004B43FE">
        <w:rPr>
          <w:i/>
        </w:rPr>
        <w:t xml:space="preserve"> </w:t>
      </w:r>
      <w:r w:rsidR="004B43FE" w:rsidRPr="00316B1E">
        <w:rPr>
          <w:i/>
        </w:rPr>
        <w:t>management of material interests</w:t>
      </w:r>
      <w:r w:rsidR="004B43FE">
        <w:rPr>
          <w:i/>
        </w:rPr>
        <w:t xml:space="preserve"> </w:t>
      </w:r>
      <w:r w:rsidR="004B43FE" w:rsidRPr="00316B1E">
        <w:rPr>
          <w:i/>
        </w:rPr>
        <w:t xml:space="preserve">for </w:t>
      </w:r>
      <w:r w:rsidR="002D5A63">
        <w:rPr>
          <w:i/>
        </w:rPr>
        <w:t>a</w:t>
      </w:r>
      <w:r w:rsidR="004B43FE" w:rsidRPr="00316B1E">
        <w:rPr>
          <w:i/>
        </w:rPr>
        <w:t xml:space="preserve">ccredited </w:t>
      </w:r>
      <w:r w:rsidR="002D5A63">
        <w:rPr>
          <w:i/>
        </w:rPr>
        <w:t>v</w:t>
      </w:r>
      <w:r w:rsidR="004B43FE" w:rsidRPr="00316B1E">
        <w:rPr>
          <w:i/>
        </w:rPr>
        <w:t>eterinarians</w:t>
      </w:r>
      <w:r>
        <w:t xml:space="preserve">, </w:t>
      </w:r>
      <w:r w:rsidR="008376D9" w:rsidRPr="008376D9">
        <w:t>Department of Agriculture, Fisheries and Forestry</w:t>
      </w:r>
      <w:r w:rsidR="00095E05" w:rsidRPr="00D76402">
        <w:t>,</w:t>
      </w:r>
      <w:r w:rsidR="00095E05">
        <w:t xml:space="preserve"> </w:t>
      </w:r>
      <w:r>
        <w:t>Canberra, CC BY 4.0.</w:t>
      </w:r>
    </w:p>
    <w:p w14:paraId="5E83DA7C" w14:textId="671CF367" w:rsidR="00537468" w:rsidRDefault="005C11E1" w:rsidP="004B43FE">
      <w:pPr>
        <w:pStyle w:val="Normalsmall"/>
        <w:rPr>
          <w:rStyle w:val="Hyperlink"/>
        </w:rPr>
      </w:pPr>
      <w:r>
        <w:t xml:space="preserve">This publication is available at </w:t>
      </w:r>
      <w:hyperlink r:id="rId13" w:anchor="submit-your-application" w:history="1">
        <w:r w:rsidR="00135B8A" w:rsidRPr="00113973">
          <w:rPr>
            <w:rStyle w:val="Hyperlink"/>
          </w:rPr>
          <w:t>https://www.agriculture.gov.au/biosecurity-trade/export/controlled-goods/live-animals/livestock/accredited-veterinarian/apply#submit-your-application</w:t>
        </w:r>
      </w:hyperlink>
    </w:p>
    <w:p w14:paraId="7BF532C1" w14:textId="2458A80A" w:rsidR="003E4788" w:rsidRPr="003E7338" w:rsidRDefault="008376D9" w:rsidP="004B43FE">
      <w:pPr>
        <w:pStyle w:val="Normalsmall"/>
      </w:pPr>
      <w:r w:rsidRPr="003E7338">
        <w:t>Department of Agriculture, Fisheries and Forestry</w:t>
      </w:r>
    </w:p>
    <w:p w14:paraId="08A91053" w14:textId="77777777" w:rsidR="003E4788" w:rsidRPr="003E7338" w:rsidRDefault="005C11E1">
      <w:pPr>
        <w:pStyle w:val="Normalsmall"/>
        <w:spacing w:after="0"/>
      </w:pPr>
      <w:r w:rsidRPr="003E7338">
        <w:t>GPO Box 858 Canberra ACT 2601</w:t>
      </w:r>
    </w:p>
    <w:p w14:paraId="58E3FD84" w14:textId="77777777" w:rsidR="003E4788" w:rsidRPr="003E7338" w:rsidRDefault="005C11E1">
      <w:pPr>
        <w:pStyle w:val="Normalsmall"/>
        <w:spacing w:after="0"/>
      </w:pPr>
      <w:r w:rsidRPr="003E7338">
        <w:t>Telephone 1800 900 090</w:t>
      </w:r>
    </w:p>
    <w:p w14:paraId="3D81A817" w14:textId="77777777" w:rsidR="003E4788" w:rsidRDefault="005C11E1">
      <w:pPr>
        <w:pStyle w:val="Normalsmall"/>
      </w:pPr>
      <w:r w:rsidRPr="003E7338">
        <w:t xml:space="preserve">Web </w:t>
      </w:r>
      <w:hyperlink r:id="rId14" w:history="1">
        <w:r w:rsidR="008376D9" w:rsidRPr="003E7338">
          <w:rPr>
            <w:rStyle w:val="Hyperlink"/>
          </w:rPr>
          <w:t>agriculture.gov.au</w:t>
        </w:r>
      </w:hyperlink>
    </w:p>
    <w:p w14:paraId="321A4CDA" w14:textId="77777777" w:rsidR="00217FAB" w:rsidRDefault="00217FAB" w:rsidP="00217FAB">
      <w:pPr>
        <w:pStyle w:val="Normalsmall"/>
        <w:rPr>
          <w:rStyle w:val="Strong"/>
        </w:rPr>
      </w:pPr>
      <w:r>
        <w:rPr>
          <w:rStyle w:val="Strong"/>
        </w:rPr>
        <w:t>Disclaimer</w:t>
      </w:r>
    </w:p>
    <w:p w14:paraId="36032083" w14:textId="77777777" w:rsidR="003E4788" w:rsidRDefault="005C11E1">
      <w:pPr>
        <w:pStyle w:val="Normalsmall"/>
      </w:pPr>
      <w:r>
        <w:t xml:space="preserve">The Australian Government acting through the </w:t>
      </w:r>
      <w:r w:rsidR="008376D9" w:rsidRPr="008376D9">
        <w:t>Department of Agriculture, Fisheries and Forestry</w:t>
      </w:r>
      <w:r w:rsidR="00696407">
        <w:t xml:space="preserve"> </w:t>
      </w:r>
      <w:r>
        <w:t xml:space="preserve">has exercised due care and skill in preparing and compiling the information and data in this publication. Notwithstanding, the </w:t>
      </w:r>
      <w:r w:rsidR="008376D9" w:rsidRPr="008376D9">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6560B75B" w14:textId="2DB117C7" w:rsidR="000932E6" w:rsidRDefault="000932E6" w:rsidP="000932E6">
      <w:pPr>
        <w:pStyle w:val="Normalsmall"/>
      </w:pPr>
      <w:r>
        <w:rPr>
          <w:rStyle w:val="Strong"/>
        </w:rPr>
        <w:t>Acknowledgement of Country</w:t>
      </w:r>
    </w:p>
    <w:p w14:paraId="7DF2EA64" w14:textId="5EA575F6" w:rsidR="003E4788" w:rsidRDefault="000932E6" w:rsidP="00F55C70">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r w:rsidR="005C11E1">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rPr>
      </w:sdtEndPr>
      <w:sdtContent>
        <w:p w14:paraId="6B16FDEE" w14:textId="6B28A319" w:rsidR="003E4788" w:rsidRDefault="005C11E1">
          <w:pPr>
            <w:pStyle w:val="TOCHeading"/>
          </w:pPr>
          <w:r>
            <w:t xml:space="preserve">Contents </w:t>
          </w:r>
        </w:p>
        <w:p w14:paraId="37FFC615" w14:textId="28183B1D" w:rsidR="007B343A" w:rsidRDefault="005C11E1">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70319589" w:history="1">
            <w:r w:rsidR="007B343A" w:rsidRPr="003B0F78">
              <w:rPr>
                <w:rStyle w:val="Hyperlink"/>
              </w:rPr>
              <w:t>Glossary</w:t>
            </w:r>
            <w:r w:rsidR="007B343A">
              <w:rPr>
                <w:webHidden/>
              </w:rPr>
              <w:tab/>
            </w:r>
            <w:r w:rsidR="007B343A">
              <w:rPr>
                <w:webHidden/>
              </w:rPr>
              <w:fldChar w:fldCharType="begin"/>
            </w:r>
            <w:r w:rsidR="007B343A">
              <w:rPr>
                <w:webHidden/>
              </w:rPr>
              <w:instrText xml:space="preserve"> PAGEREF _Toc170319589 \h </w:instrText>
            </w:r>
            <w:r w:rsidR="007B343A">
              <w:rPr>
                <w:webHidden/>
              </w:rPr>
            </w:r>
            <w:r w:rsidR="007B343A">
              <w:rPr>
                <w:webHidden/>
              </w:rPr>
              <w:fldChar w:fldCharType="separate"/>
            </w:r>
            <w:r w:rsidR="007B343A">
              <w:rPr>
                <w:webHidden/>
              </w:rPr>
              <w:t>1</w:t>
            </w:r>
            <w:r w:rsidR="007B343A">
              <w:rPr>
                <w:webHidden/>
              </w:rPr>
              <w:fldChar w:fldCharType="end"/>
            </w:r>
          </w:hyperlink>
        </w:p>
        <w:p w14:paraId="6A5EDF87" w14:textId="2F4A81D4" w:rsidR="007B343A" w:rsidRDefault="005B0D57">
          <w:pPr>
            <w:pStyle w:val="TOC1"/>
            <w:rPr>
              <w:rFonts w:eastAsiaTheme="minorEastAsia"/>
              <w:b w:val="0"/>
              <w:kern w:val="2"/>
              <w:sz w:val="24"/>
              <w:szCs w:val="24"/>
              <w:lang w:eastAsia="en-AU"/>
              <w14:ligatures w14:val="standardContextual"/>
            </w:rPr>
          </w:pPr>
          <w:hyperlink w:anchor="_Toc170319590" w:history="1">
            <w:r w:rsidR="007B343A" w:rsidRPr="003B0F78">
              <w:rPr>
                <w:rStyle w:val="Hyperlink"/>
              </w:rPr>
              <w:t>1</w:t>
            </w:r>
            <w:r w:rsidR="007B343A">
              <w:rPr>
                <w:rFonts w:eastAsiaTheme="minorEastAsia"/>
                <w:b w:val="0"/>
                <w:kern w:val="2"/>
                <w:sz w:val="24"/>
                <w:szCs w:val="24"/>
                <w:lang w:eastAsia="en-AU"/>
                <w14:ligatures w14:val="standardContextual"/>
              </w:rPr>
              <w:tab/>
            </w:r>
            <w:r w:rsidR="007B343A" w:rsidRPr="003B0F78">
              <w:rPr>
                <w:rStyle w:val="Hyperlink"/>
              </w:rPr>
              <w:t>Purpose</w:t>
            </w:r>
            <w:r w:rsidR="007B343A">
              <w:rPr>
                <w:webHidden/>
              </w:rPr>
              <w:tab/>
            </w:r>
            <w:r w:rsidR="007B343A">
              <w:rPr>
                <w:webHidden/>
              </w:rPr>
              <w:fldChar w:fldCharType="begin"/>
            </w:r>
            <w:r w:rsidR="007B343A">
              <w:rPr>
                <w:webHidden/>
              </w:rPr>
              <w:instrText xml:space="preserve"> PAGEREF _Toc170319590 \h </w:instrText>
            </w:r>
            <w:r w:rsidR="007B343A">
              <w:rPr>
                <w:webHidden/>
              </w:rPr>
            </w:r>
            <w:r w:rsidR="007B343A">
              <w:rPr>
                <w:webHidden/>
              </w:rPr>
              <w:fldChar w:fldCharType="separate"/>
            </w:r>
            <w:r w:rsidR="007B343A">
              <w:rPr>
                <w:webHidden/>
              </w:rPr>
              <w:t>2</w:t>
            </w:r>
            <w:r w:rsidR="007B343A">
              <w:rPr>
                <w:webHidden/>
              </w:rPr>
              <w:fldChar w:fldCharType="end"/>
            </w:r>
          </w:hyperlink>
        </w:p>
        <w:p w14:paraId="54B23E52" w14:textId="190540AB" w:rsidR="007B343A" w:rsidRDefault="005B0D57">
          <w:pPr>
            <w:pStyle w:val="TOC2"/>
            <w:tabs>
              <w:tab w:val="left" w:pos="1200"/>
            </w:tabs>
            <w:rPr>
              <w:rFonts w:eastAsiaTheme="minorEastAsia"/>
              <w:kern w:val="2"/>
              <w:sz w:val="24"/>
              <w:szCs w:val="24"/>
              <w:lang w:eastAsia="en-AU"/>
              <w14:ligatures w14:val="standardContextual"/>
            </w:rPr>
          </w:pPr>
          <w:hyperlink w:anchor="_Toc170319591" w:history="1">
            <w:r w:rsidR="007B343A" w:rsidRPr="003B0F78">
              <w:rPr>
                <w:rStyle w:val="Hyperlink"/>
              </w:rPr>
              <w:t>1.1</w:t>
            </w:r>
            <w:r w:rsidR="007B343A">
              <w:rPr>
                <w:rFonts w:eastAsiaTheme="minorEastAsia"/>
                <w:kern w:val="2"/>
                <w:sz w:val="24"/>
                <w:szCs w:val="24"/>
                <w:lang w:eastAsia="en-AU"/>
                <w14:ligatures w14:val="standardContextual"/>
              </w:rPr>
              <w:tab/>
            </w:r>
            <w:r w:rsidR="007B343A" w:rsidRPr="003B0F78">
              <w:rPr>
                <w:rStyle w:val="Hyperlink"/>
              </w:rPr>
              <w:t>Policy statement</w:t>
            </w:r>
            <w:r w:rsidR="007B343A">
              <w:rPr>
                <w:webHidden/>
              </w:rPr>
              <w:tab/>
            </w:r>
            <w:r w:rsidR="007B343A">
              <w:rPr>
                <w:webHidden/>
              </w:rPr>
              <w:fldChar w:fldCharType="begin"/>
            </w:r>
            <w:r w:rsidR="007B343A">
              <w:rPr>
                <w:webHidden/>
              </w:rPr>
              <w:instrText xml:space="preserve"> PAGEREF _Toc170319591 \h </w:instrText>
            </w:r>
            <w:r w:rsidR="007B343A">
              <w:rPr>
                <w:webHidden/>
              </w:rPr>
            </w:r>
            <w:r w:rsidR="007B343A">
              <w:rPr>
                <w:webHidden/>
              </w:rPr>
              <w:fldChar w:fldCharType="separate"/>
            </w:r>
            <w:r w:rsidR="007B343A">
              <w:rPr>
                <w:webHidden/>
              </w:rPr>
              <w:t>2</w:t>
            </w:r>
            <w:r w:rsidR="007B343A">
              <w:rPr>
                <w:webHidden/>
              </w:rPr>
              <w:fldChar w:fldCharType="end"/>
            </w:r>
          </w:hyperlink>
        </w:p>
        <w:p w14:paraId="550DA86E" w14:textId="04975737" w:rsidR="007B343A" w:rsidRDefault="005B0D57">
          <w:pPr>
            <w:pStyle w:val="TOC1"/>
            <w:rPr>
              <w:rFonts w:eastAsiaTheme="minorEastAsia"/>
              <w:b w:val="0"/>
              <w:kern w:val="2"/>
              <w:sz w:val="24"/>
              <w:szCs w:val="24"/>
              <w:lang w:eastAsia="en-AU"/>
              <w14:ligatures w14:val="standardContextual"/>
            </w:rPr>
          </w:pPr>
          <w:hyperlink w:anchor="_Toc170319592" w:history="1">
            <w:r w:rsidR="007B343A" w:rsidRPr="003B0F78">
              <w:rPr>
                <w:rStyle w:val="Hyperlink"/>
              </w:rPr>
              <w:t>2</w:t>
            </w:r>
            <w:r w:rsidR="007B343A">
              <w:rPr>
                <w:rFonts w:eastAsiaTheme="minorEastAsia"/>
                <w:b w:val="0"/>
                <w:kern w:val="2"/>
                <w:sz w:val="24"/>
                <w:szCs w:val="24"/>
                <w:lang w:eastAsia="en-AU"/>
                <w14:ligatures w14:val="standardContextual"/>
              </w:rPr>
              <w:tab/>
            </w:r>
            <w:r w:rsidR="007B343A" w:rsidRPr="003B0F78">
              <w:rPr>
                <w:rStyle w:val="Hyperlink"/>
              </w:rPr>
              <w:t>Material interest considerations</w:t>
            </w:r>
            <w:r w:rsidR="007B343A">
              <w:rPr>
                <w:webHidden/>
              </w:rPr>
              <w:tab/>
            </w:r>
            <w:r w:rsidR="007B343A">
              <w:rPr>
                <w:webHidden/>
              </w:rPr>
              <w:fldChar w:fldCharType="begin"/>
            </w:r>
            <w:r w:rsidR="007B343A">
              <w:rPr>
                <w:webHidden/>
              </w:rPr>
              <w:instrText xml:space="preserve"> PAGEREF _Toc170319592 \h </w:instrText>
            </w:r>
            <w:r w:rsidR="007B343A">
              <w:rPr>
                <w:webHidden/>
              </w:rPr>
            </w:r>
            <w:r w:rsidR="007B343A">
              <w:rPr>
                <w:webHidden/>
              </w:rPr>
              <w:fldChar w:fldCharType="separate"/>
            </w:r>
            <w:r w:rsidR="007B343A">
              <w:rPr>
                <w:webHidden/>
              </w:rPr>
              <w:t>3</w:t>
            </w:r>
            <w:r w:rsidR="007B343A">
              <w:rPr>
                <w:webHidden/>
              </w:rPr>
              <w:fldChar w:fldCharType="end"/>
            </w:r>
          </w:hyperlink>
        </w:p>
        <w:p w14:paraId="0803593C" w14:textId="35DBF48E" w:rsidR="007B343A" w:rsidRDefault="005B0D57">
          <w:pPr>
            <w:pStyle w:val="TOC2"/>
            <w:tabs>
              <w:tab w:val="left" w:pos="1200"/>
            </w:tabs>
            <w:rPr>
              <w:rFonts w:eastAsiaTheme="minorEastAsia"/>
              <w:kern w:val="2"/>
              <w:sz w:val="24"/>
              <w:szCs w:val="24"/>
              <w:lang w:eastAsia="en-AU"/>
              <w14:ligatures w14:val="standardContextual"/>
            </w:rPr>
          </w:pPr>
          <w:hyperlink w:anchor="_Toc170319593" w:history="1">
            <w:r w:rsidR="007B343A" w:rsidRPr="003B0F78">
              <w:rPr>
                <w:rStyle w:val="Hyperlink"/>
              </w:rPr>
              <w:t>2.1</w:t>
            </w:r>
            <w:r w:rsidR="007B343A">
              <w:rPr>
                <w:rFonts w:eastAsiaTheme="minorEastAsia"/>
                <w:kern w:val="2"/>
                <w:sz w:val="24"/>
                <w:szCs w:val="24"/>
                <w:lang w:eastAsia="en-AU"/>
                <w14:ligatures w14:val="standardContextual"/>
              </w:rPr>
              <w:tab/>
            </w:r>
            <w:r w:rsidR="007B343A" w:rsidRPr="003B0F78">
              <w:rPr>
                <w:rStyle w:val="Hyperlink"/>
              </w:rPr>
              <w:t>Types of material interests</w:t>
            </w:r>
            <w:r w:rsidR="007B343A">
              <w:rPr>
                <w:webHidden/>
              </w:rPr>
              <w:tab/>
            </w:r>
            <w:r w:rsidR="007B343A">
              <w:rPr>
                <w:webHidden/>
              </w:rPr>
              <w:fldChar w:fldCharType="begin"/>
            </w:r>
            <w:r w:rsidR="007B343A">
              <w:rPr>
                <w:webHidden/>
              </w:rPr>
              <w:instrText xml:space="preserve"> PAGEREF _Toc170319593 \h </w:instrText>
            </w:r>
            <w:r w:rsidR="007B343A">
              <w:rPr>
                <w:webHidden/>
              </w:rPr>
            </w:r>
            <w:r w:rsidR="007B343A">
              <w:rPr>
                <w:webHidden/>
              </w:rPr>
              <w:fldChar w:fldCharType="separate"/>
            </w:r>
            <w:r w:rsidR="007B343A">
              <w:rPr>
                <w:webHidden/>
              </w:rPr>
              <w:t>3</w:t>
            </w:r>
            <w:r w:rsidR="007B343A">
              <w:rPr>
                <w:webHidden/>
              </w:rPr>
              <w:fldChar w:fldCharType="end"/>
            </w:r>
          </w:hyperlink>
        </w:p>
        <w:p w14:paraId="0382FB0A" w14:textId="019CDD77" w:rsidR="007B343A" w:rsidRDefault="005B0D57">
          <w:pPr>
            <w:pStyle w:val="TOC2"/>
            <w:tabs>
              <w:tab w:val="left" w:pos="1200"/>
            </w:tabs>
            <w:rPr>
              <w:rFonts w:eastAsiaTheme="minorEastAsia"/>
              <w:kern w:val="2"/>
              <w:sz w:val="24"/>
              <w:szCs w:val="24"/>
              <w:lang w:eastAsia="en-AU"/>
              <w14:ligatures w14:val="standardContextual"/>
            </w:rPr>
          </w:pPr>
          <w:hyperlink w:anchor="_Toc170319594" w:history="1">
            <w:r w:rsidR="007B343A" w:rsidRPr="003B0F78">
              <w:rPr>
                <w:rStyle w:val="Hyperlink"/>
              </w:rPr>
              <w:t>2.2</w:t>
            </w:r>
            <w:r w:rsidR="007B343A">
              <w:rPr>
                <w:rFonts w:eastAsiaTheme="minorEastAsia"/>
                <w:kern w:val="2"/>
                <w:sz w:val="24"/>
                <w:szCs w:val="24"/>
                <w:lang w:eastAsia="en-AU"/>
                <w14:ligatures w14:val="standardContextual"/>
              </w:rPr>
              <w:tab/>
            </w:r>
            <w:r w:rsidR="007B343A" w:rsidRPr="003B0F78">
              <w:rPr>
                <w:rStyle w:val="Hyperlink"/>
              </w:rPr>
              <w:t>Legislative framework</w:t>
            </w:r>
            <w:r w:rsidR="007B343A">
              <w:rPr>
                <w:webHidden/>
              </w:rPr>
              <w:tab/>
            </w:r>
            <w:r w:rsidR="007B343A">
              <w:rPr>
                <w:webHidden/>
              </w:rPr>
              <w:fldChar w:fldCharType="begin"/>
            </w:r>
            <w:r w:rsidR="007B343A">
              <w:rPr>
                <w:webHidden/>
              </w:rPr>
              <w:instrText xml:space="preserve"> PAGEREF _Toc170319594 \h </w:instrText>
            </w:r>
            <w:r w:rsidR="007B343A">
              <w:rPr>
                <w:webHidden/>
              </w:rPr>
            </w:r>
            <w:r w:rsidR="007B343A">
              <w:rPr>
                <w:webHidden/>
              </w:rPr>
              <w:fldChar w:fldCharType="separate"/>
            </w:r>
            <w:r w:rsidR="007B343A">
              <w:rPr>
                <w:webHidden/>
              </w:rPr>
              <w:t>3</w:t>
            </w:r>
            <w:r w:rsidR="007B343A">
              <w:rPr>
                <w:webHidden/>
              </w:rPr>
              <w:fldChar w:fldCharType="end"/>
            </w:r>
          </w:hyperlink>
        </w:p>
        <w:p w14:paraId="52E55080" w14:textId="53A74490" w:rsidR="007B343A" w:rsidRDefault="005B0D57">
          <w:pPr>
            <w:pStyle w:val="TOC2"/>
            <w:tabs>
              <w:tab w:val="left" w:pos="1200"/>
            </w:tabs>
            <w:rPr>
              <w:rFonts w:eastAsiaTheme="minorEastAsia"/>
              <w:kern w:val="2"/>
              <w:sz w:val="24"/>
              <w:szCs w:val="24"/>
              <w:lang w:eastAsia="en-AU"/>
              <w14:ligatures w14:val="standardContextual"/>
            </w:rPr>
          </w:pPr>
          <w:hyperlink w:anchor="_Toc170319595" w:history="1">
            <w:r w:rsidR="007B343A" w:rsidRPr="003B0F78">
              <w:rPr>
                <w:rStyle w:val="Hyperlink"/>
              </w:rPr>
              <w:t>2.3</w:t>
            </w:r>
            <w:r w:rsidR="007B343A">
              <w:rPr>
                <w:rFonts w:eastAsiaTheme="minorEastAsia"/>
                <w:kern w:val="2"/>
                <w:sz w:val="24"/>
                <w:szCs w:val="24"/>
                <w:lang w:eastAsia="en-AU"/>
                <w14:ligatures w14:val="standardContextual"/>
              </w:rPr>
              <w:tab/>
            </w:r>
            <w:r w:rsidR="007B343A" w:rsidRPr="003B0F78">
              <w:rPr>
                <w:rStyle w:val="Hyperlink"/>
              </w:rPr>
              <w:t>Roles and responsibilities</w:t>
            </w:r>
            <w:r w:rsidR="007B343A">
              <w:rPr>
                <w:webHidden/>
              </w:rPr>
              <w:tab/>
            </w:r>
            <w:r w:rsidR="007B343A">
              <w:rPr>
                <w:webHidden/>
              </w:rPr>
              <w:fldChar w:fldCharType="begin"/>
            </w:r>
            <w:r w:rsidR="007B343A">
              <w:rPr>
                <w:webHidden/>
              </w:rPr>
              <w:instrText xml:space="preserve"> PAGEREF _Toc170319595 \h </w:instrText>
            </w:r>
            <w:r w:rsidR="007B343A">
              <w:rPr>
                <w:webHidden/>
              </w:rPr>
            </w:r>
            <w:r w:rsidR="007B343A">
              <w:rPr>
                <w:webHidden/>
              </w:rPr>
              <w:fldChar w:fldCharType="separate"/>
            </w:r>
            <w:r w:rsidR="007B343A">
              <w:rPr>
                <w:webHidden/>
              </w:rPr>
              <w:t>4</w:t>
            </w:r>
            <w:r w:rsidR="007B343A">
              <w:rPr>
                <w:webHidden/>
              </w:rPr>
              <w:fldChar w:fldCharType="end"/>
            </w:r>
          </w:hyperlink>
        </w:p>
        <w:p w14:paraId="424E1C3C" w14:textId="666DD707" w:rsidR="007B343A" w:rsidRDefault="005B0D57">
          <w:pPr>
            <w:pStyle w:val="TOC2"/>
            <w:tabs>
              <w:tab w:val="left" w:pos="1200"/>
            </w:tabs>
            <w:rPr>
              <w:rFonts w:eastAsiaTheme="minorEastAsia"/>
              <w:kern w:val="2"/>
              <w:sz w:val="24"/>
              <w:szCs w:val="24"/>
              <w:lang w:eastAsia="en-AU"/>
              <w14:ligatures w14:val="standardContextual"/>
            </w:rPr>
          </w:pPr>
          <w:hyperlink w:anchor="_Toc170319596" w:history="1">
            <w:r w:rsidR="007B343A" w:rsidRPr="003B0F78">
              <w:rPr>
                <w:rStyle w:val="Hyperlink"/>
              </w:rPr>
              <w:t>2.4</w:t>
            </w:r>
            <w:r w:rsidR="007B343A">
              <w:rPr>
                <w:rFonts w:eastAsiaTheme="minorEastAsia"/>
                <w:kern w:val="2"/>
                <w:sz w:val="24"/>
                <w:szCs w:val="24"/>
                <w:lang w:eastAsia="en-AU"/>
                <w14:ligatures w14:val="standardContextual"/>
              </w:rPr>
              <w:tab/>
            </w:r>
            <w:r w:rsidR="007B343A" w:rsidRPr="003B0F78">
              <w:rPr>
                <w:rStyle w:val="Hyperlink"/>
              </w:rPr>
              <w:t>Declaring a conflict of interest</w:t>
            </w:r>
            <w:r w:rsidR="007B343A">
              <w:rPr>
                <w:webHidden/>
              </w:rPr>
              <w:tab/>
            </w:r>
            <w:r w:rsidR="007B343A">
              <w:rPr>
                <w:webHidden/>
              </w:rPr>
              <w:fldChar w:fldCharType="begin"/>
            </w:r>
            <w:r w:rsidR="007B343A">
              <w:rPr>
                <w:webHidden/>
              </w:rPr>
              <w:instrText xml:space="preserve"> PAGEREF _Toc170319596 \h </w:instrText>
            </w:r>
            <w:r w:rsidR="007B343A">
              <w:rPr>
                <w:webHidden/>
              </w:rPr>
            </w:r>
            <w:r w:rsidR="007B343A">
              <w:rPr>
                <w:webHidden/>
              </w:rPr>
              <w:fldChar w:fldCharType="separate"/>
            </w:r>
            <w:r w:rsidR="007B343A">
              <w:rPr>
                <w:webHidden/>
              </w:rPr>
              <w:t>4</w:t>
            </w:r>
            <w:r w:rsidR="007B343A">
              <w:rPr>
                <w:webHidden/>
              </w:rPr>
              <w:fldChar w:fldCharType="end"/>
            </w:r>
          </w:hyperlink>
        </w:p>
        <w:p w14:paraId="499E0C8D" w14:textId="0377B254" w:rsidR="007B343A" w:rsidRDefault="005B0D57">
          <w:pPr>
            <w:pStyle w:val="TOC2"/>
            <w:tabs>
              <w:tab w:val="left" w:pos="1200"/>
            </w:tabs>
            <w:rPr>
              <w:rFonts w:eastAsiaTheme="minorEastAsia"/>
              <w:kern w:val="2"/>
              <w:sz w:val="24"/>
              <w:szCs w:val="24"/>
              <w:lang w:eastAsia="en-AU"/>
              <w14:ligatures w14:val="standardContextual"/>
            </w:rPr>
          </w:pPr>
          <w:hyperlink w:anchor="_Toc170319597" w:history="1">
            <w:r w:rsidR="007B343A" w:rsidRPr="003B0F78">
              <w:rPr>
                <w:rStyle w:val="Hyperlink"/>
              </w:rPr>
              <w:t>2.5</w:t>
            </w:r>
            <w:r w:rsidR="007B343A">
              <w:rPr>
                <w:rFonts w:eastAsiaTheme="minorEastAsia"/>
                <w:kern w:val="2"/>
                <w:sz w:val="24"/>
                <w:szCs w:val="24"/>
                <w:lang w:eastAsia="en-AU"/>
                <w14:ligatures w14:val="standardContextual"/>
              </w:rPr>
              <w:tab/>
            </w:r>
            <w:r w:rsidR="007B343A" w:rsidRPr="003B0F78">
              <w:rPr>
                <w:rStyle w:val="Hyperlink"/>
              </w:rPr>
              <w:t>Failure to declare a material interest</w:t>
            </w:r>
            <w:r w:rsidR="007B343A">
              <w:rPr>
                <w:webHidden/>
              </w:rPr>
              <w:tab/>
            </w:r>
            <w:r w:rsidR="007B343A">
              <w:rPr>
                <w:webHidden/>
              </w:rPr>
              <w:fldChar w:fldCharType="begin"/>
            </w:r>
            <w:r w:rsidR="007B343A">
              <w:rPr>
                <w:webHidden/>
              </w:rPr>
              <w:instrText xml:space="preserve"> PAGEREF _Toc170319597 \h </w:instrText>
            </w:r>
            <w:r w:rsidR="007B343A">
              <w:rPr>
                <w:webHidden/>
              </w:rPr>
            </w:r>
            <w:r w:rsidR="007B343A">
              <w:rPr>
                <w:webHidden/>
              </w:rPr>
              <w:fldChar w:fldCharType="separate"/>
            </w:r>
            <w:r w:rsidR="007B343A">
              <w:rPr>
                <w:webHidden/>
              </w:rPr>
              <w:t>4</w:t>
            </w:r>
            <w:r w:rsidR="007B343A">
              <w:rPr>
                <w:webHidden/>
              </w:rPr>
              <w:fldChar w:fldCharType="end"/>
            </w:r>
          </w:hyperlink>
        </w:p>
        <w:p w14:paraId="4F54667F" w14:textId="1E0FB5A4" w:rsidR="007B343A" w:rsidRDefault="005B0D57">
          <w:pPr>
            <w:pStyle w:val="TOC1"/>
            <w:rPr>
              <w:rFonts w:eastAsiaTheme="minorEastAsia"/>
              <w:b w:val="0"/>
              <w:kern w:val="2"/>
              <w:sz w:val="24"/>
              <w:szCs w:val="24"/>
              <w:lang w:eastAsia="en-AU"/>
              <w14:ligatures w14:val="standardContextual"/>
            </w:rPr>
          </w:pPr>
          <w:hyperlink w:anchor="_Toc170319598" w:history="1">
            <w:r w:rsidR="007B343A" w:rsidRPr="003B0F78">
              <w:rPr>
                <w:rStyle w:val="Hyperlink"/>
              </w:rPr>
              <w:t>3</w:t>
            </w:r>
            <w:r w:rsidR="007B343A">
              <w:rPr>
                <w:rFonts w:eastAsiaTheme="minorEastAsia"/>
                <w:b w:val="0"/>
                <w:kern w:val="2"/>
                <w:sz w:val="24"/>
                <w:szCs w:val="24"/>
                <w:lang w:eastAsia="en-AU"/>
                <w14:ligatures w14:val="standardContextual"/>
              </w:rPr>
              <w:tab/>
            </w:r>
            <w:r w:rsidR="007B343A" w:rsidRPr="003B0F78">
              <w:rPr>
                <w:rStyle w:val="Hyperlink"/>
              </w:rPr>
              <w:t>Reviewing material interests</w:t>
            </w:r>
            <w:r w:rsidR="007B343A">
              <w:rPr>
                <w:webHidden/>
              </w:rPr>
              <w:tab/>
            </w:r>
            <w:r w:rsidR="007B343A">
              <w:rPr>
                <w:webHidden/>
              </w:rPr>
              <w:fldChar w:fldCharType="begin"/>
            </w:r>
            <w:r w:rsidR="007B343A">
              <w:rPr>
                <w:webHidden/>
              </w:rPr>
              <w:instrText xml:space="preserve"> PAGEREF _Toc170319598 \h </w:instrText>
            </w:r>
            <w:r w:rsidR="007B343A">
              <w:rPr>
                <w:webHidden/>
              </w:rPr>
            </w:r>
            <w:r w:rsidR="007B343A">
              <w:rPr>
                <w:webHidden/>
              </w:rPr>
              <w:fldChar w:fldCharType="separate"/>
            </w:r>
            <w:r w:rsidR="007B343A">
              <w:rPr>
                <w:webHidden/>
              </w:rPr>
              <w:t>4</w:t>
            </w:r>
            <w:r w:rsidR="007B343A">
              <w:rPr>
                <w:webHidden/>
              </w:rPr>
              <w:fldChar w:fldCharType="end"/>
            </w:r>
          </w:hyperlink>
        </w:p>
        <w:p w14:paraId="73ECF7D7" w14:textId="45C3C28E" w:rsidR="007B343A" w:rsidRDefault="005B0D57">
          <w:pPr>
            <w:pStyle w:val="TOC2"/>
            <w:tabs>
              <w:tab w:val="left" w:pos="1200"/>
            </w:tabs>
            <w:rPr>
              <w:rFonts w:eastAsiaTheme="minorEastAsia"/>
              <w:kern w:val="2"/>
              <w:sz w:val="24"/>
              <w:szCs w:val="24"/>
              <w:lang w:eastAsia="en-AU"/>
              <w14:ligatures w14:val="standardContextual"/>
            </w:rPr>
          </w:pPr>
          <w:hyperlink w:anchor="_Toc170319599" w:history="1">
            <w:r w:rsidR="007B343A" w:rsidRPr="003B0F78">
              <w:rPr>
                <w:rStyle w:val="Hyperlink"/>
              </w:rPr>
              <w:t>3.1</w:t>
            </w:r>
            <w:r w:rsidR="007B343A">
              <w:rPr>
                <w:rFonts w:eastAsiaTheme="minorEastAsia"/>
                <w:kern w:val="2"/>
                <w:sz w:val="24"/>
                <w:szCs w:val="24"/>
                <w:lang w:eastAsia="en-AU"/>
                <w14:ligatures w14:val="standardContextual"/>
              </w:rPr>
              <w:tab/>
            </w:r>
            <w:r w:rsidR="007B343A" w:rsidRPr="003B0F78">
              <w:rPr>
                <w:rStyle w:val="Hyperlink"/>
              </w:rPr>
              <w:t>Imposing conditions on accreditation</w:t>
            </w:r>
            <w:r w:rsidR="007B343A">
              <w:rPr>
                <w:webHidden/>
              </w:rPr>
              <w:tab/>
            </w:r>
            <w:r w:rsidR="007B343A">
              <w:rPr>
                <w:webHidden/>
              </w:rPr>
              <w:fldChar w:fldCharType="begin"/>
            </w:r>
            <w:r w:rsidR="007B343A">
              <w:rPr>
                <w:webHidden/>
              </w:rPr>
              <w:instrText xml:space="preserve"> PAGEREF _Toc170319599 \h </w:instrText>
            </w:r>
            <w:r w:rsidR="007B343A">
              <w:rPr>
                <w:webHidden/>
              </w:rPr>
            </w:r>
            <w:r w:rsidR="007B343A">
              <w:rPr>
                <w:webHidden/>
              </w:rPr>
              <w:fldChar w:fldCharType="separate"/>
            </w:r>
            <w:r w:rsidR="007B343A">
              <w:rPr>
                <w:webHidden/>
              </w:rPr>
              <w:t>4</w:t>
            </w:r>
            <w:r w:rsidR="007B343A">
              <w:rPr>
                <w:webHidden/>
              </w:rPr>
              <w:fldChar w:fldCharType="end"/>
            </w:r>
          </w:hyperlink>
        </w:p>
        <w:p w14:paraId="64ECEDE9" w14:textId="005190C7" w:rsidR="007B343A" w:rsidRDefault="005B0D57">
          <w:pPr>
            <w:pStyle w:val="TOC2"/>
            <w:tabs>
              <w:tab w:val="left" w:pos="1200"/>
            </w:tabs>
            <w:rPr>
              <w:rFonts w:eastAsiaTheme="minorEastAsia"/>
              <w:kern w:val="2"/>
              <w:sz w:val="24"/>
              <w:szCs w:val="24"/>
              <w:lang w:eastAsia="en-AU"/>
              <w14:ligatures w14:val="standardContextual"/>
            </w:rPr>
          </w:pPr>
          <w:hyperlink w:anchor="_Toc170319600" w:history="1">
            <w:r w:rsidR="007B343A" w:rsidRPr="003B0F78">
              <w:rPr>
                <w:rStyle w:val="Hyperlink"/>
              </w:rPr>
              <w:t>3.2</w:t>
            </w:r>
            <w:r w:rsidR="007B343A">
              <w:rPr>
                <w:rFonts w:eastAsiaTheme="minorEastAsia"/>
                <w:kern w:val="2"/>
                <w:sz w:val="24"/>
                <w:szCs w:val="24"/>
                <w:lang w:eastAsia="en-AU"/>
                <w14:ligatures w14:val="standardContextual"/>
              </w:rPr>
              <w:tab/>
            </w:r>
            <w:r w:rsidR="007B343A" w:rsidRPr="003B0F78">
              <w:rPr>
                <w:rStyle w:val="Hyperlink"/>
              </w:rPr>
              <w:t>Conditions that could be placed on an AAV’s accreditation</w:t>
            </w:r>
            <w:r w:rsidR="007B343A">
              <w:rPr>
                <w:webHidden/>
              </w:rPr>
              <w:tab/>
            </w:r>
            <w:r w:rsidR="007B343A">
              <w:rPr>
                <w:webHidden/>
              </w:rPr>
              <w:fldChar w:fldCharType="begin"/>
            </w:r>
            <w:r w:rsidR="007B343A">
              <w:rPr>
                <w:webHidden/>
              </w:rPr>
              <w:instrText xml:space="preserve"> PAGEREF _Toc170319600 \h </w:instrText>
            </w:r>
            <w:r w:rsidR="007B343A">
              <w:rPr>
                <w:webHidden/>
              </w:rPr>
            </w:r>
            <w:r w:rsidR="007B343A">
              <w:rPr>
                <w:webHidden/>
              </w:rPr>
              <w:fldChar w:fldCharType="separate"/>
            </w:r>
            <w:r w:rsidR="007B343A">
              <w:rPr>
                <w:webHidden/>
              </w:rPr>
              <w:t>5</w:t>
            </w:r>
            <w:r w:rsidR="007B343A">
              <w:rPr>
                <w:webHidden/>
              </w:rPr>
              <w:fldChar w:fldCharType="end"/>
            </w:r>
          </w:hyperlink>
        </w:p>
        <w:p w14:paraId="706FF8C1" w14:textId="0C8B86DF" w:rsidR="007B343A" w:rsidRDefault="005B0D57">
          <w:pPr>
            <w:pStyle w:val="TOC2"/>
            <w:tabs>
              <w:tab w:val="left" w:pos="1200"/>
            </w:tabs>
            <w:rPr>
              <w:rFonts w:eastAsiaTheme="minorEastAsia"/>
              <w:kern w:val="2"/>
              <w:sz w:val="24"/>
              <w:szCs w:val="24"/>
              <w:lang w:eastAsia="en-AU"/>
              <w14:ligatures w14:val="standardContextual"/>
            </w:rPr>
          </w:pPr>
          <w:hyperlink w:anchor="_Toc170319601" w:history="1">
            <w:r w:rsidR="007B343A" w:rsidRPr="003B0F78">
              <w:rPr>
                <w:rStyle w:val="Hyperlink"/>
              </w:rPr>
              <w:t>3.3</w:t>
            </w:r>
            <w:r w:rsidR="007B343A">
              <w:rPr>
                <w:rFonts w:eastAsiaTheme="minorEastAsia"/>
                <w:kern w:val="2"/>
                <w:sz w:val="24"/>
                <w:szCs w:val="24"/>
                <w:lang w:eastAsia="en-AU"/>
                <w14:ligatures w14:val="standardContextual"/>
              </w:rPr>
              <w:tab/>
            </w:r>
            <w:r w:rsidR="007B343A" w:rsidRPr="003B0F78">
              <w:rPr>
                <w:rStyle w:val="Hyperlink"/>
              </w:rPr>
              <w:t>Reviewing a decision to implement conditions</w:t>
            </w:r>
            <w:r w:rsidR="007B343A">
              <w:rPr>
                <w:webHidden/>
              </w:rPr>
              <w:tab/>
            </w:r>
            <w:r w:rsidR="007B343A">
              <w:rPr>
                <w:webHidden/>
              </w:rPr>
              <w:fldChar w:fldCharType="begin"/>
            </w:r>
            <w:r w:rsidR="007B343A">
              <w:rPr>
                <w:webHidden/>
              </w:rPr>
              <w:instrText xml:space="preserve"> PAGEREF _Toc170319601 \h </w:instrText>
            </w:r>
            <w:r w:rsidR="007B343A">
              <w:rPr>
                <w:webHidden/>
              </w:rPr>
            </w:r>
            <w:r w:rsidR="007B343A">
              <w:rPr>
                <w:webHidden/>
              </w:rPr>
              <w:fldChar w:fldCharType="separate"/>
            </w:r>
            <w:r w:rsidR="007B343A">
              <w:rPr>
                <w:webHidden/>
              </w:rPr>
              <w:t>5</w:t>
            </w:r>
            <w:r w:rsidR="007B343A">
              <w:rPr>
                <w:webHidden/>
              </w:rPr>
              <w:fldChar w:fldCharType="end"/>
            </w:r>
          </w:hyperlink>
        </w:p>
        <w:p w14:paraId="12A700A6" w14:textId="7D1D8CAB" w:rsidR="007B343A" w:rsidRDefault="005B0D57">
          <w:pPr>
            <w:pStyle w:val="TOC1"/>
            <w:rPr>
              <w:rFonts w:eastAsiaTheme="minorEastAsia"/>
              <w:b w:val="0"/>
              <w:kern w:val="2"/>
              <w:sz w:val="24"/>
              <w:szCs w:val="24"/>
              <w:lang w:eastAsia="en-AU"/>
              <w14:ligatures w14:val="standardContextual"/>
            </w:rPr>
          </w:pPr>
          <w:hyperlink w:anchor="_Toc170319602" w:history="1">
            <w:r w:rsidR="007B343A" w:rsidRPr="003B0F78">
              <w:rPr>
                <w:rStyle w:val="Hyperlink"/>
              </w:rPr>
              <w:t>4</w:t>
            </w:r>
            <w:r w:rsidR="007B343A">
              <w:rPr>
                <w:rFonts w:eastAsiaTheme="minorEastAsia"/>
                <w:b w:val="0"/>
                <w:kern w:val="2"/>
                <w:sz w:val="24"/>
                <w:szCs w:val="24"/>
                <w:lang w:eastAsia="en-AU"/>
                <w14:ligatures w14:val="standardContextual"/>
              </w:rPr>
              <w:tab/>
            </w:r>
            <w:r w:rsidR="007B343A" w:rsidRPr="003B0F78">
              <w:rPr>
                <w:rStyle w:val="Hyperlink"/>
              </w:rPr>
              <w:t>Contact</w:t>
            </w:r>
            <w:r w:rsidR="007B343A">
              <w:rPr>
                <w:webHidden/>
              </w:rPr>
              <w:tab/>
            </w:r>
            <w:r w:rsidR="007B343A">
              <w:rPr>
                <w:webHidden/>
              </w:rPr>
              <w:fldChar w:fldCharType="begin"/>
            </w:r>
            <w:r w:rsidR="007B343A">
              <w:rPr>
                <w:webHidden/>
              </w:rPr>
              <w:instrText xml:space="preserve"> PAGEREF _Toc170319602 \h </w:instrText>
            </w:r>
            <w:r w:rsidR="007B343A">
              <w:rPr>
                <w:webHidden/>
              </w:rPr>
            </w:r>
            <w:r w:rsidR="007B343A">
              <w:rPr>
                <w:webHidden/>
              </w:rPr>
              <w:fldChar w:fldCharType="separate"/>
            </w:r>
            <w:r w:rsidR="007B343A">
              <w:rPr>
                <w:webHidden/>
              </w:rPr>
              <w:t>5</w:t>
            </w:r>
            <w:r w:rsidR="007B343A">
              <w:rPr>
                <w:webHidden/>
              </w:rPr>
              <w:fldChar w:fldCharType="end"/>
            </w:r>
          </w:hyperlink>
        </w:p>
        <w:p w14:paraId="2BD08F96" w14:textId="51C0A723" w:rsidR="007B343A" w:rsidRDefault="005B0D57">
          <w:pPr>
            <w:pStyle w:val="TOC1"/>
            <w:rPr>
              <w:rFonts w:eastAsiaTheme="minorEastAsia"/>
              <w:b w:val="0"/>
              <w:kern w:val="2"/>
              <w:sz w:val="24"/>
              <w:szCs w:val="24"/>
              <w:lang w:eastAsia="en-AU"/>
              <w14:ligatures w14:val="standardContextual"/>
            </w:rPr>
          </w:pPr>
          <w:hyperlink w:anchor="_Toc170319603" w:history="1">
            <w:r w:rsidR="007B343A" w:rsidRPr="003B0F78">
              <w:rPr>
                <w:rStyle w:val="Hyperlink"/>
              </w:rPr>
              <w:t>5</w:t>
            </w:r>
            <w:r w:rsidR="007B343A">
              <w:rPr>
                <w:rFonts w:eastAsiaTheme="minorEastAsia"/>
                <w:b w:val="0"/>
                <w:kern w:val="2"/>
                <w:sz w:val="24"/>
                <w:szCs w:val="24"/>
                <w:lang w:eastAsia="en-AU"/>
                <w14:ligatures w14:val="standardContextual"/>
              </w:rPr>
              <w:tab/>
            </w:r>
            <w:r w:rsidR="007B343A" w:rsidRPr="003B0F78">
              <w:rPr>
                <w:rStyle w:val="Hyperlink"/>
              </w:rPr>
              <w:t>Related material</w:t>
            </w:r>
            <w:r w:rsidR="007B343A">
              <w:rPr>
                <w:webHidden/>
              </w:rPr>
              <w:tab/>
            </w:r>
            <w:r w:rsidR="007B343A">
              <w:rPr>
                <w:webHidden/>
              </w:rPr>
              <w:fldChar w:fldCharType="begin"/>
            </w:r>
            <w:r w:rsidR="007B343A">
              <w:rPr>
                <w:webHidden/>
              </w:rPr>
              <w:instrText xml:space="preserve"> PAGEREF _Toc170319603 \h </w:instrText>
            </w:r>
            <w:r w:rsidR="007B343A">
              <w:rPr>
                <w:webHidden/>
              </w:rPr>
            </w:r>
            <w:r w:rsidR="007B343A">
              <w:rPr>
                <w:webHidden/>
              </w:rPr>
              <w:fldChar w:fldCharType="separate"/>
            </w:r>
            <w:r w:rsidR="007B343A">
              <w:rPr>
                <w:webHidden/>
              </w:rPr>
              <w:t>6</w:t>
            </w:r>
            <w:r w:rsidR="007B343A">
              <w:rPr>
                <w:webHidden/>
              </w:rPr>
              <w:fldChar w:fldCharType="end"/>
            </w:r>
          </w:hyperlink>
        </w:p>
        <w:p w14:paraId="7B213891" w14:textId="7685C6F2" w:rsidR="007B343A" w:rsidRDefault="005B0D57">
          <w:pPr>
            <w:pStyle w:val="TOC1"/>
            <w:rPr>
              <w:rFonts w:eastAsiaTheme="minorEastAsia"/>
              <w:b w:val="0"/>
              <w:kern w:val="2"/>
              <w:sz w:val="24"/>
              <w:szCs w:val="24"/>
              <w:lang w:eastAsia="en-AU"/>
              <w14:ligatures w14:val="standardContextual"/>
            </w:rPr>
          </w:pPr>
          <w:hyperlink w:anchor="_Toc170319604" w:history="1">
            <w:r w:rsidR="007B343A" w:rsidRPr="003B0F78">
              <w:rPr>
                <w:rStyle w:val="Hyperlink"/>
              </w:rPr>
              <w:t>6</w:t>
            </w:r>
            <w:r w:rsidR="007B343A">
              <w:rPr>
                <w:rFonts w:eastAsiaTheme="minorEastAsia"/>
                <w:b w:val="0"/>
                <w:kern w:val="2"/>
                <w:sz w:val="24"/>
                <w:szCs w:val="24"/>
                <w:lang w:eastAsia="en-AU"/>
                <w14:ligatures w14:val="standardContextual"/>
              </w:rPr>
              <w:tab/>
            </w:r>
            <w:r w:rsidR="007B343A" w:rsidRPr="003B0F78">
              <w:rPr>
                <w:rStyle w:val="Hyperlink"/>
              </w:rPr>
              <w:t>Version control</w:t>
            </w:r>
            <w:r w:rsidR="007B343A">
              <w:rPr>
                <w:webHidden/>
              </w:rPr>
              <w:tab/>
            </w:r>
            <w:r w:rsidR="007B343A">
              <w:rPr>
                <w:webHidden/>
              </w:rPr>
              <w:fldChar w:fldCharType="begin"/>
            </w:r>
            <w:r w:rsidR="007B343A">
              <w:rPr>
                <w:webHidden/>
              </w:rPr>
              <w:instrText xml:space="preserve"> PAGEREF _Toc170319604 \h </w:instrText>
            </w:r>
            <w:r w:rsidR="007B343A">
              <w:rPr>
                <w:webHidden/>
              </w:rPr>
            </w:r>
            <w:r w:rsidR="007B343A">
              <w:rPr>
                <w:webHidden/>
              </w:rPr>
              <w:fldChar w:fldCharType="separate"/>
            </w:r>
            <w:r w:rsidR="007B343A">
              <w:rPr>
                <w:webHidden/>
              </w:rPr>
              <w:t>6</w:t>
            </w:r>
            <w:r w:rsidR="007B343A">
              <w:rPr>
                <w:webHidden/>
              </w:rPr>
              <w:fldChar w:fldCharType="end"/>
            </w:r>
          </w:hyperlink>
        </w:p>
        <w:p w14:paraId="4BED376D" w14:textId="44841307" w:rsidR="003E4788" w:rsidRDefault="005C11E1">
          <w:pPr>
            <w:sectPr w:rsidR="003E4788" w:rsidSect="009B1301">
              <w:headerReference w:type="even" r:id="rId15"/>
              <w:headerReference w:type="default" r:id="rId16"/>
              <w:footerReference w:type="even" r:id="rId17"/>
              <w:footerReference w:type="default" r:id="rId18"/>
              <w:headerReference w:type="first" r:id="rId19"/>
              <w:pgSz w:w="11906" w:h="16838"/>
              <w:pgMar w:top="1418" w:right="1418" w:bottom="1418" w:left="1418" w:header="567" w:footer="283" w:gutter="0"/>
              <w:pgNumType w:fmt="lowerRoman" w:start="1"/>
              <w:cols w:space="708"/>
              <w:titlePg/>
              <w:docGrid w:linePitch="360"/>
            </w:sectPr>
          </w:pPr>
          <w:r>
            <w:rPr>
              <w:b/>
              <w:noProof/>
            </w:rPr>
            <w:fldChar w:fldCharType="end"/>
          </w:r>
        </w:p>
      </w:sdtContent>
    </w:sdt>
    <w:p w14:paraId="528EF7F6" w14:textId="7A6C8661" w:rsidR="008103AD" w:rsidRDefault="008103AD" w:rsidP="008103AD">
      <w:pPr>
        <w:pStyle w:val="Heading2"/>
        <w:numPr>
          <w:ilvl w:val="0"/>
          <w:numId w:val="0"/>
        </w:numPr>
        <w:ind w:left="720" w:hanging="720"/>
      </w:pPr>
      <w:bookmarkStart w:id="10" w:name="_Toc170319589"/>
      <w:bookmarkStart w:id="11" w:name="_Hlk164244500"/>
      <w:bookmarkStart w:id="12" w:name="_Toc430782151"/>
      <w:r w:rsidRPr="00837777">
        <w:lastRenderedPageBreak/>
        <w:t>Glossary</w:t>
      </w:r>
      <w:bookmarkEnd w:id="10"/>
    </w:p>
    <w:tbl>
      <w:tblPr>
        <w:tblW w:w="5000" w:type="pct"/>
        <w:tblBorders>
          <w:top w:val="single" w:sz="6" w:space="0" w:color="auto"/>
          <w:bottom w:val="single" w:sz="4" w:space="0" w:color="auto"/>
          <w:insideH w:val="single" w:sz="4" w:space="0" w:color="auto"/>
        </w:tblBorders>
        <w:tblCellMar>
          <w:left w:w="40" w:type="dxa"/>
          <w:right w:w="40" w:type="dxa"/>
        </w:tblCellMar>
        <w:tblLook w:val="04A0" w:firstRow="1" w:lastRow="0" w:firstColumn="1" w:lastColumn="0" w:noHBand="0" w:noVBand="1"/>
      </w:tblPr>
      <w:tblGrid>
        <w:gridCol w:w="2267"/>
        <w:gridCol w:w="6803"/>
      </w:tblGrid>
      <w:tr w:rsidR="008103AD" w14:paraId="3D54C92E" w14:textId="77777777" w:rsidTr="007D571F">
        <w:trPr>
          <w:cantSplit/>
          <w:tblHeader/>
        </w:trPr>
        <w:tc>
          <w:tcPr>
            <w:tcW w:w="1250" w:type="pct"/>
            <w:tcBorders>
              <w:top w:val="single" w:sz="6" w:space="0" w:color="auto"/>
              <w:left w:val="nil"/>
              <w:bottom w:val="single" w:sz="4" w:space="0" w:color="auto"/>
              <w:right w:val="nil"/>
            </w:tcBorders>
            <w:tcMar>
              <w:top w:w="0" w:type="dxa"/>
              <w:left w:w="108" w:type="dxa"/>
              <w:bottom w:w="0" w:type="dxa"/>
              <w:right w:w="108" w:type="dxa"/>
            </w:tcMar>
            <w:hideMark/>
          </w:tcPr>
          <w:p w14:paraId="51CB77E6" w14:textId="77777777" w:rsidR="008103AD" w:rsidRDefault="008103AD" w:rsidP="007D571F">
            <w:pPr>
              <w:pStyle w:val="TableHeading"/>
            </w:pPr>
            <w:r>
              <w:t>Term</w:t>
            </w:r>
          </w:p>
        </w:tc>
        <w:tc>
          <w:tcPr>
            <w:tcW w:w="3750" w:type="pct"/>
            <w:tcBorders>
              <w:top w:val="single" w:sz="6" w:space="0" w:color="auto"/>
              <w:left w:val="nil"/>
              <w:bottom w:val="single" w:sz="4" w:space="0" w:color="auto"/>
              <w:right w:val="nil"/>
            </w:tcBorders>
            <w:tcMar>
              <w:top w:w="0" w:type="dxa"/>
              <w:left w:w="108" w:type="dxa"/>
              <w:bottom w:w="0" w:type="dxa"/>
              <w:right w:w="108" w:type="dxa"/>
            </w:tcMar>
            <w:hideMark/>
          </w:tcPr>
          <w:p w14:paraId="05C3A31A" w14:textId="77777777" w:rsidR="008103AD" w:rsidRDefault="008103AD" w:rsidP="007D571F">
            <w:pPr>
              <w:pStyle w:val="TableHeading"/>
            </w:pPr>
            <w:r>
              <w:t>Definition</w:t>
            </w:r>
          </w:p>
        </w:tc>
      </w:tr>
      <w:tr w:rsidR="008103AD" w14:paraId="11F5790A"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78B6AE0B" w14:textId="42F38EEC" w:rsidR="008103AD" w:rsidRDefault="008103AD" w:rsidP="002E27D8">
            <w:pPr>
              <w:pStyle w:val="TableText"/>
            </w:pPr>
            <w:r w:rsidRPr="006E3B34">
              <w:t xml:space="preserve">Accredited </w:t>
            </w:r>
            <w:r w:rsidR="00E965DA">
              <w:t>v</w:t>
            </w:r>
            <w:r w:rsidRPr="006E3B34">
              <w:t>eterinarian (AAV)</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133FCF04" w14:textId="77777777" w:rsidR="008103AD" w:rsidRDefault="008103AD" w:rsidP="002E27D8">
            <w:pPr>
              <w:pStyle w:val="TableText"/>
            </w:pPr>
            <w:r w:rsidRPr="006E3B34">
              <w:t>A veterinarian who is accredited under the Export Control (Animals) Rules 2021 to undertake approved export programs (AEPs). AAVs may be accredited to perform pre-export preparation services or shipboard services or both in relation to AEPs.</w:t>
            </w:r>
          </w:p>
        </w:tc>
      </w:tr>
      <w:tr w:rsidR="008103AD" w14:paraId="65A7D898"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11312B09" w14:textId="579731CA" w:rsidR="008103AD" w:rsidRDefault="008103AD" w:rsidP="002E27D8">
            <w:pPr>
              <w:pStyle w:val="TableText"/>
            </w:pPr>
            <w:r w:rsidRPr="006E3B34">
              <w:t xml:space="preserve">Approved </w:t>
            </w:r>
            <w:r w:rsidR="00E965DA">
              <w:t>e</w:t>
            </w:r>
            <w:r w:rsidRPr="006E3B34">
              <w:t xml:space="preserve">xport </w:t>
            </w:r>
            <w:r w:rsidR="00E965DA">
              <w:t>p</w:t>
            </w:r>
            <w:r w:rsidRPr="006E3B34">
              <w:t>rogram (AEP)</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264CA6CD" w14:textId="77777777" w:rsidR="008103AD" w:rsidRDefault="008103AD" w:rsidP="002E27D8">
            <w:pPr>
              <w:pStyle w:val="TableText"/>
            </w:pPr>
            <w:r w:rsidRPr="006E3B34">
              <w:t>An AEP is a program of activities to be undertaken by an AAV. For pre-export operations, this covers treatments and tests for export livestock in accordance with importing country requirements, ASEL and the exporters approved arrangement. For shipboard operations, this covers the management of the health and welfare of the livestock onboard the vessel and daily and end of voyage reporting requirements.</w:t>
            </w:r>
          </w:p>
        </w:tc>
      </w:tr>
      <w:tr w:rsidR="008103AD" w14:paraId="4449477C"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732D1C0D" w14:textId="77777777" w:rsidR="008103AD" w:rsidRDefault="008103AD" w:rsidP="002E27D8">
            <w:pPr>
              <w:pStyle w:val="TableText"/>
            </w:pPr>
            <w:r>
              <w:t>Australian Standards for the Export of Livestock (ASEL)</w:t>
            </w:r>
          </w:p>
          <w:p w14:paraId="249A20F3" w14:textId="77777777" w:rsidR="008103AD" w:rsidRDefault="008103AD" w:rsidP="002E27D8">
            <w:pPr>
              <w:pStyle w:val="TableText"/>
            </w:pP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47EED86D" w14:textId="050871F9" w:rsidR="008103AD" w:rsidRDefault="008103AD" w:rsidP="002E27D8">
            <w:pPr>
              <w:pStyle w:val="TableText"/>
            </w:pPr>
            <w:r>
              <w:t xml:space="preserve">The standards set the minimum animal health and welfare requirements the livestock export industry must meet throughout the supply chain, from sourcing to completion of disembarkation overseas. The latest version is published on the department’s </w:t>
            </w:r>
            <w:hyperlink r:id="rId20" w:history="1">
              <w:r w:rsidRPr="005F0598">
                <w:rPr>
                  <w:rStyle w:val="Hyperlink"/>
                </w:rPr>
                <w:t>website</w:t>
              </w:r>
            </w:hyperlink>
            <w:r>
              <w:t>.</w:t>
            </w:r>
          </w:p>
          <w:p w14:paraId="30F1B8BF" w14:textId="6D3D9386" w:rsidR="008103AD" w:rsidRDefault="008103AD" w:rsidP="002E27D8">
            <w:pPr>
              <w:pStyle w:val="TableText"/>
            </w:pPr>
            <w:r>
              <w:t xml:space="preserve">The standards are enforceable under the </w:t>
            </w:r>
            <w:r w:rsidRPr="00453127">
              <w:rPr>
                <w:i/>
                <w:iCs/>
              </w:rPr>
              <w:t>Export Control Act 2020</w:t>
            </w:r>
            <w:r>
              <w:t xml:space="preserve"> and the Export</w:t>
            </w:r>
            <w:r w:rsidR="00D72E35" w:rsidRPr="00D72E35">
              <w:t xml:space="preserve"> Control (Animals) Rules 2021</w:t>
            </w:r>
            <w:r w:rsidR="00B2642D">
              <w:t>.</w:t>
            </w:r>
          </w:p>
        </w:tc>
      </w:tr>
      <w:tr w:rsidR="008103AD" w14:paraId="711E675F"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4A48408E" w14:textId="77777777" w:rsidR="008103AD" w:rsidRDefault="008103AD" w:rsidP="002E27D8">
            <w:pPr>
              <w:pStyle w:val="TableText"/>
            </w:pPr>
            <w:r w:rsidRPr="00AD42CE">
              <w:t>Department</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50E15FA0" w14:textId="77777777" w:rsidR="008103AD" w:rsidRDefault="008103AD" w:rsidP="002E27D8">
            <w:pPr>
              <w:pStyle w:val="TableText"/>
            </w:pPr>
            <w:r w:rsidRPr="00AD42CE">
              <w:t xml:space="preserve">The relevant Commonwealth government agency responsible for the regulation of live animal exports. At the time of publishing of these guidelines, this is the Department of Agriculture, </w:t>
            </w:r>
            <w:r>
              <w:t>Fisheries and Forestry</w:t>
            </w:r>
            <w:r w:rsidRPr="00AD42CE">
              <w:t>.</w:t>
            </w:r>
          </w:p>
        </w:tc>
      </w:tr>
      <w:tr w:rsidR="008103AD" w14:paraId="539662B3"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36709715" w14:textId="77777777" w:rsidR="008103AD" w:rsidRDefault="008103AD" w:rsidP="002E27D8">
            <w:pPr>
              <w:pStyle w:val="TableText"/>
            </w:pPr>
            <w:r w:rsidRPr="0048783E">
              <w:t>Exporter</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1860C5F1" w14:textId="77777777" w:rsidR="008103AD" w:rsidRDefault="008103AD" w:rsidP="002E27D8">
            <w:pPr>
              <w:pStyle w:val="TableText"/>
            </w:pPr>
            <w:r w:rsidRPr="0048783E">
              <w:t xml:space="preserve">A holder of a livestock export licence under the </w:t>
            </w:r>
            <w:r w:rsidRPr="0064710C">
              <w:rPr>
                <w:i/>
                <w:iCs/>
              </w:rPr>
              <w:t>Export Control Act 2020</w:t>
            </w:r>
            <w:r w:rsidRPr="0048783E">
              <w:t xml:space="preserve">. An exporter can be an individual, </w:t>
            </w:r>
            <w:proofErr w:type="gramStart"/>
            <w:r w:rsidRPr="0048783E">
              <w:t>business</w:t>
            </w:r>
            <w:proofErr w:type="gramEnd"/>
            <w:r w:rsidRPr="0048783E">
              <w:t xml:space="preserve"> or organisation.</w:t>
            </w:r>
          </w:p>
        </w:tc>
      </w:tr>
      <w:tr w:rsidR="008103AD" w14:paraId="32266F90"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4B55570D" w14:textId="77777777" w:rsidR="008103AD" w:rsidRDefault="008103AD" w:rsidP="002E27D8">
            <w:pPr>
              <w:pStyle w:val="TableText"/>
            </w:pPr>
            <w:r w:rsidRPr="005E3A3E">
              <w:t>Export licence</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23F96863" w14:textId="77777777" w:rsidR="008103AD" w:rsidRDefault="008103AD" w:rsidP="002E27D8">
            <w:pPr>
              <w:pStyle w:val="TableText"/>
            </w:pPr>
            <w:r w:rsidRPr="005E3A3E">
              <w:t xml:space="preserve">Licence to export livestock granted by the Secretary or their delegate following the satisfaction of certain criteria in accordance with the </w:t>
            </w:r>
            <w:r w:rsidRPr="00E8194E">
              <w:rPr>
                <w:i/>
                <w:iCs/>
              </w:rPr>
              <w:t>Export Control Act 2020</w:t>
            </w:r>
            <w:r w:rsidRPr="005E3A3E">
              <w:t>.</w:t>
            </w:r>
          </w:p>
        </w:tc>
      </w:tr>
      <w:tr w:rsidR="008103AD" w14:paraId="5A860C51"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0792B9BD" w14:textId="514D351E" w:rsidR="008103AD" w:rsidRDefault="008103AD" w:rsidP="002E27D8">
            <w:pPr>
              <w:pStyle w:val="TableText"/>
            </w:pPr>
            <w:r w:rsidRPr="00533497">
              <w:t>Importing country</w:t>
            </w:r>
            <w:r>
              <w:t xml:space="preserve"> requirements (ICR)</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22EC33A5" w14:textId="0D06140A" w:rsidR="006E6616" w:rsidRPr="006C0F4C" w:rsidRDefault="006E6616" w:rsidP="002E27D8">
            <w:pPr>
              <w:pStyle w:val="TableText"/>
              <w:rPr>
                <w:rFonts w:ascii="Calibri" w:eastAsia="Cambria" w:hAnsi="Calibri" w:cs="Calibri"/>
                <w:color w:val="000000"/>
                <w:szCs w:val="18"/>
              </w:rPr>
            </w:pPr>
            <w:r w:rsidRPr="00AD42CE">
              <w:t xml:space="preserve">The conditions of the relevant importing country protocol, and/or the conditions imposed by an importing country, such as through an import permit, </w:t>
            </w:r>
            <w:proofErr w:type="gramStart"/>
            <w:r w:rsidRPr="00AD42CE">
              <w:t>dispensation</w:t>
            </w:r>
            <w:proofErr w:type="gramEnd"/>
            <w:r w:rsidRPr="00AD42CE">
              <w:t xml:space="preserve"> or approved equivalency agreement.</w:t>
            </w:r>
          </w:p>
        </w:tc>
      </w:tr>
      <w:tr w:rsidR="008103AD" w14:paraId="56078A5F"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63937549" w14:textId="77777777" w:rsidR="008103AD" w:rsidRDefault="008103AD" w:rsidP="002E27D8">
            <w:pPr>
              <w:pStyle w:val="TableText"/>
            </w:pPr>
            <w:r w:rsidRPr="0049723A">
              <w:t>Livestock</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2B076702" w14:textId="68F75433" w:rsidR="008103AD" w:rsidRDefault="008103AD" w:rsidP="002E27D8">
            <w:pPr>
              <w:pStyle w:val="TableText"/>
            </w:pPr>
            <w:r w:rsidRPr="0049723A">
              <w:t xml:space="preserve">Livestock, as defined in the Export Control (Animals) Rules 2021, means cattle, sheep, goats, deer, </w:t>
            </w:r>
            <w:proofErr w:type="gramStart"/>
            <w:r w:rsidRPr="0049723A">
              <w:t>buffalo</w:t>
            </w:r>
            <w:proofErr w:type="gramEnd"/>
            <w:r w:rsidRPr="0049723A">
              <w:t xml:space="preserve"> or camelids</w:t>
            </w:r>
            <w:r w:rsidR="0003236A">
              <w:t xml:space="preserve"> </w:t>
            </w:r>
            <w:r w:rsidR="00744D6D">
              <w:t>(includes alpacas, llamas and camels)</w:t>
            </w:r>
            <w:r w:rsidR="00744D6D" w:rsidRPr="0049723A">
              <w:t xml:space="preserve">, </w:t>
            </w:r>
            <w:r w:rsidRPr="0049723A">
              <w:t>and includes the young of any of those animals.</w:t>
            </w:r>
          </w:p>
        </w:tc>
      </w:tr>
      <w:tr w:rsidR="008103AD" w14:paraId="77F1480A"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7A5445C2" w14:textId="77777777" w:rsidR="008103AD" w:rsidRDefault="008103AD" w:rsidP="002E27D8">
            <w:pPr>
              <w:pStyle w:val="TableText"/>
            </w:pPr>
            <w:r w:rsidRPr="0049723A">
              <w:t>Material interest</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0E052F39" w14:textId="51C3AD46" w:rsidR="008103AD" w:rsidRDefault="008103AD" w:rsidP="002E27D8">
            <w:pPr>
              <w:pStyle w:val="TableText"/>
            </w:pPr>
            <w:r w:rsidRPr="0049723A">
              <w:t>The interests, pecuniary or otherwise, of the AAV that could or would impair the objectivity of the AAV’s judg</w:t>
            </w:r>
            <w:r w:rsidR="00150F9E">
              <w:t>e</w:t>
            </w:r>
            <w:r w:rsidRPr="0049723A">
              <w:t>ment, or conflict with their ability to properly carry out an approved export program.</w:t>
            </w:r>
          </w:p>
        </w:tc>
      </w:tr>
      <w:tr w:rsidR="008103AD" w14:paraId="40AF50DB" w14:textId="77777777" w:rsidTr="007D571F">
        <w:tc>
          <w:tcPr>
            <w:tcW w:w="1250" w:type="pct"/>
            <w:tcBorders>
              <w:top w:val="single" w:sz="4" w:space="0" w:color="auto"/>
              <w:left w:val="nil"/>
              <w:bottom w:val="single" w:sz="4" w:space="0" w:color="auto"/>
              <w:right w:val="nil"/>
            </w:tcBorders>
            <w:tcMar>
              <w:top w:w="0" w:type="dxa"/>
              <w:left w:w="108" w:type="dxa"/>
              <w:bottom w:w="0" w:type="dxa"/>
              <w:right w:w="108" w:type="dxa"/>
            </w:tcMar>
            <w:hideMark/>
          </w:tcPr>
          <w:p w14:paraId="7E659985" w14:textId="77777777" w:rsidR="008103AD" w:rsidRDefault="008103AD" w:rsidP="002E27D8">
            <w:pPr>
              <w:pStyle w:val="TableText"/>
            </w:pPr>
            <w:r w:rsidRPr="0049723A">
              <w:t>The Secretary</w:t>
            </w:r>
          </w:p>
        </w:tc>
        <w:tc>
          <w:tcPr>
            <w:tcW w:w="3750" w:type="pct"/>
            <w:tcBorders>
              <w:top w:val="single" w:sz="4" w:space="0" w:color="auto"/>
              <w:left w:val="nil"/>
              <w:bottom w:val="single" w:sz="4" w:space="0" w:color="auto"/>
              <w:right w:val="nil"/>
            </w:tcBorders>
            <w:tcMar>
              <w:top w:w="0" w:type="dxa"/>
              <w:left w:w="108" w:type="dxa"/>
              <w:bottom w:w="0" w:type="dxa"/>
              <w:right w:w="108" w:type="dxa"/>
            </w:tcMar>
            <w:hideMark/>
          </w:tcPr>
          <w:p w14:paraId="1ABF871E" w14:textId="77777777" w:rsidR="008103AD" w:rsidRDefault="008103AD" w:rsidP="002E27D8">
            <w:pPr>
              <w:pStyle w:val="TableText"/>
            </w:pPr>
            <w:r w:rsidRPr="0049723A">
              <w:t>The Secretary (or their delegate) of the department.</w:t>
            </w:r>
          </w:p>
        </w:tc>
      </w:tr>
    </w:tbl>
    <w:p w14:paraId="0B8BE57D" w14:textId="2DE6758F" w:rsidR="004B43FE" w:rsidRPr="003F20F5" w:rsidRDefault="004B43FE" w:rsidP="007A72BE">
      <w:pPr>
        <w:pStyle w:val="Heading2"/>
      </w:pPr>
      <w:bookmarkStart w:id="13" w:name="_Toc170319590"/>
      <w:bookmarkEnd w:id="11"/>
      <w:r w:rsidRPr="00FE45A7">
        <w:lastRenderedPageBreak/>
        <w:t>Purpose</w:t>
      </w:r>
      <w:bookmarkEnd w:id="13"/>
    </w:p>
    <w:p w14:paraId="10EF96E6" w14:textId="0BF3020E" w:rsidR="004B43FE" w:rsidRPr="00C62612" w:rsidRDefault="004B43FE" w:rsidP="004B43FE">
      <w:pPr>
        <w:rPr>
          <w:b/>
          <w:bCs/>
          <w:lang w:eastAsia="ja-JP"/>
        </w:rPr>
      </w:pPr>
      <w:bookmarkStart w:id="14" w:name="_Hlk164244524"/>
      <w:r w:rsidRPr="00C62612">
        <w:rPr>
          <w:lang w:eastAsia="ja-JP"/>
        </w:rPr>
        <w:t xml:space="preserve">Accredited </w:t>
      </w:r>
      <w:r w:rsidR="00B530C1">
        <w:rPr>
          <w:lang w:eastAsia="ja-JP"/>
        </w:rPr>
        <w:t>v</w:t>
      </w:r>
      <w:r w:rsidRPr="00C62612">
        <w:rPr>
          <w:lang w:eastAsia="ja-JP"/>
        </w:rPr>
        <w:t>eterinarians (AAVs) play a significant role in the livestock export regulatory framework that is administered by the Department of Agriculture</w:t>
      </w:r>
      <w:r>
        <w:rPr>
          <w:lang w:eastAsia="ja-JP"/>
        </w:rPr>
        <w:t>,</w:t>
      </w:r>
      <w:r w:rsidR="007830A1">
        <w:rPr>
          <w:lang w:eastAsia="ja-JP"/>
        </w:rPr>
        <w:t xml:space="preserve"> </w:t>
      </w:r>
      <w:r w:rsidR="00761D5D">
        <w:rPr>
          <w:lang w:eastAsia="ja-JP"/>
        </w:rPr>
        <w:t>Fisheries and Forestry</w:t>
      </w:r>
      <w:r w:rsidRPr="00C62612">
        <w:rPr>
          <w:lang w:eastAsia="ja-JP"/>
        </w:rPr>
        <w:t>.</w:t>
      </w:r>
    </w:p>
    <w:p w14:paraId="527CA8A8" w14:textId="1BA83913" w:rsidR="004B43FE" w:rsidRPr="00C62612" w:rsidRDefault="004B43FE" w:rsidP="004B43FE">
      <w:pPr>
        <w:rPr>
          <w:b/>
          <w:bCs/>
          <w:lang w:eastAsia="ja-JP"/>
        </w:rPr>
      </w:pPr>
      <w:r w:rsidRPr="00C62612">
        <w:rPr>
          <w:lang w:eastAsia="ja-JP"/>
        </w:rPr>
        <w:t>AAVs have an obligation to declare all interests under section</w:t>
      </w:r>
      <w:r w:rsidR="00EC5233">
        <w:rPr>
          <w:lang w:eastAsia="ja-JP"/>
        </w:rPr>
        <w:t>s 9-12 and</w:t>
      </w:r>
      <w:r w:rsidRPr="00C62612">
        <w:rPr>
          <w:lang w:eastAsia="ja-JP"/>
        </w:rPr>
        <w:t xml:space="preserve"> 9-13 of the Export Control (Animals) Rules 2021 (the Rules). This document details:</w:t>
      </w:r>
    </w:p>
    <w:p w14:paraId="135F0A3A" w14:textId="4685D4BD" w:rsidR="004B43FE" w:rsidRPr="002C6EEC" w:rsidRDefault="004B43FE" w:rsidP="004B43FE">
      <w:pPr>
        <w:pStyle w:val="ListBullet"/>
        <w:ind w:left="425" w:hanging="425"/>
      </w:pPr>
      <w:r w:rsidRPr="002C6EEC">
        <w:t xml:space="preserve">how an AAV can fulfil their obligations concerning the identification, </w:t>
      </w:r>
      <w:proofErr w:type="gramStart"/>
      <w:r w:rsidRPr="002C6EEC">
        <w:t>disclosure</w:t>
      </w:r>
      <w:proofErr w:type="gramEnd"/>
      <w:r w:rsidRPr="002C6EEC">
        <w:t xml:space="preserve"> and management of all interests, pecuniary or otherwise (referred to in this document as ‘material interests’) that conflict or could conflict with an AAV</w:t>
      </w:r>
      <w:r w:rsidR="00D80BB3">
        <w:t>’</w:t>
      </w:r>
      <w:r w:rsidRPr="002C6EEC">
        <w:t>s ability to properly carry out their role</w:t>
      </w:r>
    </w:p>
    <w:p w14:paraId="40181AB4" w14:textId="77777777" w:rsidR="004B43FE" w:rsidRPr="002C6EEC" w:rsidRDefault="004B43FE" w:rsidP="004B43FE">
      <w:pPr>
        <w:pStyle w:val="ListBullet"/>
        <w:ind w:left="425" w:hanging="425"/>
      </w:pPr>
      <w:r w:rsidRPr="002C6EEC">
        <w:t>examples of material interests and possible mitigation strategies</w:t>
      </w:r>
    </w:p>
    <w:p w14:paraId="77C537BD" w14:textId="77777777" w:rsidR="004B43FE" w:rsidRDefault="004B43FE" w:rsidP="004B43FE">
      <w:pPr>
        <w:pStyle w:val="ListBullet"/>
        <w:ind w:left="425" w:hanging="425"/>
      </w:pPr>
      <w:r w:rsidRPr="002C6EEC">
        <w:t>what the department will do with a material interest declaration.</w:t>
      </w:r>
    </w:p>
    <w:p w14:paraId="0BCB4858" w14:textId="77777777" w:rsidR="004B43FE" w:rsidRPr="0095691A" w:rsidRDefault="004B43FE" w:rsidP="00EB53CF">
      <w:pPr>
        <w:pStyle w:val="Heading3"/>
      </w:pPr>
      <w:bookmarkStart w:id="15" w:name="_Toc164171932"/>
      <w:bookmarkStart w:id="16" w:name="_Toc164180458"/>
      <w:bookmarkStart w:id="17" w:name="_Toc170319591"/>
      <w:bookmarkStart w:id="18" w:name="_Hlk164244551"/>
      <w:bookmarkEnd w:id="14"/>
      <w:r w:rsidRPr="0095691A">
        <w:t>Policy statement</w:t>
      </w:r>
      <w:bookmarkEnd w:id="15"/>
      <w:bookmarkEnd w:id="16"/>
      <w:bookmarkEnd w:id="17"/>
    </w:p>
    <w:p w14:paraId="10A31C28" w14:textId="77777777" w:rsidR="004B43FE" w:rsidRPr="00C62612" w:rsidRDefault="004B43FE" w:rsidP="004B43FE">
      <w:r w:rsidRPr="00C62612">
        <w:t>AAVs play a significant role in the live animal export regulatory framework administered by the department. They ensure the health and welfare of livestock before and during export voyages, and that importing country requirements are met. Stakeholder confidence in AAVs is essential for the proper functioning of the live export trade.</w:t>
      </w:r>
    </w:p>
    <w:p w14:paraId="5C7BE93F" w14:textId="0C2610B1" w:rsidR="004B43FE" w:rsidRPr="00C62612" w:rsidRDefault="004B43FE" w:rsidP="004B43FE">
      <w:r w:rsidRPr="00C62612">
        <w:t>AAVs have legislative requirements, which outline their role and responsibilities in the live animal export regulatory framework. As a registered veterinarian</w:t>
      </w:r>
      <w:r w:rsidR="00D97216">
        <w:t xml:space="preserve"> </w:t>
      </w:r>
      <w:r w:rsidR="00193384">
        <w:t>(in their state of territory)</w:t>
      </w:r>
      <w:r w:rsidR="00D97216">
        <w:t>,</w:t>
      </w:r>
      <w:r w:rsidR="007830A1" w:rsidRPr="00C62612">
        <w:t xml:space="preserve"> </w:t>
      </w:r>
      <w:r w:rsidRPr="00C62612">
        <w:t>AAVs also have professional and ethical responsibilities for the health and welfare of animals under their care. At the same time, they have a contractual agreement with an exporter to undertake activities on the exporter</w:t>
      </w:r>
      <w:r w:rsidR="00C658F5">
        <w:t>’</w:t>
      </w:r>
      <w:r w:rsidRPr="00C62612">
        <w:t>s behalf.</w:t>
      </w:r>
    </w:p>
    <w:p w14:paraId="18AFF101" w14:textId="77777777" w:rsidR="004B43FE" w:rsidRPr="00C62612" w:rsidRDefault="004B43FE" w:rsidP="004B43FE">
      <w:r w:rsidRPr="00C62612">
        <w:t>AAVs may have public and private interests, both financial and personal, that could conflict with their duties. It is their responsibility to provide a statement declaring any material interests to the department, or if they have no such interests to disclose that fact.</w:t>
      </w:r>
    </w:p>
    <w:p w14:paraId="30BD620B" w14:textId="77777777" w:rsidR="004B43FE" w:rsidRPr="00C62612" w:rsidRDefault="004B43FE" w:rsidP="004B43FE">
      <w:r w:rsidRPr="00C62612">
        <w:t>The department recognises that AAVs may have additional obligations to declare material interests under the Australian Veterinarian Association Code of Professional Conduct and/or under their relative state or territory veterinary boards.</w:t>
      </w:r>
    </w:p>
    <w:p w14:paraId="6C67200D" w14:textId="77777777" w:rsidR="004B43FE" w:rsidRPr="00C62612" w:rsidRDefault="004B43FE" w:rsidP="004B43FE">
      <w:r w:rsidRPr="00C62612">
        <w:t>Declaring a material interest may not always remove the perception of a conflict, but it does allow the department and the AAV to manage the situation in a professional and ethical manner. Where possible AAVs should:</w:t>
      </w:r>
    </w:p>
    <w:p w14:paraId="4B458DAE" w14:textId="3AA37464" w:rsidR="004B43FE" w:rsidRPr="002C6EEC" w:rsidRDefault="004B43FE" w:rsidP="004B43FE">
      <w:pPr>
        <w:pStyle w:val="ListBullet"/>
        <w:ind w:left="425" w:hanging="425"/>
      </w:pPr>
      <w:r w:rsidRPr="002C6EEC">
        <w:t>avoid any material, apparent or real conflicts</w:t>
      </w:r>
    </w:p>
    <w:p w14:paraId="04A69587" w14:textId="27D1462F" w:rsidR="005C6ED7" w:rsidRPr="00805451" w:rsidRDefault="004B43FE" w:rsidP="00805451">
      <w:pPr>
        <w:pStyle w:val="ListBullet"/>
      </w:pPr>
      <w:r w:rsidRPr="00805451">
        <w:t xml:space="preserve">where material interests cannot be avoided, </w:t>
      </w:r>
      <w:proofErr w:type="gramStart"/>
      <w:r w:rsidR="00E7673B">
        <w:t>declare</w:t>
      </w:r>
      <w:proofErr w:type="gramEnd"/>
      <w:r w:rsidR="00E7673B">
        <w:t xml:space="preserve"> </w:t>
      </w:r>
      <w:r w:rsidRPr="00805451">
        <w:t>and manage the conflict in a way that mitigates risk</w:t>
      </w:r>
      <w:r w:rsidR="00805451">
        <w:t>.</w:t>
      </w:r>
    </w:p>
    <w:p w14:paraId="6582CD7A" w14:textId="7C727D31" w:rsidR="004B43FE" w:rsidRPr="00414C3F" w:rsidRDefault="004B43FE" w:rsidP="005C6ED7">
      <w:pPr>
        <w:pStyle w:val="Heading2"/>
        <w:rPr>
          <w:szCs w:val="56"/>
        </w:rPr>
      </w:pPr>
      <w:bookmarkStart w:id="19" w:name="_Toc170319592"/>
      <w:r w:rsidRPr="00414C3F">
        <w:rPr>
          <w:szCs w:val="56"/>
        </w:rPr>
        <w:lastRenderedPageBreak/>
        <w:t>Material interest</w:t>
      </w:r>
      <w:r w:rsidR="00C36349">
        <w:rPr>
          <w:szCs w:val="56"/>
        </w:rPr>
        <w:t xml:space="preserve"> consideration</w:t>
      </w:r>
      <w:r w:rsidRPr="00414C3F">
        <w:rPr>
          <w:szCs w:val="56"/>
        </w:rPr>
        <w:t>s</w:t>
      </w:r>
      <w:bookmarkEnd w:id="19"/>
    </w:p>
    <w:p w14:paraId="6611BDED" w14:textId="63D2E9B7" w:rsidR="004B43FE" w:rsidRDefault="004B43FE" w:rsidP="004B43FE">
      <w:r>
        <w:t xml:space="preserve">Material interest refers to a situation where an </w:t>
      </w:r>
      <w:r w:rsidR="00E7673B">
        <w:t xml:space="preserve">outside </w:t>
      </w:r>
      <w:r>
        <w:t>interest conflicts, has the potential to or could be seen to conflict, a behaviour or decision made by an AAV in implementing an AEP.</w:t>
      </w:r>
    </w:p>
    <w:p w14:paraId="052CC630" w14:textId="77777777" w:rsidR="00805451" w:rsidRDefault="004B43FE" w:rsidP="00805451">
      <w:r>
        <w:t xml:space="preserve">There are many different circumstances that could give rise to a real, </w:t>
      </w:r>
      <w:proofErr w:type="gramStart"/>
      <w:r>
        <w:t>potential</w:t>
      </w:r>
      <w:proofErr w:type="gramEnd"/>
      <w:r>
        <w:t xml:space="preserve"> or perceived conflict. There is no complete list identifying interests requiring disclosure. It is the responsibility of </w:t>
      </w:r>
      <w:proofErr w:type="gramStart"/>
      <w:r>
        <w:t>each individual</w:t>
      </w:r>
      <w:proofErr w:type="gramEnd"/>
      <w:r>
        <w:t xml:space="preserve"> to consider and disclose any personal or financial interests that may or may not be seen to influence the performance of their duties as an AAV.</w:t>
      </w:r>
    </w:p>
    <w:p w14:paraId="696B9255" w14:textId="1A99465B" w:rsidR="004B43FE" w:rsidRDefault="004B43FE" w:rsidP="00805451">
      <w:pPr>
        <w:pStyle w:val="Heading3"/>
      </w:pPr>
      <w:bookmarkStart w:id="20" w:name="_Toc170319593"/>
      <w:r>
        <w:t>Types of material interests</w:t>
      </w:r>
      <w:bookmarkEnd w:id="20"/>
    </w:p>
    <w:p w14:paraId="5ED9A97C" w14:textId="77777777" w:rsidR="004B43FE" w:rsidRDefault="004B43FE" w:rsidP="004B43FE">
      <w:pPr>
        <w:pStyle w:val="Heading5"/>
      </w:pPr>
      <w:r>
        <w:t>Financial conflicts</w:t>
      </w:r>
    </w:p>
    <w:p w14:paraId="5F47D562" w14:textId="77777777" w:rsidR="004B43FE" w:rsidRDefault="004B43FE" w:rsidP="004B43FE">
      <w:r>
        <w:t>Financial conflicts may arise where an AAV has a financial interest in the outcome of the export, outside of their normal pay. Some examples of potential financial conflicts for AAVs are:</w:t>
      </w:r>
    </w:p>
    <w:p w14:paraId="61D1FA8C" w14:textId="77777777" w:rsidR="004B43FE" w:rsidRDefault="004B43FE" w:rsidP="004B43FE">
      <w:pPr>
        <w:pStyle w:val="ListBullet"/>
        <w:ind w:left="425" w:hanging="425"/>
      </w:pPr>
      <w:r>
        <w:t>they are a shareholder of a licenced export company</w:t>
      </w:r>
    </w:p>
    <w:p w14:paraId="4F85C6EB" w14:textId="77777777" w:rsidR="004B43FE" w:rsidRDefault="004B43FE" w:rsidP="004B43FE">
      <w:pPr>
        <w:pStyle w:val="ListBullet"/>
        <w:ind w:left="425" w:hanging="425"/>
      </w:pPr>
      <w:r>
        <w:t>they are part owner of a sheep farm that occasionally sells sheep to an exporter for export to the Middle East</w:t>
      </w:r>
    </w:p>
    <w:p w14:paraId="5A2CFB16" w14:textId="77777777" w:rsidR="004B43FE" w:rsidRDefault="004B43FE" w:rsidP="004B43FE">
      <w:pPr>
        <w:pStyle w:val="ListBullet"/>
        <w:ind w:left="425" w:hanging="425"/>
      </w:pPr>
      <w:r>
        <w:t>being employed directly by an exporter in another capacity, occasionally they work as an AAV and implement AEPs for the exporter.</w:t>
      </w:r>
    </w:p>
    <w:p w14:paraId="0AA97368" w14:textId="77777777" w:rsidR="004B43FE" w:rsidRDefault="004B43FE" w:rsidP="004B43FE">
      <w:pPr>
        <w:pStyle w:val="Heading5"/>
      </w:pPr>
      <w:r>
        <w:t>Personal conflicts</w:t>
      </w:r>
    </w:p>
    <w:p w14:paraId="21BD0C4A" w14:textId="77777777" w:rsidR="004B43FE" w:rsidRDefault="004B43FE" w:rsidP="004B43FE">
      <w:r>
        <w:t>A personal conflict may arise where the benefit to be realised by the AAV is best categorised as ideological or doing someone a favour. Some examples of potential personal conflicts are:</w:t>
      </w:r>
    </w:p>
    <w:p w14:paraId="6C8D2C80" w14:textId="67AC1D90" w:rsidR="004B43FE" w:rsidRPr="003E0F5C" w:rsidRDefault="004B43FE" w:rsidP="004B43FE">
      <w:pPr>
        <w:pStyle w:val="ListBullet"/>
        <w:ind w:left="425" w:hanging="425"/>
      </w:pPr>
      <w:r w:rsidRPr="003E0F5C">
        <w:t>a family member owns a licenced export company</w:t>
      </w:r>
      <w:r w:rsidR="009A53DB">
        <w:t xml:space="preserve"> that</w:t>
      </w:r>
      <w:r w:rsidRPr="003E0F5C">
        <w:t xml:space="preserve"> an AAV has been contracted by</w:t>
      </w:r>
    </w:p>
    <w:p w14:paraId="2A2F6961" w14:textId="46258B5F" w:rsidR="0003236A" w:rsidRDefault="004B43FE" w:rsidP="0003236A">
      <w:pPr>
        <w:pStyle w:val="ListBullet"/>
        <w:ind w:left="425" w:hanging="425"/>
      </w:pPr>
      <w:r w:rsidRPr="003E0F5C">
        <w:t xml:space="preserve">an AAV is married to the </w:t>
      </w:r>
      <w:r w:rsidR="00EB1073">
        <w:t xml:space="preserve">registered </w:t>
      </w:r>
      <w:r w:rsidR="002101F7">
        <w:t>establishment</w:t>
      </w:r>
      <w:r w:rsidR="002101F7" w:rsidRPr="003E0F5C">
        <w:t xml:space="preserve"> </w:t>
      </w:r>
      <w:r w:rsidR="00EB1073">
        <w:t xml:space="preserve">occupier </w:t>
      </w:r>
      <w:r w:rsidRPr="003E0F5C">
        <w:t>where they are implementing an AEP.</w:t>
      </w:r>
    </w:p>
    <w:p w14:paraId="0E2FE234" w14:textId="57FCA09E" w:rsidR="00EB53CF" w:rsidRDefault="00EB53CF" w:rsidP="00EB53CF">
      <w:pPr>
        <w:pStyle w:val="Heading3"/>
      </w:pPr>
      <w:bookmarkStart w:id="21" w:name="_Toc170319594"/>
      <w:r>
        <w:t>Legislative framework</w:t>
      </w:r>
      <w:bookmarkEnd w:id="21"/>
    </w:p>
    <w:p w14:paraId="5441C24E" w14:textId="2BC068A2" w:rsidR="00DF7103" w:rsidRPr="00C62612" w:rsidRDefault="00DF7103" w:rsidP="00DF7103">
      <w:r w:rsidRPr="00C62612">
        <w:t>Relevant legislation includes</w:t>
      </w:r>
      <w:r w:rsidR="00C95BF4">
        <w:t xml:space="preserve"> the</w:t>
      </w:r>
      <w:r w:rsidRPr="00C62612">
        <w:t>:</w:t>
      </w:r>
    </w:p>
    <w:p w14:paraId="79C813D5" w14:textId="13F558DA" w:rsidR="00DF7103" w:rsidRPr="00C62612" w:rsidRDefault="00DF7103" w:rsidP="00DF7103">
      <w:pPr>
        <w:pStyle w:val="ListBullet"/>
      </w:pPr>
      <w:r w:rsidRPr="00C95BF4">
        <w:rPr>
          <w:i/>
          <w:iCs/>
        </w:rPr>
        <w:t>Privacy Act 1988</w:t>
      </w:r>
      <w:r w:rsidRPr="00C62612">
        <w:t xml:space="preserve">: Outlines the requirements that the department must meet regarding the storage, </w:t>
      </w:r>
      <w:proofErr w:type="gramStart"/>
      <w:r w:rsidRPr="00C62612">
        <w:t>review</w:t>
      </w:r>
      <w:proofErr w:type="gramEnd"/>
      <w:r w:rsidRPr="00C62612">
        <w:t xml:space="preserve"> and dissemination of declared material interests</w:t>
      </w:r>
    </w:p>
    <w:p w14:paraId="0BADD6DB" w14:textId="43C63C95" w:rsidR="00DF7103" w:rsidRPr="00C62612" w:rsidRDefault="00DF7103" w:rsidP="00DF7103">
      <w:pPr>
        <w:pStyle w:val="ListBullet"/>
      </w:pPr>
      <w:r w:rsidRPr="00C62612">
        <w:t>Export Control (Animals) Rules 2021: Section</w:t>
      </w:r>
      <w:r>
        <w:t>s</w:t>
      </w:r>
      <w:r w:rsidRPr="00C62612">
        <w:t xml:space="preserve"> 9-1</w:t>
      </w:r>
      <w:r w:rsidR="00E7673B">
        <w:t>2 and 9-13</w:t>
      </w:r>
      <w:r w:rsidR="00A0291D">
        <w:t xml:space="preserve"> </w:t>
      </w:r>
      <w:r w:rsidRPr="00C62612">
        <w:t xml:space="preserve">state that an AAV must provide written notice of </w:t>
      </w:r>
      <w:r w:rsidR="00BD7E30">
        <w:t>any</w:t>
      </w:r>
      <w:r w:rsidRPr="00C62612">
        <w:t xml:space="preserve"> interest, pecuniary or otherwise</w:t>
      </w:r>
      <w:r w:rsidR="00F62C5E">
        <w:t>,</w:t>
      </w:r>
      <w:r w:rsidRPr="00C62612">
        <w:t xml:space="preserve"> that conflicts or could conflict with their ability to carry out </w:t>
      </w:r>
      <w:r w:rsidR="00F62C5E">
        <w:t>an AEP</w:t>
      </w:r>
      <w:r w:rsidRPr="00C62612">
        <w:t>.</w:t>
      </w:r>
    </w:p>
    <w:p w14:paraId="2718486E" w14:textId="1EB634DA" w:rsidR="00DF7103" w:rsidRPr="00C62612" w:rsidRDefault="00DF7103" w:rsidP="00DF7103">
      <w:r w:rsidRPr="00C62612">
        <w:t>When a registered veterinarian first applies to the department to become an AAV, they provide a statement on the application form declaring if they have, or do not have</w:t>
      </w:r>
      <w:r w:rsidR="00BB774D">
        <w:t>,</w:t>
      </w:r>
      <w:r w:rsidRPr="00C62612">
        <w:t xml:space="preserve"> any material interests. AAVs must declare an activity or association even where they are unsure whether it is a material interest.</w:t>
      </w:r>
    </w:p>
    <w:p w14:paraId="699F78A1" w14:textId="1975C56F" w:rsidR="00DF7103" w:rsidRDefault="00DF7103" w:rsidP="00DF7103">
      <w:r w:rsidRPr="00C62612">
        <w:t>It is an ongoing condition of accreditation under section 9-13(</w:t>
      </w:r>
      <w:r w:rsidR="00033FDC">
        <w:t>2</w:t>
      </w:r>
      <w:r>
        <w:t>)</w:t>
      </w:r>
      <w:r w:rsidRPr="00C62612">
        <w:t xml:space="preserve"> of the Rules that notice is given to the department (in writing), any time a new material interest is acquired, or there is any other </w:t>
      </w:r>
      <w:r w:rsidRPr="00C62612">
        <w:lastRenderedPageBreak/>
        <w:t>change, that could affect an AAV</w:t>
      </w:r>
      <w:r w:rsidR="008E2E75">
        <w:t>’</w:t>
      </w:r>
      <w:r w:rsidRPr="00C62612">
        <w:t>s ability to carry out export operations in approved export Make a submission in approved export programs.</w:t>
      </w:r>
    </w:p>
    <w:p w14:paraId="56AD1DDF" w14:textId="3A0D3D43" w:rsidR="00DF7103" w:rsidRDefault="00DF7103" w:rsidP="00DF7103">
      <w:pPr>
        <w:rPr>
          <w:lang w:eastAsia="ja-JP"/>
        </w:rPr>
      </w:pPr>
      <w:r w:rsidRPr="00FC5AEA">
        <w:rPr>
          <w:lang w:eastAsia="ja-JP"/>
        </w:rPr>
        <w:t xml:space="preserve">A false, </w:t>
      </w:r>
      <w:proofErr w:type="gramStart"/>
      <w:r w:rsidRPr="00FC5AEA">
        <w:rPr>
          <w:lang w:eastAsia="ja-JP"/>
        </w:rPr>
        <w:t>misleading</w:t>
      </w:r>
      <w:proofErr w:type="gramEnd"/>
      <w:r w:rsidRPr="00FC5AEA">
        <w:rPr>
          <w:lang w:eastAsia="ja-JP"/>
        </w:rPr>
        <w:t xml:space="preserve"> or incomplete disclosure of material interests constitutes a breach of a condition of an AAV</w:t>
      </w:r>
      <w:r w:rsidR="007B689E">
        <w:rPr>
          <w:lang w:eastAsia="ja-JP"/>
        </w:rPr>
        <w:t>’</w:t>
      </w:r>
      <w:r w:rsidRPr="00FC5AEA">
        <w:rPr>
          <w:lang w:eastAsia="ja-JP"/>
        </w:rPr>
        <w:t>s accreditation. This may result in suspension or cancellation of accreditation.</w:t>
      </w:r>
    </w:p>
    <w:p w14:paraId="5C094141" w14:textId="66F2428F" w:rsidR="00DF7103" w:rsidRDefault="00DF7103" w:rsidP="00EB53CF">
      <w:pPr>
        <w:pStyle w:val="Heading3"/>
      </w:pPr>
      <w:bookmarkStart w:id="22" w:name="_Toc170319595"/>
      <w:r>
        <w:t>Roles and responsibilities</w:t>
      </w:r>
      <w:bookmarkEnd w:id="22"/>
      <w:r>
        <w:t xml:space="preserve"> </w:t>
      </w:r>
    </w:p>
    <w:p w14:paraId="6A193DF7" w14:textId="77A20121" w:rsidR="00DF7103" w:rsidRDefault="00DF7103" w:rsidP="00DF7103">
      <w:r>
        <w:t>It is an AAV</w:t>
      </w:r>
      <w:r w:rsidR="00F71B14">
        <w:t>’</w:t>
      </w:r>
      <w:r>
        <w:t>s responsibility to:</w:t>
      </w:r>
    </w:p>
    <w:p w14:paraId="656B2763" w14:textId="73671F56" w:rsidR="00DF7103" w:rsidRDefault="00DF7103" w:rsidP="00DF7103">
      <w:pPr>
        <w:pStyle w:val="ListBullet"/>
      </w:pPr>
      <w:r>
        <w:t>declare any material interest, real or apparent</w:t>
      </w:r>
    </w:p>
    <w:p w14:paraId="5AD2E811" w14:textId="556B307E" w:rsidR="00DF7103" w:rsidRDefault="00DF7103" w:rsidP="00DF7103">
      <w:pPr>
        <w:pStyle w:val="ListBullet"/>
      </w:pPr>
      <w:r>
        <w:t>notify the department of any changes to material interests</w:t>
      </w:r>
    </w:p>
    <w:p w14:paraId="681DAB9D" w14:textId="602B123C" w:rsidR="00DF7103" w:rsidRDefault="00DF7103" w:rsidP="00DF7103">
      <w:pPr>
        <w:pStyle w:val="ListBullet"/>
      </w:pPr>
      <w:r>
        <w:t xml:space="preserve">comply with management strategies to mitigate the risks posed by conflicts of interest. </w:t>
      </w:r>
    </w:p>
    <w:p w14:paraId="554DA543" w14:textId="77777777" w:rsidR="00DF7103" w:rsidRDefault="00DF7103" w:rsidP="00DF7103">
      <w:r>
        <w:t>It is the department’s responsibility to:</w:t>
      </w:r>
    </w:p>
    <w:p w14:paraId="1EC9E584" w14:textId="1E3F81F2" w:rsidR="00DF7103" w:rsidRDefault="00DF7103" w:rsidP="00DF7103">
      <w:pPr>
        <w:pStyle w:val="ListBullet"/>
      </w:pPr>
      <w:r>
        <w:t>determine if the material interests require further mitigation</w:t>
      </w:r>
    </w:p>
    <w:p w14:paraId="40AB4D8D" w14:textId="4089079A" w:rsidR="00DF7103" w:rsidRPr="00C62612" w:rsidRDefault="00DF7103" w:rsidP="00DF7103">
      <w:pPr>
        <w:pStyle w:val="ListBullet"/>
      </w:pPr>
      <w:r>
        <w:t>work with the AAV to apply mitigation strategies where is it possible to do so.</w:t>
      </w:r>
    </w:p>
    <w:p w14:paraId="6158048D" w14:textId="5C71D8EB" w:rsidR="00DF7103" w:rsidRDefault="00DF7103" w:rsidP="00DF7103">
      <w:pPr>
        <w:pStyle w:val="Heading3"/>
      </w:pPr>
      <w:bookmarkStart w:id="23" w:name="_Toc170319596"/>
      <w:r>
        <w:t>Declaring a conflict of interest</w:t>
      </w:r>
      <w:bookmarkEnd w:id="23"/>
      <w:r>
        <w:t xml:space="preserve"> </w:t>
      </w:r>
    </w:p>
    <w:p w14:paraId="4C8DC20B" w14:textId="77777777" w:rsidR="00884AC1" w:rsidRDefault="00DF7103" w:rsidP="00DF7103">
      <w:r>
        <w:t>It is an AAV</w:t>
      </w:r>
      <w:r w:rsidR="0011638E">
        <w:t>’</w:t>
      </w:r>
      <w:r>
        <w:t>s responsibility to provide a statement declaring any material interests to the department</w:t>
      </w:r>
      <w:r w:rsidR="00B948A2">
        <w:t>,</w:t>
      </w:r>
      <w:r>
        <w:t xml:space="preserve"> or if they have no such interests, to disclose that fact.</w:t>
      </w:r>
    </w:p>
    <w:p w14:paraId="67D8AA95" w14:textId="67967253" w:rsidR="00227F3B" w:rsidRDefault="00DF7103" w:rsidP="00DF7103">
      <w:r>
        <w:t xml:space="preserve">Material interests can be provided to the department on the </w:t>
      </w:r>
      <w:hyperlink r:id="rId21" w:history="1">
        <w:r w:rsidR="00D9045B">
          <w:rPr>
            <w:rStyle w:val="Hyperlink"/>
          </w:rPr>
          <w:t>Application for accreditation as an accredited veterinarian for livestock</w:t>
        </w:r>
      </w:hyperlink>
      <w:r w:rsidR="00E7673B">
        <w:t xml:space="preserve"> </w:t>
      </w:r>
      <w:r>
        <w:t xml:space="preserve">or by email to </w:t>
      </w:r>
      <w:hyperlink r:id="rId22" w:history="1">
        <w:r w:rsidRPr="008C1FAB">
          <w:rPr>
            <w:rStyle w:val="Hyperlink"/>
          </w:rPr>
          <w:t>livestockexp@</w:t>
        </w:r>
        <w:r w:rsidR="00033FDC">
          <w:rPr>
            <w:rStyle w:val="Hyperlink"/>
          </w:rPr>
          <w:t>aff</w:t>
        </w:r>
        <w:r w:rsidRPr="008C1FAB">
          <w:rPr>
            <w:rStyle w:val="Hyperlink"/>
          </w:rPr>
          <w:t>.gov.au</w:t>
        </w:r>
      </w:hyperlink>
      <w:r>
        <w:t>.</w:t>
      </w:r>
    </w:p>
    <w:p w14:paraId="0488B66E" w14:textId="5A361536" w:rsidR="004B43FE" w:rsidRDefault="00DF7103" w:rsidP="00DF7103">
      <w:r>
        <w:t>Any management strategies in place must also be outlined in the declaration.</w:t>
      </w:r>
    </w:p>
    <w:p w14:paraId="018A4619" w14:textId="3EDED3F3" w:rsidR="00023554" w:rsidRPr="006E3B34" w:rsidRDefault="00023554" w:rsidP="00023554">
      <w:pPr>
        <w:pStyle w:val="Heading3"/>
      </w:pPr>
      <w:bookmarkStart w:id="24" w:name="_Toc170319597"/>
      <w:r w:rsidRPr="006E3B34">
        <w:t>Failure to declare a material interest</w:t>
      </w:r>
      <w:bookmarkEnd w:id="24"/>
    </w:p>
    <w:p w14:paraId="30AFE2BB" w14:textId="5717420A" w:rsidR="00023554" w:rsidRDefault="00501ADB" w:rsidP="00023554">
      <w:pPr>
        <w:rPr>
          <w:bCs/>
        </w:rPr>
      </w:pPr>
      <w:r>
        <w:rPr>
          <w:bCs/>
        </w:rPr>
        <w:t>Paragraphs</w:t>
      </w:r>
      <w:r w:rsidR="00023554" w:rsidRPr="006E3B34">
        <w:rPr>
          <w:bCs/>
        </w:rPr>
        <w:t xml:space="preserve"> 9-20(1)(f) and 9-24(1)(f) of the Rules allow for the Secretary to suspend or revoke the accreditation if a false, misleading, or incomplete statement is made in an application.</w:t>
      </w:r>
    </w:p>
    <w:p w14:paraId="3F5A2234" w14:textId="3EFB249C" w:rsidR="00DF7103" w:rsidRPr="00805451" w:rsidRDefault="002E04C0" w:rsidP="00A676CA">
      <w:pPr>
        <w:pStyle w:val="Heading2"/>
        <w:pageBreakBefore w:val="0"/>
      </w:pPr>
      <w:bookmarkStart w:id="25" w:name="_Toc164182527"/>
      <w:bookmarkStart w:id="26" w:name="_Toc170319598"/>
      <w:r>
        <w:t xml:space="preserve">Reviewing </w:t>
      </w:r>
      <w:r w:rsidR="003B3387">
        <w:t>material interest</w:t>
      </w:r>
      <w:r w:rsidR="003359E1">
        <w:t>s</w:t>
      </w:r>
      <w:bookmarkEnd w:id="25"/>
      <w:bookmarkEnd w:id="26"/>
    </w:p>
    <w:p w14:paraId="7FDF016C" w14:textId="77777777" w:rsidR="00DF7103" w:rsidRDefault="00DF7103" w:rsidP="00DF7103">
      <w:r w:rsidRPr="00FC5AEA">
        <w:t xml:space="preserve">The </w:t>
      </w:r>
      <w:r w:rsidRPr="006E3B34">
        <w:t xml:space="preserve">department will review any material interest declarations provided. Having a material interest does not necessarily preclude individuals from being accredited. AAVs should identify, </w:t>
      </w:r>
      <w:proofErr w:type="gramStart"/>
      <w:r w:rsidRPr="006E3B34">
        <w:t>apply</w:t>
      </w:r>
      <w:proofErr w:type="gramEnd"/>
      <w:r w:rsidRPr="006E3B34">
        <w:t xml:space="preserve"> and engage appropriate strategies to manage risk. If required, the department will work with individuals</w:t>
      </w:r>
      <w:r w:rsidRPr="00FC5AEA">
        <w:t xml:space="preserve"> to mitigate conflicts on a case-by-case basis.</w:t>
      </w:r>
    </w:p>
    <w:p w14:paraId="294698F4" w14:textId="597E4087" w:rsidR="00DF7103" w:rsidRDefault="00DF7103" w:rsidP="00DF7103">
      <w:r w:rsidRPr="00FC5AEA">
        <w:t xml:space="preserve">The successful management of an AAV’s real or apparent material interest, and the department’s assessment of whether those </w:t>
      </w:r>
      <w:proofErr w:type="gramStart"/>
      <w:r w:rsidRPr="00FC5AEA">
        <w:t>interests</w:t>
      </w:r>
      <w:proofErr w:type="gramEnd"/>
      <w:r w:rsidRPr="00FC5AEA">
        <w:t xml:space="preserve"> conflict</w:t>
      </w:r>
      <w:r w:rsidR="0049729E">
        <w:t xml:space="preserve"> (</w:t>
      </w:r>
      <w:r w:rsidRPr="00FC5AEA">
        <w:t>or could conflict</w:t>
      </w:r>
      <w:r w:rsidR="0049729E">
        <w:t>)</w:t>
      </w:r>
      <w:r w:rsidRPr="00FC5AEA">
        <w:t xml:space="preserve"> with the AAV’s ability to properly carry out an AEP, depends on timely and accurate declarations to the department of such a material interest.</w:t>
      </w:r>
    </w:p>
    <w:p w14:paraId="38D8A397" w14:textId="7DB071CB" w:rsidR="00144F3C" w:rsidRDefault="00144F3C" w:rsidP="002675BF">
      <w:pPr>
        <w:pStyle w:val="Heading3"/>
      </w:pPr>
      <w:bookmarkStart w:id="27" w:name="_Toc170319599"/>
      <w:r>
        <w:t>Imposing conditions on accreditation</w:t>
      </w:r>
      <w:bookmarkEnd w:id="27"/>
    </w:p>
    <w:p w14:paraId="6A08A1F5" w14:textId="0B42CE78" w:rsidR="00144F3C" w:rsidRDefault="00144F3C" w:rsidP="00144F3C">
      <w:r>
        <w:t>The Secretary may place conditions on an AAV</w:t>
      </w:r>
      <w:r w:rsidR="005C7F53">
        <w:t>’</w:t>
      </w:r>
      <w:r>
        <w:t>s accreditation, under Section 9-13(1)(b) of the Rules, or vary conditions on an existing registration, under section 9-19(1)(b) of the Rules.</w:t>
      </w:r>
    </w:p>
    <w:p w14:paraId="683A267E" w14:textId="77777777" w:rsidR="00144F3C" w:rsidRDefault="00144F3C" w:rsidP="00144F3C">
      <w:r>
        <w:lastRenderedPageBreak/>
        <w:t>The assessment of whether it is appropriate to limit engagement due to a material interest, will be done on a case-by-case basis. That is, in relation to a particular conflict or potential conflict. When assessing the need to impose conditions on an accreditation because of a material interest, the following will be considered:</w:t>
      </w:r>
    </w:p>
    <w:p w14:paraId="19E39E98" w14:textId="7929DE74" w:rsidR="00144F3C" w:rsidRDefault="00144F3C" w:rsidP="00144F3C">
      <w:pPr>
        <w:pStyle w:val="ListBullet"/>
      </w:pPr>
      <w:r>
        <w:t>the reason for imposing the condition</w:t>
      </w:r>
    </w:p>
    <w:p w14:paraId="4C47F97F" w14:textId="748CFC9E" w:rsidR="00144F3C" w:rsidRDefault="00144F3C" w:rsidP="00144F3C">
      <w:pPr>
        <w:pStyle w:val="ListBullet"/>
      </w:pPr>
      <w:r>
        <w:t>the nature and relevance of imposing the condition</w:t>
      </w:r>
    </w:p>
    <w:p w14:paraId="003B5389" w14:textId="1074B326" w:rsidR="00144F3C" w:rsidRDefault="00144F3C" w:rsidP="00144F3C">
      <w:pPr>
        <w:pStyle w:val="ListBullet"/>
      </w:pPr>
      <w:r>
        <w:t>the ability of the AAV to comply with the condition (including time allowed for compliance)</w:t>
      </w:r>
    </w:p>
    <w:p w14:paraId="7F004C70" w14:textId="48ECE2D5" w:rsidR="00144F3C" w:rsidRDefault="00144F3C" w:rsidP="00144F3C">
      <w:pPr>
        <w:pStyle w:val="ListBullet"/>
      </w:pPr>
      <w:r>
        <w:t>the consequences if the AAV fails to comply with the condition (and whether these are proportionate to the requirement)</w:t>
      </w:r>
    </w:p>
    <w:p w14:paraId="49816232" w14:textId="0667582A" w:rsidR="00144F3C" w:rsidRDefault="00144F3C" w:rsidP="00144F3C">
      <w:pPr>
        <w:pStyle w:val="ListBullet"/>
      </w:pPr>
      <w:r>
        <w:t>affording procedural fairness if conditions might adversely affect them.</w:t>
      </w:r>
    </w:p>
    <w:p w14:paraId="2E0AA020" w14:textId="03A0E39F" w:rsidR="00144F3C" w:rsidRDefault="00144F3C" w:rsidP="00144F3C">
      <w:r>
        <w:t>These factors will also be relevant in making decisions to vary conditions under section 9-19(1)(b) of the Rules. This section gives the Secretary the power to vary the conditions of an AAV’s accreditation, including by removing conditions, or imposing new conditions, if it is reasonably necessary to do so. Any new information about material interests that an AAV has provided to the department would be considered in making this decision.</w:t>
      </w:r>
    </w:p>
    <w:p w14:paraId="5D893CB8" w14:textId="1960F734" w:rsidR="00144F3C" w:rsidRPr="008F47A9" w:rsidRDefault="007C7313" w:rsidP="008F47A9">
      <w:pPr>
        <w:pStyle w:val="Heading3"/>
      </w:pPr>
      <w:bookmarkStart w:id="28" w:name="_Toc170319600"/>
      <w:r>
        <w:t>C</w:t>
      </w:r>
      <w:r w:rsidR="00144F3C" w:rsidRPr="008F47A9">
        <w:t xml:space="preserve">onditions </w:t>
      </w:r>
      <w:r w:rsidR="0058389C">
        <w:t xml:space="preserve">that </w:t>
      </w:r>
      <w:r w:rsidR="00144F3C" w:rsidRPr="008F47A9">
        <w:t>could be placed on an AAV’s accreditation</w:t>
      </w:r>
      <w:bookmarkEnd w:id="28"/>
    </w:p>
    <w:p w14:paraId="0276BA62" w14:textId="53FB21F1" w:rsidR="00144F3C" w:rsidRDefault="00144F3C" w:rsidP="00144F3C">
      <w:r>
        <w:t>The Rules do not prescribe what conditions may be placed on an accreditation, only that any conditions be ‘appropriate’.</w:t>
      </w:r>
      <w:r w:rsidR="0058389C">
        <w:t xml:space="preserve"> </w:t>
      </w:r>
      <w:r>
        <w:t>An appropriate condition could be to limit an AAV’s ability to accept engagements by certain exporters, where a potential or real material interest that conflicts with their ability to carry out an AEP has been identified.</w:t>
      </w:r>
    </w:p>
    <w:p w14:paraId="4DDB3D4A" w14:textId="1FD8F6E1" w:rsidR="00DF7103" w:rsidRDefault="00144F3C" w:rsidP="00144F3C">
      <w:r>
        <w:t>The department would be open to suggestions from the AAV to apply other mitigation strategies where is it possible to do so.</w:t>
      </w:r>
    </w:p>
    <w:p w14:paraId="0D1F4CC5" w14:textId="77777777" w:rsidR="00144F3C" w:rsidRPr="006E3B34" w:rsidRDefault="00144F3C" w:rsidP="00144F3C">
      <w:pPr>
        <w:pStyle w:val="Heading3"/>
      </w:pPr>
      <w:bookmarkStart w:id="29" w:name="_Toc164182529"/>
      <w:bookmarkStart w:id="30" w:name="_Toc170319601"/>
      <w:r w:rsidRPr="006E3B34">
        <w:t>Reviewing a decision to implement conditions</w:t>
      </w:r>
      <w:bookmarkEnd w:id="29"/>
      <w:bookmarkEnd w:id="30"/>
    </w:p>
    <w:p w14:paraId="04D0C77C" w14:textId="77777777" w:rsidR="00144F3C" w:rsidRDefault="00144F3C" w:rsidP="00144F3C">
      <w:pPr>
        <w:rPr>
          <w:bCs/>
        </w:rPr>
      </w:pPr>
      <w:r w:rsidRPr="006E3B34">
        <w:rPr>
          <w:bCs/>
        </w:rPr>
        <w:t xml:space="preserve">A decision to accredit a veterinarian subject to additional conditions and a decision to vary the conditions of the accreditation are each a reviewable decision under the </w:t>
      </w:r>
      <w:r w:rsidRPr="00577868">
        <w:rPr>
          <w:bCs/>
          <w:i/>
          <w:iCs/>
        </w:rPr>
        <w:t>Export Control Act 2020</w:t>
      </w:r>
      <w:r w:rsidRPr="006E3B34">
        <w:rPr>
          <w:bCs/>
        </w:rPr>
        <w:t xml:space="preserve"> (the Act). If an AAV believes their interests are negatively affected by a decision, they can apply for internal review under section 383 of the Act, and subsequently to the Administrative Appeal Tribunal for review of the internal decision.</w:t>
      </w:r>
    </w:p>
    <w:p w14:paraId="163BEDB5" w14:textId="77777777" w:rsidR="00F445A7" w:rsidRPr="006E3B34" w:rsidRDefault="00F445A7" w:rsidP="00403A06">
      <w:pPr>
        <w:pStyle w:val="Heading2"/>
        <w:pageBreakBefore w:val="0"/>
      </w:pPr>
      <w:bookmarkStart w:id="31" w:name="_Toc164182531"/>
      <w:bookmarkStart w:id="32" w:name="_Toc170319602"/>
      <w:r w:rsidRPr="006E3B34">
        <w:t>Contact</w:t>
      </w:r>
      <w:bookmarkEnd w:id="31"/>
      <w:bookmarkEnd w:id="32"/>
    </w:p>
    <w:p w14:paraId="141AF7C6" w14:textId="5EDFFFFC" w:rsidR="00F445A7" w:rsidRDefault="007F6B12" w:rsidP="00F445A7">
      <w:pPr>
        <w:rPr>
          <w:bCs/>
        </w:rPr>
      </w:pPr>
      <w:r>
        <w:rPr>
          <w:bCs/>
        </w:rPr>
        <w:t>Q</w:t>
      </w:r>
      <w:r w:rsidR="00F445A7" w:rsidRPr="006E3B34">
        <w:rPr>
          <w:bCs/>
        </w:rPr>
        <w:t>ueries about material interest for AAVs may be directed to the Live Animal Export Branch on 02</w:t>
      </w:r>
      <w:r w:rsidR="00825E11">
        <w:rPr>
          <w:bCs/>
        </w:rPr>
        <w:t> </w:t>
      </w:r>
      <w:r w:rsidR="00F445A7" w:rsidRPr="006E3B34">
        <w:rPr>
          <w:bCs/>
        </w:rPr>
        <w:t>6272</w:t>
      </w:r>
      <w:r w:rsidR="00825E11">
        <w:rPr>
          <w:bCs/>
        </w:rPr>
        <w:t> </w:t>
      </w:r>
      <w:r w:rsidR="00F445A7" w:rsidRPr="006E3B34">
        <w:rPr>
          <w:bCs/>
        </w:rPr>
        <w:t xml:space="preserve">4581 or </w:t>
      </w:r>
      <w:hyperlink r:id="rId23" w:history="1">
        <w:r w:rsidR="00F445A7" w:rsidRPr="00F445A7">
          <w:rPr>
            <w:rStyle w:val="Hyperlink"/>
            <w:bCs/>
          </w:rPr>
          <w:t>livestockexp@aff.gov.au</w:t>
        </w:r>
      </w:hyperlink>
      <w:r w:rsidR="00F445A7">
        <w:rPr>
          <w:bCs/>
        </w:rPr>
        <w:t>.</w:t>
      </w:r>
      <w:bookmarkEnd w:id="12"/>
      <w:bookmarkEnd w:id="18"/>
    </w:p>
    <w:p w14:paraId="5B6C460E" w14:textId="55A033CD" w:rsidR="00F77248" w:rsidRPr="00F77248" w:rsidRDefault="00F77248" w:rsidP="00323B4B">
      <w:pPr>
        <w:pStyle w:val="Heading2"/>
      </w:pPr>
      <w:bookmarkStart w:id="33" w:name="_Toc153185428"/>
      <w:bookmarkStart w:id="34" w:name="_Toc170319603"/>
      <w:r w:rsidRPr="00F77248">
        <w:lastRenderedPageBreak/>
        <w:t xml:space="preserve">Related </w:t>
      </w:r>
      <w:bookmarkEnd w:id="33"/>
      <w:r w:rsidR="00BC7591">
        <w:t>material</w:t>
      </w:r>
      <w:bookmarkEnd w:id="34"/>
    </w:p>
    <w:p w14:paraId="12165E85" w14:textId="42BAD147" w:rsidR="00A72A0D" w:rsidRDefault="005B0D57" w:rsidP="00924AA3">
      <w:pPr>
        <w:pStyle w:val="ListBullet"/>
      </w:pPr>
      <w:hyperlink r:id="rId24" w:history="1">
        <w:r w:rsidR="004103B2">
          <w:rPr>
            <w:rStyle w:val="Hyperlink"/>
          </w:rPr>
          <w:t>Accredited veterinarians (AAV)</w:t>
        </w:r>
      </w:hyperlink>
    </w:p>
    <w:p w14:paraId="0D6B237C" w14:textId="6867D446" w:rsidR="004103B2" w:rsidRDefault="005B0D57" w:rsidP="00924AA3">
      <w:pPr>
        <w:pStyle w:val="ListBullet"/>
      </w:pPr>
      <w:hyperlink r:id="rId25" w:history="1">
        <w:r w:rsidR="004103B2" w:rsidRPr="004103B2">
          <w:rPr>
            <w:rStyle w:val="Hyperlink"/>
          </w:rPr>
          <w:t>Australian standards for the export of livestock (ASEL)</w:t>
        </w:r>
      </w:hyperlink>
    </w:p>
    <w:bookmarkStart w:id="35" w:name="_Appendix_A:_Land-based"/>
    <w:bookmarkEnd w:id="35"/>
    <w:p w14:paraId="6AA1BE5E" w14:textId="3DCD3214" w:rsidR="00412FD4" w:rsidRPr="00924AA3" w:rsidRDefault="00C75335" w:rsidP="00924AA3">
      <w:pPr>
        <w:pStyle w:val="ListBullet"/>
        <w:rPr>
          <w:rStyle w:val="Hyperlink"/>
          <w:color w:val="auto"/>
          <w:u w:val="none"/>
        </w:rPr>
      </w:pPr>
      <w:r>
        <w:fldChar w:fldCharType="begin"/>
      </w:r>
      <w:r>
        <w:instrText>HYPERLINK "https://www.agriculture.gov.au/biosecurity-trade/export/controlled-goods/live-animals/livestock/regulating-live-animal-exports"</w:instrText>
      </w:r>
      <w:r>
        <w:fldChar w:fldCharType="separate"/>
      </w:r>
      <w:r w:rsidR="00412FD4" w:rsidRPr="00C75335">
        <w:rPr>
          <w:rStyle w:val="Hyperlink"/>
        </w:rPr>
        <w:t>Regulating live animal exports</w:t>
      </w:r>
      <w:r>
        <w:fldChar w:fldCharType="end"/>
      </w:r>
    </w:p>
    <w:p w14:paraId="3BF66A82" w14:textId="77777777" w:rsidR="00033FDC" w:rsidRPr="00A26001" w:rsidRDefault="00033FDC" w:rsidP="00B865E3">
      <w:pPr>
        <w:pStyle w:val="Heading2"/>
        <w:pageBreakBefore w:val="0"/>
      </w:pPr>
      <w:bookmarkStart w:id="36" w:name="_Toc170319604"/>
      <w:r w:rsidRPr="00B865E3">
        <w:t>Version</w:t>
      </w:r>
      <w:r w:rsidRPr="00A26001">
        <w:t xml:space="preserve"> control</w:t>
      </w:r>
      <w:bookmarkEnd w:id="36"/>
    </w:p>
    <w:tbl>
      <w:tblPr>
        <w:tblStyle w:val="TableGrid"/>
        <w:tblW w:w="0" w:type="auto"/>
        <w:tblLook w:val="04A0" w:firstRow="1" w:lastRow="0" w:firstColumn="1" w:lastColumn="0" w:noHBand="0" w:noVBand="1"/>
      </w:tblPr>
      <w:tblGrid>
        <w:gridCol w:w="1134"/>
        <w:gridCol w:w="1560"/>
        <w:gridCol w:w="2409"/>
        <w:gridCol w:w="3957"/>
      </w:tblGrid>
      <w:tr w:rsidR="00033FDC" w:rsidRPr="00A26001" w14:paraId="04361AD0" w14:textId="77777777" w:rsidTr="00CF5787">
        <w:trPr>
          <w:cantSplit/>
          <w:tblHeader/>
        </w:trPr>
        <w:tc>
          <w:tcPr>
            <w:tcW w:w="1134" w:type="dxa"/>
            <w:tcBorders>
              <w:left w:val="nil"/>
              <w:bottom w:val="single" w:sz="4" w:space="0" w:color="auto"/>
              <w:right w:val="nil"/>
            </w:tcBorders>
          </w:tcPr>
          <w:p w14:paraId="7760BE56" w14:textId="77777777" w:rsidR="00033FDC" w:rsidRPr="00A26001" w:rsidRDefault="00033FDC" w:rsidP="007D571F">
            <w:pPr>
              <w:pStyle w:val="TableHeading"/>
              <w:rPr>
                <w:lang w:eastAsia="ja-JP"/>
              </w:rPr>
            </w:pPr>
            <w:r w:rsidRPr="00A26001">
              <w:t>Version</w:t>
            </w:r>
          </w:p>
        </w:tc>
        <w:tc>
          <w:tcPr>
            <w:tcW w:w="1560" w:type="dxa"/>
            <w:tcBorders>
              <w:left w:val="nil"/>
              <w:bottom w:val="single" w:sz="4" w:space="0" w:color="auto"/>
              <w:right w:val="nil"/>
            </w:tcBorders>
          </w:tcPr>
          <w:p w14:paraId="5572E386" w14:textId="77777777" w:rsidR="00033FDC" w:rsidRPr="00A26001" w:rsidRDefault="00033FDC" w:rsidP="007D571F">
            <w:pPr>
              <w:pStyle w:val="TableHeading"/>
              <w:rPr>
                <w:bCs/>
                <w:lang w:eastAsia="ja-JP"/>
              </w:rPr>
            </w:pPr>
            <w:r w:rsidRPr="00A26001">
              <w:rPr>
                <w:bCs/>
              </w:rPr>
              <w:t>Date of issue</w:t>
            </w:r>
          </w:p>
        </w:tc>
        <w:tc>
          <w:tcPr>
            <w:tcW w:w="2409" w:type="dxa"/>
            <w:tcBorders>
              <w:left w:val="nil"/>
              <w:bottom w:val="single" w:sz="4" w:space="0" w:color="auto"/>
              <w:right w:val="nil"/>
            </w:tcBorders>
          </w:tcPr>
          <w:p w14:paraId="338F764E" w14:textId="77777777" w:rsidR="00033FDC" w:rsidRPr="00A26001" w:rsidRDefault="00033FDC" w:rsidP="007D571F">
            <w:pPr>
              <w:pStyle w:val="TableHeading"/>
              <w:rPr>
                <w:bCs/>
                <w:lang w:eastAsia="ja-JP"/>
              </w:rPr>
            </w:pPr>
            <w:r w:rsidRPr="00A26001">
              <w:rPr>
                <w:bCs/>
              </w:rPr>
              <w:t>Author</w:t>
            </w:r>
          </w:p>
        </w:tc>
        <w:tc>
          <w:tcPr>
            <w:tcW w:w="3957" w:type="dxa"/>
            <w:tcBorders>
              <w:left w:val="nil"/>
              <w:bottom w:val="single" w:sz="4" w:space="0" w:color="auto"/>
              <w:right w:val="nil"/>
            </w:tcBorders>
          </w:tcPr>
          <w:p w14:paraId="21BA5405" w14:textId="77777777" w:rsidR="00033FDC" w:rsidRPr="00A26001" w:rsidRDefault="00033FDC" w:rsidP="007D571F">
            <w:pPr>
              <w:pStyle w:val="TableHeading"/>
              <w:rPr>
                <w:bCs/>
                <w:lang w:eastAsia="ja-JP"/>
              </w:rPr>
            </w:pPr>
            <w:r w:rsidRPr="00A26001">
              <w:rPr>
                <w:bCs/>
              </w:rPr>
              <w:t>Reason for change</w:t>
            </w:r>
          </w:p>
        </w:tc>
      </w:tr>
      <w:tr w:rsidR="00033FDC" w:rsidRPr="00A26001" w14:paraId="123EDB18" w14:textId="77777777" w:rsidTr="00CF5787">
        <w:tc>
          <w:tcPr>
            <w:tcW w:w="1134" w:type="dxa"/>
            <w:tcBorders>
              <w:left w:val="nil"/>
              <w:right w:val="nil"/>
            </w:tcBorders>
          </w:tcPr>
          <w:p w14:paraId="2AAF4C9E" w14:textId="77777777" w:rsidR="00033FDC" w:rsidRPr="00A26001" w:rsidRDefault="00033FDC" w:rsidP="007D571F">
            <w:pPr>
              <w:pStyle w:val="TableText"/>
              <w:rPr>
                <w:lang w:eastAsia="ja-JP"/>
              </w:rPr>
            </w:pPr>
            <w:r w:rsidRPr="00A26001">
              <w:rPr>
                <w:lang w:eastAsia="ja-JP"/>
              </w:rPr>
              <w:t>1.0</w:t>
            </w:r>
          </w:p>
        </w:tc>
        <w:tc>
          <w:tcPr>
            <w:tcW w:w="1560" w:type="dxa"/>
            <w:tcBorders>
              <w:left w:val="nil"/>
              <w:right w:val="nil"/>
            </w:tcBorders>
          </w:tcPr>
          <w:p w14:paraId="221B25F0" w14:textId="06D1722A" w:rsidR="00033FDC" w:rsidRPr="00A26001" w:rsidRDefault="00AF39DD" w:rsidP="007D571F">
            <w:pPr>
              <w:pStyle w:val="TableText"/>
              <w:rPr>
                <w:lang w:eastAsia="ja-JP"/>
              </w:rPr>
            </w:pPr>
            <w:r>
              <w:rPr>
                <w:lang w:eastAsia="ja-JP"/>
              </w:rPr>
              <w:t>2020</w:t>
            </w:r>
          </w:p>
        </w:tc>
        <w:tc>
          <w:tcPr>
            <w:tcW w:w="2409" w:type="dxa"/>
            <w:tcBorders>
              <w:left w:val="nil"/>
              <w:right w:val="nil"/>
            </w:tcBorders>
          </w:tcPr>
          <w:p w14:paraId="068B282E" w14:textId="77777777" w:rsidR="00033FDC" w:rsidRPr="00A26001" w:rsidRDefault="00033FDC" w:rsidP="007D571F">
            <w:pPr>
              <w:pStyle w:val="TableText"/>
              <w:rPr>
                <w:lang w:eastAsia="ja-JP"/>
              </w:rPr>
            </w:pPr>
            <w:r w:rsidRPr="00A26001">
              <w:rPr>
                <w:lang w:eastAsia="ja-JP"/>
              </w:rPr>
              <w:t>Live Animal Export Branch</w:t>
            </w:r>
          </w:p>
        </w:tc>
        <w:tc>
          <w:tcPr>
            <w:tcW w:w="3957" w:type="dxa"/>
            <w:tcBorders>
              <w:left w:val="nil"/>
              <w:right w:val="nil"/>
            </w:tcBorders>
          </w:tcPr>
          <w:p w14:paraId="239124D6" w14:textId="77777777" w:rsidR="00033FDC" w:rsidRPr="00A26001" w:rsidRDefault="00033FDC" w:rsidP="007D571F">
            <w:pPr>
              <w:pStyle w:val="TableText"/>
              <w:rPr>
                <w:lang w:eastAsia="ja-JP"/>
              </w:rPr>
            </w:pPr>
            <w:r w:rsidRPr="00A26001">
              <w:rPr>
                <w:lang w:eastAsia="ja-JP"/>
              </w:rPr>
              <w:t>First publication</w:t>
            </w:r>
          </w:p>
        </w:tc>
      </w:tr>
      <w:tr w:rsidR="00033FDC" w:rsidRPr="00A26001" w14:paraId="7EBE6EEE" w14:textId="77777777" w:rsidTr="00CF5787">
        <w:tc>
          <w:tcPr>
            <w:tcW w:w="1134" w:type="dxa"/>
            <w:tcBorders>
              <w:left w:val="nil"/>
              <w:right w:val="nil"/>
            </w:tcBorders>
          </w:tcPr>
          <w:p w14:paraId="2E19C74A" w14:textId="61CA9B09" w:rsidR="00033FDC" w:rsidRPr="00A26001" w:rsidRDefault="0030516A" w:rsidP="00033FDC">
            <w:pPr>
              <w:pStyle w:val="TableText"/>
              <w:rPr>
                <w:lang w:eastAsia="ja-JP"/>
              </w:rPr>
            </w:pPr>
            <w:r>
              <w:rPr>
                <w:lang w:eastAsia="ja-JP"/>
              </w:rPr>
              <w:t>1</w:t>
            </w:r>
            <w:r w:rsidR="00033FDC">
              <w:rPr>
                <w:lang w:eastAsia="ja-JP"/>
              </w:rPr>
              <w:t>.1</w:t>
            </w:r>
          </w:p>
        </w:tc>
        <w:tc>
          <w:tcPr>
            <w:tcW w:w="1560" w:type="dxa"/>
            <w:tcBorders>
              <w:left w:val="nil"/>
              <w:right w:val="nil"/>
            </w:tcBorders>
          </w:tcPr>
          <w:p w14:paraId="2DFF1E6D" w14:textId="44A16643" w:rsidR="00033FDC" w:rsidRPr="00D44237" w:rsidRDefault="005061B1" w:rsidP="00033FDC">
            <w:pPr>
              <w:pStyle w:val="TableText"/>
              <w:rPr>
                <w:lang w:eastAsia="ja-JP"/>
              </w:rPr>
            </w:pPr>
            <w:r>
              <w:rPr>
                <w:lang w:eastAsia="ja-JP"/>
              </w:rPr>
              <w:t>July</w:t>
            </w:r>
            <w:r w:rsidRPr="00D44237">
              <w:rPr>
                <w:lang w:eastAsia="ja-JP"/>
              </w:rPr>
              <w:t xml:space="preserve"> </w:t>
            </w:r>
            <w:r w:rsidR="00033FDC" w:rsidRPr="00D44237">
              <w:rPr>
                <w:lang w:eastAsia="ja-JP"/>
              </w:rPr>
              <w:t>2024</w:t>
            </w:r>
          </w:p>
        </w:tc>
        <w:tc>
          <w:tcPr>
            <w:tcW w:w="2409" w:type="dxa"/>
            <w:tcBorders>
              <w:left w:val="nil"/>
              <w:right w:val="nil"/>
            </w:tcBorders>
          </w:tcPr>
          <w:p w14:paraId="2F3F0C72" w14:textId="04030E19" w:rsidR="00033FDC" w:rsidRPr="00A26001" w:rsidRDefault="00033FDC" w:rsidP="00033FDC">
            <w:pPr>
              <w:pStyle w:val="TableText"/>
              <w:rPr>
                <w:lang w:eastAsia="ja-JP"/>
              </w:rPr>
            </w:pPr>
            <w:r>
              <w:rPr>
                <w:lang w:eastAsia="ja-JP"/>
              </w:rPr>
              <w:t>Live Animal Export Branch</w:t>
            </w:r>
          </w:p>
        </w:tc>
        <w:tc>
          <w:tcPr>
            <w:tcW w:w="3957" w:type="dxa"/>
            <w:tcBorders>
              <w:left w:val="nil"/>
              <w:right w:val="nil"/>
            </w:tcBorders>
          </w:tcPr>
          <w:p w14:paraId="5842FF9D" w14:textId="77777777" w:rsidR="00033FDC" w:rsidRDefault="00033FDC" w:rsidP="00033FDC">
            <w:pPr>
              <w:pStyle w:val="TableText"/>
            </w:pPr>
            <w:r w:rsidRPr="00A5202A">
              <w:t>Update to department branding</w:t>
            </w:r>
          </w:p>
          <w:p w14:paraId="20CD4AE1" w14:textId="1D5509A5" w:rsidR="00033FDC" w:rsidRPr="00A26001" w:rsidRDefault="00033FDC" w:rsidP="00033FDC">
            <w:pPr>
              <w:pStyle w:val="TableText"/>
              <w:rPr>
                <w:lang w:eastAsia="ja-JP"/>
              </w:rPr>
            </w:pPr>
            <w:r w:rsidRPr="00732328">
              <w:rPr>
                <w:rStyle w:val="cf01"/>
                <w:rFonts w:asciiTheme="minorHAnsi" w:hAnsiTheme="minorHAnsi" w:cstheme="minorBidi"/>
                <w:color w:val="auto"/>
                <w:szCs w:val="22"/>
                <w:shd w:val="clear" w:color="auto" w:fill="auto"/>
              </w:rPr>
              <w:t>Minor edits to improve user accessibility and readability</w:t>
            </w:r>
          </w:p>
        </w:tc>
      </w:tr>
    </w:tbl>
    <w:p w14:paraId="091203D5" w14:textId="77777777" w:rsidR="00033FDC" w:rsidRDefault="00033FDC" w:rsidP="00120B33">
      <w:pPr>
        <w:pStyle w:val="Normalsmall"/>
        <w:spacing w:before="240"/>
        <w:rPr>
          <w:bCs/>
        </w:rPr>
      </w:pPr>
    </w:p>
    <w:sectPr w:rsidR="00033FDC" w:rsidSect="009B1301">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B20DA" w14:textId="77777777" w:rsidR="00C40143" w:rsidRDefault="00C40143">
      <w:r>
        <w:separator/>
      </w:r>
    </w:p>
    <w:p w14:paraId="7608306C" w14:textId="77777777" w:rsidR="00C40143" w:rsidRDefault="00C40143"/>
    <w:p w14:paraId="33368849" w14:textId="77777777" w:rsidR="00C40143" w:rsidRDefault="00C40143"/>
  </w:endnote>
  <w:endnote w:type="continuationSeparator" w:id="0">
    <w:p w14:paraId="69055B56" w14:textId="77777777" w:rsidR="00C40143" w:rsidRDefault="00C40143">
      <w:r>
        <w:continuationSeparator/>
      </w:r>
    </w:p>
    <w:p w14:paraId="0D8DDDEB" w14:textId="77777777" w:rsidR="00C40143" w:rsidRDefault="00C40143"/>
    <w:p w14:paraId="16873486" w14:textId="77777777" w:rsidR="00C40143" w:rsidRDefault="00C40143"/>
  </w:endnote>
  <w:endnote w:type="continuationNotice" w:id="1">
    <w:p w14:paraId="23A43045" w14:textId="77777777" w:rsidR="00C40143" w:rsidRDefault="00C40143">
      <w:pPr>
        <w:pStyle w:val="Footer"/>
      </w:pPr>
    </w:p>
    <w:p w14:paraId="6CDC98A9" w14:textId="77777777" w:rsidR="00C40143" w:rsidRDefault="00C40143"/>
    <w:p w14:paraId="65D9842D" w14:textId="77777777" w:rsidR="00C40143" w:rsidRDefault="00C40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9F5B2" w14:textId="77777777" w:rsidR="00C95647" w:rsidRDefault="00C95647">
    <w:pPr>
      <w:pStyle w:val="Footer"/>
    </w:pPr>
    <w:r>
      <w:rPr>
        <w:noProof/>
      </w:rPr>
      <mc:AlternateContent>
        <mc:Choice Requires="wps">
          <w:drawing>
            <wp:anchor distT="0" distB="0" distL="0" distR="0" simplePos="0" relativeHeight="251658242" behindDoc="0" locked="0" layoutInCell="1" allowOverlap="1" wp14:anchorId="617AAE2C" wp14:editId="3A78C904">
              <wp:simplePos x="635" y="635"/>
              <wp:positionH relativeFrom="page">
                <wp:align>center</wp:align>
              </wp:positionH>
              <wp:positionV relativeFrom="page">
                <wp:align>bottom</wp:align>
              </wp:positionV>
              <wp:extent cx="443865" cy="443865"/>
              <wp:effectExtent l="0" t="0" r="635" b="0"/>
              <wp:wrapNone/>
              <wp:docPr id="185470368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B0EEC6" w14:textId="77777777" w:rsidR="00C95647" w:rsidRPr="00C95647" w:rsidRDefault="00C95647" w:rsidP="00C95647">
                          <w:pPr>
                            <w:spacing w:after="0"/>
                            <w:rPr>
                              <w:rFonts w:ascii="Calibri" w:eastAsia="Calibri" w:hAnsi="Calibri" w:cs="Calibri"/>
                              <w:noProof/>
                              <w:color w:val="FF0000"/>
                              <w:sz w:val="24"/>
                              <w:szCs w:val="24"/>
                            </w:rPr>
                          </w:pPr>
                          <w:r w:rsidRPr="00C9564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7AAE2C"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7B0EEC6" w14:textId="77777777" w:rsidR="00C95647" w:rsidRPr="00C95647" w:rsidRDefault="00C95647" w:rsidP="00C95647">
                    <w:pPr>
                      <w:spacing w:after="0"/>
                      <w:rPr>
                        <w:rFonts w:ascii="Calibri" w:eastAsia="Calibri" w:hAnsi="Calibri" w:cs="Calibri"/>
                        <w:noProof/>
                        <w:color w:val="FF0000"/>
                        <w:sz w:val="24"/>
                        <w:szCs w:val="24"/>
                      </w:rPr>
                    </w:pPr>
                    <w:r w:rsidRPr="00C9564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2CD1F" w14:textId="77777777" w:rsidR="003E4788" w:rsidRDefault="008376D9">
    <w:pPr>
      <w:pStyle w:val="Footer"/>
    </w:pPr>
    <w:r w:rsidRPr="008376D9">
      <w:t>Department of Agriculture, Fisheries and Forestry</w:t>
    </w:r>
  </w:p>
  <w:p w14:paraId="1843FE53" w14:textId="77777777" w:rsidR="003E4788" w:rsidRDefault="005C11E1">
    <w:pPr>
      <w:pStyle w:val="Footer"/>
    </w:pPr>
    <w:r>
      <w:fldChar w:fldCharType="begin"/>
    </w:r>
    <w:r>
      <w:instrText xml:space="preserve"> PAGE   \* MERGEFORMAT </w:instrText>
    </w:r>
    <w:r>
      <w:fldChar w:fldCharType="separate"/>
    </w:r>
    <w:r w:rsidR="00F82089">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8BC81" w14:textId="77777777" w:rsidR="00C40143" w:rsidRDefault="00C40143">
      <w:r>
        <w:separator/>
      </w:r>
    </w:p>
    <w:p w14:paraId="358461C1" w14:textId="77777777" w:rsidR="00C40143" w:rsidRDefault="00C40143"/>
    <w:p w14:paraId="32A6F3A1" w14:textId="77777777" w:rsidR="00C40143" w:rsidRDefault="00C40143"/>
  </w:footnote>
  <w:footnote w:type="continuationSeparator" w:id="0">
    <w:p w14:paraId="48F1DBBF" w14:textId="77777777" w:rsidR="00C40143" w:rsidRDefault="00C40143">
      <w:r>
        <w:continuationSeparator/>
      </w:r>
    </w:p>
    <w:p w14:paraId="01880DD9" w14:textId="77777777" w:rsidR="00C40143" w:rsidRDefault="00C40143"/>
    <w:p w14:paraId="5B88010B" w14:textId="77777777" w:rsidR="00C40143" w:rsidRDefault="00C40143"/>
  </w:footnote>
  <w:footnote w:type="continuationNotice" w:id="1">
    <w:p w14:paraId="1B6C3F68" w14:textId="77777777" w:rsidR="00C40143" w:rsidRDefault="00C40143">
      <w:pPr>
        <w:pStyle w:val="Footer"/>
      </w:pPr>
    </w:p>
    <w:p w14:paraId="22C940F0" w14:textId="77777777" w:rsidR="00C40143" w:rsidRDefault="00C40143"/>
    <w:p w14:paraId="1DCD0DF5" w14:textId="77777777" w:rsidR="00C40143" w:rsidRDefault="00C40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24609" w14:textId="77777777" w:rsidR="00C95647" w:rsidRDefault="00C95647">
    <w:pPr>
      <w:pStyle w:val="Header"/>
    </w:pPr>
    <w:r>
      <w:rPr>
        <w:noProof/>
      </w:rPr>
      <mc:AlternateContent>
        <mc:Choice Requires="wps">
          <w:drawing>
            <wp:anchor distT="0" distB="0" distL="0" distR="0" simplePos="0" relativeHeight="251658241" behindDoc="0" locked="0" layoutInCell="1" allowOverlap="1" wp14:anchorId="73524E2D" wp14:editId="378E19A5">
              <wp:simplePos x="635" y="635"/>
              <wp:positionH relativeFrom="page">
                <wp:align>center</wp:align>
              </wp:positionH>
              <wp:positionV relativeFrom="page">
                <wp:align>top</wp:align>
              </wp:positionV>
              <wp:extent cx="443865" cy="443865"/>
              <wp:effectExtent l="0" t="0" r="635" b="14605"/>
              <wp:wrapNone/>
              <wp:docPr id="178828274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9D248C" w14:textId="77777777" w:rsidR="00C95647" w:rsidRPr="00C95647" w:rsidRDefault="00C95647" w:rsidP="00C95647">
                          <w:pPr>
                            <w:spacing w:after="0"/>
                            <w:rPr>
                              <w:rFonts w:ascii="Calibri" w:eastAsia="Calibri" w:hAnsi="Calibri" w:cs="Calibri"/>
                              <w:noProof/>
                              <w:color w:val="FF0000"/>
                              <w:sz w:val="24"/>
                              <w:szCs w:val="24"/>
                            </w:rPr>
                          </w:pPr>
                          <w:r w:rsidRPr="00C9564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524E2D"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9D248C" w14:textId="77777777" w:rsidR="00C95647" w:rsidRPr="00C95647" w:rsidRDefault="00C95647" w:rsidP="00C95647">
                    <w:pPr>
                      <w:spacing w:after="0"/>
                      <w:rPr>
                        <w:rFonts w:ascii="Calibri" w:eastAsia="Calibri" w:hAnsi="Calibri" w:cs="Calibri"/>
                        <w:noProof/>
                        <w:color w:val="FF0000"/>
                        <w:sz w:val="24"/>
                        <w:szCs w:val="24"/>
                      </w:rPr>
                    </w:pPr>
                    <w:r w:rsidRPr="00C9564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2F8E" w14:textId="6ED5B79A" w:rsidR="00F445A7" w:rsidRDefault="00F445A7" w:rsidP="00F445A7">
    <w:pPr>
      <w:pStyle w:val="Header"/>
    </w:pPr>
    <w:r>
      <w:t xml:space="preserve">Guideline for the identification and management of material interests for </w:t>
    </w:r>
    <w:r w:rsidR="00DB7584">
      <w:t>a</w:t>
    </w:r>
    <w:r>
      <w:t xml:space="preserve">ccredited </w:t>
    </w:r>
    <w:r w:rsidR="00DB7584">
      <w:t>v</w:t>
    </w:r>
    <w:r>
      <w:t>eterinarians</w:t>
    </w:r>
  </w:p>
  <w:p w14:paraId="64F21B2B" w14:textId="376FF341" w:rsidR="003E4788" w:rsidRDefault="003E47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E036" w14:textId="77777777" w:rsidR="003E4788" w:rsidRDefault="007C22E2">
    <w:pPr>
      <w:pStyle w:val="Header"/>
      <w:jc w:val="left"/>
    </w:pPr>
    <w:r>
      <w:rPr>
        <w:noProof/>
      </w:rPr>
      <w:drawing>
        <wp:anchor distT="0" distB="0" distL="114300" distR="114300" simplePos="0" relativeHeight="251658240" behindDoc="1" locked="0" layoutInCell="1" allowOverlap="1" wp14:anchorId="46C48208" wp14:editId="7BBD561A">
          <wp:simplePos x="0" y="0"/>
          <wp:positionH relativeFrom="column">
            <wp:posOffset>-900430</wp:posOffset>
          </wp:positionH>
          <wp:positionV relativeFrom="paragraph">
            <wp:posOffset>-350520</wp:posOffset>
          </wp:positionV>
          <wp:extent cx="7567200" cy="10702800"/>
          <wp:effectExtent l="0" t="0" r="0" b="3810"/>
          <wp:wrapNone/>
          <wp:docPr id="377433585" name="Picture 37743358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7200" cy="1070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B1E4269E"/>
    <w:lvl w:ilvl="0" w:tplc="069293A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A73E9A04"/>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3"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A8B541B"/>
    <w:multiLevelType w:val="multilevel"/>
    <w:tmpl w:val="CFE66628"/>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7"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57496035">
    <w:abstractNumId w:val="5"/>
  </w:num>
  <w:num w:numId="2" w16cid:durableId="582177553">
    <w:abstractNumId w:val="6"/>
  </w:num>
  <w:num w:numId="3" w16cid:durableId="343671981">
    <w:abstractNumId w:val="1"/>
  </w:num>
  <w:num w:numId="4" w16cid:durableId="1373312202">
    <w:abstractNumId w:val="3"/>
  </w:num>
  <w:num w:numId="5" w16cid:durableId="572471579">
    <w:abstractNumId w:val="4"/>
  </w:num>
  <w:num w:numId="6" w16cid:durableId="215288153">
    <w:abstractNumId w:val="2"/>
  </w:num>
  <w:num w:numId="7" w16cid:durableId="1595284182">
    <w:abstractNumId w:val="1"/>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 w16cid:durableId="1724519758">
    <w:abstractNumId w:val="5"/>
  </w:num>
  <w:num w:numId="9" w16cid:durableId="2018343253">
    <w:abstractNumId w:val="6"/>
  </w:num>
  <w:num w:numId="10" w16cid:durableId="535971525">
    <w:abstractNumId w:val="0"/>
  </w:num>
  <w:num w:numId="11" w16cid:durableId="11566170">
    <w:abstractNumId w:val="7"/>
  </w:num>
  <w:num w:numId="12" w16cid:durableId="639581892">
    <w:abstractNumId w:val="8"/>
  </w:num>
  <w:num w:numId="13" w16cid:durableId="864908900">
    <w:abstractNumId w:val="1"/>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4" w16cid:durableId="910384016">
    <w:abstractNumId w:val="1"/>
    <w:lvlOverride w:ilvl="0">
      <w:startOverride w:val="1"/>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1.%2"/>
        <w:lvlJc w:val="left"/>
        <w:pPr>
          <w:ind w:left="964" w:hanging="964"/>
        </w:pPr>
        <w:rPr>
          <w:rFonts w:hint="default"/>
        </w:rPr>
      </w:lvl>
    </w:lvlOverride>
    <w:lvlOverride w:ilvl="2">
      <w:startOverride w:val="1"/>
      <w:lvl w:ilvl="2">
        <w:start w:val="1"/>
        <w:numFmt w:val="decimal"/>
        <w:pStyle w:val="Heading4"/>
        <w:lvlText w:val="%1.%2.%3"/>
        <w:lvlJc w:val="left"/>
        <w:pPr>
          <w:ind w:left="964" w:hanging="964"/>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5" w16cid:durableId="844629787">
    <w:abstractNumId w:val="1"/>
    <w:lvlOverride w:ilvl="0">
      <w:lvl w:ilvl="0">
        <w:start w:val="1"/>
        <w:numFmt w:val="decimal"/>
        <w:pStyle w:val="Heading2"/>
        <w:lvlText w:val="%1"/>
        <w:lvlJc w:val="left"/>
        <w:pPr>
          <w:ind w:left="720" w:hanging="720"/>
        </w:pPr>
      </w:lvl>
    </w:lvlOverride>
  </w:num>
  <w:num w:numId="16" w16cid:durableId="1092626138">
    <w:abstractNumId w:val="1"/>
    <w:lvlOverride w:ilvl="0">
      <w:startOverride w:val="1"/>
      <w:lvl w:ilvl="0">
        <w:start w:val="1"/>
        <w:numFmt w:val="decimal"/>
        <w:pStyle w:val="Heading2"/>
        <w:lvlText w:val="%1"/>
        <w:lvlJc w:val="left"/>
        <w:pPr>
          <w:ind w:left="720" w:hanging="720"/>
        </w:pPr>
        <w:rPr>
          <w:b w:val="0"/>
          <w:bCs w:val="0"/>
          <w:i w:val="0"/>
          <w:iCs w:val="0"/>
          <w:caps w:val="0"/>
          <w:smallCaps w:val="0"/>
          <w:strike w:val="0"/>
          <w:dstrike w:val="0"/>
          <w:noProof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
        <w:lvlJc w:val="left"/>
      </w:lvl>
    </w:lvlOverride>
    <w:lvlOverride w:ilvl="2">
      <w:startOverride w:val="1"/>
      <w:lvl w:ilvl="2">
        <w:start w:val="1"/>
        <w:numFmt w:val="decimal"/>
        <w:pStyle w:val="Heading4"/>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16cid:durableId="576942161">
    <w:abstractNumId w:val="5"/>
  </w:num>
  <w:num w:numId="18" w16cid:durableId="73942985">
    <w:abstractNumId w:val="1"/>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964" w:hanging="964"/>
        </w:pPr>
        <w:rPr>
          <w:rFonts w:hint="default"/>
        </w:rPr>
      </w:lvl>
    </w:lvlOverride>
    <w:lvlOverride w:ilvl="2">
      <w:lvl w:ilvl="2">
        <w:start w:val="1"/>
        <w:numFmt w:val="decimal"/>
        <w:pStyle w:val="Heading4"/>
        <w:lvlText w:val="%1.%2.%3"/>
        <w:lvlJc w:val="left"/>
        <w:pPr>
          <w:ind w:left="964" w:hanging="964"/>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FE"/>
    <w:rsid w:val="000115E9"/>
    <w:rsid w:val="00023554"/>
    <w:rsid w:val="00024E04"/>
    <w:rsid w:val="0002606E"/>
    <w:rsid w:val="00031BF1"/>
    <w:rsid w:val="000320C5"/>
    <w:rsid w:val="0003236A"/>
    <w:rsid w:val="000332A0"/>
    <w:rsid w:val="00033FDC"/>
    <w:rsid w:val="00034F5C"/>
    <w:rsid w:val="000522C6"/>
    <w:rsid w:val="000546D1"/>
    <w:rsid w:val="000602C5"/>
    <w:rsid w:val="000624A2"/>
    <w:rsid w:val="000637DE"/>
    <w:rsid w:val="000932E6"/>
    <w:rsid w:val="00095E05"/>
    <w:rsid w:val="00096220"/>
    <w:rsid w:val="000B796D"/>
    <w:rsid w:val="000C18FE"/>
    <w:rsid w:val="000F0FB6"/>
    <w:rsid w:val="000F1635"/>
    <w:rsid w:val="000F1676"/>
    <w:rsid w:val="00104653"/>
    <w:rsid w:val="00113861"/>
    <w:rsid w:val="0011638E"/>
    <w:rsid w:val="00120B33"/>
    <w:rsid w:val="00121603"/>
    <w:rsid w:val="001339C8"/>
    <w:rsid w:val="00135B8A"/>
    <w:rsid w:val="00137CF3"/>
    <w:rsid w:val="001419A6"/>
    <w:rsid w:val="00144422"/>
    <w:rsid w:val="00144F3C"/>
    <w:rsid w:val="0015032E"/>
    <w:rsid w:val="0015079D"/>
    <w:rsid w:val="00150F9E"/>
    <w:rsid w:val="00154709"/>
    <w:rsid w:val="001616AC"/>
    <w:rsid w:val="00163C9C"/>
    <w:rsid w:val="00174A9E"/>
    <w:rsid w:val="00181DBB"/>
    <w:rsid w:val="00191ADE"/>
    <w:rsid w:val="00193384"/>
    <w:rsid w:val="0019780D"/>
    <w:rsid w:val="0019795C"/>
    <w:rsid w:val="001B06FD"/>
    <w:rsid w:val="001B5FE5"/>
    <w:rsid w:val="001C6EEA"/>
    <w:rsid w:val="001E3A64"/>
    <w:rsid w:val="00200BA6"/>
    <w:rsid w:val="002101F7"/>
    <w:rsid w:val="002179FB"/>
    <w:rsid w:val="00217FAB"/>
    <w:rsid w:val="00227F3B"/>
    <w:rsid w:val="00246A35"/>
    <w:rsid w:val="0026398B"/>
    <w:rsid w:val="002675BF"/>
    <w:rsid w:val="00281B0F"/>
    <w:rsid w:val="002854B0"/>
    <w:rsid w:val="002867E2"/>
    <w:rsid w:val="00290E8E"/>
    <w:rsid w:val="00296B12"/>
    <w:rsid w:val="002A3F88"/>
    <w:rsid w:val="002A6C79"/>
    <w:rsid w:val="002B0CEA"/>
    <w:rsid w:val="002B388C"/>
    <w:rsid w:val="002C1BAC"/>
    <w:rsid w:val="002C4690"/>
    <w:rsid w:val="002D114C"/>
    <w:rsid w:val="002D328E"/>
    <w:rsid w:val="002D433A"/>
    <w:rsid w:val="002D47F4"/>
    <w:rsid w:val="002D5A63"/>
    <w:rsid w:val="002E04C0"/>
    <w:rsid w:val="002E10B0"/>
    <w:rsid w:val="002E27D8"/>
    <w:rsid w:val="002E6FC6"/>
    <w:rsid w:val="002E74DD"/>
    <w:rsid w:val="002E74FA"/>
    <w:rsid w:val="002F2B1F"/>
    <w:rsid w:val="002F4B34"/>
    <w:rsid w:val="0030516A"/>
    <w:rsid w:val="00323B4B"/>
    <w:rsid w:val="00334F5B"/>
    <w:rsid w:val="003359C8"/>
    <w:rsid w:val="003359E1"/>
    <w:rsid w:val="003465B0"/>
    <w:rsid w:val="003471C0"/>
    <w:rsid w:val="003540B1"/>
    <w:rsid w:val="00355D77"/>
    <w:rsid w:val="00364617"/>
    <w:rsid w:val="00370BA8"/>
    <w:rsid w:val="0038470C"/>
    <w:rsid w:val="00387384"/>
    <w:rsid w:val="00390D10"/>
    <w:rsid w:val="0039379F"/>
    <w:rsid w:val="00396EC7"/>
    <w:rsid w:val="003A3FB4"/>
    <w:rsid w:val="003A78B4"/>
    <w:rsid w:val="003B0E79"/>
    <w:rsid w:val="003B25F1"/>
    <w:rsid w:val="003B3387"/>
    <w:rsid w:val="003C070C"/>
    <w:rsid w:val="003C302D"/>
    <w:rsid w:val="003D48F9"/>
    <w:rsid w:val="003D6B0E"/>
    <w:rsid w:val="003E1FAD"/>
    <w:rsid w:val="003E4788"/>
    <w:rsid w:val="003E5727"/>
    <w:rsid w:val="003E7338"/>
    <w:rsid w:val="003F00C4"/>
    <w:rsid w:val="003F1E4F"/>
    <w:rsid w:val="003F20F5"/>
    <w:rsid w:val="003F61B0"/>
    <w:rsid w:val="003F72F2"/>
    <w:rsid w:val="003F7B24"/>
    <w:rsid w:val="0040218E"/>
    <w:rsid w:val="00403A06"/>
    <w:rsid w:val="00404C4B"/>
    <w:rsid w:val="00406B86"/>
    <w:rsid w:val="004076F4"/>
    <w:rsid w:val="004103B2"/>
    <w:rsid w:val="00412FD4"/>
    <w:rsid w:val="004144F1"/>
    <w:rsid w:val="00414C3F"/>
    <w:rsid w:val="00421DFA"/>
    <w:rsid w:val="0042221B"/>
    <w:rsid w:val="00423923"/>
    <w:rsid w:val="0043531F"/>
    <w:rsid w:val="004408E4"/>
    <w:rsid w:val="0044139D"/>
    <w:rsid w:val="00447ADC"/>
    <w:rsid w:val="00450F61"/>
    <w:rsid w:val="00453127"/>
    <w:rsid w:val="0045690E"/>
    <w:rsid w:val="00456AF7"/>
    <w:rsid w:val="00462D1C"/>
    <w:rsid w:val="004631BF"/>
    <w:rsid w:val="00465DE3"/>
    <w:rsid w:val="00475ADD"/>
    <w:rsid w:val="00487DF6"/>
    <w:rsid w:val="004918BA"/>
    <w:rsid w:val="0049378A"/>
    <w:rsid w:val="0049729E"/>
    <w:rsid w:val="004A7F06"/>
    <w:rsid w:val="004B0186"/>
    <w:rsid w:val="004B43FE"/>
    <w:rsid w:val="004B4676"/>
    <w:rsid w:val="004B501F"/>
    <w:rsid w:val="004C7F0F"/>
    <w:rsid w:val="004D5F16"/>
    <w:rsid w:val="004D6F89"/>
    <w:rsid w:val="004E021D"/>
    <w:rsid w:val="004E101B"/>
    <w:rsid w:val="004E2292"/>
    <w:rsid w:val="004E3FC7"/>
    <w:rsid w:val="004E54BE"/>
    <w:rsid w:val="004E5DD1"/>
    <w:rsid w:val="004F0207"/>
    <w:rsid w:val="004F0C2C"/>
    <w:rsid w:val="00501ADB"/>
    <w:rsid w:val="005061B1"/>
    <w:rsid w:val="00531282"/>
    <w:rsid w:val="00533C25"/>
    <w:rsid w:val="00537468"/>
    <w:rsid w:val="00541073"/>
    <w:rsid w:val="005444E3"/>
    <w:rsid w:val="0054487A"/>
    <w:rsid w:val="00546070"/>
    <w:rsid w:val="005510C0"/>
    <w:rsid w:val="0055136C"/>
    <w:rsid w:val="005541AB"/>
    <w:rsid w:val="00555906"/>
    <w:rsid w:val="00557A04"/>
    <w:rsid w:val="00566D8F"/>
    <w:rsid w:val="00567C73"/>
    <w:rsid w:val="0057472D"/>
    <w:rsid w:val="00575864"/>
    <w:rsid w:val="00577868"/>
    <w:rsid w:val="0058389C"/>
    <w:rsid w:val="00585CB9"/>
    <w:rsid w:val="005949BA"/>
    <w:rsid w:val="005B11A3"/>
    <w:rsid w:val="005C11E1"/>
    <w:rsid w:val="005C6ED7"/>
    <w:rsid w:val="005C7F53"/>
    <w:rsid w:val="005D31E1"/>
    <w:rsid w:val="005D5BD4"/>
    <w:rsid w:val="005D6F57"/>
    <w:rsid w:val="005E1B4E"/>
    <w:rsid w:val="005E608B"/>
    <w:rsid w:val="005F0598"/>
    <w:rsid w:val="005F3ADA"/>
    <w:rsid w:val="006069A2"/>
    <w:rsid w:val="00622EA7"/>
    <w:rsid w:val="006233CC"/>
    <w:rsid w:val="006247DA"/>
    <w:rsid w:val="006314C0"/>
    <w:rsid w:val="00634842"/>
    <w:rsid w:val="00634CBA"/>
    <w:rsid w:val="006363C0"/>
    <w:rsid w:val="0064710C"/>
    <w:rsid w:val="00656A09"/>
    <w:rsid w:val="00663682"/>
    <w:rsid w:val="00664127"/>
    <w:rsid w:val="00666C66"/>
    <w:rsid w:val="00682454"/>
    <w:rsid w:val="006829F9"/>
    <w:rsid w:val="00691426"/>
    <w:rsid w:val="00696407"/>
    <w:rsid w:val="00696C91"/>
    <w:rsid w:val="00696D44"/>
    <w:rsid w:val="006A073E"/>
    <w:rsid w:val="006A4785"/>
    <w:rsid w:val="006B4461"/>
    <w:rsid w:val="006B56C7"/>
    <w:rsid w:val="006B61F0"/>
    <w:rsid w:val="006B6386"/>
    <w:rsid w:val="006C0F4C"/>
    <w:rsid w:val="006C7751"/>
    <w:rsid w:val="006D19B6"/>
    <w:rsid w:val="006E1D55"/>
    <w:rsid w:val="006E3D23"/>
    <w:rsid w:val="006E6616"/>
    <w:rsid w:val="006F1570"/>
    <w:rsid w:val="006F3E5D"/>
    <w:rsid w:val="0070148E"/>
    <w:rsid w:val="0070402E"/>
    <w:rsid w:val="00707309"/>
    <w:rsid w:val="007153BA"/>
    <w:rsid w:val="0072133A"/>
    <w:rsid w:val="00723247"/>
    <w:rsid w:val="00731BE6"/>
    <w:rsid w:val="00744D6D"/>
    <w:rsid w:val="007463E2"/>
    <w:rsid w:val="00751120"/>
    <w:rsid w:val="00752594"/>
    <w:rsid w:val="0076048A"/>
    <w:rsid w:val="00761D5D"/>
    <w:rsid w:val="0076424F"/>
    <w:rsid w:val="00772E92"/>
    <w:rsid w:val="00777970"/>
    <w:rsid w:val="0078161A"/>
    <w:rsid w:val="007830A1"/>
    <w:rsid w:val="00785793"/>
    <w:rsid w:val="00786410"/>
    <w:rsid w:val="007924C5"/>
    <w:rsid w:val="00795441"/>
    <w:rsid w:val="00797B95"/>
    <w:rsid w:val="007A43E9"/>
    <w:rsid w:val="007A5684"/>
    <w:rsid w:val="007A7249"/>
    <w:rsid w:val="007A72BE"/>
    <w:rsid w:val="007B343A"/>
    <w:rsid w:val="007B689E"/>
    <w:rsid w:val="007C22E2"/>
    <w:rsid w:val="007C25AB"/>
    <w:rsid w:val="007C2F3E"/>
    <w:rsid w:val="007C58A4"/>
    <w:rsid w:val="007C7313"/>
    <w:rsid w:val="007D676A"/>
    <w:rsid w:val="007E7E7C"/>
    <w:rsid w:val="007F1AF1"/>
    <w:rsid w:val="007F4D60"/>
    <w:rsid w:val="007F5ADB"/>
    <w:rsid w:val="007F6B12"/>
    <w:rsid w:val="00805451"/>
    <w:rsid w:val="0081035C"/>
    <w:rsid w:val="008103AD"/>
    <w:rsid w:val="00814E6F"/>
    <w:rsid w:val="00825E11"/>
    <w:rsid w:val="00826467"/>
    <w:rsid w:val="008376D9"/>
    <w:rsid w:val="008406B4"/>
    <w:rsid w:val="0084332C"/>
    <w:rsid w:val="008474DA"/>
    <w:rsid w:val="00847F0E"/>
    <w:rsid w:val="00856ADD"/>
    <w:rsid w:val="00862800"/>
    <w:rsid w:val="00865123"/>
    <w:rsid w:val="00865610"/>
    <w:rsid w:val="00871263"/>
    <w:rsid w:val="0087278B"/>
    <w:rsid w:val="00874975"/>
    <w:rsid w:val="00882D85"/>
    <w:rsid w:val="00884AC1"/>
    <w:rsid w:val="0089259C"/>
    <w:rsid w:val="008925D1"/>
    <w:rsid w:val="0089266C"/>
    <w:rsid w:val="008A037F"/>
    <w:rsid w:val="008A0745"/>
    <w:rsid w:val="008A7565"/>
    <w:rsid w:val="008B62FE"/>
    <w:rsid w:val="008B635B"/>
    <w:rsid w:val="008B7C9E"/>
    <w:rsid w:val="008C1FAB"/>
    <w:rsid w:val="008C4344"/>
    <w:rsid w:val="008C5F9C"/>
    <w:rsid w:val="008E103B"/>
    <w:rsid w:val="008E2E75"/>
    <w:rsid w:val="008F11A8"/>
    <w:rsid w:val="008F47A9"/>
    <w:rsid w:val="008F5B38"/>
    <w:rsid w:val="0090374B"/>
    <w:rsid w:val="00904E63"/>
    <w:rsid w:val="00906DDD"/>
    <w:rsid w:val="009071DA"/>
    <w:rsid w:val="009109CB"/>
    <w:rsid w:val="00911030"/>
    <w:rsid w:val="00913AAF"/>
    <w:rsid w:val="00914E1A"/>
    <w:rsid w:val="00915558"/>
    <w:rsid w:val="00917269"/>
    <w:rsid w:val="00924AA3"/>
    <w:rsid w:val="00927C1C"/>
    <w:rsid w:val="00927CB6"/>
    <w:rsid w:val="009402C5"/>
    <w:rsid w:val="009558D9"/>
    <w:rsid w:val="00955B49"/>
    <w:rsid w:val="00955FE2"/>
    <w:rsid w:val="0095691A"/>
    <w:rsid w:val="00956971"/>
    <w:rsid w:val="00960382"/>
    <w:rsid w:val="00961277"/>
    <w:rsid w:val="00961BD0"/>
    <w:rsid w:val="0097314D"/>
    <w:rsid w:val="00973E44"/>
    <w:rsid w:val="00974ACA"/>
    <w:rsid w:val="00982201"/>
    <w:rsid w:val="009829E3"/>
    <w:rsid w:val="009A05D1"/>
    <w:rsid w:val="009A53DB"/>
    <w:rsid w:val="009A69AD"/>
    <w:rsid w:val="009B1301"/>
    <w:rsid w:val="009C50A2"/>
    <w:rsid w:val="009E1242"/>
    <w:rsid w:val="009E240F"/>
    <w:rsid w:val="009E369D"/>
    <w:rsid w:val="009F1FB4"/>
    <w:rsid w:val="00A0291D"/>
    <w:rsid w:val="00A10273"/>
    <w:rsid w:val="00A117F1"/>
    <w:rsid w:val="00A14031"/>
    <w:rsid w:val="00A1448A"/>
    <w:rsid w:val="00A16390"/>
    <w:rsid w:val="00A251F8"/>
    <w:rsid w:val="00A2625B"/>
    <w:rsid w:val="00A27369"/>
    <w:rsid w:val="00A31087"/>
    <w:rsid w:val="00A41C4A"/>
    <w:rsid w:val="00A51EAB"/>
    <w:rsid w:val="00A676CA"/>
    <w:rsid w:val="00A72A0D"/>
    <w:rsid w:val="00A74435"/>
    <w:rsid w:val="00AA4D6E"/>
    <w:rsid w:val="00AB22E5"/>
    <w:rsid w:val="00AD2B34"/>
    <w:rsid w:val="00AD3530"/>
    <w:rsid w:val="00AF0630"/>
    <w:rsid w:val="00AF39DD"/>
    <w:rsid w:val="00B11DC3"/>
    <w:rsid w:val="00B127AC"/>
    <w:rsid w:val="00B23FEB"/>
    <w:rsid w:val="00B25350"/>
    <w:rsid w:val="00B2642D"/>
    <w:rsid w:val="00B4071F"/>
    <w:rsid w:val="00B449F2"/>
    <w:rsid w:val="00B52CCC"/>
    <w:rsid w:val="00B530C1"/>
    <w:rsid w:val="00B6448C"/>
    <w:rsid w:val="00B6652D"/>
    <w:rsid w:val="00B714DC"/>
    <w:rsid w:val="00B72DA3"/>
    <w:rsid w:val="00B758CC"/>
    <w:rsid w:val="00B80D40"/>
    <w:rsid w:val="00B865E3"/>
    <w:rsid w:val="00B909A0"/>
    <w:rsid w:val="00B948A2"/>
    <w:rsid w:val="00B9671C"/>
    <w:rsid w:val="00BA6DFE"/>
    <w:rsid w:val="00BB3926"/>
    <w:rsid w:val="00BB52AB"/>
    <w:rsid w:val="00BB774D"/>
    <w:rsid w:val="00BC517A"/>
    <w:rsid w:val="00BC7591"/>
    <w:rsid w:val="00BD1194"/>
    <w:rsid w:val="00BD449B"/>
    <w:rsid w:val="00BD6F24"/>
    <w:rsid w:val="00BD7E30"/>
    <w:rsid w:val="00BE43A1"/>
    <w:rsid w:val="00BF0029"/>
    <w:rsid w:val="00C076DA"/>
    <w:rsid w:val="00C07C91"/>
    <w:rsid w:val="00C10BEA"/>
    <w:rsid w:val="00C14BBA"/>
    <w:rsid w:val="00C2047F"/>
    <w:rsid w:val="00C20904"/>
    <w:rsid w:val="00C248FD"/>
    <w:rsid w:val="00C257AA"/>
    <w:rsid w:val="00C263D5"/>
    <w:rsid w:val="00C325A0"/>
    <w:rsid w:val="00C340CF"/>
    <w:rsid w:val="00C35452"/>
    <w:rsid w:val="00C36349"/>
    <w:rsid w:val="00C40143"/>
    <w:rsid w:val="00C5009D"/>
    <w:rsid w:val="00C658F5"/>
    <w:rsid w:val="00C71E08"/>
    <w:rsid w:val="00C72B77"/>
    <w:rsid w:val="00C736E2"/>
    <w:rsid w:val="00C75293"/>
    <w:rsid w:val="00C75335"/>
    <w:rsid w:val="00C77ACE"/>
    <w:rsid w:val="00C95647"/>
    <w:rsid w:val="00C95BF4"/>
    <w:rsid w:val="00CA3662"/>
    <w:rsid w:val="00CA7E40"/>
    <w:rsid w:val="00CB14B5"/>
    <w:rsid w:val="00CB18BD"/>
    <w:rsid w:val="00CB2E0B"/>
    <w:rsid w:val="00CB7344"/>
    <w:rsid w:val="00CD032C"/>
    <w:rsid w:val="00CD706F"/>
    <w:rsid w:val="00CE4C2D"/>
    <w:rsid w:val="00CF12EB"/>
    <w:rsid w:val="00CF5787"/>
    <w:rsid w:val="00CF7D0B"/>
    <w:rsid w:val="00D03545"/>
    <w:rsid w:val="00D05ADB"/>
    <w:rsid w:val="00D229CD"/>
    <w:rsid w:val="00D24817"/>
    <w:rsid w:val="00D467F8"/>
    <w:rsid w:val="00D553BE"/>
    <w:rsid w:val="00D55F58"/>
    <w:rsid w:val="00D57C9B"/>
    <w:rsid w:val="00D66A91"/>
    <w:rsid w:val="00D72E35"/>
    <w:rsid w:val="00D74416"/>
    <w:rsid w:val="00D76402"/>
    <w:rsid w:val="00D76BA3"/>
    <w:rsid w:val="00D8038A"/>
    <w:rsid w:val="00D80BB3"/>
    <w:rsid w:val="00D8181E"/>
    <w:rsid w:val="00D83DD0"/>
    <w:rsid w:val="00D9045B"/>
    <w:rsid w:val="00D97216"/>
    <w:rsid w:val="00D976ED"/>
    <w:rsid w:val="00D97996"/>
    <w:rsid w:val="00DB7584"/>
    <w:rsid w:val="00DC28F9"/>
    <w:rsid w:val="00DD11D9"/>
    <w:rsid w:val="00DE11BD"/>
    <w:rsid w:val="00DF00A2"/>
    <w:rsid w:val="00DF0DD6"/>
    <w:rsid w:val="00DF7103"/>
    <w:rsid w:val="00E047C6"/>
    <w:rsid w:val="00E2195B"/>
    <w:rsid w:val="00E257B1"/>
    <w:rsid w:val="00E26877"/>
    <w:rsid w:val="00E35352"/>
    <w:rsid w:val="00E63F3B"/>
    <w:rsid w:val="00E72A47"/>
    <w:rsid w:val="00E75DB8"/>
    <w:rsid w:val="00E7673B"/>
    <w:rsid w:val="00E8194E"/>
    <w:rsid w:val="00E82A5D"/>
    <w:rsid w:val="00E9555B"/>
    <w:rsid w:val="00E965DA"/>
    <w:rsid w:val="00E96A01"/>
    <w:rsid w:val="00EA0BA7"/>
    <w:rsid w:val="00EA2F59"/>
    <w:rsid w:val="00EB1073"/>
    <w:rsid w:val="00EB53CF"/>
    <w:rsid w:val="00EC5233"/>
    <w:rsid w:val="00ED1484"/>
    <w:rsid w:val="00ED66D9"/>
    <w:rsid w:val="00ED6835"/>
    <w:rsid w:val="00F11C29"/>
    <w:rsid w:val="00F1697B"/>
    <w:rsid w:val="00F17D0F"/>
    <w:rsid w:val="00F26A21"/>
    <w:rsid w:val="00F40DDD"/>
    <w:rsid w:val="00F4380E"/>
    <w:rsid w:val="00F445A7"/>
    <w:rsid w:val="00F50279"/>
    <w:rsid w:val="00F51D41"/>
    <w:rsid w:val="00F553B9"/>
    <w:rsid w:val="00F55C70"/>
    <w:rsid w:val="00F61316"/>
    <w:rsid w:val="00F61E84"/>
    <w:rsid w:val="00F62C5E"/>
    <w:rsid w:val="00F6798F"/>
    <w:rsid w:val="00F71B14"/>
    <w:rsid w:val="00F750BA"/>
    <w:rsid w:val="00F75FA1"/>
    <w:rsid w:val="00F76AC9"/>
    <w:rsid w:val="00F77248"/>
    <w:rsid w:val="00F806BA"/>
    <w:rsid w:val="00F80DA9"/>
    <w:rsid w:val="00F82089"/>
    <w:rsid w:val="00F94101"/>
    <w:rsid w:val="00F94CB9"/>
    <w:rsid w:val="00F97DAA"/>
    <w:rsid w:val="00FA0FE6"/>
    <w:rsid w:val="00FA5822"/>
    <w:rsid w:val="00FB15CB"/>
    <w:rsid w:val="00FB7188"/>
    <w:rsid w:val="00FD59E6"/>
    <w:rsid w:val="00FD7821"/>
    <w:rsid w:val="00FE4542"/>
    <w:rsid w:val="00FE45A7"/>
    <w:rsid w:val="00FE4AF0"/>
    <w:rsid w:val="00FF7AA5"/>
    <w:rsid w:val="0781622D"/>
    <w:rsid w:val="1A7D0939"/>
    <w:rsid w:val="20194A96"/>
    <w:rsid w:val="29A9AE6B"/>
    <w:rsid w:val="336A1829"/>
    <w:rsid w:val="371C15BD"/>
    <w:rsid w:val="386218FF"/>
    <w:rsid w:val="3F1793F8"/>
    <w:rsid w:val="423AD6A4"/>
    <w:rsid w:val="48FBBDB1"/>
    <w:rsid w:val="51E7D722"/>
    <w:rsid w:val="546EE578"/>
    <w:rsid w:val="729A7FC4"/>
    <w:rsid w:val="72E8F7D0"/>
    <w:rsid w:val="772AF331"/>
    <w:rsid w:val="7DE080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FA84B"/>
  <w15:docId w15:val="{F31B220A-86F2-4592-8872-CA5F7A48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7F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B501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qFormat/>
    <w:rsid w:val="004B501F"/>
    <w:pPr>
      <w:pageBreakBefore/>
      <w:numPr>
        <w:numId w:val="7"/>
      </w:numPr>
      <w:spacing w:after="240" w:line="240" w:lineRule="auto"/>
      <w:outlineLvl w:val="1"/>
    </w:pPr>
    <w:rPr>
      <w:rFonts w:ascii="Calibri" w:eastAsiaTheme="minorEastAsia" w:hAnsi="Calibri"/>
      <w:bCs/>
      <w:sz w:val="56"/>
      <w:szCs w:val="28"/>
      <w:lang w:eastAsia="ja-JP"/>
    </w:rPr>
  </w:style>
  <w:style w:type="paragraph" w:styleId="Heading3">
    <w:name w:val="heading 3"/>
    <w:next w:val="Normal"/>
    <w:link w:val="Heading3Char"/>
    <w:uiPriority w:val="4"/>
    <w:qFormat/>
    <w:rsid w:val="0040218E"/>
    <w:pPr>
      <w:keepNext/>
      <w:keepLines/>
      <w:numPr>
        <w:ilvl w:val="1"/>
        <w:numId w:val="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0218E"/>
    <w:pPr>
      <w:keepNext/>
      <w:numPr>
        <w:ilvl w:val="2"/>
        <w:numId w:val="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0218E"/>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117F1"/>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0218E"/>
    <w:rPr>
      <w:sz w:val="20"/>
      <w:szCs w:val="20"/>
    </w:rPr>
  </w:style>
  <w:style w:type="character" w:customStyle="1" w:styleId="CommentTextChar">
    <w:name w:val="Comment Text Char"/>
    <w:basedOn w:val="DefaultParagraphFont"/>
    <w:link w:val="CommentText"/>
    <w:rsid w:val="0040218E"/>
    <w:rPr>
      <w:rFonts w:asciiTheme="minorHAnsi" w:eastAsiaTheme="minorHAnsi" w:hAnsiTheme="minorHAnsi" w:cstheme="minorBidi"/>
      <w:lang w:eastAsia="en-US"/>
    </w:rPr>
  </w:style>
  <w:style w:type="paragraph" w:styleId="Header">
    <w:name w:val="header"/>
    <w:basedOn w:val="Normal"/>
    <w:link w:val="HeaderChar"/>
    <w:uiPriority w:val="26"/>
    <w:rsid w:val="0040218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0218E"/>
    <w:rPr>
      <w:rFonts w:ascii="Calibri" w:eastAsiaTheme="minorHAnsi" w:hAnsi="Calibri" w:cstheme="minorBidi"/>
      <w:szCs w:val="22"/>
      <w:lang w:eastAsia="en-US"/>
    </w:rPr>
  </w:style>
  <w:style w:type="paragraph" w:styleId="Footer">
    <w:name w:val="footer"/>
    <w:basedOn w:val="Normal"/>
    <w:link w:val="FooterChar"/>
    <w:uiPriority w:val="27"/>
    <w:rsid w:val="0040218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0218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0218E"/>
    <w:rPr>
      <w:sz w:val="16"/>
      <w:szCs w:val="16"/>
    </w:rPr>
  </w:style>
  <w:style w:type="paragraph" w:styleId="CommentSubject">
    <w:name w:val="annotation subject"/>
    <w:basedOn w:val="CommentText"/>
    <w:next w:val="CommentText"/>
    <w:link w:val="CommentSubjectChar"/>
    <w:uiPriority w:val="99"/>
    <w:semiHidden/>
    <w:unhideWhenUsed/>
    <w:rsid w:val="0040218E"/>
    <w:rPr>
      <w:b/>
      <w:bCs/>
    </w:rPr>
  </w:style>
  <w:style w:type="character" w:customStyle="1" w:styleId="CommentSubjectChar">
    <w:name w:val="Comment Subject Char"/>
    <w:basedOn w:val="CommentTextChar"/>
    <w:link w:val="CommentSubject"/>
    <w:uiPriority w:val="99"/>
    <w:semiHidden/>
    <w:rsid w:val="0040218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0218E"/>
    <w:rPr>
      <w:rFonts w:ascii="Calibri" w:hAnsi="Calibri"/>
      <w:sz w:val="18"/>
      <w:szCs w:val="18"/>
    </w:rPr>
  </w:style>
  <w:style w:type="character" w:customStyle="1" w:styleId="BalloonTextChar">
    <w:name w:val="Balloon Text Char"/>
    <w:basedOn w:val="DefaultParagraphFont"/>
    <w:link w:val="BalloonText"/>
    <w:uiPriority w:val="99"/>
    <w:semiHidden/>
    <w:rsid w:val="0040218E"/>
    <w:rPr>
      <w:rFonts w:ascii="Calibri" w:eastAsiaTheme="minorHAnsi" w:hAnsi="Calibri" w:cstheme="minorBidi"/>
      <w:sz w:val="18"/>
      <w:szCs w:val="18"/>
      <w:lang w:eastAsia="en-US"/>
    </w:rPr>
  </w:style>
  <w:style w:type="table" w:styleId="TableGrid">
    <w:name w:val="Table Grid"/>
    <w:basedOn w:val="TableNormal"/>
    <w:uiPriority w:val="59"/>
    <w:rsid w:val="0040218E"/>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0218E"/>
    <w:rPr>
      <w:sz w:val="16"/>
    </w:rPr>
  </w:style>
  <w:style w:type="character" w:customStyle="1" w:styleId="Heading1Char">
    <w:name w:val="Heading 1 Char"/>
    <w:basedOn w:val="DefaultParagraphFont"/>
    <w:link w:val="Heading1"/>
    <w:uiPriority w:val="1"/>
    <w:rsid w:val="004B501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4B501F"/>
    <w:rPr>
      <w:rFonts w:ascii="Calibri" w:eastAsiaTheme="minorEastAsia" w:hAnsi="Calibri" w:cstheme="minorBidi"/>
      <w:bCs/>
      <w:sz w:val="56"/>
      <w:szCs w:val="28"/>
      <w:lang w:eastAsia="ja-JP"/>
    </w:rPr>
  </w:style>
  <w:style w:type="character" w:customStyle="1" w:styleId="Heading3Char">
    <w:name w:val="Heading 3 Char"/>
    <w:basedOn w:val="DefaultParagraphFont"/>
    <w:link w:val="Heading3"/>
    <w:uiPriority w:val="4"/>
    <w:rsid w:val="0040218E"/>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0218E"/>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0218E"/>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0218E"/>
    <w:pPr>
      <w:ind w:left="709" w:right="567"/>
    </w:pPr>
    <w:rPr>
      <w:iCs/>
      <w:color w:val="000000"/>
    </w:rPr>
  </w:style>
  <w:style w:type="character" w:customStyle="1" w:styleId="QuoteChar">
    <w:name w:val="Quote Char"/>
    <w:basedOn w:val="DefaultParagraphFont"/>
    <w:link w:val="Quote"/>
    <w:uiPriority w:val="18"/>
    <w:rsid w:val="0040218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0218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0218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0218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C22E2"/>
    <w:pPr>
      <w:spacing w:before="120"/>
    </w:pPr>
    <w:rPr>
      <w:b w:val="0"/>
      <w:sz w:val="56"/>
      <w:szCs w:val="56"/>
    </w:rPr>
  </w:style>
  <w:style w:type="character" w:customStyle="1" w:styleId="SubtitleChar">
    <w:name w:val="Subtitle Char"/>
    <w:basedOn w:val="DefaultParagraphFont"/>
    <w:link w:val="Subtitle"/>
    <w:uiPriority w:val="23"/>
    <w:rsid w:val="007C22E2"/>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7C22E2"/>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0218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0218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0218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0218E"/>
    <w:rPr>
      <w:color w:val="165788"/>
      <w:u w:val="single"/>
    </w:rPr>
  </w:style>
  <w:style w:type="paragraph" w:styleId="ListBullet">
    <w:name w:val="List Bullet"/>
    <w:basedOn w:val="Normal"/>
    <w:uiPriority w:val="99"/>
    <w:qFormat/>
    <w:rsid w:val="00CF12EB"/>
    <w:pPr>
      <w:numPr>
        <w:numId w:val="8"/>
      </w:numPr>
      <w:spacing w:before="120" w:after="120"/>
      <w:ind w:left="454" w:hanging="454"/>
    </w:pPr>
  </w:style>
  <w:style w:type="paragraph" w:styleId="TableofFigures">
    <w:name w:val="table of figures"/>
    <w:basedOn w:val="Normal"/>
    <w:next w:val="Normal"/>
    <w:uiPriority w:val="99"/>
    <w:rsid w:val="0040218E"/>
    <w:pPr>
      <w:spacing w:before="120" w:after="120" w:line="240" w:lineRule="auto"/>
    </w:pPr>
  </w:style>
  <w:style w:type="paragraph" w:styleId="ListBullet2">
    <w:name w:val="List Bullet 2"/>
    <w:basedOn w:val="Normal"/>
    <w:uiPriority w:val="8"/>
    <w:qFormat/>
    <w:rsid w:val="00CF12EB"/>
    <w:pPr>
      <w:numPr>
        <w:ilvl w:val="1"/>
        <w:numId w:val="8"/>
      </w:numPr>
      <w:spacing w:before="120" w:after="120"/>
      <w:ind w:left="908" w:hanging="454"/>
      <w:contextualSpacing/>
    </w:pPr>
  </w:style>
  <w:style w:type="paragraph" w:styleId="ListNumber">
    <w:name w:val="List Number"/>
    <w:basedOn w:val="Normal"/>
    <w:uiPriority w:val="9"/>
    <w:qFormat/>
    <w:rsid w:val="00C95647"/>
    <w:pPr>
      <w:numPr>
        <w:numId w:val="9"/>
      </w:numPr>
      <w:tabs>
        <w:tab w:val="left" w:pos="142"/>
      </w:tabs>
      <w:spacing w:before="120" w:after="120"/>
      <w:ind w:left="454" w:hanging="454"/>
    </w:pPr>
  </w:style>
  <w:style w:type="paragraph" w:styleId="ListNumber2">
    <w:name w:val="List Number 2"/>
    <w:uiPriority w:val="10"/>
    <w:qFormat/>
    <w:rsid w:val="00C95647"/>
    <w:pPr>
      <w:numPr>
        <w:ilvl w:val="1"/>
        <w:numId w:val="9"/>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95647"/>
    <w:pPr>
      <w:numPr>
        <w:ilvl w:val="2"/>
        <w:numId w:val="9"/>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0218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0218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0218E"/>
    <w:pPr>
      <w:spacing w:before="60" w:after="60" w:line="240" w:lineRule="auto"/>
    </w:pPr>
    <w:rPr>
      <w:sz w:val="18"/>
    </w:rPr>
  </w:style>
  <w:style w:type="table" w:styleId="TableGrid1">
    <w:name w:val="Table Grid 1"/>
    <w:basedOn w:val="TableNormal"/>
    <w:uiPriority w:val="99"/>
    <w:semiHidden/>
    <w:unhideWhenUsed/>
    <w:rsid w:val="0040218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0218E"/>
    <w:pPr>
      <w:keepNext/>
    </w:pPr>
    <w:rPr>
      <w:b/>
    </w:rPr>
  </w:style>
  <w:style w:type="character" w:styleId="PlaceholderText">
    <w:name w:val="Placeholder Text"/>
    <w:basedOn w:val="DefaultParagraphFont"/>
    <w:uiPriority w:val="99"/>
    <w:semiHidden/>
    <w:rsid w:val="0040218E"/>
    <w:rPr>
      <w:color w:val="808080"/>
    </w:rPr>
  </w:style>
  <w:style w:type="paragraph" w:customStyle="1" w:styleId="Author">
    <w:name w:val="Author"/>
    <w:basedOn w:val="Normal"/>
    <w:next w:val="Normal"/>
    <w:uiPriority w:val="24"/>
    <w:qFormat/>
    <w:rsid w:val="0040218E"/>
    <w:pPr>
      <w:spacing w:after="60"/>
    </w:pPr>
    <w:rPr>
      <w:b/>
      <w:sz w:val="28"/>
      <w:szCs w:val="28"/>
    </w:rPr>
  </w:style>
  <w:style w:type="paragraph" w:customStyle="1" w:styleId="AuthorOrganisationAffiliation">
    <w:name w:val="Author Organisation/Affiliation"/>
    <w:basedOn w:val="Normal"/>
    <w:next w:val="Normal"/>
    <w:uiPriority w:val="25"/>
    <w:qFormat/>
    <w:rsid w:val="0040218E"/>
    <w:pPr>
      <w:spacing w:after="720"/>
    </w:pPr>
  </w:style>
  <w:style w:type="character" w:styleId="Strong">
    <w:name w:val="Strong"/>
    <w:basedOn w:val="DefaultParagraphFont"/>
    <w:uiPriority w:val="22"/>
    <w:qFormat/>
    <w:rsid w:val="0040218E"/>
    <w:rPr>
      <w:b/>
      <w:bCs/>
    </w:rPr>
  </w:style>
  <w:style w:type="paragraph" w:customStyle="1" w:styleId="Glossary">
    <w:name w:val="Glossary"/>
    <w:basedOn w:val="Normal"/>
    <w:link w:val="GlossaryChar"/>
    <w:uiPriority w:val="28"/>
    <w:semiHidden/>
    <w:locked/>
    <w:rsid w:val="0040218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0218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0218E"/>
    <w:rPr>
      <w:i/>
      <w:iCs/>
    </w:rPr>
  </w:style>
  <w:style w:type="paragraph" w:styleId="TOAHeading">
    <w:name w:val="toa heading"/>
    <w:basedOn w:val="Heading1"/>
    <w:next w:val="Normal"/>
    <w:uiPriority w:val="99"/>
    <w:semiHidden/>
    <w:unhideWhenUsed/>
    <w:rsid w:val="0040218E"/>
    <w:pPr>
      <w:spacing w:before="120"/>
    </w:pPr>
    <w:rPr>
      <w:bCs w:val="0"/>
      <w:sz w:val="24"/>
    </w:rPr>
  </w:style>
  <w:style w:type="paragraph" w:styleId="NormalWeb">
    <w:name w:val="Normal (Web)"/>
    <w:basedOn w:val="Normal"/>
    <w:uiPriority w:val="99"/>
    <w:semiHidden/>
    <w:unhideWhenUsed/>
    <w:rsid w:val="0040218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9671C"/>
    <w:pPr>
      <w:numPr>
        <w:numId w:val="6"/>
      </w:numPr>
      <w:ind w:left="357" w:hanging="357"/>
    </w:pPr>
  </w:style>
  <w:style w:type="paragraph" w:customStyle="1" w:styleId="TableBullet1">
    <w:name w:val="Table Bullet 1"/>
    <w:basedOn w:val="TableText"/>
    <w:uiPriority w:val="15"/>
    <w:qFormat/>
    <w:rsid w:val="0043531F"/>
    <w:pPr>
      <w:numPr>
        <w:numId w:val="5"/>
      </w:numPr>
    </w:pPr>
  </w:style>
  <w:style w:type="paragraph" w:styleId="DocumentMap">
    <w:name w:val="Document Map"/>
    <w:basedOn w:val="Normal"/>
    <w:link w:val="DocumentMapChar"/>
    <w:uiPriority w:val="99"/>
    <w:semiHidden/>
    <w:unhideWhenUsed/>
    <w:rsid w:val="0040218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0218E"/>
    <w:rPr>
      <w:rFonts w:ascii="Tahoma" w:eastAsiaTheme="minorHAnsi" w:hAnsi="Tahoma" w:cs="Tahoma"/>
      <w:sz w:val="16"/>
      <w:szCs w:val="16"/>
      <w:lang w:eastAsia="en-US"/>
    </w:rPr>
  </w:style>
  <w:style w:type="paragraph" w:customStyle="1" w:styleId="BoxHeading">
    <w:name w:val="Box Heading"/>
    <w:basedOn w:val="BoxText"/>
    <w:uiPriority w:val="20"/>
    <w:qFormat/>
    <w:rsid w:val="0040218E"/>
    <w:pPr>
      <w:spacing w:line="240" w:lineRule="auto"/>
    </w:pPr>
    <w:rPr>
      <w:b/>
    </w:rPr>
  </w:style>
  <w:style w:type="paragraph" w:customStyle="1" w:styleId="Securityclassification">
    <w:name w:val="Security classification"/>
    <w:basedOn w:val="Header"/>
    <w:next w:val="Header"/>
    <w:uiPriority w:val="26"/>
    <w:qFormat/>
    <w:rsid w:val="0040218E"/>
    <w:pPr>
      <w:spacing w:after="0"/>
    </w:pPr>
    <w:rPr>
      <w:b/>
      <w:color w:val="FF0000"/>
      <w:sz w:val="36"/>
      <w:szCs w:val="36"/>
    </w:rPr>
  </w:style>
  <w:style w:type="paragraph" w:customStyle="1" w:styleId="DisseminationLimitingMarker">
    <w:name w:val="Dissemination Limiting Marker"/>
    <w:basedOn w:val="Header"/>
    <w:next w:val="Header"/>
    <w:uiPriority w:val="27"/>
    <w:rsid w:val="0040218E"/>
    <w:pPr>
      <w:spacing w:after="0"/>
    </w:pPr>
    <w:rPr>
      <w:b/>
      <w:sz w:val="36"/>
      <w:szCs w:val="36"/>
    </w:rPr>
  </w:style>
  <w:style w:type="paragraph" w:styleId="FootnoteText">
    <w:name w:val="footnote text"/>
    <w:basedOn w:val="Normal"/>
    <w:link w:val="FootnoteTextChar"/>
    <w:uiPriority w:val="99"/>
    <w:unhideWhenUsed/>
    <w:rsid w:val="0040218E"/>
    <w:pPr>
      <w:spacing w:after="60" w:line="264" w:lineRule="auto"/>
    </w:pPr>
    <w:rPr>
      <w:sz w:val="20"/>
      <w:szCs w:val="20"/>
    </w:rPr>
  </w:style>
  <w:style w:type="character" w:customStyle="1" w:styleId="FootnoteTextChar">
    <w:name w:val="Footnote Text Char"/>
    <w:basedOn w:val="DefaultParagraphFont"/>
    <w:link w:val="FootnoteText"/>
    <w:uiPriority w:val="99"/>
    <w:rsid w:val="0040218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0218E"/>
    <w:rPr>
      <w:vertAlign w:val="superscript"/>
    </w:rPr>
  </w:style>
  <w:style w:type="paragraph" w:styleId="EndnoteText">
    <w:name w:val="endnote text"/>
    <w:basedOn w:val="Normal"/>
    <w:link w:val="EndnoteTextChar"/>
    <w:uiPriority w:val="99"/>
    <w:unhideWhenUsed/>
    <w:rsid w:val="0040218E"/>
    <w:pPr>
      <w:spacing w:after="60" w:line="264" w:lineRule="auto"/>
    </w:pPr>
    <w:rPr>
      <w:sz w:val="20"/>
      <w:szCs w:val="20"/>
    </w:rPr>
  </w:style>
  <w:style w:type="character" w:customStyle="1" w:styleId="EndnoteTextChar">
    <w:name w:val="Endnote Text Char"/>
    <w:basedOn w:val="DefaultParagraphFont"/>
    <w:link w:val="EndnoteText"/>
    <w:uiPriority w:val="99"/>
    <w:rsid w:val="0040218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0218E"/>
    <w:rPr>
      <w:vertAlign w:val="superscript"/>
    </w:rPr>
  </w:style>
  <w:style w:type="character" w:styleId="FollowedHyperlink">
    <w:name w:val="FollowedHyperlink"/>
    <w:basedOn w:val="DefaultParagraphFont"/>
    <w:uiPriority w:val="99"/>
    <w:semiHidden/>
    <w:unhideWhenUsed/>
    <w:rsid w:val="0040218E"/>
    <w:rPr>
      <w:color w:val="800080"/>
      <w:u w:val="single"/>
    </w:rPr>
  </w:style>
  <w:style w:type="paragraph" w:customStyle="1" w:styleId="BoxSource">
    <w:name w:val="Box Source"/>
    <w:basedOn w:val="FigureTableNoteSource"/>
    <w:uiPriority w:val="22"/>
    <w:qFormat/>
    <w:rsid w:val="0040218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0218E"/>
    <w:pPr>
      <w:numPr>
        <w:numId w:val="1"/>
      </w:numPr>
    </w:pPr>
  </w:style>
  <w:style w:type="paragraph" w:styleId="Title">
    <w:name w:val="Title"/>
    <w:basedOn w:val="Normal"/>
    <w:next w:val="Normal"/>
    <w:link w:val="TitleChar"/>
    <w:uiPriority w:val="10"/>
    <w:semiHidden/>
    <w:qFormat/>
    <w:rsid w:val="0040218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0218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0218E"/>
    <w:rPr>
      <w:rFonts w:ascii="Calibri Light" w:eastAsiaTheme="minorHAnsi" w:hAnsi="Calibri Light" w:cstheme="minorBidi"/>
      <w:sz w:val="36"/>
      <w:szCs w:val="22"/>
      <w:lang w:eastAsia="en-US"/>
    </w:rPr>
  </w:style>
  <w:style w:type="numbering" w:customStyle="1" w:styleId="Numberlist">
    <w:name w:val="Number list"/>
    <w:uiPriority w:val="99"/>
    <w:rsid w:val="0040218E"/>
    <w:pPr>
      <w:numPr>
        <w:numId w:val="2"/>
      </w:numPr>
    </w:pPr>
  </w:style>
  <w:style w:type="numbering" w:customStyle="1" w:styleId="Headinglist">
    <w:name w:val="Heading list"/>
    <w:uiPriority w:val="99"/>
    <w:rsid w:val="0040218E"/>
    <w:pPr>
      <w:numPr>
        <w:numId w:val="3"/>
      </w:numPr>
    </w:pPr>
  </w:style>
  <w:style w:type="paragraph" w:customStyle="1" w:styleId="Normalsmall">
    <w:name w:val="Normal small"/>
    <w:qFormat/>
    <w:rsid w:val="0040218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0218E"/>
    <w:pPr>
      <w:numPr>
        <w:ilvl w:val="2"/>
        <w:numId w:val="8"/>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546070"/>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0218E"/>
    <w:rPr>
      <w:i/>
      <w:iCs/>
      <w:color w:val="4F81BD" w:themeColor="accent1"/>
    </w:rPr>
  </w:style>
  <w:style w:type="paragraph" w:customStyle="1" w:styleId="TableBullet2">
    <w:name w:val="Table Bullet 2"/>
    <w:basedOn w:val="TableBullet1"/>
    <w:qFormat/>
    <w:rsid w:val="00696C91"/>
    <w:pPr>
      <w:numPr>
        <w:numId w:val="10"/>
      </w:numPr>
      <w:tabs>
        <w:tab w:val="num" w:pos="284"/>
      </w:tabs>
      <w:ind w:left="516" w:hanging="357"/>
    </w:pPr>
  </w:style>
  <w:style w:type="numbering" w:customStyle="1" w:styleId="TableBulletlist">
    <w:name w:val="Table Bullet list"/>
    <w:uiPriority w:val="99"/>
    <w:rsid w:val="0040218E"/>
    <w:pPr>
      <w:numPr>
        <w:numId w:val="4"/>
      </w:numPr>
    </w:pPr>
  </w:style>
  <w:style w:type="character" w:styleId="UnresolvedMention">
    <w:name w:val="Unresolved Mention"/>
    <w:basedOn w:val="DefaultParagraphFont"/>
    <w:uiPriority w:val="99"/>
    <w:semiHidden/>
    <w:unhideWhenUsed/>
    <w:rsid w:val="0040218E"/>
    <w:rPr>
      <w:color w:val="605E5C"/>
      <w:shd w:val="clear" w:color="auto" w:fill="E1DFDD"/>
    </w:rPr>
  </w:style>
  <w:style w:type="paragraph" w:styleId="ListParagraph">
    <w:name w:val="List Paragraph"/>
    <w:basedOn w:val="Normal"/>
    <w:uiPriority w:val="34"/>
    <w:semiHidden/>
    <w:qFormat/>
    <w:rsid w:val="0040218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17F1"/>
    <w:rPr>
      <w:rFonts w:asciiTheme="majorHAnsi" w:eastAsiaTheme="majorEastAsia" w:hAnsiTheme="majorHAnsi" w:cstheme="majorBidi"/>
      <w:i/>
      <w:color w:val="59621D"/>
      <w:szCs w:val="22"/>
      <w:lang w:eastAsia="en-US"/>
    </w:rPr>
  </w:style>
  <w:style w:type="paragraph" w:customStyle="1" w:styleId="Tablenumberedlist2">
    <w:name w:val="Table numbered list 2"/>
    <w:basedOn w:val="TableText"/>
    <w:qFormat/>
    <w:rsid w:val="00546070"/>
    <w:pPr>
      <w:numPr>
        <w:ilvl w:val="1"/>
        <w:numId w:val="12"/>
      </w:numPr>
    </w:pPr>
  </w:style>
  <w:style w:type="paragraph" w:customStyle="1" w:styleId="Tablenumberedlist3">
    <w:name w:val="Table numbered list 3"/>
    <w:basedOn w:val="TableText"/>
    <w:qFormat/>
    <w:rsid w:val="00546070"/>
    <w:pPr>
      <w:numPr>
        <w:ilvl w:val="2"/>
        <w:numId w:val="12"/>
      </w:numPr>
    </w:pPr>
  </w:style>
  <w:style w:type="numbering" w:customStyle="1" w:styleId="Tablenumberedlists">
    <w:name w:val="Table numbered lists"/>
    <w:uiPriority w:val="99"/>
    <w:rsid w:val="00546070"/>
    <w:pPr>
      <w:numPr>
        <w:numId w:val="12"/>
      </w:numPr>
    </w:pPr>
  </w:style>
  <w:style w:type="paragraph" w:styleId="Revision">
    <w:name w:val="Revision"/>
    <w:hidden/>
    <w:uiPriority w:val="99"/>
    <w:semiHidden/>
    <w:rsid w:val="004B43FE"/>
    <w:rPr>
      <w:rFonts w:asciiTheme="minorHAnsi" w:eastAsiaTheme="minorHAnsi" w:hAnsiTheme="minorHAnsi" w:cstheme="minorBidi"/>
      <w:sz w:val="22"/>
      <w:szCs w:val="22"/>
      <w:lang w:eastAsia="en-US"/>
    </w:rPr>
  </w:style>
  <w:style w:type="character" w:customStyle="1" w:styleId="cf01">
    <w:name w:val="cf01"/>
    <w:basedOn w:val="DefaultParagraphFont"/>
    <w:rsid w:val="00033FDC"/>
    <w:rPr>
      <w:rFonts w:ascii="Segoe UI" w:hAnsi="Segoe UI" w:cs="Segoe UI" w:hint="default"/>
      <w:color w:val="333333"/>
      <w:sz w:val="18"/>
      <w:szCs w:val="18"/>
      <w:shd w:val="clear" w:color="auto" w:fill="FFFFFF"/>
    </w:rPr>
  </w:style>
  <w:style w:type="paragraph" w:styleId="Date">
    <w:name w:val="Date"/>
    <w:basedOn w:val="Normal"/>
    <w:next w:val="Normal"/>
    <w:link w:val="DateChar"/>
    <w:uiPriority w:val="99"/>
    <w:unhideWhenUsed/>
    <w:rsid w:val="006B4461"/>
    <w:pPr>
      <w:spacing w:after="160" w:line="259" w:lineRule="auto"/>
    </w:pPr>
  </w:style>
  <w:style w:type="character" w:customStyle="1" w:styleId="DateChar">
    <w:name w:val="Date Char"/>
    <w:basedOn w:val="DefaultParagraphFont"/>
    <w:link w:val="Date"/>
    <w:uiPriority w:val="99"/>
    <w:rsid w:val="006B4461"/>
    <w:rPr>
      <w:rFonts w:asciiTheme="minorHAnsi" w:eastAsiaTheme="minorHAnsi" w:hAnsiTheme="minorHAnsi" w:cstheme="minorBidi"/>
      <w:sz w:val="22"/>
      <w:szCs w:val="22"/>
      <w:lang w:eastAsia="en-US"/>
    </w:rPr>
  </w:style>
  <w:style w:type="character" w:styleId="Mention">
    <w:name w:val="Mention"/>
    <w:basedOn w:val="DefaultParagraphFont"/>
    <w:uiPriority w:val="99"/>
    <w:unhideWhenUsed/>
    <w:rsid w:val="00A1639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8273">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79709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97652480">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15430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88636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3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export/controlled-goods/live-animals/livestock/accredited-veterinarian/apply"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riculture.gov.au/sites/default/files/documents/application-for-accreditation-aust-gov-acc-vet-livestock-export_0.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agriculture.gov.au/biosecurity-trade/export/controlled-goods/live-animals/livestock/australian-standards-livestock"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agriculture.gov.au/biosecurity-trade/export/controlled-goods/live-animals/livestock/australian-standards-livestoc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biosecurity-trade/export/controlled-goods/live-animals/livestock/accredited-veterinaria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livestockexp@aff.gov.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publications" TargetMode="External"/><Relationship Id="rId22" Type="http://schemas.openxmlformats.org/officeDocument/2006/relationships/hyperlink" Target="mailto:livestockexp@aff.gov.au" TargetMode="Externa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Discussion_paper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0A88A0-AAF7-46BE-9086-754AE0A3E7D8}"/>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B906D28-7772-4C1A-9DB0-B7AC53ED2899}">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schemas.microsoft.com/office/infopath/2007/PartnerControls"/>
    <ds:schemaRef ds:uri="81c01dc6-2c49-4730-b140-874c95cac377"/>
    <ds:schemaRef ds:uri="http://purl.org/dc/terms/"/>
    <ds:schemaRef ds:uri="0802b75a-89d5-408b-90bd-96b3a6bc3894"/>
    <ds:schemaRef ds:uri="6183d753-4e0d-4b8c-8e8c-dbc502d8283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Discussion_paper_template_1</Template>
  <TotalTime>1</TotalTime>
  <Pages>9</Pages>
  <Words>2527</Words>
  <Characters>14556</Characters>
  <Application>Microsoft Office Word</Application>
  <DocSecurity>0</DocSecurity>
  <Lines>274</Lines>
  <Paragraphs>189</Paragraphs>
  <ScaleCrop>false</ScaleCrop>
  <HeadingPairs>
    <vt:vector size="2" baseType="variant">
      <vt:variant>
        <vt:lpstr>Title</vt:lpstr>
      </vt:variant>
      <vt:variant>
        <vt:i4>1</vt:i4>
      </vt:variant>
    </vt:vector>
  </HeadingPairs>
  <TitlesOfParts>
    <vt:vector size="1" baseType="lpstr">
      <vt:lpstr>Guidelines for the identification and management of material interests for AAVs</vt:lpstr>
    </vt:vector>
  </TitlesOfParts>
  <Company/>
  <LinksUpToDate>false</LinksUpToDate>
  <CharactersWithSpaces>16894</CharactersWithSpaces>
  <SharedDoc>false</SharedDoc>
  <HLinks>
    <vt:vector size="156" baseType="variant">
      <vt:variant>
        <vt:i4>7143546</vt:i4>
      </vt:variant>
      <vt:variant>
        <vt:i4>120</vt:i4>
      </vt:variant>
      <vt:variant>
        <vt:i4>0</vt:i4>
      </vt:variant>
      <vt:variant>
        <vt:i4>5</vt:i4>
      </vt:variant>
      <vt:variant>
        <vt:lpwstr>https://www.agriculture.gov.au/biosecurity-trade/export/controlled-goods/live-animals/livestock/regulating-live-animal-exports</vt:lpwstr>
      </vt:variant>
      <vt:variant>
        <vt:lpwstr/>
      </vt:variant>
      <vt:variant>
        <vt:i4>2293878</vt:i4>
      </vt:variant>
      <vt:variant>
        <vt:i4>117</vt:i4>
      </vt:variant>
      <vt:variant>
        <vt:i4>0</vt:i4>
      </vt:variant>
      <vt:variant>
        <vt:i4>5</vt:i4>
      </vt:variant>
      <vt:variant>
        <vt:lpwstr>https://www.agriculture.gov.au/biosecurity-trade/export/controlled-goods/live-animals/livestock/australian-standards-livestock</vt:lpwstr>
      </vt:variant>
      <vt:variant>
        <vt:lpwstr/>
      </vt:variant>
      <vt:variant>
        <vt:i4>3539000</vt:i4>
      </vt:variant>
      <vt:variant>
        <vt:i4>114</vt:i4>
      </vt:variant>
      <vt:variant>
        <vt:i4>0</vt:i4>
      </vt:variant>
      <vt:variant>
        <vt:i4>5</vt:i4>
      </vt:variant>
      <vt:variant>
        <vt:lpwstr>https://www.agriculture.gov.au/biosecurity-trade/export/controlled-goods/live-animals/livestock/accredited-veterinarian</vt:lpwstr>
      </vt:variant>
      <vt:variant>
        <vt:lpwstr/>
      </vt:variant>
      <vt:variant>
        <vt:i4>4915251</vt:i4>
      </vt:variant>
      <vt:variant>
        <vt:i4>111</vt:i4>
      </vt:variant>
      <vt:variant>
        <vt:i4>0</vt:i4>
      </vt:variant>
      <vt:variant>
        <vt:i4>5</vt:i4>
      </vt:variant>
      <vt:variant>
        <vt:lpwstr>mailto:livestockexp@aff.gov.au</vt:lpwstr>
      </vt:variant>
      <vt:variant>
        <vt:lpwstr/>
      </vt:variant>
      <vt:variant>
        <vt:i4>4915251</vt:i4>
      </vt:variant>
      <vt:variant>
        <vt:i4>108</vt:i4>
      </vt:variant>
      <vt:variant>
        <vt:i4>0</vt:i4>
      </vt:variant>
      <vt:variant>
        <vt:i4>5</vt:i4>
      </vt:variant>
      <vt:variant>
        <vt:lpwstr>mailto:livestockexp@aff.gov.au</vt:lpwstr>
      </vt:variant>
      <vt:variant>
        <vt:lpwstr/>
      </vt:variant>
      <vt:variant>
        <vt:i4>3932227</vt:i4>
      </vt:variant>
      <vt:variant>
        <vt:i4>105</vt:i4>
      </vt:variant>
      <vt:variant>
        <vt:i4>0</vt:i4>
      </vt:variant>
      <vt:variant>
        <vt:i4>5</vt:i4>
      </vt:variant>
      <vt:variant>
        <vt:lpwstr>https://www.agriculture.gov.au/sites/default/files/documents/application-for-accreditation-aust-gov-acc-vet-livestock-export_0.pdf</vt:lpwstr>
      </vt:variant>
      <vt:variant>
        <vt:lpwstr/>
      </vt:variant>
      <vt:variant>
        <vt:i4>2293878</vt:i4>
      </vt:variant>
      <vt:variant>
        <vt:i4>102</vt:i4>
      </vt:variant>
      <vt:variant>
        <vt:i4>0</vt:i4>
      </vt:variant>
      <vt:variant>
        <vt:i4>5</vt:i4>
      </vt:variant>
      <vt:variant>
        <vt:lpwstr>https://www.agriculture.gov.au/biosecurity-trade/export/controlled-goods/live-animals/livestock/australian-standards-livestock</vt:lpwstr>
      </vt:variant>
      <vt:variant>
        <vt:lpwstr/>
      </vt:variant>
      <vt:variant>
        <vt:i4>1245235</vt:i4>
      </vt:variant>
      <vt:variant>
        <vt:i4>95</vt:i4>
      </vt:variant>
      <vt:variant>
        <vt:i4>0</vt:i4>
      </vt:variant>
      <vt:variant>
        <vt:i4>5</vt:i4>
      </vt:variant>
      <vt:variant>
        <vt:lpwstr/>
      </vt:variant>
      <vt:variant>
        <vt:lpwstr>_Toc164252324</vt:lpwstr>
      </vt:variant>
      <vt:variant>
        <vt:i4>1245235</vt:i4>
      </vt:variant>
      <vt:variant>
        <vt:i4>89</vt:i4>
      </vt:variant>
      <vt:variant>
        <vt:i4>0</vt:i4>
      </vt:variant>
      <vt:variant>
        <vt:i4>5</vt:i4>
      </vt:variant>
      <vt:variant>
        <vt:lpwstr/>
      </vt:variant>
      <vt:variant>
        <vt:lpwstr>_Toc164252323</vt:lpwstr>
      </vt:variant>
      <vt:variant>
        <vt:i4>1245235</vt:i4>
      </vt:variant>
      <vt:variant>
        <vt:i4>83</vt:i4>
      </vt:variant>
      <vt:variant>
        <vt:i4>0</vt:i4>
      </vt:variant>
      <vt:variant>
        <vt:i4>5</vt:i4>
      </vt:variant>
      <vt:variant>
        <vt:lpwstr/>
      </vt:variant>
      <vt:variant>
        <vt:lpwstr>_Toc164252322</vt:lpwstr>
      </vt:variant>
      <vt:variant>
        <vt:i4>1245235</vt:i4>
      </vt:variant>
      <vt:variant>
        <vt:i4>77</vt:i4>
      </vt:variant>
      <vt:variant>
        <vt:i4>0</vt:i4>
      </vt:variant>
      <vt:variant>
        <vt:i4>5</vt:i4>
      </vt:variant>
      <vt:variant>
        <vt:lpwstr/>
      </vt:variant>
      <vt:variant>
        <vt:lpwstr>_Toc164252321</vt:lpwstr>
      </vt:variant>
      <vt:variant>
        <vt:i4>1245235</vt:i4>
      </vt:variant>
      <vt:variant>
        <vt:i4>71</vt:i4>
      </vt:variant>
      <vt:variant>
        <vt:i4>0</vt:i4>
      </vt:variant>
      <vt:variant>
        <vt:i4>5</vt:i4>
      </vt:variant>
      <vt:variant>
        <vt:lpwstr/>
      </vt:variant>
      <vt:variant>
        <vt:lpwstr>_Toc164252320</vt:lpwstr>
      </vt:variant>
      <vt:variant>
        <vt:i4>1048627</vt:i4>
      </vt:variant>
      <vt:variant>
        <vt:i4>65</vt:i4>
      </vt:variant>
      <vt:variant>
        <vt:i4>0</vt:i4>
      </vt:variant>
      <vt:variant>
        <vt:i4>5</vt:i4>
      </vt:variant>
      <vt:variant>
        <vt:lpwstr/>
      </vt:variant>
      <vt:variant>
        <vt:lpwstr>_Toc164252319</vt:lpwstr>
      </vt:variant>
      <vt:variant>
        <vt:i4>1048627</vt:i4>
      </vt:variant>
      <vt:variant>
        <vt:i4>59</vt:i4>
      </vt:variant>
      <vt:variant>
        <vt:i4>0</vt:i4>
      </vt:variant>
      <vt:variant>
        <vt:i4>5</vt:i4>
      </vt:variant>
      <vt:variant>
        <vt:lpwstr/>
      </vt:variant>
      <vt:variant>
        <vt:lpwstr>_Toc164252318</vt:lpwstr>
      </vt:variant>
      <vt:variant>
        <vt:i4>1048627</vt:i4>
      </vt:variant>
      <vt:variant>
        <vt:i4>53</vt:i4>
      </vt:variant>
      <vt:variant>
        <vt:i4>0</vt:i4>
      </vt:variant>
      <vt:variant>
        <vt:i4>5</vt:i4>
      </vt:variant>
      <vt:variant>
        <vt:lpwstr/>
      </vt:variant>
      <vt:variant>
        <vt:lpwstr>_Toc164252317</vt:lpwstr>
      </vt:variant>
      <vt:variant>
        <vt:i4>1048627</vt:i4>
      </vt:variant>
      <vt:variant>
        <vt:i4>47</vt:i4>
      </vt:variant>
      <vt:variant>
        <vt:i4>0</vt:i4>
      </vt:variant>
      <vt:variant>
        <vt:i4>5</vt:i4>
      </vt:variant>
      <vt:variant>
        <vt:lpwstr/>
      </vt:variant>
      <vt:variant>
        <vt:lpwstr>_Toc164252316</vt:lpwstr>
      </vt:variant>
      <vt:variant>
        <vt:i4>1048627</vt:i4>
      </vt:variant>
      <vt:variant>
        <vt:i4>41</vt:i4>
      </vt:variant>
      <vt:variant>
        <vt:i4>0</vt:i4>
      </vt:variant>
      <vt:variant>
        <vt:i4>5</vt:i4>
      </vt:variant>
      <vt:variant>
        <vt:lpwstr/>
      </vt:variant>
      <vt:variant>
        <vt:lpwstr>_Toc164252315</vt:lpwstr>
      </vt:variant>
      <vt:variant>
        <vt:i4>1048627</vt:i4>
      </vt:variant>
      <vt:variant>
        <vt:i4>35</vt:i4>
      </vt:variant>
      <vt:variant>
        <vt:i4>0</vt:i4>
      </vt:variant>
      <vt:variant>
        <vt:i4>5</vt:i4>
      </vt:variant>
      <vt:variant>
        <vt:lpwstr/>
      </vt:variant>
      <vt:variant>
        <vt:lpwstr>_Toc164252314</vt:lpwstr>
      </vt:variant>
      <vt:variant>
        <vt:i4>1048627</vt:i4>
      </vt:variant>
      <vt:variant>
        <vt:i4>29</vt:i4>
      </vt:variant>
      <vt:variant>
        <vt:i4>0</vt:i4>
      </vt:variant>
      <vt:variant>
        <vt:i4>5</vt:i4>
      </vt:variant>
      <vt:variant>
        <vt:lpwstr/>
      </vt:variant>
      <vt:variant>
        <vt:lpwstr>_Toc164252313</vt:lpwstr>
      </vt:variant>
      <vt:variant>
        <vt:i4>1048627</vt:i4>
      </vt:variant>
      <vt:variant>
        <vt:i4>23</vt:i4>
      </vt:variant>
      <vt:variant>
        <vt:i4>0</vt:i4>
      </vt:variant>
      <vt:variant>
        <vt:i4>5</vt:i4>
      </vt:variant>
      <vt:variant>
        <vt:lpwstr/>
      </vt:variant>
      <vt:variant>
        <vt:lpwstr>_Toc164252312</vt:lpwstr>
      </vt:variant>
      <vt:variant>
        <vt:i4>1048627</vt:i4>
      </vt:variant>
      <vt:variant>
        <vt:i4>17</vt:i4>
      </vt:variant>
      <vt:variant>
        <vt:i4>0</vt:i4>
      </vt:variant>
      <vt:variant>
        <vt:i4>5</vt:i4>
      </vt:variant>
      <vt:variant>
        <vt:lpwstr/>
      </vt:variant>
      <vt:variant>
        <vt:lpwstr>_Toc164252311</vt:lpwstr>
      </vt:variant>
      <vt:variant>
        <vt:i4>1048627</vt:i4>
      </vt:variant>
      <vt:variant>
        <vt:i4>11</vt:i4>
      </vt:variant>
      <vt:variant>
        <vt:i4>0</vt:i4>
      </vt:variant>
      <vt:variant>
        <vt:i4>5</vt:i4>
      </vt:variant>
      <vt:variant>
        <vt:lpwstr/>
      </vt:variant>
      <vt:variant>
        <vt:lpwstr>_Toc164252310</vt:lpwstr>
      </vt:variant>
      <vt:variant>
        <vt:i4>3276914</vt:i4>
      </vt:variant>
      <vt:variant>
        <vt:i4>6</vt:i4>
      </vt:variant>
      <vt:variant>
        <vt:i4>0</vt:i4>
      </vt:variant>
      <vt:variant>
        <vt:i4>5</vt:i4>
      </vt:variant>
      <vt:variant>
        <vt:lpwstr>https://www.agriculture.gov.au/publications</vt:lpwstr>
      </vt:variant>
      <vt:variant>
        <vt:lpwstr/>
      </vt:variant>
      <vt:variant>
        <vt:i4>2883711</vt:i4>
      </vt:variant>
      <vt:variant>
        <vt:i4>3</vt:i4>
      </vt:variant>
      <vt:variant>
        <vt:i4>0</vt:i4>
      </vt:variant>
      <vt:variant>
        <vt:i4>5</vt:i4>
      </vt:variant>
      <vt:variant>
        <vt:lpwstr>https://www.agriculture.gov.au/biosecurity-trade/export/controlled-goods/live-animals/livestock/accredited-veterinarian/apply</vt:lpwstr>
      </vt:variant>
      <vt:variant>
        <vt:lpwstr>submit-your-application</vt:lpwstr>
      </vt:variant>
      <vt:variant>
        <vt:i4>5373952</vt:i4>
      </vt:variant>
      <vt:variant>
        <vt:i4>0</vt:i4>
      </vt:variant>
      <vt:variant>
        <vt:i4>0</vt:i4>
      </vt:variant>
      <vt:variant>
        <vt:i4>5</vt:i4>
      </vt:variant>
      <vt:variant>
        <vt:lpwstr>https://creativecommons.org/licenses/by/4.0/legalcode</vt:lpwstr>
      </vt:variant>
      <vt:variant>
        <vt:lpwstr/>
      </vt:variant>
      <vt:variant>
        <vt:i4>2490393</vt:i4>
      </vt:variant>
      <vt:variant>
        <vt:i4>0</vt:i4>
      </vt:variant>
      <vt:variant>
        <vt:i4>0</vt:i4>
      </vt:variant>
      <vt:variant>
        <vt:i4>5</vt:i4>
      </vt:variant>
      <vt:variant>
        <vt:lpwstr>mailto:Ben.Huston@aff.gov.au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identification and management of material interests for AAVs</dc:title>
  <dc:creator>Department of Agriculture, Fisheries and Forestry</dc:creator>
  <cp:revision>2</cp:revision>
  <cp:lastPrinted>2020-11-20T04:42:00Z</cp:lastPrinted>
  <dcterms:created xsi:type="dcterms:W3CDTF">2024-07-05T10:44:00Z</dcterms:created>
  <dcterms:modified xsi:type="dcterms:W3CDTF">2024-07-05T10:44:00Z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ClassificationContentMarkingHeaderShapeIds">
    <vt:lpwstr>534914d3,6a970778,253f3e5f</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78460d77,6e8c8840,3cfe802c</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2024-03-15T01:02:57Z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987a8623-2dda-4653-ae63-7faae1a9a41d</vt:lpwstr>
  </property>
  <property fmtid="{D5CDD505-2E9C-101B-9397-08002B2CF9AE}" pid="15" name="MSIP_Label_933d8be6-3c40-4052-87a2-9c2adcba8759_ContentBits">
    <vt:lpwstr>3</vt:lpwstr>
  </property>
  <property fmtid="{D5CDD505-2E9C-101B-9397-08002B2CF9AE}" pid="16" name="MediaServiceImageTags">
    <vt:lpwstr/>
  </property>
</Properties>
</file>