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BF71F" w14:textId="77777777" w:rsidR="00530CC1" w:rsidRDefault="00D21D5D" w:rsidP="00530CC1">
      <w:pPr>
        <w:pStyle w:val="Heading1"/>
      </w:pPr>
      <w:r w:rsidRPr="00D21D5D">
        <w:t>Grouper iridoviral disease</w:t>
      </w:r>
    </w:p>
    <w:p w14:paraId="47AB572D" w14:textId="6EC43321" w:rsidR="000C051E" w:rsidRDefault="000C051E" w:rsidP="000C051E">
      <w:pPr>
        <w:pStyle w:val="Subtitle"/>
      </w:pPr>
      <w:r>
        <w:rPr>
          <w:sz w:val="24"/>
          <w:szCs w:val="24"/>
        </w:rPr>
        <w:t xml:space="preserve">Also known </w:t>
      </w:r>
      <w:r w:rsidRPr="00171D49">
        <w:rPr>
          <w:sz w:val="24"/>
          <w:szCs w:val="24"/>
        </w:rPr>
        <w:t xml:space="preserve">as </w:t>
      </w:r>
      <w:r w:rsidR="00D21D5D" w:rsidRPr="00D21D5D">
        <w:rPr>
          <w:sz w:val="24"/>
          <w:szCs w:val="24"/>
        </w:rPr>
        <w:t>sleepy grouper disease, grouper iridovirus of Taiwan (TGIV) an</w:t>
      </w:r>
      <w:r w:rsidR="00D21D5D">
        <w:rPr>
          <w:sz w:val="24"/>
          <w:szCs w:val="24"/>
        </w:rPr>
        <w:t>d Singapore grouper iridovirus (SGIV)</w:t>
      </w:r>
    </w:p>
    <w:p w14:paraId="16BA856D" w14:textId="77777777" w:rsidR="00ED0614" w:rsidRDefault="00E260DC">
      <w:pPr>
        <w:pStyle w:val="Subtitle"/>
      </w:pPr>
      <w:r>
        <w:t xml:space="preserve">From </w:t>
      </w:r>
      <w:r>
        <w:rPr>
          <w:rStyle w:val="Emphasis"/>
        </w:rPr>
        <w:t>Aquatic animal diseases significant to Australia: identification field guide</w:t>
      </w:r>
      <w:r>
        <w:t>, 5th edition</w:t>
      </w:r>
    </w:p>
    <w:p w14:paraId="0C9D70DB" w14:textId="29AF81D2" w:rsidR="00ED0614" w:rsidRDefault="00E260DC">
      <w:pPr>
        <w:pStyle w:val="Caption"/>
      </w:pPr>
      <w:r>
        <w:t xml:space="preserve">Figure </w:t>
      </w:r>
      <w:r>
        <w:rPr>
          <w:noProof/>
        </w:rPr>
        <w:fldChar w:fldCharType="begin"/>
      </w:r>
      <w:r>
        <w:rPr>
          <w:noProof/>
        </w:rPr>
        <w:instrText xml:space="preserve"> SEQ Figure \* ARABIC </w:instrText>
      </w:r>
      <w:r>
        <w:rPr>
          <w:noProof/>
        </w:rPr>
        <w:fldChar w:fldCharType="separate"/>
      </w:r>
      <w:r w:rsidR="002379CE">
        <w:rPr>
          <w:noProof/>
        </w:rPr>
        <w:t>1</w:t>
      </w:r>
      <w:r>
        <w:rPr>
          <w:noProof/>
        </w:rPr>
        <w:fldChar w:fldCharType="end"/>
      </w:r>
      <w:r>
        <w:t xml:space="preserve"> </w:t>
      </w:r>
      <w:r w:rsidR="00D21D5D" w:rsidRPr="00D21D5D">
        <w:t>Gross signs of secondary infection in estuary cod (</w:t>
      </w:r>
      <w:r w:rsidR="00D21D5D" w:rsidRPr="003422AC">
        <w:rPr>
          <w:rStyle w:val="Emphasis"/>
        </w:rPr>
        <w:t>Epinephelus tauvina</w:t>
      </w:r>
      <w:r w:rsidR="00D21D5D" w:rsidRPr="00D21D5D">
        <w:t>) infected by grouper iridovirus</w:t>
      </w:r>
    </w:p>
    <w:p w14:paraId="77EA7524" w14:textId="77777777" w:rsidR="00530CC1" w:rsidRDefault="00D21D5D" w:rsidP="00D21D5D">
      <w:pPr>
        <w:pStyle w:val="FigureTableNoteSource"/>
      </w:pPr>
      <w:r>
        <w:rPr>
          <w:noProof/>
          <w:lang w:eastAsia="en-AU"/>
        </w:rPr>
        <w:drawing>
          <wp:inline distT="0" distB="0" distL="0" distR="0" wp14:anchorId="5CEE77DC" wp14:editId="541B1F45">
            <wp:extent cx="3960000" cy="2912400"/>
            <wp:effectExtent l="0" t="0" r="2540" b="254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V.jpg"/>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3960000" cy="2912400"/>
                    </a:xfrm>
                    <a:prstGeom prst="rect">
                      <a:avLst/>
                    </a:prstGeom>
                    <a:ln>
                      <a:noFill/>
                    </a:ln>
                    <a:extLst>
                      <a:ext uri="{53640926-AAD7-44D8-BBD7-CCE9431645EC}">
                        <a14:shadowObscured xmlns:a14="http://schemas.microsoft.com/office/drawing/2010/main"/>
                      </a:ext>
                    </a:extLst>
                  </pic:spPr>
                </pic:pic>
              </a:graphicData>
            </a:graphic>
          </wp:inline>
        </w:drawing>
      </w:r>
    </w:p>
    <w:p w14:paraId="4A83029D" w14:textId="789CE587" w:rsidR="00D21D5D" w:rsidRDefault="00E260DC" w:rsidP="00D21D5D">
      <w:pPr>
        <w:pStyle w:val="FigureTableNoteSource"/>
      </w:pPr>
      <w:r>
        <w:t xml:space="preserve">Note: </w:t>
      </w:r>
      <w:r w:rsidR="00D21D5D">
        <w:t>Deep ulceration in muscular tissue of the head.</w:t>
      </w:r>
    </w:p>
    <w:p w14:paraId="01B1A4C4" w14:textId="77777777" w:rsidR="00530CC1" w:rsidRPr="00530CC1" w:rsidRDefault="00D21D5D" w:rsidP="00D21D5D">
      <w:pPr>
        <w:pStyle w:val="FigureTableNoteSource"/>
      </w:pPr>
      <w:r>
        <w:t xml:space="preserve">Source: S </w:t>
      </w:r>
      <w:r w:rsidRPr="00530CC1">
        <w:t>Kanchanakhan</w:t>
      </w:r>
    </w:p>
    <w:p w14:paraId="0F10AE3C" w14:textId="530AC450" w:rsidR="00530CC1" w:rsidRPr="00530CC1" w:rsidRDefault="00E260DC" w:rsidP="00530CC1">
      <w:pPr>
        <w:pStyle w:val="Caption"/>
      </w:pPr>
      <w:r w:rsidRPr="00530CC1">
        <w:t xml:space="preserve">Figure </w:t>
      </w:r>
      <w:r w:rsidRPr="00530CC1">
        <w:rPr>
          <w:noProof/>
        </w:rPr>
        <w:fldChar w:fldCharType="begin"/>
      </w:r>
      <w:r w:rsidRPr="00530CC1">
        <w:rPr>
          <w:noProof/>
        </w:rPr>
        <w:instrText xml:space="preserve"> SEQ Figure \* ARABIC </w:instrText>
      </w:r>
      <w:r w:rsidRPr="00530CC1">
        <w:rPr>
          <w:noProof/>
        </w:rPr>
        <w:fldChar w:fldCharType="separate"/>
      </w:r>
      <w:r w:rsidR="002379CE">
        <w:rPr>
          <w:noProof/>
        </w:rPr>
        <w:t>2</w:t>
      </w:r>
      <w:r w:rsidRPr="00530CC1">
        <w:rPr>
          <w:noProof/>
        </w:rPr>
        <w:fldChar w:fldCharType="end"/>
      </w:r>
      <w:r w:rsidR="006D2A58" w:rsidRPr="00530CC1">
        <w:t xml:space="preserve"> </w:t>
      </w:r>
      <w:r w:rsidR="00D21D5D" w:rsidRPr="00530CC1">
        <w:t>Gross signs of secondary infection in estuary cod (</w:t>
      </w:r>
      <w:r w:rsidR="00D21D5D" w:rsidRPr="00530CC1">
        <w:rPr>
          <w:rStyle w:val="Emphasis"/>
        </w:rPr>
        <w:t>Epinephelus tauvina</w:t>
      </w:r>
      <w:r w:rsidR="00D21D5D" w:rsidRPr="00530CC1">
        <w:t>) infected by grouper iridovirus</w:t>
      </w:r>
    </w:p>
    <w:p w14:paraId="1F322C99" w14:textId="62E5AA78" w:rsidR="00530CC1" w:rsidRPr="00530CC1" w:rsidRDefault="00530CC1" w:rsidP="00D21D5D">
      <w:pPr>
        <w:pStyle w:val="FigureTableNoteSource"/>
      </w:pPr>
      <w:r w:rsidRPr="00530CC1">
        <w:rPr>
          <w:noProof/>
          <w:lang w:eastAsia="en-AU"/>
        </w:rPr>
        <w:drawing>
          <wp:inline distT="0" distB="0" distL="0" distR="0" wp14:anchorId="1FC9A2F9" wp14:editId="157DFB15">
            <wp:extent cx="3960000" cy="2149200"/>
            <wp:effectExtent l="0" t="0" r="254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0000" cy="2149200"/>
                    </a:xfrm>
                    <a:prstGeom prst="rect">
                      <a:avLst/>
                    </a:prstGeom>
                    <a:noFill/>
                    <a:ln>
                      <a:noFill/>
                    </a:ln>
                  </pic:spPr>
                </pic:pic>
              </a:graphicData>
            </a:graphic>
          </wp:inline>
        </w:drawing>
      </w:r>
    </w:p>
    <w:p w14:paraId="3E444B4D" w14:textId="0DF8DC90" w:rsidR="00D21D5D" w:rsidRPr="00530CC1" w:rsidRDefault="00E260DC" w:rsidP="00D21D5D">
      <w:pPr>
        <w:pStyle w:val="FigureTableNoteSource"/>
      </w:pPr>
      <w:r w:rsidRPr="00530CC1">
        <w:t xml:space="preserve">Note: </w:t>
      </w:r>
      <w:r w:rsidR="00D21D5D" w:rsidRPr="00530CC1">
        <w:t>Haemorrhagic red boils</w:t>
      </w:r>
      <w:r w:rsidR="00622AD8" w:rsidRPr="00530CC1">
        <w:t xml:space="preserve"> (a)</w:t>
      </w:r>
      <w:r w:rsidR="00D21D5D" w:rsidRPr="00530CC1">
        <w:t xml:space="preserve"> on the body surface.</w:t>
      </w:r>
    </w:p>
    <w:p w14:paraId="28C1C697" w14:textId="5D0990AD" w:rsidR="00ED0614" w:rsidRDefault="00D21D5D" w:rsidP="00D21D5D">
      <w:pPr>
        <w:pStyle w:val="FigureTableNoteSource"/>
      </w:pPr>
      <w:r w:rsidRPr="00530CC1">
        <w:t>Source: S Kanchanakhan</w:t>
      </w:r>
    </w:p>
    <w:p w14:paraId="34D7581A" w14:textId="5505BD6C" w:rsidR="00ED0614" w:rsidRDefault="00E260DC" w:rsidP="00E63C0D">
      <w:pPr>
        <w:pStyle w:val="Heading2"/>
        <w:pageBreakBefore/>
      </w:pPr>
      <w:r>
        <w:lastRenderedPageBreak/>
        <w:t>Signs of disease</w:t>
      </w:r>
    </w:p>
    <w:p w14:paraId="445BBFA4" w14:textId="77777777" w:rsidR="00ED0614" w:rsidRDefault="00E260DC">
      <w:pPr>
        <w:rPr>
          <w:lang w:eastAsia="ja-JP"/>
        </w:rPr>
      </w:pPr>
      <w:r>
        <w:rPr>
          <w:lang w:eastAsia="ja-JP"/>
        </w:rPr>
        <w:t>Important: Animals with this disease may show one or more of these signs, but the pathogen may still be present in the absence of any signs.</w:t>
      </w:r>
    </w:p>
    <w:p w14:paraId="0ED3BEC6" w14:textId="77777777" w:rsidR="00ED0614" w:rsidRDefault="00E260DC">
      <w:pPr>
        <w:rPr>
          <w:lang w:eastAsia="ja-JP"/>
        </w:rPr>
      </w:pPr>
      <w:r>
        <w:rPr>
          <w:lang w:eastAsia="ja-JP"/>
        </w:rPr>
        <w:t>Disease signs at the farm, tank or pond level are:</w:t>
      </w:r>
    </w:p>
    <w:p w14:paraId="5CB325F0" w14:textId="77777777" w:rsidR="00D21D5D" w:rsidRDefault="00D21D5D" w:rsidP="00D21D5D">
      <w:pPr>
        <w:pStyle w:val="ListBullet"/>
        <w:rPr>
          <w:lang w:eastAsia="ja-JP"/>
        </w:rPr>
      </w:pPr>
      <w:r>
        <w:rPr>
          <w:lang w:eastAsia="ja-JP"/>
        </w:rPr>
        <w:t>typically high mortalities, with many dead and moribund fish</w:t>
      </w:r>
    </w:p>
    <w:p w14:paraId="5FC354C2" w14:textId="77777777" w:rsidR="00D21D5D" w:rsidRDefault="00D21D5D" w:rsidP="00D21D5D">
      <w:pPr>
        <w:pStyle w:val="ListBullet"/>
        <w:rPr>
          <w:lang w:eastAsia="ja-JP"/>
        </w:rPr>
      </w:pPr>
      <w:r>
        <w:rPr>
          <w:lang w:eastAsia="ja-JP"/>
        </w:rPr>
        <w:t>high mortality of young grouper</w:t>
      </w:r>
    </w:p>
    <w:p w14:paraId="639777E2" w14:textId="441C0AB9" w:rsidR="00D21D5D" w:rsidRDefault="00D93052" w:rsidP="00D21D5D">
      <w:pPr>
        <w:pStyle w:val="ListBullet"/>
        <w:rPr>
          <w:lang w:eastAsia="ja-JP"/>
        </w:rPr>
      </w:pPr>
      <w:r>
        <w:rPr>
          <w:lang w:eastAsia="ja-JP"/>
        </w:rPr>
        <w:t>loss of appetite</w:t>
      </w:r>
    </w:p>
    <w:p w14:paraId="44DEF809" w14:textId="77777777" w:rsidR="00D21D5D" w:rsidRDefault="00D21D5D" w:rsidP="00D21D5D">
      <w:pPr>
        <w:pStyle w:val="ListBullet"/>
        <w:rPr>
          <w:lang w:eastAsia="ja-JP"/>
        </w:rPr>
      </w:pPr>
      <w:r>
        <w:rPr>
          <w:lang w:eastAsia="ja-JP"/>
        </w:rPr>
        <w:t>lethargic swimming</w:t>
      </w:r>
    </w:p>
    <w:p w14:paraId="64631B6C" w14:textId="38DE506E" w:rsidR="00ED0614" w:rsidRDefault="00D21D5D" w:rsidP="00D21D5D">
      <w:pPr>
        <w:pStyle w:val="ListBullet"/>
        <w:rPr>
          <w:lang w:eastAsia="ja-JP"/>
        </w:rPr>
      </w:pPr>
      <w:r>
        <w:rPr>
          <w:lang w:eastAsia="ja-JP"/>
        </w:rPr>
        <w:t>rapid opercular movements and dashing to the surface for air (in the terminal phase)</w:t>
      </w:r>
      <w:r w:rsidR="00E260DC">
        <w:rPr>
          <w:lang w:eastAsia="ja-JP"/>
        </w:rPr>
        <w:t>.</w:t>
      </w:r>
    </w:p>
    <w:p w14:paraId="491FFB70" w14:textId="77777777" w:rsidR="00ED0614" w:rsidRDefault="00E260DC">
      <w:pPr>
        <w:rPr>
          <w:lang w:eastAsia="ja-JP"/>
        </w:rPr>
      </w:pPr>
      <w:r>
        <w:rPr>
          <w:lang w:eastAsia="ja-JP"/>
        </w:rPr>
        <w:t>Gross pathological signs are:</w:t>
      </w:r>
    </w:p>
    <w:p w14:paraId="3062D8D2" w14:textId="77777777" w:rsidR="00D21D5D" w:rsidRDefault="00D21D5D" w:rsidP="00D21D5D">
      <w:pPr>
        <w:pStyle w:val="ListBullet"/>
        <w:rPr>
          <w:lang w:eastAsia="ja-JP"/>
        </w:rPr>
      </w:pPr>
      <w:r>
        <w:rPr>
          <w:lang w:eastAsia="ja-JP"/>
        </w:rPr>
        <w:t>darkened body colour, pale gills and enlarged spleen</w:t>
      </w:r>
    </w:p>
    <w:p w14:paraId="06EC2B36" w14:textId="5B24AF14" w:rsidR="00ED0614" w:rsidRDefault="00D21D5D" w:rsidP="00D21D5D">
      <w:pPr>
        <w:pStyle w:val="ListBullet"/>
        <w:rPr>
          <w:lang w:eastAsia="ja-JP"/>
        </w:rPr>
      </w:pPr>
      <w:r>
        <w:rPr>
          <w:lang w:eastAsia="ja-JP"/>
        </w:rPr>
        <w:t>signs of secondary infection such as deep ulceration or papular lesions</w:t>
      </w:r>
      <w:r w:rsidR="00E260DC">
        <w:rPr>
          <w:lang w:eastAsia="ja-JP"/>
        </w:rPr>
        <w:t>.</w:t>
      </w:r>
    </w:p>
    <w:p w14:paraId="2D426F0A" w14:textId="77777777" w:rsidR="00ED0614" w:rsidRDefault="00E260DC">
      <w:pPr>
        <w:rPr>
          <w:lang w:eastAsia="ja-JP"/>
        </w:rPr>
      </w:pPr>
      <w:r>
        <w:rPr>
          <w:lang w:eastAsia="ja-JP"/>
        </w:rPr>
        <w:t>Microscopic pathological signs are:</w:t>
      </w:r>
    </w:p>
    <w:p w14:paraId="0917BF5D" w14:textId="77777777" w:rsidR="00D21D5D" w:rsidRPr="00D21D5D" w:rsidRDefault="00D21D5D" w:rsidP="00D21D5D">
      <w:pPr>
        <w:pStyle w:val="ListBullet"/>
        <w:rPr>
          <w:lang w:val="en-US"/>
        </w:rPr>
      </w:pPr>
      <w:r w:rsidRPr="00D21D5D">
        <w:rPr>
          <w:lang w:val="en-US"/>
        </w:rPr>
        <w:t>necrosis of the splenic pulp, and myocardium</w:t>
      </w:r>
    </w:p>
    <w:p w14:paraId="68AAA3DA" w14:textId="6F14F58D" w:rsidR="00ED0614" w:rsidRDefault="00D21D5D" w:rsidP="00D21D5D">
      <w:pPr>
        <w:pStyle w:val="ListBullet"/>
        <w:rPr>
          <w:lang w:val="en-US"/>
        </w:rPr>
      </w:pPr>
      <w:r w:rsidRPr="00D21D5D">
        <w:rPr>
          <w:lang w:val="en-US"/>
        </w:rPr>
        <w:t>necrosis and reduction of haematopoietic tissue of the kidney in the absence of marked cell hypertrophy</w:t>
      </w:r>
      <w:r w:rsidR="00E260DC">
        <w:rPr>
          <w:lang w:val="en-US"/>
        </w:rPr>
        <w:t>.</w:t>
      </w:r>
    </w:p>
    <w:p w14:paraId="755CDE80" w14:textId="77777777" w:rsidR="00ED0614" w:rsidRDefault="00E260DC">
      <w:pPr>
        <w:pStyle w:val="Heading2"/>
      </w:pPr>
      <w:r>
        <w:t>Disease agent</w:t>
      </w:r>
    </w:p>
    <w:p w14:paraId="06D0BB75" w14:textId="2925B271" w:rsidR="00ED0614" w:rsidRDefault="005F5D64" w:rsidP="008B4009">
      <w:r>
        <w:t>G</w:t>
      </w:r>
      <w:r w:rsidRPr="00D21D5D">
        <w:t xml:space="preserve">rouper iridovirus </w:t>
      </w:r>
      <w:r w:rsidR="00D21D5D" w:rsidRPr="00D21D5D">
        <w:t xml:space="preserve">disease is caused by infection with grouper iridovirus (GIV), belonging to the genus </w:t>
      </w:r>
      <w:r w:rsidR="00D21D5D" w:rsidRPr="00D21D5D">
        <w:rPr>
          <w:rStyle w:val="Emphasis"/>
        </w:rPr>
        <w:t>Ranavirus</w:t>
      </w:r>
      <w:r w:rsidR="00D21D5D" w:rsidRPr="00D21D5D">
        <w:t xml:space="preserve"> within the family </w:t>
      </w:r>
      <w:r w:rsidR="00D21D5D" w:rsidRPr="00D21D5D">
        <w:rPr>
          <w:rStyle w:val="Emphasis"/>
        </w:rPr>
        <w:t>Iridoviridae</w:t>
      </w:r>
      <w:r w:rsidR="00D21D5D" w:rsidRPr="00D21D5D">
        <w:t>. Synonyms include grouper iridovirus of Taiwan (TGIV) and Singapore grouper iridovirus (SGIV).</w:t>
      </w:r>
    </w:p>
    <w:p w14:paraId="10B41ACC" w14:textId="77777777" w:rsidR="00ED0614" w:rsidRDefault="00E260DC">
      <w:pPr>
        <w:pStyle w:val="Heading2"/>
        <w:keepLines/>
      </w:pPr>
      <w:r>
        <w:t>Host range</w:t>
      </w:r>
    </w:p>
    <w:p w14:paraId="63E14290" w14:textId="152B1D32" w:rsidR="00ED0614" w:rsidRDefault="00E260DC" w:rsidP="00D21D5D">
      <w:pPr>
        <w:pStyle w:val="Caption"/>
      </w:pPr>
      <w:r>
        <w:t xml:space="preserve">Table </w:t>
      </w:r>
      <w:r>
        <w:rPr>
          <w:noProof/>
        </w:rPr>
        <w:fldChar w:fldCharType="begin"/>
      </w:r>
      <w:r>
        <w:rPr>
          <w:noProof/>
        </w:rPr>
        <w:instrText xml:space="preserve"> SEQ Table \* ARABIC </w:instrText>
      </w:r>
      <w:r>
        <w:rPr>
          <w:noProof/>
        </w:rPr>
        <w:fldChar w:fldCharType="separate"/>
      </w:r>
      <w:r w:rsidR="002379CE">
        <w:rPr>
          <w:noProof/>
        </w:rPr>
        <w:t>1</w:t>
      </w:r>
      <w:r>
        <w:rPr>
          <w:noProof/>
        </w:rPr>
        <w:fldChar w:fldCharType="end"/>
      </w:r>
      <w:r>
        <w:t xml:space="preserve"> </w:t>
      </w:r>
      <w:r w:rsidR="008B4009" w:rsidRPr="008B4009">
        <w:t xml:space="preserve">Species known to be </w:t>
      </w:r>
      <w:r w:rsidR="00D21D5D">
        <w:t xml:space="preserve">naturally </w:t>
      </w:r>
      <w:r w:rsidR="008B4009" w:rsidRPr="008B4009">
        <w:t xml:space="preserve">susceptible to </w:t>
      </w:r>
      <w:r w:rsidR="00D21D5D">
        <w:t>GIV</w:t>
      </w:r>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ED0614" w14:paraId="7F099F95" w14:textId="77777777">
        <w:trPr>
          <w:cantSplit/>
          <w:trHeight w:val="300"/>
          <w:tblHeader/>
        </w:trPr>
        <w:tc>
          <w:tcPr>
            <w:tcW w:w="2500" w:type="pct"/>
            <w:tcBorders>
              <w:top w:val="single" w:sz="4" w:space="0" w:color="auto"/>
              <w:bottom w:val="single" w:sz="4" w:space="0" w:color="auto"/>
            </w:tcBorders>
            <w:noWrap/>
          </w:tcPr>
          <w:p w14:paraId="53C37EB4" w14:textId="77777777" w:rsidR="00ED0614" w:rsidRDefault="00E260DC">
            <w:pPr>
              <w:pStyle w:val="TableHeading"/>
            </w:pPr>
            <w:r>
              <w:t>Common name</w:t>
            </w:r>
          </w:p>
        </w:tc>
        <w:tc>
          <w:tcPr>
            <w:tcW w:w="2500" w:type="pct"/>
            <w:tcBorders>
              <w:top w:val="single" w:sz="4" w:space="0" w:color="auto"/>
              <w:bottom w:val="single" w:sz="4" w:space="0" w:color="auto"/>
            </w:tcBorders>
            <w:noWrap/>
          </w:tcPr>
          <w:p w14:paraId="0DE0AAEB" w14:textId="77777777" w:rsidR="00ED0614" w:rsidRDefault="00E260DC">
            <w:pPr>
              <w:pStyle w:val="TableHeading"/>
            </w:pPr>
            <w:r>
              <w:t>Scientific name</w:t>
            </w:r>
          </w:p>
        </w:tc>
      </w:tr>
      <w:tr w:rsidR="00D21D5D" w14:paraId="3B818FD2" w14:textId="77777777">
        <w:trPr>
          <w:cantSplit/>
          <w:trHeight w:val="315"/>
        </w:trPr>
        <w:tc>
          <w:tcPr>
            <w:tcW w:w="2500" w:type="pct"/>
            <w:tcBorders>
              <w:top w:val="single" w:sz="4" w:space="0" w:color="auto"/>
            </w:tcBorders>
            <w:noWrap/>
          </w:tcPr>
          <w:p w14:paraId="2F3C0965" w14:textId="2754610C" w:rsidR="00D21D5D" w:rsidRDefault="00D21D5D" w:rsidP="00D21D5D">
            <w:pPr>
              <w:pStyle w:val="TableText"/>
            </w:pPr>
            <w:r w:rsidRPr="00097C5B">
              <w:t>Brown marbled grouper</w:t>
            </w:r>
          </w:p>
        </w:tc>
        <w:tc>
          <w:tcPr>
            <w:tcW w:w="2500" w:type="pct"/>
            <w:tcBorders>
              <w:top w:val="single" w:sz="4" w:space="0" w:color="auto"/>
            </w:tcBorders>
            <w:noWrap/>
          </w:tcPr>
          <w:p w14:paraId="2D4141AF" w14:textId="2701F78C" w:rsidR="00D21D5D" w:rsidRPr="00D21D5D" w:rsidRDefault="00D21D5D" w:rsidP="00D21D5D">
            <w:pPr>
              <w:pStyle w:val="TableText"/>
              <w:rPr>
                <w:rStyle w:val="Emphasis"/>
              </w:rPr>
            </w:pPr>
            <w:r w:rsidRPr="00D21D5D">
              <w:rPr>
                <w:rStyle w:val="Emphasis"/>
              </w:rPr>
              <w:t>Epinephelus fuscoguttatus</w:t>
            </w:r>
          </w:p>
        </w:tc>
      </w:tr>
      <w:tr w:rsidR="00D21D5D" w14:paraId="163A359F" w14:textId="77777777">
        <w:trPr>
          <w:cantSplit/>
          <w:trHeight w:val="315"/>
        </w:trPr>
        <w:tc>
          <w:tcPr>
            <w:tcW w:w="2500" w:type="pct"/>
            <w:noWrap/>
          </w:tcPr>
          <w:p w14:paraId="74773C6F" w14:textId="566E331D" w:rsidR="00D21D5D" w:rsidRDefault="00D21D5D" w:rsidP="00D21D5D">
            <w:pPr>
              <w:pStyle w:val="TableText"/>
            </w:pPr>
            <w:r w:rsidRPr="00097C5B">
              <w:t>Coral trout</w:t>
            </w:r>
          </w:p>
        </w:tc>
        <w:tc>
          <w:tcPr>
            <w:tcW w:w="2500" w:type="pct"/>
            <w:noWrap/>
          </w:tcPr>
          <w:p w14:paraId="1D5663AA" w14:textId="4754771C" w:rsidR="00D21D5D" w:rsidRPr="00D21D5D" w:rsidRDefault="00D21D5D" w:rsidP="00D21D5D">
            <w:pPr>
              <w:pStyle w:val="TableText"/>
              <w:rPr>
                <w:rStyle w:val="Emphasis"/>
                <w:rFonts w:eastAsia="SimSun"/>
              </w:rPr>
            </w:pPr>
            <w:r w:rsidRPr="00D21D5D">
              <w:rPr>
                <w:rStyle w:val="Emphasis"/>
              </w:rPr>
              <w:t>Plectropomus leopardus</w:t>
            </w:r>
          </w:p>
        </w:tc>
      </w:tr>
      <w:tr w:rsidR="00D21D5D" w14:paraId="5C3B7FD0" w14:textId="77777777">
        <w:trPr>
          <w:cantSplit/>
          <w:trHeight w:val="315"/>
        </w:trPr>
        <w:tc>
          <w:tcPr>
            <w:tcW w:w="2500" w:type="pct"/>
            <w:noWrap/>
          </w:tcPr>
          <w:p w14:paraId="5227C577" w14:textId="1EBD098E" w:rsidR="00D21D5D" w:rsidRDefault="00D21D5D" w:rsidP="00D21D5D">
            <w:pPr>
              <w:pStyle w:val="TableText"/>
            </w:pPr>
            <w:r w:rsidRPr="00097C5B">
              <w:t>Estuary cod</w:t>
            </w:r>
          </w:p>
        </w:tc>
        <w:tc>
          <w:tcPr>
            <w:tcW w:w="2500" w:type="pct"/>
            <w:noWrap/>
          </w:tcPr>
          <w:p w14:paraId="5ACF429E" w14:textId="6F830064" w:rsidR="00D21D5D" w:rsidRPr="00D21D5D" w:rsidRDefault="00D21D5D" w:rsidP="00D21D5D">
            <w:pPr>
              <w:pStyle w:val="TableText"/>
              <w:rPr>
                <w:rStyle w:val="Emphasis"/>
                <w:rFonts w:eastAsia="SimSun"/>
              </w:rPr>
            </w:pPr>
            <w:r w:rsidRPr="00D21D5D">
              <w:rPr>
                <w:rStyle w:val="Emphasis"/>
              </w:rPr>
              <w:t>Epinephelus tauvina</w:t>
            </w:r>
          </w:p>
        </w:tc>
      </w:tr>
      <w:tr w:rsidR="00D21D5D" w14:paraId="42EB7617" w14:textId="77777777">
        <w:trPr>
          <w:cantSplit/>
          <w:trHeight w:val="315"/>
        </w:trPr>
        <w:tc>
          <w:tcPr>
            <w:tcW w:w="2500" w:type="pct"/>
            <w:noWrap/>
          </w:tcPr>
          <w:p w14:paraId="71A33549" w14:textId="79EE3063" w:rsidR="00D21D5D" w:rsidRDefault="004D0404" w:rsidP="004D0404">
            <w:pPr>
              <w:pStyle w:val="TableText"/>
            </w:pPr>
            <w:r>
              <w:t xml:space="preserve">Giant </w:t>
            </w:r>
            <w:r w:rsidR="00D21D5D" w:rsidRPr="00097C5B">
              <w:t>grouper</w:t>
            </w:r>
          </w:p>
        </w:tc>
        <w:tc>
          <w:tcPr>
            <w:tcW w:w="2500" w:type="pct"/>
            <w:noWrap/>
          </w:tcPr>
          <w:p w14:paraId="1D4032D9" w14:textId="5248C3DA" w:rsidR="00D21D5D" w:rsidRPr="00D21D5D" w:rsidRDefault="00D21D5D" w:rsidP="00D21D5D">
            <w:pPr>
              <w:pStyle w:val="TableText"/>
              <w:rPr>
                <w:rStyle w:val="Emphasis"/>
                <w:rFonts w:eastAsia="SimSun"/>
              </w:rPr>
            </w:pPr>
            <w:r w:rsidRPr="00D21D5D">
              <w:rPr>
                <w:rStyle w:val="Emphasis"/>
              </w:rPr>
              <w:t>Epinephelus lanceolatus</w:t>
            </w:r>
          </w:p>
        </w:tc>
      </w:tr>
      <w:tr w:rsidR="00D21D5D" w14:paraId="2B6394AD" w14:textId="77777777">
        <w:trPr>
          <w:cantSplit/>
          <w:trHeight w:val="315"/>
        </w:trPr>
        <w:tc>
          <w:tcPr>
            <w:tcW w:w="2500" w:type="pct"/>
            <w:noWrap/>
          </w:tcPr>
          <w:p w14:paraId="5E1E203A" w14:textId="0C64F755" w:rsidR="00D21D5D" w:rsidRDefault="00D21D5D" w:rsidP="00D21D5D">
            <w:pPr>
              <w:pStyle w:val="TableText"/>
            </w:pPr>
            <w:r w:rsidRPr="00097C5B">
              <w:t>Grouper and estuary cod</w:t>
            </w:r>
          </w:p>
        </w:tc>
        <w:tc>
          <w:tcPr>
            <w:tcW w:w="2500" w:type="pct"/>
            <w:noWrap/>
          </w:tcPr>
          <w:p w14:paraId="44C74309" w14:textId="4A621F2B" w:rsidR="00D21D5D" w:rsidRPr="00D21D5D" w:rsidRDefault="00D21D5D" w:rsidP="00D21D5D">
            <w:pPr>
              <w:pStyle w:val="TableText"/>
              <w:rPr>
                <w:rStyle w:val="Emphasis"/>
                <w:i w:val="0"/>
                <w:iCs w:val="0"/>
              </w:rPr>
            </w:pPr>
            <w:r w:rsidRPr="00D21D5D">
              <w:rPr>
                <w:rStyle w:val="Emphasis"/>
              </w:rPr>
              <w:t>Epinephelus</w:t>
            </w:r>
            <w:r w:rsidRPr="00097C5B">
              <w:t xml:space="preserve"> spp.</w:t>
            </w:r>
          </w:p>
        </w:tc>
      </w:tr>
      <w:tr w:rsidR="00D21D5D" w14:paraId="5F4CD5AF" w14:textId="77777777">
        <w:trPr>
          <w:cantSplit/>
          <w:trHeight w:val="315"/>
        </w:trPr>
        <w:tc>
          <w:tcPr>
            <w:tcW w:w="2500" w:type="pct"/>
            <w:noWrap/>
          </w:tcPr>
          <w:p w14:paraId="39702D02" w14:textId="31528AF1" w:rsidR="00D21D5D" w:rsidRPr="00332D48" w:rsidRDefault="00D21D5D" w:rsidP="00D21D5D">
            <w:pPr>
              <w:pStyle w:val="TableText"/>
            </w:pPr>
            <w:r w:rsidRPr="00097C5B">
              <w:t>Malabar grouper</w:t>
            </w:r>
          </w:p>
        </w:tc>
        <w:tc>
          <w:tcPr>
            <w:tcW w:w="2500" w:type="pct"/>
            <w:noWrap/>
          </w:tcPr>
          <w:p w14:paraId="1F7B7BE5" w14:textId="46A8FC9E" w:rsidR="00D21D5D" w:rsidRPr="00D21D5D" w:rsidRDefault="00D21D5D" w:rsidP="00D21D5D">
            <w:pPr>
              <w:pStyle w:val="TableText"/>
              <w:rPr>
                <w:rStyle w:val="Emphasis"/>
              </w:rPr>
            </w:pPr>
            <w:r w:rsidRPr="00D21D5D">
              <w:rPr>
                <w:rStyle w:val="Emphasis"/>
              </w:rPr>
              <w:t>Epinephelus malabaricus</w:t>
            </w:r>
          </w:p>
        </w:tc>
      </w:tr>
      <w:tr w:rsidR="00D21D5D" w14:paraId="12519200" w14:textId="77777777">
        <w:trPr>
          <w:cantSplit/>
          <w:trHeight w:val="315"/>
        </w:trPr>
        <w:tc>
          <w:tcPr>
            <w:tcW w:w="2500" w:type="pct"/>
            <w:noWrap/>
          </w:tcPr>
          <w:p w14:paraId="21AE7E15" w14:textId="37C5CC22" w:rsidR="00D21D5D" w:rsidRPr="00332D48" w:rsidRDefault="00D21D5D" w:rsidP="00D21D5D">
            <w:pPr>
              <w:pStyle w:val="TableText"/>
            </w:pPr>
            <w:r w:rsidRPr="00097C5B">
              <w:t>Spotted coral</w:t>
            </w:r>
            <w:r w:rsidR="00733703">
              <w:t xml:space="preserve"> </w:t>
            </w:r>
            <w:r w:rsidRPr="00097C5B">
              <w:t>grouper</w:t>
            </w:r>
          </w:p>
        </w:tc>
        <w:tc>
          <w:tcPr>
            <w:tcW w:w="2500" w:type="pct"/>
            <w:noWrap/>
          </w:tcPr>
          <w:p w14:paraId="3E27A77F" w14:textId="24557A60" w:rsidR="00D21D5D" w:rsidRPr="00D21D5D" w:rsidRDefault="00D21D5D" w:rsidP="00D21D5D">
            <w:pPr>
              <w:pStyle w:val="TableText"/>
              <w:rPr>
                <w:rStyle w:val="Emphasis"/>
              </w:rPr>
            </w:pPr>
            <w:r w:rsidRPr="00D21D5D">
              <w:rPr>
                <w:rStyle w:val="Emphasis"/>
              </w:rPr>
              <w:t>Plectropomus maculatus</w:t>
            </w:r>
          </w:p>
        </w:tc>
      </w:tr>
      <w:tr w:rsidR="00D21D5D" w14:paraId="2EEF4A12" w14:textId="77777777">
        <w:trPr>
          <w:cantSplit/>
          <w:trHeight w:val="315"/>
        </w:trPr>
        <w:tc>
          <w:tcPr>
            <w:tcW w:w="2500" w:type="pct"/>
            <w:noWrap/>
          </w:tcPr>
          <w:p w14:paraId="5E5ABBD3" w14:textId="7E448CB0" w:rsidR="00D21D5D" w:rsidRPr="00332D48" w:rsidRDefault="00D21D5D" w:rsidP="00D21D5D">
            <w:pPr>
              <w:pStyle w:val="TableText"/>
            </w:pPr>
            <w:r w:rsidRPr="00097C5B">
              <w:t>Tiger grouper hybrid</w:t>
            </w:r>
          </w:p>
        </w:tc>
        <w:tc>
          <w:tcPr>
            <w:tcW w:w="2500" w:type="pct"/>
            <w:noWrap/>
          </w:tcPr>
          <w:p w14:paraId="59E485D6" w14:textId="2DE33DF0" w:rsidR="00D21D5D" w:rsidRPr="00D21D5D" w:rsidRDefault="00D21D5D" w:rsidP="00D21D5D">
            <w:pPr>
              <w:pStyle w:val="TableText"/>
              <w:rPr>
                <w:rStyle w:val="Emphasis"/>
              </w:rPr>
            </w:pPr>
            <w:r w:rsidRPr="00D21D5D">
              <w:rPr>
                <w:rStyle w:val="Emphasis"/>
              </w:rPr>
              <w:t xml:space="preserve">Epinephelus fuscoguttatus </w:t>
            </w:r>
            <w:r w:rsidR="006B0884" w:rsidRPr="00273FEF">
              <w:t>×</w:t>
            </w:r>
            <w:r w:rsidRPr="00D21D5D">
              <w:rPr>
                <w:rStyle w:val="Emphasis"/>
              </w:rPr>
              <w:t xml:space="preserve"> </w:t>
            </w:r>
            <w:r w:rsidR="006B0884">
              <w:rPr>
                <w:rStyle w:val="Emphasis"/>
              </w:rPr>
              <w:t xml:space="preserve">E. </w:t>
            </w:r>
            <w:r w:rsidRPr="00D21D5D">
              <w:rPr>
                <w:rStyle w:val="Emphasis"/>
              </w:rPr>
              <w:t>lanceolatus</w:t>
            </w:r>
          </w:p>
        </w:tc>
      </w:tr>
      <w:tr w:rsidR="00D21D5D" w14:paraId="64A53702" w14:textId="77777777">
        <w:trPr>
          <w:cantSplit/>
          <w:trHeight w:val="315"/>
        </w:trPr>
        <w:tc>
          <w:tcPr>
            <w:tcW w:w="2500" w:type="pct"/>
            <w:noWrap/>
          </w:tcPr>
          <w:p w14:paraId="2CF95A86" w14:textId="244A5DFC" w:rsidR="00D21D5D" w:rsidRPr="00332D48" w:rsidRDefault="00D21D5D" w:rsidP="00D21D5D">
            <w:pPr>
              <w:pStyle w:val="TableText"/>
            </w:pPr>
            <w:r>
              <w:t>Yellow grouper</w:t>
            </w:r>
          </w:p>
        </w:tc>
        <w:tc>
          <w:tcPr>
            <w:tcW w:w="2500" w:type="pct"/>
            <w:noWrap/>
          </w:tcPr>
          <w:p w14:paraId="7512932E" w14:textId="38CE6792" w:rsidR="00D21D5D" w:rsidRPr="00D21D5D" w:rsidRDefault="00D21D5D" w:rsidP="00D21D5D">
            <w:pPr>
              <w:pStyle w:val="TableText"/>
              <w:rPr>
                <w:rStyle w:val="Emphasis"/>
              </w:rPr>
            </w:pPr>
            <w:r w:rsidRPr="00D21D5D">
              <w:rPr>
                <w:rStyle w:val="Emphasis"/>
              </w:rPr>
              <w:t>Epinephelus awoara</w:t>
            </w:r>
          </w:p>
        </w:tc>
      </w:tr>
    </w:tbl>
    <w:p w14:paraId="289B524D" w14:textId="446B2B0F" w:rsidR="006D2A58" w:rsidRDefault="006D2A58" w:rsidP="006D2A58">
      <w:pPr>
        <w:pStyle w:val="FigureTableNoteSource"/>
      </w:pPr>
      <w:r>
        <w:t>Note:</w:t>
      </w:r>
      <w:r w:rsidRPr="006D2A58">
        <w:t xml:space="preserve"> </w:t>
      </w:r>
      <w:r w:rsidR="00377D55">
        <w:t>All o</w:t>
      </w:r>
      <w:r w:rsidRPr="006D2A58">
        <w:t>ther species have been shown to be experimentally susceptible.</w:t>
      </w:r>
    </w:p>
    <w:p w14:paraId="07189146" w14:textId="77777777" w:rsidR="00ED0614" w:rsidRDefault="00E260DC">
      <w:pPr>
        <w:pStyle w:val="Heading2"/>
      </w:pPr>
      <w:r>
        <w:lastRenderedPageBreak/>
        <w:t>Presence in Australia</w:t>
      </w:r>
    </w:p>
    <w:p w14:paraId="47104196" w14:textId="41772554" w:rsidR="00ED0614" w:rsidRDefault="00FD7D78">
      <w:pPr>
        <w:keepNext/>
        <w:keepLines/>
      </w:pPr>
      <w:r w:rsidRPr="00FD7D78">
        <w:t>Exotic disease—not recorded in Australia.</w:t>
      </w:r>
    </w:p>
    <w:p w14:paraId="55B0F228" w14:textId="5C88370D" w:rsidR="00ED0614" w:rsidRDefault="00E260DC">
      <w:pPr>
        <w:pStyle w:val="Caption"/>
      </w:pPr>
      <w:r>
        <w:t xml:space="preserve">Map </w:t>
      </w:r>
      <w:r>
        <w:rPr>
          <w:noProof/>
        </w:rPr>
        <w:fldChar w:fldCharType="begin"/>
      </w:r>
      <w:r>
        <w:rPr>
          <w:noProof/>
        </w:rPr>
        <w:instrText xml:space="preserve"> SEQ Map \* ARABIC </w:instrText>
      </w:r>
      <w:r>
        <w:rPr>
          <w:noProof/>
        </w:rPr>
        <w:fldChar w:fldCharType="separate"/>
      </w:r>
      <w:r w:rsidR="002379CE">
        <w:rPr>
          <w:noProof/>
        </w:rPr>
        <w:t>1</w:t>
      </w:r>
      <w:r>
        <w:rPr>
          <w:noProof/>
        </w:rPr>
        <w:fldChar w:fldCharType="end"/>
      </w:r>
      <w:r>
        <w:t xml:space="preserve"> Presence of</w:t>
      </w:r>
      <w:r w:rsidR="007609B1">
        <w:t xml:space="preserve"> </w:t>
      </w:r>
      <w:r w:rsidR="00D21D5D" w:rsidRPr="00D21D5D">
        <w:t>grouper iridoviral disease</w:t>
      </w:r>
      <w:r>
        <w:t>, by jurisdiction</w:t>
      </w:r>
    </w:p>
    <w:p w14:paraId="0046BA22" w14:textId="77777777" w:rsidR="00ED0614" w:rsidRDefault="00E260DC">
      <w:r>
        <w:rPr>
          <w:noProof/>
          <w:lang w:eastAsia="en-AU"/>
        </w:rPr>
        <w:drawing>
          <wp:inline distT="0" distB="0" distL="0" distR="0" wp14:anchorId="1C3B5809" wp14:editId="53D46F3A">
            <wp:extent cx="4142056" cy="2949462"/>
            <wp:effectExtent l="0" t="0" r="0" b="381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sie and Vic AVG.png"/>
                    <pic:cNvPicPr/>
                  </pic:nvPicPr>
                  <pic:blipFill>
                    <a:blip r:embed="rId13" cstate="print">
                      <a:extLst>
                        <a:ext uri="{28A0092B-C50C-407E-A947-70E740481C1C}">
                          <a14:useLocalDpi xmlns:a14="http://schemas.microsoft.com/office/drawing/2010/main"/>
                        </a:ext>
                      </a:extLst>
                    </a:blip>
                    <a:stretch>
                      <a:fillRect/>
                    </a:stretch>
                  </pic:blipFill>
                  <pic:spPr>
                    <a:xfrm>
                      <a:off x="0" y="0"/>
                      <a:ext cx="4142056" cy="2949462"/>
                    </a:xfrm>
                    <a:prstGeom prst="rect">
                      <a:avLst/>
                    </a:prstGeom>
                  </pic:spPr>
                </pic:pic>
              </a:graphicData>
            </a:graphic>
          </wp:inline>
        </w:drawing>
      </w:r>
    </w:p>
    <w:p w14:paraId="345F5669" w14:textId="77777777" w:rsidR="00ED0614" w:rsidRDefault="00E260DC">
      <w:pPr>
        <w:pStyle w:val="Heading2"/>
        <w:keepLines/>
      </w:pPr>
      <w:r>
        <w:t>Epidemiology</w:t>
      </w:r>
    </w:p>
    <w:p w14:paraId="1C9F11A0" w14:textId="39B804A2" w:rsidR="00D21D5D" w:rsidRDefault="00D21D5D" w:rsidP="00D21D5D">
      <w:pPr>
        <w:pStyle w:val="ListBullet"/>
      </w:pPr>
      <w:r>
        <w:t>Grouper iridoviral disease causes losses in fry and juvenile grouper</w:t>
      </w:r>
      <w:r w:rsidR="003422AC">
        <w:t xml:space="preserve">, and </w:t>
      </w:r>
      <w:r>
        <w:t>in 1</w:t>
      </w:r>
      <w:r w:rsidR="003422AC">
        <w:t> to</w:t>
      </w:r>
      <w:r w:rsidR="005F5D64">
        <w:t> </w:t>
      </w:r>
      <w:r>
        <w:t>2-year-old market-sized grouper</w:t>
      </w:r>
      <w:r w:rsidR="00DD1904">
        <w:t xml:space="preserve"> (</w:t>
      </w:r>
      <w:r>
        <w:t>a highly priced product in tropical mariculture</w:t>
      </w:r>
      <w:r w:rsidR="00DD1904">
        <w:t>)</w:t>
      </w:r>
      <w:r>
        <w:t>.</w:t>
      </w:r>
    </w:p>
    <w:p w14:paraId="1D73F26E" w14:textId="639691FE" w:rsidR="00D21D5D" w:rsidRDefault="00D21D5D" w:rsidP="00D21D5D">
      <w:pPr>
        <w:pStyle w:val="ListBullet"/>
      </w:pPr>
      <w:r>
        <w:t>Clinical disease and highest mortalities are usually seen in 3</w:t>
      </w:r>
      <w:r w:rsidR="003422AC">
        <w:t xml:space="preserve"> to </w:t>
      </w:r>
      <w:r>
        <w:t>4-month-old fish after stocking into sea cages.</w:t>
      </w:r>
    </w:p>
    <w:p w14:paraId="04282E7F" w14:textId="77777777" w:rsidR="00D21D5D" w:rsidRDefault="00D21D5D" w:rsidP="00D21D5D">
      <w:pPr>
        <w:pStyle w:val="ListBullet"/>
      </w:pPr>
      <w:r>
        <w:t>Older diseased fish typically appear lethargic due to anaemia.</w:t>
      </w:r>
    </w:p>
    <w:p w14:paraId="45CF7725" w14:textId="148C6B06" w:rsidR="00ED0614" w:rsidRDefault="00D21D5D" w:rsidP="00D21D5D">
      <w:pPr>
        <w:pStyle w:val="ListBullet"/>
      </w:pPr>
      <w:r>
        <w:t>Horizontal contact and waterborne transmission appear to be the principal mechanisms for virus spread</w:t>
      </w:r>
      <w:r w:rsidR="006D2A58">
        <w:t>.</w:t>
      </w:r>
    </w:p>
    <w:p w14:paraId="431A90C5" w14:textId="77777777" w:rsidR="00ED0614" w:rsidRDefault="00E260DC">
      <w:pPr>
        <w:pStyle w:val="Heading2"/>
      </w:pPr>
      <w:r>
        <w:t>Differential diagnosis</w:t>
      </w:r>
    </w:p>
    <w:p w14:paraId="00D9EE0B" w14:textId="240AF61A" w:rsidR="00ED0614" w:rsidRDefault="00E260DC">
      <w:pPr>
        <w:keepLines/>
      </w:pPr>
      <w:r>
        <w:rPr>
          <w:lang w:eastAsia="en-AU"/>
        </w:rPr>
        <w:t xml:space="preserve">The list of </w:t>
      </w:r>
      <w:hyperlink w:anchor="_Similar_diseases" w:history="1">
        <w:r>
          <w:rPr>
            <w:rStyle w:val="Hyperlink"/>
            <w:lang w:eastAsia="en-AU"/>
          </w:rPr>
          <w:t>similar diseases</w:t>
        </w:r>
      </w:hyperlink>
      <w:r>
        <w:rPr>
          <w:lang w:eastAsia="en-AU"/>
        </w:rPr>
        <w:t xml:space="preserve"> in the next section refers only to the diseases covered by this field guide. </w:t>
      </w:r>
      <w:r w:rsidR="002D73AE" w:rsidRPr="002D73AE">
        <w:rPr>
          <w:lang w:eastAsia="en-AU"/>
        </w:rPr>
        <w:t>Gross pathological signs may also be representative of diseases not included in this guide. Do not rely on gross signs to provide a definitive diagnosis. Use them as a tool to help identify the listed diseases that most closely account for the observed signs</w:t>
      </w:r>
      <w:r>
        <w:rPr>
          <w:lang w:eastAsia="en-AU"/>
        </w:rPr>
        <w:t>.</w:t>
      </w:r>
    </w:p>
    <w:p w14:paraId="438DC32F" w14:textId="77777777" w:rsidR="00ED0614" w:rsidRDefault="00E260DC">
      <w:pPr>
        <w:pStyle w:val="Heading2"/>
      </w:pPr>
      <w:bookmarkStart w:id="0" w:name="_Similar_diseases"/>
      <w:bookmarkEnd w:id="0"/>
      <w:r>
        <w:t>Similar diseases</w:t>
      </w:r>
    </w:p>
    <w:p w14:paraId="3085BBD7" w14:textId="1C18A0EC" w:rsidR="00ED0614" w:rsidRDefault="00D21D5D">
      <w:r w:rsidRPr="00D21D5D">
        <w:t xml:space="preserve">Infection with </w:t>
      </w:r>
      <w:r w:rsidRPr="003422AC">
        <w:rPr>
          <w:rStyle w:val="Emphasis"/>
        </w:rPr>
        <w:t>Aphanomyces invadans</w:t>
      </w:r>
      <w:r w:rsidRPr="00D21D5D">
        <w:t xml:space="preserve"> (EUS), infection with infectious spleen and kidney necrosis virus (ISKNV)-like viruses, red sea bream iridoviral disease (RSIVD)</w:t>
      </w:r>
      <w:r w:rsidR="003422AC">
        <w:t xml:space="preserve"> and</w:t>
      </w:r>
      <w:r w:rsidRPr="00D21D5D">
        <w:t xml:space="preserve"> viral encephalopathy and retinopathy (VER)</w:t>
      </w:r>
      <w:r>
        <w:t>.</w:t>
      </w:r>
    </w:p>
    <w:p w14:paraId="1583FD47" w14:textId="77777777" w:rsidR="00ED0614" w:rsidRDefault="00E260DC">
      <w:pPr>
        <w:pStyle w:val="Heading2"/>
      </w:pPr>
      <w:r>
        <w:lastRenderedPageBreak/>
        <w:t>Sample collection</w:t>
      </w:r>
    </w:p>
    <w:p w14:paraId="023FB03E" w14:textId="73624794" w:rsidR="00ED0614" w:rsidRDefault="00742002" w:rsidP="005F5D64">
      <w:pPr>
        <w:keepLines/>
      </w:pPr>
      <w:r w:rsidRPr="00742002">
        <w:rPr>
          <w:lang w:eastAsia="en-AU"/>
        </w:rPr>
        <w:t>Only trained personnel should collect samples. Using only gross pathological signs to differentiate between diseases is not reliable, and some aquatic animal disease agents pose a risk to humans. If you are not appropriately trained, phone your state or territory hotline number and report your observations. If you have to collect samples, the agency taking your call will advise you on the appropriate course of action. Local or district fisheries or veterinary authorities may also advise on sampling.</w:t>
      </w:r>
    </w:p>
    <w:p w14:paraId="6058F664" w14:textId="77777777" w:rsidR="00ED0614" w:rsidRDefault="00E260DC">
      <w:pPr>
        <w:pStyle w:val="Heading2"/>
      </w:pPr>
      <w:r>
        <w:t>Emergency disease hotline</w:t>
      </w:r>
    </w:p>
    <w:p w14:paraId="4FF13930" w14:textId="77777777" w:rsidR="00ED0614" w:rsidRDefault="00E260DC">
      <w:r>
        <w:t>See something you think is this disease? Report it. Even if you’re not sure.</w:t>
      </w:r>
    </w:p>
    <w:p w14:paraId="742BD5A1" w14:textId="163183B5" w:rsidR="00ED0614" w:rsidRDefault="00E260DC">
      <w:r>
        <w:t xml:space="preserve">Call the Emergency Animal Disease Watch Hotline on </w:t>
      </w:r>
      <w:r w:rsidR="009C7839">
        <w:rPr>
          <w:rStyle w:val="Strong"/>
        </w:rPr>
        <w:t>1800 675 888</w:t>
      </w:r>
      <w:r>
        <w:t>. They will refer you to the right state or territory agency.</w:t>
      </w:r>
    </w:p>
    <w:p w14:paraId="50AF709B" w14:textId="77777777" w:rsidR="00ED0614" w:rsidRDefault="00E260DC">
      <w:pPr>
        <w:pStyle w:val="Heading2"/>
        <w:keepLines/>
        <w:rPr>
          <w:rFonts w:ascii="Cambria" w:eastAsiaTheme="minorHAnsi" w:hAnsi="Cambria"/>
          <w:b w:val="0"/>
          <w:bCs w:val="0"/>
          <w:color w:val="auto"/>
          <w:sz w:val="22"/>
          <w:szCs w:val="22"/>
          <w:lang w:eastAsia="en-US"/>
        </w:rPr>
      </w:pPr>
      <w:r>
        <w:t>Further reading</w:t>
      </w:r>
    </w:p>
    <w:p w14:paraId="5B241E77" w14:textId="39573AA2" w:rsidR="00672699" w:rsidRDefault="00672699" w:rsidP="00672699">
      <w:r>
        <w:t xml:space="preserve">Hazeri M, Hassan MD, Abba Y, Omar AR, Allaudin ZN, Soltani M, Hamdan RH, Mohamad NF 2017, </w:t>
      </w:r>
      <w:hyperlink r:id="rId14" w:history="1">
        <w:r w:rsidRPr="00672699">
          <w:rPr>
            <w:rStyle w:val="Hyperlink"/>
          </w:rPr>
          <w:t>Molecular characterisation of grouper iridovirus isolates from Peninsular Malaysia</w:t>
        </w:r>
      </w:hyperlink>
      <w:r>
        <w:t xml:space="preserve">, </w:t>
      </w:r>
      <w:r w:rsidRPr="00672699">
        <w:rPr>
          <w:rStyle w:val="Emphasis"/>
        </w:rPr>
        <w:t>Journal Veterinar Malaysia</w:t>
      </w:r>
    </w:p>
    <w:p w14:paraId="13B19479" w14:textId="6223AA67" w:rsidR="00672699" w:rsidRDefault="00672699" w:rsidP="00672699">
      <w:r>
        <w:t xml:space="preserve">Ma H, Peng C, Su Y, Feng J, Guo Z 2016, </w:t>
      </w:r>
      <w:r w:rsidR="00647D3A">
        <w:t>‘</w:t>
      </w:r>
      <w:r>
        <w:t>Isolation of a Ranavirus-type grouper iridovirus in mainland China and comparison of its pathogenicity with that of a Megalocytivirus-type grouper iridovirus</w:t>
      </w:r>
      <w:r w:rsidR="003422AC">
        <w:t>’</w:t>
      </w:r>
      <w:r>
        <w:t xml:space="preserve">, </w:t>
      </w:r>
      <w:r w:rsidRPr="00672699">
        <w:rPr>
          <w:rStyle w:val="Emphasis"/>
        </w:rPr>
        <w:t>Aquaculture</w:t>
      </w:r>
    </w:p>
    <w:p w14:paraId="1E99A63F" w14:textId="645550BD" w:rsidR="00672699" w:rsidRDefault="00672699" w:rsidP="00672699">
      <w:r>
        <w:t xml:space="preserve">Network of Aquaculture Centres in Asia–Pacific </w:t>
      </w:r>
      <w:hyperlink r:id="rId15" w:history="1">
        <w:r w:rsidR="00B01337">
          <w:rPr>
            <w:rStyle w:val="Hyperlink"/>
          </w:rPr>
          <w:t>Grouper iridoviral disease: d</w:t>
        </w:r>
        <w:r w:rsidRPr="00672699">
          <w:rPr>
            <w:rStyle w:val="Hyperlink"/>
          </w:rPr>
          <w:t>isease card</w:t>
        </w:r>
      </w:hyperlink>
    </w:p>
    <w:p w14:paraId="078B92E3" w14:textId="0D4D1154" w:rsidR="00672699" w:rsidRDefault="00672699" w:rsidP="00672699">
      <w:r>
        <w:t>These hyperlinks were correct at the time of publication.</w:t>
      </w:r>
    </w:p>
    <w:p w14:paraId="727D1659" w14:textId="77777777" w:rsidR="00ED0614" w:rsidRDefault="00E260DC">
      <w:pPr>
        <w:pStyle w:val="Heading2"/>
        <w:ind w:left="0" w:firstLine="0"/>
      </w:pPr>
      <w:r>
        <w:t>Contact details</w:t>
      </w:r>
    </w:p>
    <w:p w14:paraId="43CF42A0" w14:textId="77777777" w:rsidR="00ED0614" w:rsidRDefault="00E260DC">
      <w:pPr>
        <w:spacing w:after="0"/>
      </w:pPr>
      <w:r>
        <w:t>Emergency Animal Disease Watch Hotline 1800 675 888</w:t>
      </w:r>
    </w:p>
    <w:p w14:paraId="013BDC5B" w14:textId="77777777" w:rsidR="00ED0614" w:rsidRDefault="00E260DC">
      <w:r>
        <w:t xml:space="preserve">Email </w:t>
      </w:r>
      <w:hyperlink r:id="rId16" w:history="1">
        <w:r>
          <w:rPr>
            <w:rStyle w:val="Hyperlink"/>
          </w:rPr>
          <w:t>AAH@agriculture.gov.au</w:t>
        </w:r>
      </w:hyperlink>
      <w:r>
        <w:cr/>
        <w:t xml:space="preserve">Website </w:t>
      </w:r>
      <w:hyperlink r:id="rId17" w:history="1">
        <w:r>
          <w:rPr>
            <w:rStyle w:val="Hyperlink"/>
          </w:rPr>
          <w:t>agriculture.gov.au/pests-diseases-weeds/aquatic</w:t>
        </w:r>
      </w:hyperlink>
    </w:p>
    <w:p w14:paraId="70813592" w14:textId="617AD359" w:rsidR="00ED0614" w:rsidRDefault="00E260DC">
      <w:pPr>
        <w:pStyle w:val="Normalsmall"/>
      </w:pPr>
      <w:r>
        <w:t>© Commonwealth of Australia 20</w:t>
      </w:r>
      <w:r w:rsidR="002379CE">
        <w:t>20</w:t>
      </w:r>
      <w:bookmarkStart w:id="1" w:name="_GoBack"/>
      <w:bookmarkEnd w:id="1"/>
    </w:p>
    <w:p w14:paraId="783F07B8" w14:textId="58E064DA" w:rsidR="00ED0614" w:rsidRDefault="00E260DC">
      <w:pPr>
        <w:pStyle w:val="Normalsmall"/>
      </w:pPr>
      <w:r>
        <w:t>This work is copyright. It may be reproduced in whole or in part subject to the inclusion of an acknowledgement of the source and no commercial usage or sale.</w:t>
      </w:r>
    </w:p>
    <w:sectPr w:rsidR="00ED0614">
      <w:headerReference w:type="default" r:id="rId18"/>
      <w:footerReference w:type="default" r:id="rId19"/>
      <w:headerReference w:type="first" r:id="rId20"/>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C78D9" w14:textId="77777777" w:rsidR="00ED0614" w:rsidRDefault="00E260DC">
      <w:r>
        <w:separator/>
      </w:r>
    </w:p>
    <w:p w14:paraId="0AA4D9C1" w14:textId="77777777" w:rsidR="00ED0614" w:rsidRDefault="00ED0614"/>
    <w:p w14:paraId="71426813" w14:textId="77777777" w:rsidR="00ED0614" w:rsidRDefault="00ED0614"/>
  </w:endnote>
  <w:endnote w:type="continuationSeparator" w:id="0">
    <w:p w14:paraId="52CF7EC4" w14:textId="77777777" w:rsidR="00ED0614" w:rsidRDefault="00E260DC">
      <w:r>
        <w:continuationSeparator/>
      </w:r>
    </w:p>
    <w:p w14:paraId="7D3F088E" w14:textId="77777777" w:rsidR="00ED0614" w:rsidRDefault="00ED0614"/>
    <w:p w14:paraId="76382A3E" w14:textId="77777777" w:rsidR="00ED0614" w:rsidRDefault="00ED0614"/>
  </w:endnote>
  <w:endnote w:type="continuationNotice" w:id="1">
    <w:p w14:paraId="5C987883" w14:textId="77777777" w:rsidR="00ED0614" w:rsidRDefault="00ED0614">
      <w:pPr>
        <w:pStyle w:val="Footer"/>
      </w:pPr>
    </w:p>
    <w:p w14:paraId="6054154D" w14:textId="77777777" w:rsidR="00ED0614" w:rsidRDefault="00ED0614"/>
    <w:p w14:paraId="14C21167" w14:textId="77777777" w:rsidR="00ED0614" w:rsidRDefault="00ED0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A225E" w14:textId="4941AA79" w:rsidR="00ED0614" w:rsidRDefault="002379CE">
    <w:pPr>
      <w:pStyle w:val="Footer"/>
    </w:pPr>
    <w:r>
      <w:t>Department of Agriculture, Water and the Environment</w:t>
    </w:r>
  </w:p>
  <w:p w14:paraId="17457BBE" w14:textId="77777777" w:rsidR="00ED0614" w:rsidRDefault="00E260DC">
    <w:pPr>
      <w:pStyle w:val="Footer"/>
    </w:pPr>
    <w:r>
      <w:fldChar w:fldCharType="begin"/>
    </w:r>
    <w:r>
      <w:instrText xml:space="preserve"> PAGE   \* MERGEFORMAT </w:instrText>
    </w:r>
    <w:r>
      <w:fldChar w:fldCharType="separate"/>
    </w:r>
    <w:r w:rsidR="00FB7AE2">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F4587" w14:textId="77777777" w:rsidR="00ED0614" w:rsidRDefault="00E260DC">
      <w:r>
        <w:separator/>
      </w:r>
    </w:p>
    <w:p w14:paraId="653B3757" w14:textId="77777777" w:rsidR="00ED0614" w:rsidRDefault="00ED0614"/>
    <w:p w14:paraId="2BC6E2A4" w14:textId="77777777" w:rsidR="00ED0614" w:rsidRDefault="00ED0614"/>
  </w:footnote>
  <w:footnote w:type="continuationSeparator" w:id="0">
    <w:p w14:paraId="57A88842" w14:textId="77777777" w:rsidR="00ED0614" w:rsidRDefault="00E260DC">
      <w:r>
        <w:continuationSeparator/>
      </w:r>
    </w:p>
    <w:p w14:paraId="77802F2E" w14:textId="77777777" w:rsidR="00ED0614" w:rsidRDefault="00ED0614"/>
    <w:p w14:paraId="0B9EE46F" w14:textId="77777777" w:rsidR="00ED0614" w:rsidRDefault="00ED0614"/>
  </w:footnote>
  <w:footnote w:type="continuationNotice" w:id="1">
    <w:p w14:paraId="5CC249E6" w14:textId="77777777" w:rsidR="00ED0614" w:rsidRDefault="00ED0614">
      <w:pPr>
        <w:pStyle w:val="Footer"/>
      </w:pPr>
    </w:p>
    <w:p w14:paraId="2499D858" w14:textId="77777777" w:rsidR="00ED0614" w:rsidRDefault="00ED0614"/>
    <w:p w14:paraId="3D0D6F00" w14:textId="77777777" w:rsidR="00ED0614" w:rsidRDefault="00ED06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D61D1" w14:textId="1BF1B302" w:rsidR="00ED0614" w:rsidRDefault="00D21D5D">
    <w:pPr>
      <w:pStyle w:val="Header"/>
    </w:pPr>
    <w:r w:rsidRPr="00D21D5D">
      <w:t>Grouper iridoviral disease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F4C9" w14:textId="77777777" w:rsidR="00ED0614" w:rsidRDefault="00E260DC">
    <w:pPr>
      <w:pStyle w:val="Header"/>
      <w:jc w:val="left"/>
    </w:pPr>
    <w:r>
      <w:rPr>
        <w:noProof/>
        <w:lang w:eastAsia="en-AU"/>
      </w:rPr>
      <w:drawing>
        <wp:anchor distT="0" distB="0" distL="114300" distR="114300" simplePos="0" relativeHeight="251658240" behindDoc="1" locked="0" layoutInCell="1" allowOverlap="1" wp14:anchorId="21AE8159" wp14:editId="7DF480F6">
          <wp:simplePos x="0" y="0"/>
          <wp:positionH relativeFrom="column">
            <wp:posOffset>-900429</wp:posOffset>
          </wp:positionH>
          <wp:positionV relativeFrom="paragraph">
            <wp:posOffset>-360045</wp:posOffset>
          </wp:positionV>
          <wp:extent cx="7584375" cy="16249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4375" cy="16249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0C28A1A8"/>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A727430"/>
    <w:multiLevelType w:val="hybridMultilevel"/>
    <w:tmpl w:val="495E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D54AFF"/>
    <w:multiLevelType w:val="hybridMultilevel"/>
    <w:tmpl w:val="B6820B98"/>
    <w:lvl w:ilvl="0" w:tplc="8B58330A">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0F77062D"/>
    <w:multiLevelType w:val="hybridMultilevel"/>
    <w:tmpl w:val="44B4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A0241B28"/>
    <w:numStyleLink w:val="List1"/>
  </w:abstractNum>
  <w:abstractNum w:abstractNumId="19" w15:restartNumberingAfterBreak="0">
    <w:nsid w:val="486800B4"/>
    <w:multiLevelType w:val="multilevel"/>
    <w:tmpl w:val="A0241B28"/>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num w:numId="1">
    <w:abstractNumId w:val="6"/>
  </w:num>
  <w:num w:numId="2">
    <w:abstractNumId w:val="19"/>
  </w:num>
  <w:num w:numId="3">
    <w:abstractNumId w:val="20"/>
  </w:num>
  <w:num w:numId="4">
    <w:abstractNumId w:val="12"/>
  </w:num>
  <w:num w:numId="5">
    <w:abstractNumId w:val="25"/>
  </w:num>
  <w:num w:numId="6">
    <w:abstractNumId w:val="26"/>
  </w:num>
  <w:num w:numId="7">
    <w:abstractNumId w:val="8"/>
  </w:num>
  <w:num w:numId="8">
    <w:abstractNumId w:val="15"/>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6"/>
  </w:num>
  <w:num w:numId="22">
    <w:abstractNumId w:val="21"/>
  </w:num>
  <w:num w:numId="23">
    <w:abstractNumId w:val="28"/>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2"/>
  </w:num>
  <w:num w:numId="29">
    <w:abstractNumId w:val="24"/>
  </w:num>
  <w:num w:numId="30">
    <w:abstractNumId w:val="11"/>
  </w:num>
  <w:num w:numId="31">
    <w:abstractNumId w:val="7"/>
  </w:num>
  <w:num w:numId="32">
    <w:abstractNumId w:val="9"/>
  </w:num>
  <w:num w:numId="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14"/>
    <w:rsid w:val="00025DF0"/>
    <w:rsid w:val="000C051E"/>
    <w:rsid w:val="00171D49"/>
    <w:rsid w:val="001C090F"/>
    <w:rsid w:val="002379CE"/>
    <w:rsid w:val="00274A52"/>
    <w:rsid w:val="00281304"/>
    <w:rsid w:val="002D73AE"/>
    <w:rsid w:val="003422AC"/>
    <w:rsid w:val="00377D55"/>
    <w:rsid w:val="003F4E8E"/>
    <w:rsid w:val="004034D2"/>
    <w:rsid w:val="00443189"/>
    <w:rsid w:val="004D0404"/>
    <w:rsid w:val="004E4DAC"/>
    <w:rsid w:val="004E7009"/>
    <w:rsid w:val="00530CC1"/>
    <w:rsid w:val="005A359A"/>
    <w:rsid w:val="005A41A2"/>
    <w:rsid w:val="005F5D64"/>
    <w:rsid w:val="00622AD8"/>
    <w:rsid w:val="00624559"/>
    <w:rsid w:val="00647D3A"/>
    <w:rsid w:val="0065482B"/>
    <w:rsid w:val="00672699"/>
    <w:rsid w:val="006B0884"/>
    <w:rsid w:val="006D2A58"/>
    <w:rsid w:val="006E2E28"/>
    <w:rsid w:val="00733703"/>
    <w:rsid w:val="00742002"/>
    <w:rsid w:val="0074417C"/>
    <w:rsid w:val="0075553A"/>
    <w:rsid w:val="007609B1"/>
    <w:rsid w:val="007A4E90"/>
    <w:rsid w:val="00844BA3"/>
    <w:rsid w:val="0087341B"/>
    <w:rsid w:val="008B4009"/>
    <w:rsid w:val="008F518C"/>
    <w:rsid w:val="009C7070"/>
    <w:rsid w:val="009C7839"/>
    <w:rsid w:val="00A10178"/>
    <w:rsid w:val="00A14B8E"/>
    <w:rsid w:val="00A94C32"/>
    <w:rsid w:val="00B01337"/>
    <w:rsid w:val="00B81B37"/>
    <w:rsid w:val="00B82CEC"/>
    <w:rsid w:val="00B867B9"/>
    <w:rsid w:val="00BD3F55"/>
    <w:rsid w:val="00C139DF"/>
    <w:rsid w:val="00C34D9A"/>
    <w:rsid w:val="00C36630"/>
    <w:rsid w:val="00D12B64"/>
    <w:rsid w:val="00D21D5D"/>
    <w:rsid w:val="00D31114"/>
    <w:rsid w:val="00D35525"/>
    <w:rsid w:val="00D60366"/>
    <w:rsid w:val="00D93052"/>
    <w:rsid w:val="00DB4C20"/>
    <w:rsid w:val="00DC481E"/>
    <w:rsid w:val="00DD1904"/>
    <w:rsid w:val="00E1016C"/>
    <w:rsid w:val="00E260DC"/>
    <w:rsid w:val="00E63C0D"/>
    <w:rsid w:val="00ED0614"/>
    <w:rsid w:val="00F03FC2"/>
    <w:rsid w:val="00F46BD4"/>
    <w:rsid w:val="00FB7AE2"/>
    <w:rsid w:val="00FD7D78"/>
    <w:rsid w:val="00FE64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DA6F63D"/>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60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pPr>
      <w:keepNext/>
      <w:spacing w:before="120" w:line="240" w:lineRule="auto"/>
      <w:ind w:left="720" w:hanging="720"/>
      <w:outlineLvl w:val="1"/>
    </w:pPr>
    <w:rPr>
      <w:rFonts w:ascii="Calibri" w:eastAsiaTheme="minorEastAsia" w:hAnsi="Calibri"/>
      <w:b/>
      <w:bCs/>
      <w:color w:val="EF3829"/>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EF3829"/>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2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2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Calibri" w:eastAsia="Times New Roman" w:hAnsi="Calibri" w:cs="Arial"/>
      <w:color w:val="000000"/>
      <w:sz w:val="19"/>
      <w:szCs w:val="22"/>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2814970">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griculture.gov.au/pests-diseases-weeds/aquatic" TargetMode="External"/><Relationship Id="rId2" Type="http://schemas.openxmlformats.org/officeDocument/2006/relationships/customXml" Target="../customXml/item2.xml"/><Relationship Id="rId16" Type="http://schemas.openxmlformats.org/officeDocument/2006/relationships/hyperlink" Target="mailto:AAH@agricul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naca.org/?id=705&amp;title=grouper-iridoviral-disease-car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yjurnal.my/public/article-view.php?id=11840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D1BB12A8-CB17-4DFB-AD15-81EE8D5E1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27</TotalTime>
  <Pages>4</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Grouper iridoviral disease</vt:lpstr>
    </vt:vector>
  </TitlesOfParts>
  <Company>Department of Agriculture Fisheries &amp; Forestry</Company>
  <LinksUpToDate>false</LinksUpToDate>
  <CharactersWithSpaces>5469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Grouper iridoviral disease</dc:title>
  <dc:creator>Department of Agriculture</dc:creator>
  <cp:lastModifiedBy>Caldwell, Louise</cp:lastModifiedBy>
  <cp:revision>16</cp:revision>
  <cp:lastPrinted>2020-03-11T06:03:00Z</cp:lastPrinted>
  <dcterms:created xsi:type="dcterms:W3CDTF">2019-09-06T04:34:00Z</dcterms:created>
  <dcterms:modified xsi:type="dcterms:W3CDTF">2020-03-11T06:03:00Z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