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82" w:rsidRPr="00986CEE" w:rsidRDefault="00A54B82" w:rsidP="00372810">
      <w:pPr>
        <w:pStyle w:val="Text"/>
        <w:rPr>
          <w:rFonts w:cs="Arial"/>
        </w:rPr>
      </w:pPr>
      <w:r w:rsidRPr="00986CEE">
        <w:rPr>
          <w:rFonts w:cs="Arial"/>
          <w:noProof/>
          <w:lang w:eastAsia="en-AU"/>
        </w:rPr>
        <w:drawing>
          <wp:inline distT="0" distB="0" distL="0" distR="0">
            <wp:extent cx="3118104" cy="539496"/>
            <wp:effectExtent l="19050" t="0" r="6096" b="0"/>
            <wp:docPr id="1" name="Picture 1" descr="The Australian Government Department of the Environment and Energy"/>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7" cstate="print"/>
                    <a:stretch>
                      <a:fillRect/>
                    </a:stretch>
                  </pic:blipFill>
                  <pic:spPr>
                    <a:xfrm>
                      <a:off x="0" y="0"/>
                      <a:ext cx="3118104" cy="539496"/>
                    </a:xfrm>
                    <a:prstGeom prst="rect">
                      <a:avLst/>
                    </a:prstGeom>
                  </pic:spPr>
                </pic:pic>
              </a:graphicData>
            </a:graphic>
          </wp:inline>
        </w:drawing>
      </w:r>
    </w:p>
    <w:p w:rsidR="00446F5D" w:rsidRPr="00956E7A" w:rsidRDefault="00446F5D" w:rsidP="00446F5D">
      <w:pPr>
        <w:pStyle w:val="Covertitle0"/>
        <w:rPr>
          <w:rFonts w:ascii="Arial" w:eastAsia="Calibri" w:hAnsi="Arial" w:cs="Arial"/>
          <w:color w:val="auto"/>
        </w:rPr>
      </w:pPr>
      <w:r w:rsidRPr="00956E7A">
        <w:rPr>
          <w:rFonts w:ascii="Arial" w:eastAsia="Calibri" w:hAnsi="Arial" w:cs="Arial"/>
          <w:color w:val="auto"/>
          <w:sz w:val="50"/>
          <w:szCs w:val="50"/>
        </w:rPr>
        <w:t xml:space="preserve">On-Ground Investment Location </w:t>
      </w:r>
      <w:r w:rsidRPr="00956E7A">
        <w:rPr>
          <w:rFonts w:ascii="Arial" w:eastAsia="Calibri" w:hAnsi="Arial" w:cs="Arial"/>
          <w:color w:val="auto"/>
          <w:sz w:val="50"/>
          <w:szCs w:val="50"/>
        </w:rPr>
        <w:br/>
        <w:t>Data Capture, M</w:t>
      </w:r>
      <w:bookmarkStart w:id="0" w:name="_GoBack"/>
      <w:bookmarkEnd w:id="0"/>
      <w:r w:rsidRPr="00956E7A">
        <w:rPr>
          <w:rFonts w:ascii="Arial" w:eastAsia="Calibri" w:hAnsi="Arial" w:cs="Arial"/>
          <w:color w:val="auto"/>
          <w:sz w:val="50"/>
          <w:szCs w:val="50"/>
        </w:rPr>
        <w:t xml:space="preserve">anagement and </w:t>
      </w:r>
      <w:r w:rsidRPr="00956E7A">
        <w:rPr>
          <w:rFonts w:ascii="Arial" w:eastAsia="Calibri" w:hAnsi="Arial" w:cs="Arial"/>
          <w:color w:val="auto"/>
          <w:sz w:val="50"/>
          <w:szCs w:val="50"/>
        </w:rPr>
        <w:br/>
        <w:t>Sharing Standards V1.0</w:t>
      </w:r>
    </w:p>
    <w:p w:rsidR="00446F5D" w:rsidRPr="00AC0BAF" w:rsidRDefault="00446F5D" w:rsidP="00446F5D">
      <w:pPr>
        <w:suppressAutoHyphens/>
        <w:autoSpaceDE w:val="0"/>
        <w:autoSpaceDN w:val="0"/>
        <w:adjustRightInd w:val="0"/>
        <w:spacing w:before="283" w:after="0" w:line="288" w:lineRule="auto"/>
        <w:textAlignment w:val="center"/>
        <w:rPr>
          <w:rFonts w:cs="Arial"/>
          <w:sz w:val="28"/>
          <w:szCs w:val="28"/>
          <w:lang w:val="en-GB" w:eastAsia="en-AU"/>
        </w:rPr>
      </w:pPr>
      <w:r w:rsidRPr="00446F5D">
        <w:rPr>
          <w:rFonts w:cs="Arial"/>
          <w:sz w:val="28"/>
          <w:szCs w:val="28"/>
          <w:lang w:val="en-GB" w:eastAsia="en-AU"/>
        </w:rPr>
        <w:t>Prepared by Environmental Resources Information Network (ERIN)</w:t>
      </w:r>
    </w:p>
    <w:p w:rsidR="008A685B" w:rsidRPr="00AC0BAF" w:rsidRDefault="00446F5D" w:rsidP="00446F5D">
      <w:pPr>
        <w:suppressAutoHyphens/>
        <w:autoSpaceDE w:val="0"/>
        <w:autoSpaceDN w:val="0"/>
        <w:adjustRightInd w:val="0"/>
        <w:spacing w:before="340" w:after="0" w:line="288" w:lineRule="auto"/>
        <w:textAlignment w:val="center"/>
        <w:rPr>
          <w:rFonts w:cs="Arial"/>
          <w:sz w:val="28"/>
          <w:szCs w:val="28"/>
          <w:lang w:val="en-GB" w:eastAsia="en-AU"/>
        </w:rPr>
      </w:pPr>
      <w:r w:rsidRPr="00446F5D">
        <w:rPr>
          <w:rFonts w:cs="Arial"/>
          <w:sz w:val="28"/>
          <w:szCs w:val="28"/>
          <w:lang w:val="en-GB" w:eastAsia="en-AU"/>
        </w:rPr>
        <w:t>July 2018</w:t>
      </w:r>
    </w:p>
    <w:p w:rsidR="00CC40B7" w:rsidRPr="00213D66" w:rsidRDefault="00CC40B7" w:rsidP="00213D66">
      <w:pPr>
        <w:pStyle w:val="Heading2"/>
      </w:pPr>
      <w:r w:rsidRPr="00213D66">
        <w:t>Purpose</w:t>
      </w:r>
    </w:p>
    <w:p w:rsidR="00AC0BAF" w:rsidRPr="007D3779" w:rsidRDefault="00AC0BAF" w:rsidP="00AC0BAF">
      <w:pPr>
        <w:pStyle w:val="Text"/>
        <w:rPr>
          <w:rFonts w:cs="Arial"/>
        </w:rPr>
      </w:pPr>
      <w:r w:rsidRPr="007D3779">
        <w:rPr>
          <w:rFonts w:cs="Arial"/>
        </w:rPr>
        <w:t xml:space="preserve">Location data for on-ground investment areas are critical to planning, monitoring and reporting on departmental </w:t>
      </w:r>
      <w:r w:rsidRPr="007D3779">
        <w:rPr>
          <w:rFonts w:cs="Arial"/>
          <w:spacing w:val="1"/>
        </w:rPr>
        <w:t xml:space="preserve">programs. Once captured and compiled, sharing such data can provide broader benefits, as recognised in the </w:t>
      </w:r>
      <w:r w:rsidRPr="007D3779">
        <w:rPr>
          <w:rFonts w:cs="Arial"/>
        </w:rPr>
        <w:t xml:space="preserve">Australian Government’s </w:t>
      </w:r>
      <w:hyperlink r:id="rId8" w:history="1">
        <w:r w:rsidRPr="00213D66">
          <w:rPr>
            <w:rStyle w:val="Hyperlink"/>
          </w:rPr>
          <w:t>Public Data Policy</w:t>
        </w:r>
      </w:hyperlink>
      <w:r w:rsidRPr="007D3779">
        <w:rPr>
          <w:rFonts w:cs="Arial"/>
        </w:rPr>
        <w:t xml:space="preserve"> and </w:t>
      </w:r>
      <w:hyperlink r:id="rId9" w:history="1">
        <w:r w:rsidRPr="00213D66">
          <w:rPr>
            <w:rStyle w:val="Hyperlink"/>
          </w:rPr>
          <w:t>Data Integration Partnership for Australia</w:t>
        </w:r>
      </w:hyperlink>
      <w:r w:rsidRPr="007D3779">
        <w:rPr>
          <w:rFonts w:cs="Arial"/>
        </w:rPr>
        <w:t xml:space="preserve"> initiative.</w:t>
      </w:r>
    </w:p>
    <w:p w:rsidR="00AC0BAF" w:rsidRPr="007D3779" w:rsidRDefault="00AC0BAF" w:rsidP="00AC0BAF">
      <w:pPr>
        <w:pStyle w:val="Text"/>
        <w:ind w:right="397"/>
        <w:rPr>
          <w:rFonts w:cs="Arial"/>
        </w:rPr>
      </w:pPr>
      <w:r w:rsidRPr="007D3779">
        <w:rPr>
          <w:rFonts w:cs="Arial"/>
          <w:spacing w:val="1"/>
        </w:rPr>
        <w:t>Capturing location data for investments is increasingly simple and achievable with online mapping tools (e.g. Google Maps, ArcGIS Online and applications built on these platforms). The Department of the Environment and Energy (the Department) routinely deploys online mapping tools for use in project application and reporting processes. However, evidence from past pr</w:t>
      </w:r>
      <w:r w:rsidR="009C1FC3" w:rsidRPr="007D3779">
        <w:rPr>
          <w:rFonts w:cs="Arial"/>
          <w:spacing w:val="1"/>
        </w:rPr>
        <w:t xml:space="preserve">ograms shows a need to improve </w:t>
      </w:r>
      <w:r w:rsidRPr="007D3779">
        <w:rPr>
          <w:rFonts w:cs="Arial"/>
          <w:spacing w:val="1"/>
        </w:rPr>
        <w:t>the quality and consistency of the collection, maintenance and sharing of investment location data.</w:t>
      </w:r>
    </w:p>
    <w:p w:rsidR="00AC0BAF" w:rsidRPr="007D3779" w:rsidRDefault="00AC0BAF" w:rsidP="00AC0BAF">
      <w:pPr>
        <w:pStyle w:val="Text"/>
        <w:rPr>
          <w:rFonts w:cs="Arial"/>
        </w:rPr>
      </w:pPr>
      <w:r w:rsidRPr="007D3779">
        <w:rPr>
          <w:rFonts w:cs="Arial"/>
        </w:rPr>
        <w:t>The Department’s Chief Data Officer has released these standards to help meet that need. While they apply primarily to departmental staff, their wider promotion and adoption is also encouraged. This will help improve reporting and decision making for investments in protecting environmental and heritage values, while ensuring relevant sensitivities are managed appropriately.</w:t>
      </w:r>
    </w:p>
    <w:p w:rsidR="00AC0BAF" w:rsidRPr="007D3779" w:rsidRDefault="00AC0BAF" w:rsidP="00AC0BAF">
      <w:pPr>
        <w:pStyle w:val="Text"/>
        <w:rPr>
          <w:rFonts w:cs="Arial"/>
          <w:spacing w:val="-2"/>
          <w:u w:val="thick"/>
        </w:rPr>
      </w:pPr>
      <w:r w:rsidRPr="007D3779">
        <w:rPr>
          <w:rFonts w:cs="Arial"/>
          <w:spacing w:val="-2"/>
        </w:rPr>
        <w:t xml:space="preserve">These standards may be reviewed and updated as necessary. They complement other data standards released by the Chief Data Officer, including the </w:t>
      </w:r>
      <w:hyperlink r:id="rId10" w:history="1">
        <w:r w:rsidRPr="00213D66">
          <w:rPr>
            <w:rStyle w:val="Hyperlink"/>
          </w:rPr>
          <w:t>Sensitive Ecological Data Access and Management Policy</w:t>
        </w:r>
      </w:hyperlink>
      <w:r w:rsidRPr="007D3779">
        <w:rPr>
          <w:rFonts w:cs="Arial"/>
          <w:spacing w:val="-2"/>
        </w:rPr>
        <w:t xml:space="preserve"> and the </w:t>
      </w:r>
      <w:r w:rsidRPr="007D3779">
        <w:rPr>
          <w:rFonts w:cs="Arial"/>
          <w:spacing w:val="-2"/>
          <w:u w:val="thick"/>
        </w:rPr>
        <w:fldChar w:fldCharType="begin"/>
      </w:r>
      <w:r w:rsidRPr="007D3779">
        <w:rPr>
          <w:rFonts w:cs="Arial"/>
          <w:spacing w:val="-2"/>
          <w:u w:val="thick"/>
        </w:rPr>
        <w:instrText>HYPERLINK  "http://www.environment.gov.au/about-us/environmental-information-data/information-policy/guidelines-for-biological-survey-mapped-data"</w:instrText>
      </w:r>
      <w:r w:rsidRPr="007D3779">
        <w:rPr>
          <w:rFonts w:cs="Arial"/>
          <w:spacing w:val="-2"/>
          <w:u w:val="thick"/>
        </w:rPr>
        <w:fldChar w:fldCharType="separate"/>
      </w:r>
      <w:r w:rsidRPr="00213D66">
        <w:rPr>
          <w:rStyle w:val="Hyperlink"/>
        </w:rPr>
        <w:t>Guidelines for Biological Survey and Mapped Data</w:t>
      </w:r>
    </w:p>
    <w:p w:rsidR="00CC40B7" w:rsidRPr="00213D66" w:rsidRDefault="00AC0BAF" w:rsidP="00213D66">
      <w:pPr>
        <w:pStyle w:val="Heading2"/>
      </w:pPr>
      <w:r w:rsidRPr="007D3779">
        <w:rPr>
          <w:spacing w:val="-2"/>
          <w:sz w:val="20"/>
          <w:szCs w:val="20"/>
          <w:u w:val="thick"/>
        </w:rPr>
        <w:fldChar w:fldCharType="end"/>
      </w:r>
      <w:r w:rsidR="00CC40B7" w:rsidRPr="00213D66">
        <w:t>The Standards</w:t>
      </w:r>
    </w:p>
    <w:p w:rsidR="00CC40B7" w:rsidRPr="007D3779" w:rsidRDefault="00CC40B7" w:rsidP="00213D66">
      <w:pPr>
        <w:pStyle w:val="Bullets2"/>
        <w:numPr>
          <w:ilvl w:val="0"/>
          <w:numId w:val="12"/>
        </w:numPr>
        <w:rPr>
          <w:lang w:val="en-US" w:eastAsia="en-AU"/>
        </w:rPr>
      </w:pPr>
      <w:r w:rsidRPr="007D3779">
        <w:rPr>
          <w:lang w:val="en-US" w:eastAsia="en-AU"/>
        </w:rPr>
        <w:t>Capturing of on-ground investment locations (for environment, heritage and natural resource management projects).</w:t>
      </w:r>
    </w:p>
    <w:p w:rsidR="00CC40B7" w:rsidRPr="007D3779" w:rsidRDefault="00CC40B7" w:rsidP="00CC40B7">
      <w:pPr>
        <w:suppressAutoHyphens/>
        <w:autoSpaceDE w:val="0"/>
        <w:autoSpaceDN w:val="0"/>
        <w:adjustRightInd w:val="0"/>
        <w:spacing w:before="113" w:after="0" w:line="280" w:lineRule="atLeast"/>
        <w:textAlignment w:val="center"/>
        <w:rPr>
          <w:rFonts w:cs="Arial"/>
          <w:szCs w:val="20"/>
          <w:lang w:val="en-US" w:eastAsia="en-AU"/>
        </w:rPr>
      </w:pPr>
      <w:r w:rsidRPr="007D3779">
        <w:rPr>
          <w:rFonts w:cs="Arial"/>
          <w:szCs w:val="20"/>
          <w:lang w:val="en-US" w:eastAsia="en-AU"/>
        </w:rPr>
        <w:t>Any Request for Tender (RFT) or call for grant applications should:</w:t>
      </w:r>
    </w:p>
    <w:p w:rsidR="00CC40B7" w:rsidRPr="00213D66" w:rsidRDefault="00CC40B7" w:rsidP="00213D66">
      <w:pPr>
        <w:pStyle w:val="Bullets2"/>
      </w:pPr>
      <w:r w:rsidRPr="00213D66">
        <w:t xml:space="preserve">Require tenderers or applicants to generate, and make accessible to the Department, fine-scale polygons for all proposed on-ground activity areas, as detailed in Appendix 1. </w:t>
      </w:r>
    </w:p>
    <w:p w:rsidR="00CC40B7" w:rsidRPr="007D3779" w:rsidRDefault="00CC40B7" w:rsidP="00213D66">
      <w:pPr>
        <w:pStyle w:val="Bullets2"/>
        <w:rPr>
          <w:lang w:val="en-US" w:eastAsia="en-AU"/>
        </w:rPr>
      </w:pPr>
      <w:r w:rsidRPr="00213D66">
        <w:t>Inform all tenderers and applicants of contract requirements 1c and 1d below</w:t>
      </w:r>
      <w:r w:rsidRPr="007D3779">
        <w:rPr>
          <w:lang w:val="en-US" w:eastAsia="en-AU"/>
        </w:rPr>
        <w:t>.</w:t>
      </w:r>
    </w:p>
    <w:p w:rsidR="00CC40B7" w:rsidRPr="007D3779" w:rsidRDefault="00CC40B7" w:rsidP="00CC40B7">
      <w:pPr>
        <w:suppressAutoHyphens/>
        <w:autoSpaceDE w:val="0"/>
        <w:autoSpaceDN w:val="0"/>
        <w:adjustRightInd w:val="0"/>
        <w:spacing w:before="113" w:after="0" w:line="280" w:lineRule="atLeast"/>
        <w:textAlignment w:val="center"/>
        <w:rPr>
          <w:rFonts w:cs="Arial"/>
          <w:szCs w:val="20"/>
          <w:lang w:val="en-US" w:eastAsia="en-AU"/>
        </w:rPr>
      </w:pPr>
      <w:r w:rsidRPr="007D3779">
        <w:rPr>
          <w:rFonts w:cs="Arial"/>
          <w:szCs w:val="20"/>
          <w:lang w:val="en-US" w:eastAsia="en-AU"/>
        </w:rPr>
        <w:t>Any contract or funding agreement for on-ground investment should:</w:t>
      </w:r>
    </w:p>
    <w:p w:rsidR="00CC40B7" w:rsidRPr="007D3779" w:rsidRDefault="00CC40B7" w:rsidP="00213D66">
      <w:pPr>
        <w:pStyle w:val="Bullets2"/>
        <w:rPr>
          <w:lang w:val="en-US" w:eastAsia="en-AU"/>
        </w:rPr>
      </w:pPr>
      <w:r w:rsidRPr="007D3779">
        <w:rPr>
          <w:lang w:val="en-US" w:eastAsia="en-AU"/>
        </w:rPr>
        <w:lastRenderedPageBreak/>
        <w:t xml:space="preserve">Require contractors or grant recipients to generate and maintain up-to-date activity polygons, as per </w:t>
      </w:r>
      <w:r w:rsidRPr="007D3779">
        <w:rPr>
          <w:b/>
          <w:bCs/>
          <w:lang w:val="en-US" w:eastAsia="en-AU"/>
        </w:rPr>
        <w:t>Appendix 1</w:t>
      </w:r>
      <w:r w:rsidRPr="007D3779">
        <w:rPr>
          <w:lang w:val="en-US" w:eastAsia="en-AU"/>
        </w:rPr>
        <w:t>, in an interoperable format readable by the ESRI ArcGIS software (e.g. ESRI shapefiles GDA94 or Google Earth KML).</w:t>
      </w:r>
    </w:p>
    <w:p w:rsidR="00CC40B7" w:rsidRDefault="00CC40B7" w:rsidP="00213D66">
      <w:pPr>
        <w:pStyle w:val="Bullets2"/>
        <w:rPr>
          <w:lang w:val="en-US" w:eastAsia="en-AU"/>
        </w:rPr>
      </w:pPr>
      <w:r w:rsidRPr="00CC40B7">
        <w:rPr>
          <w:lang w:val="en-US" w:eastAsia="en-AU"/>
        </w:rPr>
        <w:t xml:space="preserve">Require this data to be shared, licensed as Creative Commons Attribution CC-BY (as available at creativecommons.org.au, Version 4.0 or later, as the Department considers appropriate) with access provision either directly to the Department or via a designated repository which meets the service capabilities detailed in </w:t>
      </w:r>
      <w:r w:rsidRPr="00CC40B7">
        <w:rPr>
          <w:b/>
          <w:bCs/>
          <w:lang w:val="en-US" w:eastAsia="en-AU"/>
        </w:rPr>
        <w:t>Appendix 2</w:t>
      </w:r>
      <w:r w:rsidRPr="00CC40B7">
        <w:rPr>
          <w:lang w:val="en-US" w:eastAsia="en-AU"/>
        </w:rPr>
        <w:t>.</w:t>
      </w:r>
    </w:p>
    <w:p w:rsidR="00CC40B7" w:rsidRPr="00213D66" w:rsidRDefault="00CC40B7" w:rsidP="00213D66">
      <w:pPr>
        <w:pStyle w:val="ListParagraph"/>
        <w:numPr>
          <w:ilvl w:val="0"/>
          <w:numId w:val="12"/>
        </w:numPr>
        <w:rPr>
          <w:lang w:val="en-US" w:eastAsia="en-AU"/>
        </w:rPr>
      </w:pPr>
      <w:r w:rsidRPr="00213D66">
        <w:rPr>
          <w:lang w:val="en-US" w:eastAsia="en-AU"/>
        </w:rPr>
        <w:t>Managing and sharing on-</w:t>
      </w:r>
      <w:r w:rsidR="00213D66" w:rsidRPr="00213D66">
        <w:rPr>
          <w:lang w:val="en-US" w:eastAsia="en-AU"/>
        </w:rPr>
        <w:t>ground investment location data</w:t>
      </w:r>
      <w:r w:rsidRPr="00213D66">
        <w:rPr>
          <w:sz w:val="16"/>
          <w:szCs w:val="16"/>
          <w:lang w:val="en-US" w:eastAsia="en-AU"/>
        </w:rPr>
        <w:t>—</w:t>
      </w:r>
      <w:r w:rsidRPr="00213D66">
        <w:rPr>
          <w:lang w:val="en-US" w:eastAsia="en-AU"/>
        </w:rPr>
        <w:t xml:space="preserve">for repository </w:t>
      </w:r>
      <w:proofErr w:type="spellStart"/>
      <w:r w:rsidRPr="00213D66">
        <w:rPr>
          <w:lang w:val="en-US" w:eastAsia="en-AU"/>
        </w:rPr>
        <w:t>organisations</w:t>
      </w:r>
      <w:proofErr w:type="spellEnd"/>
      <w:r w:rsidRPr="00213D66">
        <w:rPr>
          <w:lang w:val="en-US" w:eastAsia="en-AU"/>
        </w:rPr>
        <w:t>.</w:t>
      </w:r>
    </w:p>
    <w:p w:rsidR="00CC40B7" w:rsidRPr="00213D66" w:rsidRDefault="00CC40B7" w:rsidP="00213D66">
      <w:pPr>
        <w:pStyle w:val="Bullets2"/>
        <w:numPr>
          <w:ilvl w:val="0"/>
          <w:numId w:val="15"/>
        </w:numPr>
        <w:rPr>
          <w:lang w:val="en-US" w:eastAsia="en-AU"/>
        </w:rPr>
      </w:pPr>
      <w:r w:rsidRPr="00213D66">
        <w:rPr>
          <w:lang w:val="en-US" w:eastAsia="en-AU"/>
        </w:rPr>
        <w:t>Any Request for Tender (RFT) for establishing a repository to collate and manage on-ground investment data should inform all tenderers of contract requirement 2b below.</w:t>
      </w:r>
    </w:p>
    <w:p w:rsidR="00CC40B7" w:rsidRPr="00CC40B7" w:rsidRDefault="00CC40B7" w:rsidP="00213D66">
      <w:pPr>
        <w:pStyle w:val="Bullets2"/>
        <w:rPr>
          <w:lang w:val="en-US" w:eastAsia="en-AU"/>
        </w:rPr>
      </w:pPr>
      <w:r w:rsidRPr="00CC40B7">
        <w:rPr>
          <w:lang w:val="en-US" w:eastAsia="en-AU"/>
        </w:rPr>
        <w:t xml:space="preserve">Any contract establishing a repository </w:t>
      </w:r>
      <w:proofErr w:type="spellStart"/>
      <w:r w:rsidRPr="00CC40B7">
        <w:rPr>
          <w:lang w:val="en-US" w:eastAsia="en-AU"/>
        </w:rPr>
        <w:t>organisation</w:t>
      </w:r>
      <w:proofErr w:type="spellEnd"/>
      <w:r w:rsidRPr="00CC40B7">
        <w:rPr>
          <w:lang w:val="en-US" w:eastAsia="en-AU"/>
        </w:rPr>
        <w:t xml:space="preserve"> should specify service capabilities as detailed </w:t>
      </w:r>
      <w:r w:rsidRPr="00CC40B7">
        <w:rPr>
          <w:lang w:val="en-US" w:eastAsia="en-AU"/>
        </w:rPr>
        <w:br/>
        <w:t xml:space="preserve">in </w:t>
      </w:r>
      <w:r w:rsidRPr="00CC40B7">
        <w:rPr>
          <w:b/>
          <w:bCs/>
          <w:lang w:val="en-US" w:eastAsia="en-AU"/>
        </w:rPr>
        <w:t>Appendix 2.</w:t>
      </w:r>
    </w:p>
    <w:p w:rsidR="00CC40B7" w:rsidRDefault="00CC40B7" w:rsidP="00B70B38">
      <w:pPr>
        <w:pStyle w:val="Heading2"/>
      </w:pPr>
      <w:r w:rsidRPr="00CC40B7">
        <w:t>Appendix 1: What to map and at what scale</w:t>
      </w:r>
    </w:p>
    <w:p w:rsidR="00AC0BAF" w:rsidRPr="00B70B38" w:rsidRDefault="00AC0BAF" w:rsidP="00B70B38">
      <w:r w:rsidRPr="00B70B38">
        <w:t>In mapping on-ground investments, fine-scale polygons (i.e. not text-locations, points or lines) are key to precise and accurate spatial documentation. However, in practice, ‘fine-scale’ means different things for different kinds of on-ground actions. While broader ranging actions should generally be mapped at broader scales, the intent should also be to create polygons which encompass all action areas while excluding areas where the action will not be applied.</w:t>
      </w:r>
    </w:p>
    <w:p w:rsidR="00AC0BAF" w:rsidRPr="00B70B38" w:rsidRDefault="00AC0BAF" w:rsidP="00B70B38">
      <w:r w:rsidRPr="00B70B38">
        <w:t>Minimum mapping scales for different kinds of on-ground actions are set out in Table 1. Further guidance on how to map at these scales is specified in Table 2.</w:t>
      </w:r>
    </w:p>
    <w:p w:rsidR="00CC40B7" w:rsidRPr="00CC40B7" w:rsidRDefault="00AC0BAF" w:rsidP="00AC0BAF">
      <w:pPr>
        <w:suppressAutoHyphens/>
        <w:autoSpaceDE w:val="0"/>
        <w:autoSpaceDN w:val="0"/>
        <w:adjustRightInd w:val="0"/>
        <w:spacing w:before="170" w:after="0" w:line="280" w:lineRule="atLeast"/>
        <w:textAlignment w:val="center"/>
        <w:rPr>
          <w:rFonts w:cs="Arial"/>
          <w:szCs w:val="20"/>
          <w:lang w:val="en-US" w:eastAsia="en-AU"/>
        </w:rPr>
      </w:pPr>
      <w:r w:rsidRPr="00AC0BAF">
        <w:rPr>
          <w:rFonts w:cs="Arial"/>
          <w:spacing w:val="1"/>
          <w:szCs w:val="20"/>
        </w:rPr>
        <w:t xml:space="preserve">Table 1 actions are based on a published list of natural resource management activities (the </w:t>
      </w:r>
      <w:hyperlink r:id="rId11" w:history="1">
        <w:r w:rsidRPr="00B70B38">
          <w:rPr>
            <w:rStyle w:val="Hyperlink"/>
          </w:rPr>
          <w:t>MERIT ‘ready reckoner’ v5</w:t>
        </w:r>
      </w:hyperlink>
      <w:r w:rsidRPr="00AC0BAF">
        <w:rPr>
          <w:rFonts w:cs="Arial"/>
          <w:spacing w:val="1"/>
          <w:szCs w:val="20"/>
        </w:rPr>
        <w:t xml:space="preserve">). These actions are applicable beyond natural resource management: if a specific intended action is not listed, one should be selected that most closely approximates it. Where specific departmental programs have published guidelines for mapping actions (e.g. for the Carbon Farming Initiative), those guidelines should </w:t>
      </w:r>
      <w:r w:rsidRPr="00AC0BAF">
        <w:rPr>
          <w:rFonts w:cs="Arial"/>
          <w:szCs w:val="20"/>
        </w:rPr>
        <w:t>take precedence.</w:t>
      </w:r>
    </w:p>
    <w:p w:rsidR="00CC40B7" w:rsidRPr="00CC40B7" w:rsidRDefault="00CC40B7" w:rsidP="00B70B38">
      <w:pPr>
        <w:pStyle w:val="Heading2"/>
        <w:rPr>
          <w:sz w:val="32"/>
          <w:szCs w:val="32"/>
        </w:rPr>
      </w:pPr>
      <w:r w:rsidRPr="00CC40B7">
        <w:t>A Special Case: Where benefit area differs to investment location</w:t>
      </w:r>
    </w:p>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pacing w:val="1"/>
          <w:szCs w:val="20"/>
          <w:lang w:val="en-US" w:eastAsia="en-AU"/>
        </w:rPr>
        <w:t xml:space="preserve">Where the area-of-intended-benefit differs to the location-of-investment, you should map the latter. </w:t>
      </w:r>
      <w:r w:rsidRPr="007D3779">
        <w:rPr>
          <w:rFonts w:cs="Arial"/>
          <w:szCs w:val="20"/>
          <w:lang w:val="en-US" w:eastAsia="en-AU"/>
        </w:rPr>
        <w:br/>
        <w:t>For example, field days, communications, planning, and administrative activities (e.g. preparation of web pages, guidance, management plans, etc.) should be mapped as a field location or office. Fencing activities should be mapped as the fence itself. Research should be mapped as a laboratory or set of field research locations. Further detail for relevant actions is provided in Table 1.</w:t>
      </w:r>
    </w:p>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pacing w:val="1"/>
          <w:szCs w:val="20"/>
          <w:lang w:val="en-US" w:eastAsia="en-AU"/>
        </w:rPr>
        <w:t xml:space="preserve">Your investment polygon/s can be accompanied by a text description of the area-of-intended-benefit. </w:t>
      </w:r>
      <w:r w:rsidRPr="007D3779">
        <w:rPr>
          <w:rFonts w:cs="Arial"/>
          <w:spacing w:val="-1"/>
          <w:szCs w:val="20"/>
          <w:lang w:val="en-US" w:eastAsia="en-AU"/>
        </w:rPr>
        <w:t>This can be done, for example, using the ‘de</w:t>
      </w:r>
      <w:r w:rsidR="00EF598D">
        <w:rPr>
          <w:rFonts w:cs="Arial"/>
          <w:spacing w:val="-1"/>
          <w:szCs w:val="20"/>
          <w:lang w:val="en-US" w:eastAsia="en-AU"/>
        </w:rPr>
        <w:t>s</w:t>
      </w:r>
      <w:r w:rsidRPr="007D3779">
        <w:rPr>
          <w:rFonts w:cs="Arial"/>
          <w:spacing w:val="-1"/>
          <w:szCs w:val="20"/>
          <w:lang w:val="en-US" w:eastAsia="en-AU"/>
        </w:rPr>
        <w:t xml:space="preserve">cription’ text box for any polygon drawn using online mapping </w:t>
      </w:r>
      <w:r w:rsidRPr="007D3779">
        <w:rPr>
          <w:rFonts w:cs="Arial"/>
          <w:szCs w:val="20"/>
          <w:lang w:val="en-US" w:eastAsia="en-AU"/>
        </w:rPr>
        <w:t xml:space="preserve">tools, including those deployed by the Department. Your description should be the following form: </w:t>
      </w:r>
    </w:p>
    <w:p w:rsidR="00CC40B7" w:rsidRPr="007D3779" w:rsidRDefault="00CC40B7" w:rsidP="00CC40B7">
      <w:pPr>
        <w:suppressAutoHyphens/>
        <w:autoSpaceDE w:val="0"/>
        <w:autoSpaceDN w:val="0"/>
        <w:adjustRightInd w:val="0"/>
        <w:spacing w:before="170" w:after="0" w:line="280" w:lineRule="atLeast"/>
        <w:textAlignment w:val="center"/>
        <w:rPr>
          <w:rFonts w:cs="Arial"/>
          <w:b/>
          <w:bCs/>
          <w:szCs w:val="20"/>
          <w:lang w:val="en-US" w:eastAsia="en-AU"/>
        </w:rPr>
      </w:pPr>
      <w:r w:rsidRPr="007D3779">
        <w:rPr>
          <w:rFonts w:cs="Arial"/>
          <w:b/>
          <w:bCs/>
          <w:szCs w:val="20"/>
          <w:lang w:val="en-US" w:eastAsia="en-AU"/>
        </w:rPr>
        <w:t>‘Area of intended benefit = [Location]’</w:t>
      </w:r>
    </w:p>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[Location] should preferably be a published, spatially defined term su</w:t>
      </w:r>
      <w:r w:rsidR="009C1FC3" w:rsidRPr="007D3779">
        <w:rPr>
          <w:rFonts w:cs="Arial"/>
          <w:szCs w:val="20"/>
          <w:lang w:val="en-US" w:eastAsia="en-AU"/>
        </w:rPr>
        <w:t xml:space="preserve">ch as ‘Victoria’, ‘Australia’, </w:t>
      </w:r>
      <w:r w:rsidRPr="007D3779">
        <w:rPr>
          <w:rFonts w:cs="Arial"/>
          <w:szCs w:val="20"/>
          <w:lang w:val="en-US" w:eastAsia="en-AU"/>
        </w:rPr>
        <w:t>‘Macquarie Island’, ‘Murchison IBRA region’, ‘Greater Blue Mountains WHA’, ‘</w:t>
      </w:r>
      <w:proofErr w:type="spellStart"/>
      <w:r w:rsidRPr="007D3779">
        <w:rPr>
          <w:rFonts w:cs="Arial"/>
          <w:szCs w:val="20"/>
          <w:lang w:val="en-US" w:eastAsia="en-AU"/>
        </w:rPr>
        <w:t>Longreach</w:t>
      </w:r>
      <w:proofErr w:type="spellEnd"/>
      <w:r w:rsidRPr="007D3779">
        <w:rPr>
          <w:rFonts w:cs="Arial"/>
          <w:szCs w:val="20"/>
          <w:lang w:val="en-US" w:eastAsia="en-AU"/>
        </w:rPr>
        <w:t xml:space="preserve"> LGA’, etc. Property Title/Survey descriptions can also be used to define smaller areas.</w:t>
      </w:r>
    </w:p>
    <w:p w:rsidR="00CC40B7" w:rsidRPr="007D3779" w:rsidRDefault="00CC40B7" w:rsidP="00B70B38">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You should limit the area-of-intended-benefit to the smallest applicable area. The intent is to create well-</w:t>
      </w:r>
      <w:proofErr w:type="spellStart"/>
      <w:r w:rsidRPr="007D3779">
        <w:rPr>
          <w:rFonts w:cs="Arial"/>
          <w:szCs w:val="20"/>
          <w:lang w:val="en-US" w:eastAsia="en-AU"/>
        </w:rPr>
        <w:t>focussed</w:t>
      </w:r>
      <w:proofErr w:type="spellEnd"/>
      <w:r w:rsidRPr="007D3779">
        <w:rPr>
          <w:rFonts w:cs="Arial"/>
          <w:szCs w:val="20"/>
          <w:lang w:val="en-US" w:eastAsia="en-AU"/>
        </w:rPr>
        <w:t>, structured descriptions to support later re-use. Take care to ensure your text description follows the form above. While Table 1 specifies this step for actions where it is obviously likely to add value, it can also be included for any other action where it is deemed applicable.</w:t>
      </w:r>
      <w:r w:rsidRPr="007D3779">
        <w:rPr>
          <w:rFonts w:cs="Arial"/>
          <w:szCs w:val="20"/>
          <w:lang w:val="en-US" w:eastAsia="en-AU"/>
        </w:rPr>
        <w:br w:type="page"/>
      </w:r>
    </w:p>
    <w:p w:rsidR="00CC40B7" w:rsidRPr="00CC40B7" w:rsidRDefault="00CC40B7" w:rsidP="00B70B38">
      <w:pPr>
        <w:pStyle w:val="Heading2"/>
        <w:rPr>
          <w:sz w:val="32"/>
          <w:szCs w:val="32"/>
        </w:rPr>
      </w:pPr>
      <w:r w:rsidRPr="00CC40B7">
        <w:lastRenderedPageBreak/>
        <w:t>Table 1: Recommended scale (approximate) for mapping different on-ground investment actions</w:t>
      </w:r>
    </w:p>
    <w:tbl>
      <w:tblPr>
        <w:tblW w:w="0" w:type="auto"/>
        <w:tblInd w:w="-5" w:type="dxa"/>
        <w:tblLayout w:type="fixed"/>
        <w:tblCellMar>
          <w:left w:w="0" w:type="dxa"/>
          <w:right w:w="0" w:type="dxa"/>
        </w:tblCellMar>
        <w:tblLook w:val="0000" w:firstRow="0" w:lastRow="0" w:firstColumn="0" w:lastColumn="0" w:noHBand="0" w:noVBand="0"/>
      </w:tblPr>
      <w:tblGrid>
        <w:gridCol w:w="2093"/>
        <w:gridCol w:w="1795"/>
        <w:gridCol w:w="5468"/>
      </w:tblGrid>
      <w:tr w:rsidR="00956E7A" w:rsidRPr="00AC0BAF" w:rsidTr="00446F5D">
        <w:trPr>
          <w:trHeight w:val="887"/>
          <w:tblHeader/>
        </w:trPr>
        <w:tc>
          <w:tcPr>
            <w:tcW w:w="2093" w:type="dxa"/>
            <w:tcBorders>
              <w:top w:val="single" w:sz="4" w:space="0" w:color="134F8E"/>
              <w:left w:val="single" w:sz="4" w:space="0" w:color="134F8E"/>
              <w:bottom w:val="single" w:sz="4" w:space="0" w:color="134F8E"/>
              <w:right w:val="single" w:sz="4" w:space="0" w:color="134F8E"/>
            </w:tcBorders>
            <w:shd w:val="clear" w:color="auto" w:fill="000000" w:themeFill="text1"/>
            <w:tcMar>
              <w:top w:w="142" w:type="dxa"/>
              <w:left w:w="142" w:type="dxa"/>
              <w:bottom w:w="170" w:type="dxa"/>
              <w:right w:w="142" w:type="dxa"/>
            </w:tcMar>
          </w:tcPr>
          <w:p w:rsidR="00CC40B7" w:rsidRPr="007D3779" w:rsidRDefault="00CC40B7" w:rsidP="00446F5D">
            <w:pPr>
              <w:suppressAutoHyphens/>
              <w:autoSpaceDE w:val="0"/>
              <w:autoSpaceDN w:val="0"/>
              <w:adjustRightInd w:val="0"/>
              <w:spacing w:after="0" w:line="280" w:lineRule="atLeast"/>
              <w:textAlignment w:val="center"/>
              <w:rPr>
                <w:rFonts w:cs="Arial"/>
                <w:szCs w:val="20"/>
                <w:lang w:val="en-US"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3779">
              <w:rPr>
                <w:rFonts w:cs="Arial"/>
                <w:bCs/>
                <w:szCs w:val="20"/>
                <w:lang w:val="en-US"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On-ground action - from MERIT ready reckoner (v5)</w:t>
            </w:r>
          </w:p>
        </w:tc>
        <w:tc>
          <w:tcPr>
            <w:tcW w:w="1795" w:type="dxa"/>
            <w:tcBorders>
              <w:top w:val="single" w:sz="4" w:space="0" w:color="134F8E"/>
              <w:left w:val="single" w:sz="4" w:space="0" w:color="134F8E"/>
              <w:bottom w:val="single" w:sz="4" w:space="0" w:color="134F8E"/>
              <w:right w:val="single" w:sz="4" w:space="0" w:color="134F8E"/>
            </w:tcBorders>
            <w:shd w:val="clear" w:color="auto" w:fill="000000" w:themeFill="text1"/>
            <w:tcMar>
              <w:top w:w="142" w:type="dxa"/>
              <w:left w:w="142" w:type="dxa"/>
              <w:bottom w:w="170" w:type="dxa"/>
              <w:right w:w="142" w:type="dxa"/>
            </w:tcMar>
          </w:tcPr>
          <w:p w:rsidR="00CC40B7" w:rsidRPr="007D3779" w:rsidRDefault="00CC40B7" w:rsidP="00446F5D">
            <w:pPr>
              <w:suppressAutoHyphens/>
              <w:autoSpaceDE w:val="0"/>
              <w:autoSpaceDN w:val="0"/>
              <w:adjustRightInd w:val="0"/>
              <w:spacing w:after="0" w:line="280" w:lineRule="atLeast"/>
              <w:textAlignment w:val="center"/>
              <w:rPr>
                <w:rFonts w:cs="Arial"/>
                <w:szCs w:val="20"/>
                <w:lang w:val="en-US"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3779">
              <w:rPr>
                <w:rFonts w:cs="Arial"/>
                <w:bCs/>
                <w:szCs w:val="20"/>
                <w:lang w:val="en-US"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Recommended approximate scale for mapping</w:t>
            </w:r>
          </w:p>
        </w:tc>
        <w:tc>
          <w:tcPr>
            <w:tcW w:w="5468" w:type="dxa"/>
            <w:tcBorders>
              <w:top w:val="single" w:sz="4" w:space="0" w:color="134F8E"/>
              <w:left w:val="single" w:sz="4" w:space="0" w:color="134F8E"/>
              <w:bottom w:val="single" w:sz="4" w:space="0" w:color="134F8E"/>
              <w:right w:val="single" w:sz="4" w:space="0" w:color="134F8E"/>
            </w:tcBorders>
            <w:shd w:val="clear" w:color="auto" w:fill="000000" w:themeFill="text1"/>
            <w:tcMar>
              <w:top w:w="142" w:type="dxa"/>
              <w:left w:w="142" w:type="dxa"/>
              <w:bottom w:w="170" w:type="dxa"/>
              <w:right w:w="142" w:type="dxa"/>
            </w:tcMar>
          </w:tcPr>
          <w:p w:rsidR="00CC40B7" w:rsidRPr="007D3779" w:rsidRDefault="00CC40B7" w:rsidP="00446F5D">
            <w:pPr>
              <w:suppressAutoHyphens/>
              <w:autoSpaceDE w:val="0"/>
              <w:autoSpaceDN w:val="0"/>
              <w:adjustRightInd w:val="0"/>
              <w:spacing w:after="0" w:line="280" w:lineRule="atLeast"/>
              <w:textAlignment w:val="center"/>
              <w:rPr>
                <w:rFonts w:cs="Arial"/>
                <w:szCs w:val="20"/>
                <w:lang w:val="en-US"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3779">
              <w:rPr>
                <w:rFonts w:cs="Arial"/>
                <w:bCs/>
                <w:szCs w:val="20"/>
                <w:lang w:val="en-US"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Features to map around in mapping </w:t>
            </w:r>
            <w:r w:rsidRPr="007D3779">
              <w:rPr>
                <w:rFonts w:cs="Arial"/>
                <w:szCs w:val="20"/>
                <w:lang w:val="en-US" w:eastAsia="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(also note further general guidance in Table 2 below)</w:t>
            </w:r>
          </w:p>
        </w:tc>
      </w:tr>
      <w:tr w:rsidR="00956E7A" w:rsidRPr="00AC0BAF" w:rsidTr="00446F5D">
        <w:trPr>
          <w:trHeight w:val="113"/>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Community Participation and Engagement</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 xml:space="preserve">Map the office, shed, paddock/s for field days or workshops. Include structured </w:t>
            </w:r>
            <w:r w:rsidRPr="007D3779">
              <w:rPr>
                <w:rFonts w:cs="Arial"/>
                <w:b/>
                <w:bCs/>
                <w:szCs w:val="20"/>
                <w:lang w:val="en-US" w:eastAsia="en-AU"/>
              </w:rPr>
              <w:t>area-of-intended-benefit</w:t>
            </w:r>
            <w:r w:rsidRPr="007D3779">
              <w:rPr>
                <w:rFonts w:cs="Arial"/>
                <w:szCs w:val="20"/>
                <w:lang w:val="en-US" w:eastAsia="en-AU"/>
              </w:rPr>
              <w:t xml:space="preserve"> description.</w:t>
            </w:r>
          </w:p>
        </w:tc>
      </w:tr>
      <w:tr w:rsidR="00956E7A" w:rsidRPr="00AC0BAF" w:rsidTr="00446F5D">
        <w:trPr>
          <w:trHeight w:val="113"/>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Conservation Actions for Species and Communities</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Map any breeding facility, or patches where several nest boxes have been installed. Exclude internal streams, roads, built infrastructure etc. where your action won't be applied.</w:t>
            </w:r>
          </w:p>
        </w:tc>
      </w:tr>
      <w:tr w:rsidR="00956E7A" w:rsidRPr="00AC0BAF" w:rsidTr="00446F5D">
        <w:trPr>
          <w:trHeight w:val="113"/>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Conservation Grazing Management</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1:10,000, or greater as appropriate</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B70B38">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Map the paddocks where conservation grazing has been applied. Small areas of fenced (</w:t>
            </w:r>
            <w:proofErr w:type="spellStart"/>
            <w:r w:rsidRPr="007D3779">
              <w:rPr>
                <w:rFonts w:cs="Arial"/>
                <w:szCs w:val="20"/>
                <w:lang w:val="en-US" w:eastAsia="en-AU"/>
              </w:rPr>
              <w:t>ungrazed</w:t>
            </w:r>
            <w:proofErr w:type="spellEnd"/>
            <w:r w:rsidRPr="007D3779">
              <w:rPr>
                <w:rFonts w:cs="Arial"/>
                <w:szCs w:val="20"/>
                <w:lang w:val="en-US" w:eastAsia="en-AU"/>
              </w:rPr>
              <w:t>) vegetation, dams or individual trees can be included within your polygons.</w:t>
            </w:r>
          </w:p>
        </w:tc>
      </w:tr>
      <w:tr w:rsidR="00956E7A" w:rsidRPr="00AC0BAF" w:rsidTr="00446F5D">
        <w:trPr>
          <w:trHeight w:val="113"/>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Debris Removal</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Map the area where debris removal has been carried out.</w:t>
            </w:r>
          </w:p>
        </w:tc>
      </w:tr>
      <w:tr w:rsidR="00956E7A" w:rsidRPr="00AC0BAF" w:rsidTr="00446F5D">
        <w:trPr>
          <w:trHeight w:val="113"/>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Disease Management</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1:10,000, or greater as appropriate</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 xml:space="preserve">Map the location of the disease management action. </w:t>
            </w:r>
            <w:r w:rsidRPr="007D3779">
              <w:rPr>
                <w:rFonts w:cs="Arial"/>
                <w:szCs w:val="20"/>
                <w:lang w:val="en-US" w:eastAsia="en-AU"/>
              </w:rPr>
              <w:br/>
              <w:t xml:space="preserve">Include structured </w:t>
            </w:r>
            <w:r w:rsidRPr="007D3779">
              <w:rPr>
                <w:rFonts w:cs="Arial"/>
                <w:b/>
                <w:bCs/>
                <w:szCs w:val="20"/>
                <w:lang w:val="en-US" w:eastAsia="en-AU"/>
              </w:rPr>
              <w:t>area-of-intended-benefit</w:t>
            </w:r>
            <w:r w:rsidRPr="007D3779">
              <w:rPr>
                <w:rFonts w:cs="Arial"/>
                <w:szCs w:val="20"/>
                <w:lang w:val="en-US" w:eastAsia="en-AU"/>
              </w:rPr>
              <w:t xml:space="preserve"> description.</w:t>
            </w:r>
          </w:p>
        </w:tc>
      </w:tr>
      <w:tr w:rsidR="00956E7A" w:rsidRPr="00AC0BAF" w:rsidTr="00446F5D">
        <w:trPr>
          <w:trHeight w:val="113"/>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Erosion Management</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 or greater as appropriate</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13" w:after="0" w:line="280" w:lineRule="atLeast"/>
              <w:textAlignment w:val="center"/>
              <w:rPr>
                <w:rFonts w:cs="Arial"/>
                <w:szCs w:val="20"/>
                <w:lang w:val="en-US" w:eastAsia="en-AU"/>
              </w:rPr>
            </w:pPr>
            <w:r w:rsidRPr="007D3779">
              <w:rPr>
                <w:rFonts w:cs="Arial"/>
                <w:szCs w:val="20"/>
                <w:lang w:val="en-US" w:eastAsia="en-AU"/>
              </w:rPr>
              <w:t xml:space="preserve">Gully and streambank </w:t>
            </w:r>
            <w:proofErr w:type="spellStart"/>
            <w:r w:rsidRPr="007D3779">
              <w:rPr>
                <w:rFonts w:cs="Arial"/>
                <w:szCs w:val="20"/>
                <w:lang w:val="en-US" w:eastAsia="en-AU"/>
              </w:rPr>
              <w:t>stabilisation</w:t>
            </w:r>
            <w:proofErr w:type="spellEnd"/>
            <w:r w:rsidRPr="007D3779">
              <w:rPr>
                <w:rFonts w:cs="Arial"/>
                <w:szCs w:val="20"/>
                <w:lang w:val="en-US" w:eastAsia="en-AU"/>
              </w:rPr>
              <w:t xml:space="preserve"> - 1:1,000. Map active gully areas or streambanks being treated.</w:t>
            </w:r>
          </w:p>
          <w:p w:rsidR="00CC40B7" w:rsidRPr="007D3779" w:rsidRDefault="00CC40B7" w:rsidP="00CC40B7">
            <w:pPr>
              <w:suppressAutoHyphens/>
              <w:autoSpaceDE w:val="0"/>
              <w:autoSpaceDN w:val="0"/>
              <w:adjustRightInd w:val="0"/>
              <w:spacing w:before="113" w:after="0" w:line="280" w:lineRule="atLeast"/>
              <w:textAlignment w:val="center"/>
              <w:rPr>
                <w:rFonts w:cs="Arial"/>
                <w:szCs w:val="20"/>
                <w:lang w:val="en-US" w:eastAsia="en-AU"/>
              </w:rPr>
            </w:pPr>
            <w:r w:rsidRPr="007D3779">
              <w:rPr>
                <w:rFonts w:cs="Arial"/>
                <w:szCs w:val="20"/>
                <w:lang w:val="en-US" w:eastAsia="en-AU"/>
              </w:rPr>
              <w:t>Surface runoff mitigation - 1:10,000. Map paddocks or other areas where action is being taken.</w:t>
            </w:r>
          </w:p>
          <w:p w:rsidR="00CC40B7" w:rsidRPr="007D3779" w:rsidRDefault="00CC40B7" w:rsidP="00CC40B7">
            <w:pPr>
              <w:suppressAutoHyphens/>
              <w:autoSpaceDE w:val="0"/>
              <w:autoSpaceDN w:val="0"/>
              <w:adjustRightInd w:val="0"/>
              <w:spacing w:before="113" w:after="0" w:line="280" w:lineRule="atLeast"/>
              <w:textAlignment w:val="center"/>
              <w:rPr>
                <w:rFonts w:cs="Arial"/>
                <w:szCs w:val="20"/>
                <w:lang w:val="en-US" w:eastAsia="en-AU"/>
              </w:rPr>
            </w:pPr>
            <w:r w:rsidRPr="007D3779">
              <w:rPr>
                <w:rFonts w:cs="Arial"/>
                <w:szCs w:val="20"/>
                <w:lang w:val="en-US" w:eastAsia="en-AU"/>
              </w:rPr>
              <w:t xml:space="preserve">Groundcover management - 1:10,000 to 1:100,000. </w:t>
            </w:r>
          </w:p>
          <w:p w:rsidR="00CC40B7" w:rsidRPr="007D3779" w:rsidRDefault="00CC40B7" w:rsidP="00CC40B7">
            <w:pPr>
              <w:suppressAutoHyphens/>
              <w:autoSpaceDE w:val="0"/>
              <w:autoSpaceDN w:val="0"/>
              <w:adjustRightInd w:val="0"/>
              <w:spacing w:before="113" w:after="0" w:line="280" w:lineRule="atLeast"/>
              <w:textAlignment w:val="center"/>
              <w:rPr>
                <w:rFonts w:cs="Arial"/>
                <w:szCs w:val="20"/>
                <w:lang w:val="en-US" w:eastAsia="en-AU"/>
              </w:rPr>
            </w:pPr>
            <w:r w:rsidRPr="007D3779">
              <w:rPr>
                <w:rFonts w:cs="Arial"/>
                <w:spacing w:val="-2"/>
                <w:szCs w:val="20"/>
                <w:lang w:val="en-US" w:eastAsia="en-AU"/>
              </w:rPr>
              <w:t>Map paddocks or other areas where action is being taken.</w:t>
            </w:r>
          </w:p>
        </w:tc>
      </w:tr>
      <w:tr w:rsidR="00956E7A" w:rsidRPr="00AC0BAF" w:rsidTr="00446F5D">
        <w:trPr>
          <w:trHeight w:val="113"/>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Fencing</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 or greater as appropriate</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 xml:space="preserve">Create a polygon, ~10 </w:t>
            </w:r>
            <w:proofErr w:type="spellStart"/>
            <w:r w:rsidRPr="007D3779">
              <w:rPr>
                <w:rFonts w:cs="Arial"/>
                <w:szCs w:val="20"/>
                <w:lang w:val="en-US" w:eastAsia="en-AU"/>
              </w:rPr>
              <w:t>metres</w:t>
            </w:r>
            <w:proofErr w:type="spellEnd"/>
            <w:r w:rsidRPr="007D3779">
              <w:rPr>
                <w:rFonts w:cs="Arial"/>
                <w:szCs w:val="20"/>
                <w:lang w:val="en-US" w:eastAsia="en-AU"/>
              </w:rPr>
              <w:t xml:space="preserve"> wide, that overlaps the fence line. Fences &lt;200m should be mapped at 1:1000, &gt;1 km at 1:10,000 and so on. Widths can be larger than 10m at larger scales. Include structured </w:t>
            </w:r>
            <w:r w:rsidRPr="007D3779">
              <w:rPr>
                <w:rFonts w:cs="Arial"/>
                <w:b/>
                <w:bCs/>
                <w:szCs w:val="20"/>
                <w:lang w:val="en-US" w:eastAsia="en-AU"/>
              </w:rPr>
              <w:t xml:space="preserve">area-of-intended-benefit </w:t>
            </w:r>
            <w:r w:rsidRPr="007D3779">
              <w:rPr>
                <w:rFonts w:cs="Arial"/>
                <w:szCs w:val="20"/>
                <w:lang w:val="en-US" w:eastAsia="en-AU"/>
              </w:rPr>
              <w:t>description if applicable. Free text descriptions, such as ‘Area North of the Fence’ can be used if necessary.</w:t>
            </w:r>
          </w:p>
        </w:tc>
      </w:tr>
      <w:tr w:rsidR="00956E7A" w:rsidRPr="00AC0BAF" w:rsidTr="00446F5D">
        <w:trPr>
          <w:trHeight w:val="113"/>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Field days</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 xml:space="preserve">Map the location/s of the field day. Include structured </w:t>
            </w:r>
            <w:r w:rsidRPr="007D3779">
              <w:rPr>
                <w:rFonts w:cs="Arial"/>
                <w:szCs w:val="20"/>
                <w:lang w:val="en-US" w:eastAsia="en-AU"/>
              </w:rPr>
              <w:br/>
            </w:r>
            <w:r w:rsidRPr="007D3779">
              <w:rPr>
                <w:rFonts w:cs="Arial"/>
                <w:b/>
                <w:bCs/>
                <w:szCs w:val="20"/>
                <w:lang w:val="en-US" w:eastAsia="en-AU"/>
              </w:rPr>
              <w:t>area-of-intended-benefit</w:t>
            </w:r>
            <w:r w:rsidRPr="007D3779">
              <w:rPr>
                <w:rFonts w:cs="Arial"/>
                <w:szCs w:val="20"/>
                <w:lang w:val="en-US" w:eastAsia="en-AU"/>
              </w:rPr>
              <w:t xml:space="preserve"> description.</w:t>
            </w:r>
          </w:p>
        </w:tc>
      </w:tr>
      <w:tr w:rsidR="00956E7A" w:rsidRPr="00AC0BAF" w:rsidTr="00446F5D">
        <w:trPr>
          <w:trHeight w:val="113"/>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lastRenderedPageBreak/>
              <w:t>Fire Management</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1:10,000, or greater as appropriate</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B70B38">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Map paddocks or landscapes where fire management action is being applied.</w:t>
            </w:r>
          </w:p>
        </w:tc>
      </w:tr>
      <w:tr w:rsidR="00956E7A" w:rsidRPr="00AC0BAF" w:rsidTr="00446F5D">
        <w:trPr>
          <w:trHeight w:val="113"/>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Heritage Conservation</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 or greater, as appropriate</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6A67D8" w:rsidRDefault="00CC40B7" w:rsidP="006A67D8">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The Department’s Heritage Web Map Services (see link below) should be used for existing heritage locations. For new assessments, use fine scale polygons for buildings, and coarser scales, as appropriate, for larger landscape assessments.</w:t>
            </w:r>
          </w:p>
          <w:p w:rsidR="00CC40B7" w:rsidRPr="00213D66" w:rsidRDefault="00B70B38" w:rsidP="006A67D8">
            <w:pPr>
              <w:suppressAutoHyphens/>
              <w:autoSpaceDE w:val="0"/>
              <w:autoSpaceDN w:val="0"/>
              <w:adjustRightInd w:val="0"/>
              <w:spacing w:before="170" w:after="0" w:line="280" w:lineRule="atLeast"/>
              <w:textAlignment w:val="center"/>
              <w:rPr>
                <w:rStyle w:val="Hyperlink"/>
              </w:rPr>
            </w:pPr>
            <w:hyperlink r:id="rId12" w:history="1">
              <w:r w:rsidR="006A67D8" w:rsidRPr="00213D66">
                <w:rPr>
                  <w:rStyle w:val="Hyperlink"/>
                </w:rPr>
                <w:t>http://www.environment.gov.au/about-us/environmental-information-data/web-services</w:t>
              </w:r>
            </w:hyperlink>
            <w:r w:rsidR="006A67D8" w:rsidRPr="00213D66">
              <w:rPr>
                <w:rStyle w:val="Hyperlink"/>
              </w:rPr>
              <w:t xml:space="preserve"> </w:t>
            </w:r>
          </w:p>
        </w:tc>
      </w:tr>
      <w:tr w:rsidR="00956E7A" w:rsidRPr="00AC0BAF" w:rsidTr="00446F5D">
        <w:trPr>
          <w:trHeight w:val="824"/>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Management Plan Development</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pacing w:val="-5"/>
                <w:szCs w:val="20"/>
                <w:lang w:val="en-US" w:eastAsia="en-AU"/>
              </w:rPr>
              <w:t xml:space="preserve">Map the office building of the funded planning body or consultant. Include structured </w:t>
            </w:r>
            <w:r w:rsidRPr="007D3779">
              <w:rPr>
                <w:rFonts w:cs="Arial"/>
                <w:b/>
                <w:bCs/>
                <w:spacing w:val="-5"/>
                <w:szCs w:val="20"/>
                <w:lang w:val="en-US" w:eastAsia="en-AU"/>
              </w:rPr>
              <w:t xml:space="preserve">area-of-intended-benefit </w:t>
            </w:r>
            <w:r w:rsidRPr="007D3779">
              <w:rPr>
                <w:rFonts w:cs="Arial"/>
                <w:spacing w:val="-5"/>
                <w:szCs w:val="20"/>
                <w:lang w:val="en-US" w:eastAsia="en-AU"/>
              </w:rPr>
              <w:t>description.</w:t>
            </w:r>
          </w:p>
        </w:tc>
      </w:tr>
      <w:tr w:rsidR="00956E7A" w:rsidRPr="00AC0BAF" w:rsidTr="00446F5D">
        <w:trPr>
          <w:trHeight w:val="1016"/>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Management Practice Change</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1:10,000, or greater, as appropriate</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B70B38">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Map paddocks or landscapes which are subject to management practice change.</w:t>
            </w:r>
          </w:p>
        </w:tc>
      </w:tr>
      <w:tr w:rsidR="00956E7A" w:rsidRPr="00AC0BAF" w:rsidTr="00446F5D">
        <w:trPr>
          <w:trHeight w:val="1072"/>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Pest Management</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1:10,000, or greater, as appropriate</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Map paddocks or landscapes which are subject to management practice change. For larger areas make separate polygons for areas with different methods or intensities of management.</w:t>
            </w:r>
          </w:p>
        </w:tc>
      </w:tr>
      <w:tr w:rsidR="00956E7A" w:rsidRPr="00AC0BAF" w:rsidTr="00446F5D">
        <w:trPr>
          <w:trHeight w:val="477"/>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Plant Propagation</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Map the nursery location.</w:t>
            </w:r>
          </w:p>
        </w:tc>
      </w:tr>
      <w:tr w:rsidR="00956E7A" w:rsidRPr="00AC0BAF" w:rsidTr="00446F5D">
        <w:trPr>
          <w:trHeight w:val="736"/>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Public Access and Infrastructure</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Map the infrastructure.</w:t>
            </w:r>
          </w:p>
        </w:tc>
      </w:tr>
      <w:tr w:rsidR="00956E7A" w:rsidRPr="00AC0BAF" w:rsidTr="00446F5D">
        <w:trPr>
          <w:trHeight w:val="1077"/>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Research</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 or greater, as appropriate</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EF598D">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 xml:space="preserve">Map the laboratory or field area/s where research has been done. Include structured </w:t>
            </w:r>
            <w:r w:rsidRPr="007D3779">
              <w:rPr>
                <w:rFonts w:cs="Arial"/>
                <w:b/>
                <w:bCs/>
                <w:szCs w:val="20"/>
                <w:lang w:val="en-US" w:eastAsia="en-AU"/>
              </w:rPr>
              <w:t xml:space="preserve">area-of-intended-benefit </w:t>
            </w:r>
            <w:r w:rsidRPr="007D3779">
              <w:rPr>
                <w:rFonts w:cs="Arial"/>
                <w:szCs w:val="20"/>
                <w:lang w:val="en-US" w:eastAsia="en-AU"/>
              </w:rPr>
              <w:t>description if applicable.</w:t>
            </w:r>
          </w:p>
        </w:tc>
      </w:tr>
      <w:tr w:rsidR="00956E7A" w:rsidRPr="00AC0BAF" w:rsidTr="00446F5D">
        <w:trPr>
          <w:trHeight w:val="869"/>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Revegetation</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1:10,000, of 1:100,000</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 xml:space="preserve">1:10K for smaller areas (up to 200 ha) e.g. </w:t>
            </w:r>
            <w:proofErr w:type="spellStart"/>
            <w:r w:rsidRPr="007D3779">
              <w:rPr>
                <w:rFonts w:cs="Arial"/>
                <w:szCs w:val="20"/>
                <w:lang w:val="en-US" w:eastAsia="en-AU"/>
              </w:rPr>
              <w:t>tubestock</w:t>
            </w:r>
            <w:proofErr w:type="spellEnd"/>
            <w:r w:rsidRPr="007D3779">
              <w:rPr>
                <w:rFonts w:cs="Arial"/>
                <w:szCs w:val="20"/>
                <w:lang w:val="en-US" w:eastAsia="en-AU"/>
              </w:rPr>
              <w:t xml:space="preserve"> planting.</w:t>
            </w:r>
          </w:p>
          <w:p w:rsidR="00CC40B7" w:rsidRPr="007D3779" w:rsidRDefault="00CC40B7" w:rsidP="00CC40B7">
            <w:pPr>
              <w:suppressAutoHyphens/>
              <w:autoSpaceDE w:val="0"/>
              <w:autoSpaceDN w:val="0"/>
              <w:adjustRightInd w:val="0"/>
              <w:spacing w:before="113" w:after="0" w:line="280" w:lineRule="atLeast"/>
              <w:textAlignment w:val="center"/>
              <w:rPr>
                <w:rFonts w:cs="Arial"/>
                <w:szCs w:val="20"/>
                <w:lang w:val="en-US" w:eastAsia="en-AU"/>
              </w:rPr>
            </w:pPr>
            <w:r w:rsidRPr="007D3779">
              <w:rPr>
                <w:rFonts w:cs="Arial"/>
                <w:szCs w:val="20"/>
                <w:lang w:val="en-US" w:eastAsia="en-AU"/>
              </w:rPr>
              <w:t>1:100K for larger areas e.g. direct seeding.</w:t>
            </w:r>
          </w:p>
        </w:tc>
      </w:tr>
      <w:tr w:rsidR="00956E7A" w:rsidRPr="00AC0BAF" w:rsidTr="00446F5D">
        <w:trPr>
          <w:trHeight w:val="1039"/>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lastRenderedPageBreak/>
              <w:t>Seed Collection</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 or 1:10,000, as appropriate</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Map precise seed collection locations – e.g. individual large trees or patches.</w:t>
            </w:r>
          </w:p>
        </w:tc>
      </w:tr>
      <w:tr w:rsidR="00956E7A" w:rsidRPr="00AC0BAF" w:rsidTr="00446F5D">
        <w:trPr>
          <w:trHeight w:val="850"/>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Site Preparation</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1:10,000 of 1:100,000</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13" w:after="0" w:line="280" w:lineRule="atLeast"/>
              <w:textAlignment w:val="center"/>
              <w:rPr>
                <w:rFonts w:cs="Arial"/>
                <w:szCs w:val="20"/>
                <w:lang w:val="en-US" w:eastAsia="en-AU"/>
              </w:rPr>
            </w:pPr>
            <w:r w:rsidRPr="007D3779">
              <w:rPr>
                <w:rFonts w:cs="Arial"/>
                <w:szCs w:val="20"/>
                <w:lang w:val="en-US" w:eastAsia="en-AU"/>
              </w:rPr>
              <w:t xml:space="preserve">1:10K for smaller areas (up to 200 ha) e.g. </w:t>
            </w:r>
            <w:proofErr w:type="spellStart"/>
            <w:r w:rsidRPr="007D3779">
              <w:rPr>
                <w:rFonts w:cs="Arial"/>
                <w:szCs w:val="20"/>
                <w:lang w:val="en-US" w:eastAsia="en-AU"/>
              </w:rPr>
              <w:t>tubestock</w:t>
            </w:r>
            <w:proofErr w:type="spellEnd"/>
            <w:r w:rsidRPr="007D3779">
              <w:rPr>
                <w:rFonts w:cs="Arial"/>
                <w:szCs w:val="20"/>
                <w:lang w:val="en-US" w:eastAsia="en-AU"/>
              </w:rPr>
              <w:t xml:space="preserve"> planting</w:t>
            </w:r>
          </w:p>
          <w:p w:rsidR="00CC40B7" w:rsidRPr="007D3779" w:rsidRDefault="00CC40B7" w:rsidP="00CC40B7">
            <w:pPr>
              <w:suppressAutoHyphens/>
              <w:autoSpaceDE w:val="0"/>
              <w:autoSpaceDN w:val="0"/>
              <w:adjustRightInd w:val="0"/>
              <w:spacing w:before="113" w:after="0" w:line="280" w:lineRule="atLeast"/>
              <w:textAlignment w:val="center"/>
              <w:rPr>
                <w:rFonts w:cs="Arial"/>
                <w:szCs w:val="20"/>
                <w:lang w:val="en-US" w:eastAsia="en-AU"/>
              </w:rPr>
            </w:pPr>
            <w:r w:rsidRPr="007D3779">
              <w:rPr>
                <w:rFonts w:cs="Arial"/>
                <w:szCs w:val="20"/>
                <w:lang w:val="en-US" w:eastAsia="en-AU"/>
              </w:rPr>
              <w:t>1:100K for larger areas e.g. direct seeding.</w:t>
            </w:r>
          </w:p>
        </w:tc>
      </w:tr>
      <w:tr w:rsidR="00956E7A" w:rsidRPr="00AC0BAF" w:rsidTr="00446F5D">
        <w:trPr>
          <w:trHeight w:val="1072"/>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Water Management</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 or greater, as appropriate</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Map either 1:1,000 locations of infrastructure, or up to 1:1M catchments where water quality management actions have been extensively applied (e.g. reduced grazing pressure).</w:t>
            </w:r>
          </w:p>
        </w:tc>
      </w:tr>
      <w:tr w:rsidR="00956E7A" w:rsidRPr="00AC0BAF" w:rsidTr="00446F5D">
        <w:trPr>
          <w:trHeight w:val="1016"/>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Weed Treatment</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1:10,000 or greater, as appropriate</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EF598D">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1:10K for small treated areas up to 200 ha, and 1:100K for larger treatment areas.</w:t>
            </w:r>
          </w:p>
        </w:tc>
      </w:tr>
      <w:tr w:rsidR="00956E7A" w:rsidRPr="00AC0BAF" w:rsidTr="00446F5D">
        <w:trPr>
          <w:trHeight w:val="1048"/>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 xml:space="preserve">Works Planning </w:t>
            </w:r>
            <w:r w:rsidRPr="007D3779">
              <w:rPr>
                <w:rFonts w:cs="Arial"/>
                <w:b/>
                <w:bCs/>
                <w:szCs w:val="20"/>
                <w:lang w:val="en-US" w:eastAsia="en-AU"/>
              </w:rPr>
              <w:br/>
              <w:t>and Risk</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B70B38">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 xml:space="preserve">Map the office building of the funded planning body or the location/s of planning workshops. Include structured </w:t>
            </w:r>
            <w:r w:rsidRPr="007D3779">
              <w:rPr>
                <w:rFonts w:cs="Arial"/>
                <w:b/>
                <w:bCs/>
                <w:szCs w:val="20"/>
                <w:lang w:val="en-US" w:eastAsia="en-AU"/>
              </w:rPr>
              <w:t>area-of-intended-benefit</w:t>
            </w:r>
            <w:r w:rsidRPr="007D3779">
              <w:rPr>
                <w:rFonts w:cs="Arial"/>
                <w:szCs w:val="20"/>
                <w:lang w:val="en-US" w:eastAsia="en-AU"/>
              </w:rPr>
              <w:t xml:space="preserve"> description.</w:t>
            </w:r>
          </w:p>
        </w:tc>
      </w:tr>
      <w:tr w:rsidR="00956E7A" w:rsidRPr="00AC0BAF" w:rsidTr="00446F5D">
        <w:trPr>
          <w:trHeight w:val="1016"/>
        </w:trPr>
        <w:tc>
          <w:tcPr>
            <w:tcW w:w="2093"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Survey sites</w:t>
            </w:r>
          </w:p>
        </w:tc>
        <w:tc>
          <w:tcPr>
            <w:tcW w:w="1795"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1:1,000</w:t>
            </w:r>
          </w:p>
        </w:tc>
        <w:tc>
          <w:tcPr>
            <w:tcW w:w="5468" w:type="dxa"/>
            <w:tcBorders>
              <w:top w:val="single" w:sz="4" w:space="0" w:color="134F8E"/>
              <w:left w:val="single" w:sz="4" w:space="0" w:color="134F8E"/>
              <w:bottom w:val="single" w:sz="4" w:space="0" w:color="134F8E"/>
              <w:right w:val="single" w:sz="4" w:space="0" w:color="134F8E"/>
            </w:tcBorders>
            <w:shd w:val="clear" w:color="auto" w:fill="auto"/>
            <w:tcMar>
              <w:top w:w="142" w:type="dxa"/>
              <w:left w:w="142" w:type="dxa"/>
              <w:bottom w:w="170" w:type="dxa"/>
              <w:right w:w="142" w:type="dxa"/>
            </w:tcMar>
          </w:tcPr>
          <w:p w:rsidR="00CC40B7" w:rsidRPr="007D3779" w:rsidRDefault="00CC40B7" w:rsidP="00B70B38">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 xml:space="preserve">Map individual survey plot locations for surveys of flora, </w:t>
            </w:r>
            <w:r w:rsidR="00EF598D">
              <w:rPr>
                <w:rFonts w:cs="Arial"/>
                <w:szCs w:val="20"/>
                <w:lang w:val="en-US" w:eastAsia="en-AU"/>
              </w:rPr>
              <w:t>f</w:t>
            </w:r>
            <w:r w:rsidRPr="007D3779">
              <w:rPr>
                <w:rFonts w:cs="Arial"/>
                <w:szCs w:val="20"/>
                <w:lang w:val="en-US" w:eastAsia="en-AU"/>
              </w:rPr>
              <w:t>auna, pests, weeds, plant survival, vegetation assessment, habitat condition, water quality etc.</w:t>
            </w:r>
          </w:p>
        </w:tc>
      </w:tr>
    </w:tbl>
    <w:p w:rsidR="00CC40B7" w:rsidRPr="00CC40B7" w:rsidRDefault="00CC40B7" w:rsidP="00CC40B7">
      <w:pPr>
        <w:suppressAutoHyphens/>
        <w:autoSpaceDE w:val="0"/>
        <w:autoSpaceDN w:val="0"/>
        <w:adjustRightInd w:val="0"/>
        <w:spacing w:before="170" w:after="0" w:line="380" w:lineRule="atLeast"/>
        <w:textAlignment w:val="center"/>
        <w:rPr>
          <w:rFonts w:cs="Arial"/>
          <w:szCs w:val="20"/>
          <w:lang w:val="en-US" w:eastAsia="en-AU"/>
        </w:rPr>
      </w:pPr>
    </w:p>
    <w:p w:rsidR="00956E7A" w:rsidRPr="00AC0BAF" w:rsidRDefault="00956E7A" w:rsidP="00CC40B7">
      <w:pPr>
        <w:suppressAutoHyphens/>
        <w:autoSpaceDE w:val="0"/>
        <w:autoSpaceDN w:val="0"/>
        <w:adjustRightInd w:val="0"/>
        <w:spacing w:before="170" w:after="57" w:line="380" w:lineRule="atLeast"/>
        <w:textAlignment w:val="center"/>
        <w:rPr>
          <w:rFonts w:cs="Arial"/>
          <w:sz w:val="30"/>
          <w:szCs w:val="30"/>
          <w:lang w:val="en-US" w:eastAsia="en-AU"/>
        </w:rPr>
      </w:pPr>
      <w:r w:rsidRPr="00AC0BAF">
        <w:rPr>
          <w:rFonts w:cs="Arial"/>
          <w:sz w:val="30"/>
          <w:szCs w:val="30"/>
          <w:lang w:val="en-US" w:eastAsia="en-AU"/>
        </w:rPr>
        <w:br w:type="page"/>
      </w:r>
    </w:p>
    <w:p w:rsidR="00CC40B7" w:rsidRPr="00CC40B7" w:rsidRDefault="00CC40B7" w:rsidP="00B70B38">
      <w:pPr>
        <w:pStyle w:val="Heading2"/>
      </w:pPr>
      <w:r w:rsidRPr="00CC40B7">
        <w:lastRenderedPageBreak/>
        <w:t>Table 2:  Features to map at different scales</w:t>
      </w:r>
    </w:p>
    <w:tbl>
      <w:tblPr>
        <w:tblW w:w="0" w:type="auto"/>
        <w:tblInd w:w="-5" w:type="dxa"/>
        <w:tblLayout w:type="fixed"/>
        <w:tblCellMar>
          <w:left w:w="0" w:type="dxa"/>
          <w:right w:w="0" w:type="dxa"/>
        </w:tblCellMar>
        <w:tblLook w:val="0000" w:firstRow="0" w:lastRow="0" w:firstColumn="0" w:lastColumn="0" w:noHBand="0" w:noVBand="0"/>
      </w:tblPr>
      <w:tblGrid>
        <w:gridCol w:w="1280"/>
        <w:gridCol w:w="1077"/>
        <w:gridCol w:w="1370"/>
        <w:gridCol w:w="1877"/>
        <w:gridCol w:w="3447"/>
      </w:tblGrid>
      <w:tr w:rsidR="00956E7A" w:rsidRPr="007D3779" w:rsidTr="00065A2B">
        <w:trPr>
          <w:trHeight w:val="1039"/>
        </w:trPr>
        <w:tc>
          <w:tcPr>
            <w:tcW w:w="1280" w:type="dxa"/>
            <w:tcBorders>
              <w:top w:val="single" w:sz="4" w:space="0" w:color="134F8E"/>
              <w:left w:val="single" w:sz="4" w:space="0" w:color="134F8E"/>
              <w:bottom w:val="single" w:sz="4" w:space="0" w:color="auto"/>
              <w:right w:val="single" w:sz="4" w:space="0" w:color="134F8E"/>
            </w:tcBorders>
            <w:shd w:val="clear" w:color="auto" w:fill="000000" w:themeFill="text1"/>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14:textOutline w14:w="9525" w14:cap="flat" w14:cmpd="sng" w14:algn="ctr">
                  <w14:noFill/>
                  <w14:prstDash w14:val="solid"/>
                  <w14:round/>
                </w14:textOutline>
              </w:rPr>
              <w:t>Indicative Mapping Scale</w:t>
            </w:r>
          </w:p>
        </w:tc>
        <w:tc>
          <w:tcPr>
            <w:tcW w:w="1077" w:type="dxa"/>
            <w:tcBorders>
              <w:top w:val="single" w:sz="4" w:space="0" w:color="134F8E"/>
              <w:left w:val="single" w:sz="4" w:space="0" w:color="134F8E"/>
              <w:bottom w:val="single" w:sz="4" w:space="0" w:color="auto"/>
              <w:right w:val="single" w:sz="4" w:space="0" w:color="134F8E"/>
            </w:tcBorders>
            <w:shd w:val="clear" w:color="auto" w:fill="000000" w:themeFill="text1"/>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14:textOutline w14:w="9525" w14:cap="flat" w14:cmpd="sng" w14:algn="ctr">
                  <w14:noFill/>
                  <w14:prstDash w14:val="solid"/>
                  <w14:round/>
                </w14:textOutline>
              </w:rPr>
              <w:t>One cm=</w:t>
            </w:r>
          </w:p>
        </w:tc>
        <w:tc>
          <w:tcPr>
            <w:tcW w:w="1370" w:type="dxa"/>
            <w:tcBorders>
              <w:top w:val="single" w:sz="4" w:space="0" w:color="134F8E"/>
              <w:left w:val="single" w:sz="4" w:space="0" w:color="134F8E"/>
              <w:bottom w:val="single" w:sz="4" w:space="0" w:color="auto"/>
              <w:right w:val="single" w:sz="4" w:space="0" w:color="134F8E"/>
            </w:tcBorders>
            <w:shd w:val="clear" w:color="auto" w:fill="000000" w:themeFill="text1"/>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14:textOutline w14:w="9525" w14:cap="flat" w14:cmpd="sng" w14:algn="ctr">
                  <w14:noFill/>
                  <w14:prstDash w14:val="solid"/>
                  <w14:round/>
                </w14:textOutline>
              </w:rPr>
              <w:t xml:space="preserve">For polygon areas </w:t>
            </w:r>
            <w:proofErr w:type="spellStart"/>
            <w:r w:rsidRPr="007D3779">
              <w:rPr>
                <w:rFonts w:cs="Arial"/>
                <w:b/>
                <w:bCs/>
                <w:szCs w:val="20"/>
                <w:lang w:val="en-US" w:eastAsia="en-AU"/>
                <w14:textOutline w14:w="9525" w14:cap="flat" w14:cmpd="sng" w14:algn="ctr">
                  <w14:noFill/>
                  <w14:prstDash w14:val="solid"/>
                  <w14:round/>
                </w14:textOutline>
              </w:rPr>
              <w:t>approx</w:t>
            </w:r>
            <w:proofErr w:type="spellEnd"/>
            <w:r w:rsidRPr="007D3779">
              <w:rPr>
                <w:rFonts w:cs="Arial"/>
                <w:b/>
                <w:bCs/>
                <w:szCs w:val="20"/>
                <w:lang w:val="en-US" w:eastAsia="en-AU"/>
                <w14:textOutline w14:w="9525" w14:cap="flat" w14:cmpd="sng" w14:algn="ctr">
                  <w14:noFill/>
                  <w14:prstDash w14:val="solid"/>
                  <w14:round/>
                </w14:textOutline>
              </w:rPr>
              <w:t>:</w:t>
            </w:r>
          </w:p>
        </w:tc>
        <w:tc>
          <w:tcPr>
            <w:tcW w:w="1877" w:type="dxa"/>
            <w:tcBorders>
              <w:top w:val="single" w:sz="4" w:space="0" w:color="134F8E"/>
              <w:left w:val="single" w:sz="4" w:space="0" w:color="134F8E"/>
              <w:bottom w:val="single" w:sz="4" w:space="0" w:color="auto"/>
              <w:right w:val="single" w:sz="4" w:space="0" w:color="134F8E"/>
            </w:tcBorders>
            <w:shd w:val="clear" w:color="auto" w:fill="000000" w:themeFill="text1"/>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14:textOutline w14:w="9525" w14:cap="flat" w14:cmpd="sng" w14:algn="ctr">
                  <w14:noFill/>
                  <w14:prstDash w14:val="solid"/>
                  <w14:round/>
                </w14:textOutline>
              </w:rPr>
              <w:t xml:space="preserve">Kinds of features to map around* to clearly define investment </w:t>
            </w:r>
            <w:r w:rsidRPr="007D3779">
              <w:rPr>
                <w:rFonts w:cs="Arial"/>
                <w:b/>
                <w:bCs/>
                <w:szCs w:val="20"/>
                <w:lang w:val="en-US" w:eastAsia="en-AU"/>
                <w14:textOutline w14:w="9525" w14:cap="flat" w14:cmpd="sng" w14:algn="ctr">
                  <w14:noFill/>
                  <w14:prstDash w14:val="solid"/>
                  <w14:round/>
                </w14:textOutline>
              </w:rPr>
              <w:br/>
              <w:t>action areas</w:t>
            </w:r>
          </w:p>
        </w:tc>
        <w:tc>
          <w:tcPr>
            <w:tcW w:w="3447" w:type="dxa"/>
            <w:tcBorders>
              <w:top w:val="single" w:sz="4" w:space="0" w:color="134F8E"/>
              <w:left w:val="single" w:sz="4" w:space="0" w:color="134F8E"/>
              <w:bottom w:val="single" w:sz="4" w:space="0" w:color="auto"/>
              <w:right w:val="single" w:sz="4" w:space="0" w:color="134F8E"/>
            </w:tcBorders>
            <w:shd w:val="clear" w:color="auto" w:fill="000000" w:themeFill="text1"/>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14:textOutline w14:w="9525" w14:cap="flat" w14:cmpd="sng" w14:algn="ctr">
                  <w14:noFill/>
                  <w14:prstDash w14:val="solid"/>
                  <w14:round/>
                </w14:textOutline>
              </w:rPr>
              <w:t>Example</w:t>
            </w:r>
          </w:p>
        </w:tc>
      </w:tr>
      <w:tr w:rsidR="00956E7A" w:rsidRPr="007D3779" w:rsidTr="00065A2B">
        <w:trPr>
          <w:trHeight w:val="1885"/>
        </w:trPr>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tcMar>
              <w:top w:w="170"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 xml:space="preserve">1:1,000 </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Mar>
              <w:top w:w="170"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10 m</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Mar>
              <w:top w:w="170"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&lt;2 ha</w:t>
            </w: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Mar>
              <w:top w:w="170" w:type="dxa"/>
              <w:left w:w="142" w:type="dxa"/>
              <w:bottom w:w="170" w:type="dxa"/>
              <w:right w:w="142" w:type="dxa"/>
            </w:tcMar>
          </w:tcPr>
          <w:p w:rsidR="00CC40B7" w:rsidRPr="007D3779" w:rsidRDefault="00CC40B7" w:rsidP="00B70B38">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buildings, sites within paddocks, small erosion gullies, individual trees, small dams, fences, tracks</w:t>
            </w:r>
          </w:p>
        </w:tc>
        <w:tc>
          <w:tcPr>
            <w:tcW w:w="34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C40B7" w:rsidRPr="007D3779" w:rsidRDefault="00C1359F" w:rsidP="00CC40B7">
            <w:pPr>
              <w:autoSpaceDE w:val="0"/>
              <w:autoSpaceDN w:val="0"/>
              <w:adjustRightInd w:val="0"/>
              <w:spacing w:after="0" w:line="240" w:lineRule="auto"/>
              <w:rPr>
                <w:rFonts w:cs="Arial"/>
                <w:szCs w:val="20"/>
                <w:lang w:eastAsia="en-AU"/>
              </w:rPr>
            </w:pPr>
            <w:r w:rsidRPr="007D3779">
              <w:rPr>
                <w:rFonts w:cs="Arial"/>
                <w:noProof/>
                <w:szCs w:val="20"/>
                <w:lang w:eastAsia="en-AU"/>
              </w:rPr>
              <w:drawing>
                <wp:inline distT="0" distB="0" distL="0" distR="0" wp14:anchorId="67E3282D" wp14:editId="10892223">
                  <wp:extent cx="2374446" cy="1333500"/>
                  <wp:effectExtent l="0" t="0" r="6985" b="0"/>
                  <wp:docPr id="2" name="Picture 2" descr="W:\Design archives\2018 Design files archives\COR537.0618_Erin Location Data Standards\Links\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esign archives\2018 Design files archives\COR537.0618_Erin Location Data Standards\Links\10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9935" cy="1336583"/>
                          </a:xfrm>
                          <a:prstGeom prst="rect">
                            <a:avLst/>
                          </a:prstGeom>
                          <a:noFill/>
                          <a:ln>
                            <a:noFill/>
                          </a:ln>
                        </pic:spPr>
                      </pic:pic>
                    </a:graphicData>
                  </a:graphic>
                </wp:inline>
              </w:drawing>
            </w:r>
          </w:p>
        </w:tc>
      </w:tr>
      <w:tr w:rsidR="00956E7A" w:rsidRPr="007D3779" w:rsidTr="00065A2B">
        <w:trPr>
          <w:trHeight w:val="1879"/>
        </w:trPr>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tcMar>
              <w:top w:w="170"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1:10,000</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Mar>
              <w:top w:w="170"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100 m</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Mar>
              <w:top w:w="170"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pacing w:val="-1"/>
                <w:szCs w:val="20"/>
                <w:lang w:val="en-US" w:eastAsia="en-AU"/>
              </w:rPr>
              <w:t xml:space="preserve">~ 2 ha – </w:t>
            </w:r>
            <w:r w:rsidRPr="007D3779">
              <w:rPr>
                <w:rFonts w:cs="Arial"/>
                <w:spacing w:val="-1"/>
                <w:szCs w:val="20"/>
                <w:lang w:val="en-US" w:eastAsia="en-AU"/>
              </w:rPr>
              <w:br/>
              <w:t>200 ha</w:t>
            </w: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Mar>
              <w:top w:w="170" w:type="dxa"/>
              <w:left w:w="142" w:type="dxa"/>
              <w:bottom w:w="170" w:type="dxa"/>
              <w:right w:w="142" w:type="dxa"/>
            </w:tcMar>
          </w:tcPr>
          <w:p w:rsidR="00CC40B7" w:rsidRPr="007D3779" w:rsidRDefault="00CC40B7" w:rsidP="00B70B38">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paddocks, roads, creeks, rivers, large gullies</w:t>
            </w:r>
          </w:p>
        </w:tc>
        <w:tc>
          <w:tcPr>
            <w:tcW w:w="34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C40B7" w:rsidRPr="007D3779" w:rsidRDefault="00C1359F" w:rsidP="00CC40B7">
            <w:pPr>
              <w:autoSpaceDE w:val="0"/>
              <w:autoSpaceDN w:val="0"/>
              <w:adjustRightInd w:val="0"/>
              <w:spacing w:after="0" w:line="240" w:lineRule="auto"/>
              <w:rPr>
                <w:rFonts w:cs="Arial"/>
                <w:szCs w:val="20"/>
                <w:lang w:eastAsia="en-AU"/>
              </w:rPr>
            </w:pPr>
            <w:r w:rsidRPr="007D3779">
              <w:rPr>
                <w:rFonts w:cs="Arial"/>
                <w:noProof/>
                <w:szCs w:val="20"/>
                <w:lang w:eastAsia="en-AU"/>
              </w:rPr>
              <w:drawing>
                <wp:inline distT="0" distB="0" distL="0" distR="0" wp14:anchorId="77EF5FBE" wp14:editId="353903B8">
                  <wp:extent cx="2181225" cy="1228725"/>
                  <wp:effectExtent l="0" t="0" r="9525" b="9525"/>
                  <wp:docPr id="3" name="Picture 3" descr="W:\Design archives\2018 Design files archives\COR537.0618_Erin Location Data Standards\Links\1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Design archives\2018 Design files archives\COR537.0618_Erin Location Data Standards\Links\100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inline>
              </w:drawing>
            </w:r>
          </w:p>
        </w:tc>
      </w:tr>
      <w:tr w:rsidR="00956E7A" w:rsidRPr="007D3779" w:rsidTr="00065A2B">
        <w:trPr>
          <w:trHeight w:val="1800"/>
        </w:trPr>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1:100,000</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1000 m</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 200 – 20,000 ha</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pacing w:val="-2"/>
                <w:szCs w:val="20"/>
                <w:lang w:val="en-US" w:eastAsia="en-AU"/>
              </w:rPr>
              <w:t>large rivers, major roads and highways, large geomorphic features, planning zones, large reserves, urban areas</w:t>
            </w:r>
          </w:p>
        </w:tc>
        <w:tc>
          <w:tcPr>
            <w:tcW w:w="34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C40B7" w:rsidRPr="007D3779" w:rsidRDefault="00C1359F" w:rsidP="00CC40B7">
            <w:pPr>
              <w:autoSpaceDE w:val="0"/>
              <w:autoSpaceDN w:val="0"/>
              <w:adjustRightInd w:val="0"/>
              <w:spacing w:after="0" w:line="240" w:lineRule="auto"/>
              <w:rPr>
                <w:rFonts w:cs="Arial"/>
                <w:szCs w:val="20"/>
                <w:lang w:eastAsia="en-AU"/>
              </w:rPr>
            </w:pPr>
            <w:r w:rsidRPr="007D3779">
              <w:rPr>
                <w:rFonts w:cs="Arial"/>
                <w:noProof/>
                <w:szCs w:val="20"/>
                <w:lang w:eastAsia="en-AU"/>
              </w:rPr>
              <w:drawing>
                <wp:inline distT="0" distB="0" distL="0" distR="0" wp14:anchorId="675081E2" wp14:editId="1693A55A">
                  <wp:extent cx="2181225" cy="1228725"/>
                  <wp:effectExtent l="0" t="0" r="9525" b="9525"/>
                  <wp:docPr id="4" name="Picture 4" descr="W:\Design archives\2018 Design files archives\COR537.0618_Erin Location Data Standards\Links\1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Design archives\2018 Design files archives\COR537.0618_Erin Location Data Standards\Links\1000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inline>
              </w:drawing>
            </w:r>
          </w:p>
        </w:tc>
      </w:tr>
      <w:tr w:rsidR="00956E7A" w:rsidRPr="007D3779" w:rsidTr="00065A2B">
        <w:trPr>
          <w:trHeight w:val="2007"/>
        </w:trPr>
        <w:tc>
          <w:tcPr>
            <w:tcW w:w="1280" w:type="dxa"/>
            <w:tcBorders>
              <w:top w:val="single" w:sz="4" w:space="0" w:color="auto"/>
              <w:left w:val="single" w:sz="4" w:space="0" w:color="auto"/>
              <w:bottom w:val="single" w:sz="4" w:space="0" w:color="auto"/>
              <w:right w:val="single" w:sz="4" w:space="0" w:color="auto"/>
            </w:tcBorders>
            <w:shd w:val="clear" w:color="auto" w:fill="FFFFFF" w:themeFill="background1"/>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b/>
                <w:bCs/>
                <w:szCs w:val="20"/>
                <w:lang w:val="en-US" w:eastAsia="en-AU"/>
              </w:rPr>
              <w:t>1:1M</w:t>
            </w:r>
          </w:p>
        </w:tc>
        <w:tc>
          <w:tcPr>
            <w:tcW w:w="1077" w:type="dxa"/>
            <w:tcBorders>
              <w:top w:val="single" w:sz="4" w:space="0" w:color="auto"/>
              <w:left w:val="single" w:sz="4" w:space="0" w:color="auto"/>
              <w:bottom w:val="single" w:sz="4" w:space="0" w:color="auto"/>
              <w:right w:val="single" w:sz="4" w:space="0" w:color="auto"/>
            </w:tcBorders>
            <w:shd w:val="clear" w:color="auto" w:fill="FFFFFF" w:themeFill="background1"/>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10 km</w:t>
            </w:r>
          </w:p>
        </w:tc>
        <w:tc>
          <w:tcPr>
            <w:tcW w:w="1370" w:type="dxa"/>
            <w:tcBorders>
              <w:top w:val="single" w:sz="4" w:space="0" w:color="auto"/>
              <w:left w:val="single" w:sz="4" w:space="0" w:color="auto"/>
              <w:bottom w:val="single" w:sz="4" w:space="0" w:color="auto"/>
              <w:right w:val="single" w:sz="4" w:space="0" w:color="auto"/>
            </w:tcBorders>
            <w:shd w:val="clear" w:color="auto" w:fill="FFFFFF" w:themeFill="background1"/>
            <w:tcMar>
              <w:top w:w="142" w:type="dxa"/>
              <w:left w:w="142" w:type="dxa"/>
              <w:bottom w:w="170" w:type="dxa"/>
              <w:right w:w="142" w:type="dxa"/>
            </w:tcMar>
          </w:tcPr>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zCs w:val="20"/>
                <w:lang w:val="en-US" w:eastAsia="en-AU"/>
              </w:rPr>
              <w:t>&gt; ~ 20,000 ha</w:t>
            </w:r>
          </w:p>
        </w:tc>
        <w:tc>
          <w:tcPr>
            <w:tcW w:w="187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CC40B7" w:rsidRPr="007D3779" w:rsidRDefault="00CC40B7" w:rsidP="00CC40B7">
            <w:pPr>
              <w:autoSpaceDE w:val="0"/>
              <w:autoSpaceDN w:val="0"/>
              <w:adjustRightInd w:val="0"/>
              <w:spacing w:after="0" w:line="240" w:lineRule="auto"/>
              <w:rPr>
                <w:rFonts w:cs="Arial"/>
                <w:szCs w:val="20"/>
                <w:lang w:eastAsia="en-AU"/>
              </w:rPr>
            </w:pPr>
          </w:p>
        </w:tc>
        <w:tc>
          <w:tcPr>
            <w:tcW w:w="344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rsidR="00CC40B7" w:rsidRPr="007D3779" w:rsidRDefault="00C1359F" w:rsidP="00956E7A">
            <w:pPr>
              <w:autoSpaceDE w:val="0"/>
              <w:autoSpaceDN w:val="0"/>
              <w:adjustRightInd w:val="0"/>
              <w:spacing w:after="0" w:line="240" w:lineRule="auto"/>
              <w:rPr>
                <w:rFonts w:cs="Arial"/>
                <w:szCs w:val="20"/>
                <w:lang w:eastAsia="en-AU"/>
              </w:rPr>
            </w:pPr>
            <w:r w:rsidRPr="007D3779">
              <w:rPr>
                <w:rFonts w:cs="Arial"/>
                <w:noProof/>
                <w:szCs w:val="20"/>
                <w:lang w:eastAsia="en-AU"/>
              </w:rPr>
              <w:drawing>
                <wp:inline distT="0" distB="0" distL="0" distR="0" wp14:anchorId="393B36E7" wp14:editId="2FB60127">
                  <wp:extent cx="2181225" cy="1228725"/>
                  <wp:effectExtent l="0" t="0" r="9525" b="9525"/>
                  <wp:docPr id="5" name="Picture 5" descr="W:\Design archives\2018 Design files archives\COR537.0618_Erin Location Data Standards\Links\1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Design archives\2018 Design files archives\COR537.0618_Erin Location Data Standards\Links\1000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inline>
              </w:drawing>
            </w:r>
          </w:p>
        </w:tc>
      </w:tr>
    </w:tbl>
    <w:p w:rsidR="00CC40B7" w:rsidRPr="007D3779" w:rsidRDefault="00CC40B7" w:rsidP="00CC40B7">
      <w:pPr>
        <w:suppressAutoHyphens/>
        <w:autoSpaceDE w:val="0"/>
        <w:autoSpaceDN w:val="0"/>
        <w:adjustRightInd w:val="0"/>
        <w:spacing w:before="170" w:after="0" w:line="380" w:lineRule="atLeast"/>
        <w:textAlignment w:val="center"/>
        <w:rPr>
          <w:rFonts w:cs="Arial"/>
          <w:szCs w:val="20"/>
          <w:lang w:val="en-US" w:eastAsia="en-AU"/>
        </w:rPr>
      </w:pPr>
    </w:p>
    <w:p w:rsidR="00CC40B7" w:rsidRPr="00CC40B7" w:rsidRDefault="00CC40B7" w:rsidP="00CC40B7">
      <w:pPr>
        <w:suppressAutoHyphens/>
        <w:autoSpaceDE w:val="0"/>
        <w:autoSpaceDN w:val="0"/>
        <w:adjustRightInd w:val="0"/>
        <w:spacing w:before="397" w:after="0" w:line="380" w:lineRule="atLeast"/>
        <w:textAlignment w:val="center"/>
        <w:rPr>
          <w:rFonts w:cs="Arial"/>
          <w:spacing w:val="-1"/>
          <w:sz w:val="30"/>
          <w:szCs w:val="30"/>
          <w:lang w:val="en-US" w:eastAsia="en-AU"/>
        </w:rPr>
      </w:pPr>
    </w:p>
    <w:p w:rsidR="00956E7A" w:rsidRPr="00AC0BAF" w:rsidRDefault="00956E7A" w:rsidP="00CC40B7">
      <w:pPr>
        <w:suppressAutoHyphens/>
        <w:autoSpaceDE w:val="0"/>
        <w:autoSpaceDN w:val="0"/>
        <w:adjustRightInd w:val="0"/>
        <w:spacing w:before="397" w:after="0" w:line="380" w:lineRule="atLeast"/>
        <w:textAlignment w:val="center"/>
        <w:rPr>
          <w:rFonts w:cs="Arial"/>
          <w:spacing w:val="-1"/>
          <w:sz w:val="30"/>
          <w:szCs w:val="30"/>
          <w:lang w:val="en-US" w:eastAsia="en-AU"/>
        </w:rPr>
      </w:pPr>
      <w:r w:rsidRPr="00AC0BAF">
        <w:rPr>
          <w:rFonts w:cs="Arial"/>
          <w:spacing w:val="-1"/>
          <w:sz w:val="30"/>
          <w:szCs w:val="30"/>
          <w:lang w:val="en-US" w:eastAsia="en-AU"/>
        </w:rPr>
        <w:br w:type="page"/>
      </w:r>
    </w:p>
    <w:p w:rsidR="00CC40B7" w:rsidRPr="00CC40B7" w:rsidRDefault="00CC40B7" w:rsidP="00B70B38">
      <w:pPr>
        <w:pStyle w:val="Heading2"/>
        <w:rPr>
          <w:b/>
          <w:bCs/>
          <w:sz w:val="32"/>
          <w:szCs w:val="32"/>
        </w:rPr>
      </w:pPr>
      <w:r w:rsidRPr="00CC40B7">
        <w:lastRenderedPageBreak/>
        <w:t>A Special Case: Where you need to show gaps inside an area</w:t>
      </w:r>
    </w:p>
    <w:p w:rsidR="00956E7A" w:rsidRPr="00CC40B7"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CC40B7">
        <w:rPr>
          <w:rFonts w:cs="Arial"/>
          <w:b/>
          <w:bCs/>
          <w:szCs w:val="20"/>
          <w:lang w:val="en-US" w:eastAsia="en-AU"/>
        </w:rPr>
        <w:t>Note:</w:t>
      </w:r>
      <w:r w:rsidRPr="00CC40B7">
        <w:rPr>
          <w:rFonts w:cs="Arial"/>
          <w:szCs w:val="20"/>
          <w:lang w:val="en-US" w:eastAsia="en-AU"/>
        </w:rPr>
        <w:t xml:space="preserve"> You should excise any significant area/s inside a polygon where yo</w:t>
      </w:r>
      <w:r w:rsidR="009C1FC3">
        <w:rPr>
          <w:rFonts w:cs="Arial"/>
          <w:szCs w:val="20"/>
          <w:lang w:val="en-US" w:eastAsia="en-AU"/>
        </w:rPr>
        <w:t xml:space="preserve">ur activity is not applicable. </w:t>
      </w:r>
      <w:r w:rsidRPr="00CC40B7">
        <w:rPr>
          <w:rFonts w:cs="Arial"/>
          <w:szCs w:val="20"/>
          <w:lang w:val="en-US" w:eastAsia="en-AU"/>
        </w:rPr>
        <w:t>Ideally this should be done with a Geographic Information System (GIS) to achieve the kind of mapping shown in the left example. In the right example, the mapper (using a web mapping tool rather than a GIS) has had to ‘cut in’ and around the excluded area. This is acceptable, where users cannot access a GIS. It should be noted that many web mapping tools, including those deployed by the Department, allow uploading of GIS-generated polygons.</w:t>
      </w:r>
    </w:p>
    <w:p w:rsidR="00956E7A" w:rsidRPr="00AC0BAF" w:rsidRDefault="00956E7A" w:rsidP="00CC40B7">
      <w:pPr>
        <w:suppressAutoHyphens/>
        <w:autoSpaceDE w:val="0"/>
        <w:autoSpaceDN w:val="0"/>
        <w:adjustRightInd w:val="0"/>
        <w:spacing w:before="113" w:after="0" w:line="240" w:lineRule="atLeast"/>
        <w:textAlignment w:val="center"/>
        <w:rPr>
          <w:rFonts w:cs="Arial"/>
          <w:sz w:val="18"/>
          <w:szCs w:val="18"/>
          <w:lang w:val="en-US" w:eastAsia="en-AU"/>
        </w:rPr>
      </w:pPr>
      <w:r w:rsidRPr="00AC0BAF">
        <w:rPr>
          <w:rFonts w:cs="Arial"/>
          <w:noProof/>
          <w:sz w:val="24"/>
          <w:szCs w:val="24"/>
          <w:lang w:eastAsia="en-AU"/>
        </w:rPr>
        <w:drawing>
          <wp:inline distT="0" distB="0" distL="0" distR="0" wp14:anchorId="745708B6" wp14:editId="49F61C43">
            <wp:extent cx="2925208" cy="1647825"/>
            <wp:effectExtent l="0" t="0" r="8890" b="0"/>
            <wp:docPr id="6" name="Picture 6" descr="W:\Design archives\2018 Design files archives\COR537.0618_Erin Location Data Standards\Links\preferred appro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Design archives\2018 Design files archives\COR537.0618_Erin Location Data Standards\Links\preferred approach.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3219" cy="1657971"/>
                    </a:xfrm>
                    <a:prstGeom prst="rect">
                      <a:avLst/>
                    </a:prstGeom>
                    <a:noFill/>
                    <a:ln>
                      <a:noFill/>
                    </a:ln>
                  </pic:spPr>
                </pic:pic>
              </a:graphicData>
            </a:graphic>
          </wp:inline>
        </w:drawing>
      </w:r>
      <w:r w:rsidRPr="00AC0BAF">
        <w:rPr>
          <w:rFonts w:cs="Arial"/>
          <w:noProof/>
          <w:sz w:val="24"/>
          <w:szCs w:val="24"/>
          <w:lang w:eastAsia="en-AU"/>
        </w:rPr>
        <w:drawing>
          <wp:inline distT="0" distB="0" distL="0" distR="0" wp14:anchorId="01A710C8" wp14:editId="013B855A">
            <wp:extent cx="2933700" cy="1647580"/>
            <wp:effectExtent l="0" t="0" r="0" b="0"/>
            <wp:docPr id="7" name="Picture 7" descr="W:\Design archives\2018 Design files archives\COR537.0618_Erin Location Data Standards\Links\acceptable appro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Design archives\2018 Design files archives\COR537.0618_Erin Location Data Standards\Links\acceptable approach.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49117" cy="1656238"/>
                    </a:xfrm>
                    <a:prstGeom prst="rect">
                      <a:avLst/>
                    </a:prstGeom>
                    <a:noFill/>
                    <a:ln>
                      <a:noFill/>
                    </a:ln>
                  </pic:spPr>
                </pic:pic>
              </a:graphicData>
            </a:graphic>
          </wp:inline>
        </w:drawing>
      </w:r>
    </w:p>
    <w:p w:rsidR="00CC40B7" w:rsidRPr="00CC40B7" w:rsidRDefault="00CC40B7" w:rsidP="00CC40B7">
      <w:pPr>
        <w:suppressAutoHyphens/>
        <w:autoSpaceDE w:val="0"/>
        <w:autoSpaceDN w:val="0"/>
        <w:adjustRightInd w:val="0"/>
        <w:spacing w:before="113" w:after="0" w:line="240" w:lineRule="atLeast"/>
        <w:textAlignment w:val="center"/>
        <w:rPr>
          <w:rFonts w:cs="Arial"/>
          <w:sz w:val="18"/>
          <w:szCs w:val="18"/>
          <w:lang w:val="en-US" w:eastAsia="en-AU"/>
        </w:rPr>
      </w:pPr>
      <w:r w:rsidRPr="00CC40B7">
        <w:rPr>
          <w:rFonts w:cs="Arial"/>
          <w:sz w:val="18"/>
          <w:szCs w:val="18"/>
          <w:lang w:val="en-US" w:eastAsia="en-AU"/>
        </w:rPr>
        <w:t>Preferred approach</w:t>
      </w:r>
      <w:r w:rsidRPr="00CC40B7">
        <w:rPr>
          <w:rFonts w:cs="Arial"/>
          <w:sz w:val="18"/>
          <w:szCs w:val="18"/>
          <w:lang w:val="en-US" w:eastAsia="en-AU"/>
        </w:rPr>
        <w:tab/>
      </w:r>
      <w:r w:rsidRPr="00CC40B7">
        <w:rPr>
          <w:rFonts w:cs="Arial"/>
          <w:sz w:val="18"/>
          <w:szCs w:val="18"/>
          <w:lang w:val="en-US" w:eastAsia="en-AU"/>
        </w:rPr>
        <w:tab/>
      </w:r>
      <w:r w:rsidRPr="00CC40B7">
        <w:rPr>
          <w:rFonts w:cs="Arial"/>
          <w:sz w:val="18"/>
          <w:szCs w:val="18"/>
          <w:lang w:val="en-US" w:eastAsia="en-AU"/>
        </w:rPr>
        <w:tab/>
        <w:t xml:space="preserve">                              Acceptable but not preferred approach</w:t>
      </w:r>
    </w:p>
    <w:p w:rsidR="00CC40B7" w:rsidRPr="00CC40B7" w:rsidRDefault="00CC40B7" w:rsidP="00B70B38">
      <w:pPr>
        <w:pStyle w:val="Heading2"/>
        <w:rPr>
          <w:sz w:val="32"/>
          <w:szCs w:val="32"/>
        </w:rPr>
      </w:pPr>
      <w:r w:rsidRPr="00CC40B7">
        <w:t xml:space="preserve">Appendix 2: Service capabilities for repository </w:t>
      </w:r>
      <w:proofErr w:type="spellStart"/>
      <w:r w:rsidRPr="00CC40B7">
        <w:t>organisations</w:t>
      </w:r>
      <w:proofErr w:type="spellEnd"/>
    </w:p>
    <w:p w:rsidR="00CC40B7" w:rsidRPr="007D3779" w:rsidRDefault="00CC40B7" w:rsidP="00CC40B7">
      <w:pPr>
        <w:suppressAutoHyphens/>
        <w:autoSpaceDE w:val="0"/>
        <w:autoSpaceDN w:val="0"/>
        <w:adjustRightInd w:val="0"/>
        <w:spacing w:before="170" w:after="0" w:line="280" w:lineRule="atLeast"/>
        <w:textAlignment w:val="center"/>
        <w:rPr>
          <w:rFonts w:cs="Arial"/>
          <w:szCs w:val="20"/>
          <w:lang w:val="en-US" w:eastAsia="en-AU"/>
        </w:rPr>
      </w:pPr>
      <w:r w:rsidRPr="007D3779">
        <w:rPr>
          <w:rFonts w:cs="Arial"/>
          <w:spacing w:val="1"/>
          <w:szCs w:val="20"/>
          <w:lang w:val="en-US" w:eastAsia="en-AU"/>
        </w:rPr>
        <w:t xml:space="preserve">To allow for adequate decision making and reporting, the Department requires access to all spatial and non-spatial data generated and collected in the management of publicly funded, on-ground investments (grants and procurements) for environmental and natural resource management outcomes. Third party </w:t>
      </w:r>
      <w:proofErr w:type="spellStart"/>
      <w:r w:rsidRPr="007D3779">
        <w:rPr>
          <w:rFonts w:cs="Arial"/>
          <w:szCs w:val="20"/>
          <w:lang w:val="en-US" w:eastAsia="en-AU"/>
        </w:rPr>
        <w:t>organisations</w:t>
      </w:r>
      <w:proofErr w:type="spellEnd"/>
      <w:r w:rsidRPr="007D3779">
        <w:rPr>
          <w:rFonts w:cs="Arial"/>
          <w:szCs w:val="20"/>
          <w:lang w:val="en-US" w:eastAsia="en-AU"/>
        </w:rPr>
        <w:t xml:space="preserve"> may be publicly funded to act as repositories for collating and storing spatial and non-spatial data generated (and owned) by project managers. As well as data management, synthesis and reporting, it is </w:t>
      </w:r>
      <w:r w:rsidRPr="007D3779">
        <w:rPr>
          <w:rFonts w:cs="Arial"/>
          <w:spacing w:val="-1"/>
          <w:szCs w:val="20"/>
          <w:lang w:val="en-US" w:eastAsia="en-AU"/>
        </w:rPr>
        <w:t xml:space="preserve">essential that these repositories provide the Department access to the raw underlying data (not just </w:t>
      </w:r>
      <w:proofErr w:type="spellStart"/>
      <w:r w:rsidRPr="007D3779">
        <w:rPr>
          <w:rFonts w:cs="Arial"/>
          <w:spacing w:val="-1"/>
          <w:szCs w:val="20"/>
          <w:lang w:val="en-US" w:eastAsia="en-AU"/>
        </w:rPr>
        <w:t>synthesised</w:t>
      </w:r>
      <w:proofErr w:type="spellEnd"/>
      <w:r w:rsidRPr="007D3779">
        <w:rPr>
          <w:rFonts w:cs="Arial"/>
          <w:spacing w:val="-1"/>
          <w:szCs w:val="20"/>
          <w:lang w:val="en-US" w:eastAsia="en-AU"/>
        </w:rPr>
        <w:t xml:space="preserve"> reports). Data should also be collected to the highest possible standard, with appropriate handling of sensitivities.</w:t>
      </w:r>
    </w:p>
    <w:p w:rsidR="00CC40B7" w:rsidRPr="007D3779" w:rsidRDefault="00CC40B7" w:rsidP="00CC40B7">
      <w:pPr>
        <w:suppressAutoHyphens/>
        <w:autoSpaceDE w:val="0"/>
        <w:autoSpaceDN w:val="0"/>
        <w:adjustRightInd w:val="0"/>
        <w:spacing w:before="170" w:after="113" w:line="280" w:lineRule="atLeast"/>
        <w:textAlignment w:val="center"/>
        <w:rPr>
          <w:rFonts w:cs="Arial"/>
          <w:szCs w:val="20"/>
          <w:lang w:val="en-US" w:eastAsia="en-AU"/>
        </w:rPr>
      </w:pPr>
      <w:r w:rsidRPr="007D3779">
        <w:rPr>
          <w:rFonts w:cs="Arial"/>
          <w:spacing w:val="-2"/>
          <w:szCs w:val="20"/>
          <w:lang w:val="en-US" w:eastAsia="en-AU"/>
        </w:rPr>
        <w:t xml:space="preserve">The following service capabilities apply for publicly funded repositories of spatial data and associated non-spatial data. The repository </w:t>
      </w:r>
      <w:proofErr w:type="spellStart"/>
      <w:r w:rsidRPr="007D3779">
        <w:rPr>
          <w:rFonts w:cs="Arial"/>
          <w:spacing w:val="-2"/>
          <w:szCs w:val="20"/>
          <w:lang w:val="en-US" w:eastAsia="en-AU"/>
        </w:rPr>
        <w:t>organisation</w:t>
      </w:r>
      <w:proofErr w:type="spellEnd"/>
      <w:r w:rsidRPr="007D3779">
        <w:rPr>
          <w:rFonts w:cs="Arial"/>
          <w:spacing w:val="-2"/>
          <w:szCs w:val="20"/>
          <w:lang w:val="en-US" w:eastAsia="en-AU"/>
        </w:rPr>
        <w:t xml:space="preserve"> should: </w:t>
      </w:r>
    </w:p>
    <w:p w:rsidR="00CC40B7" w:rsidRPr="007D3779" w:rsidRDefault="00CC40B7" w:rsidP="00EF598D">
      <w:pPr>
        <w:numPr>
          <w:ilvl w:val="0"/>
          <w:numId w:val="9"/>
        </w:numPr>
        <w:suppressAutoHyphens/>
        <w:autoSpaceDE w:val="0"/>
        <w:autoSpaceDN w:val="0"/>
        <w:adjustRightInd w:val="0"/>
        <w:spacing w:before="57" w:after="0" w:line="280" w:lineRule="atLeast"/>
        <w:textAlignment w:val="center"/>
        <w:rPr>
          <w:rFonts w:cs="Arial"/>
          <w:szCs w:val="20"/>
          <w:lang w:val="en-US" w:eastAsia="en-AU"/>
        </w:rPr>
      </w:pPr>
      <w:r w:rsidRPr="007D3779">
        <w:rPr>
          <w:rFonts w:cs="Arial"/>
          <w:szCs w:val="20"/>
          <w:lang w:val="en-US" w:eastAsia="en-AU"/>
        </w:rPr>
        <w:t>Provide clear guidance, as per Appendix 1 above, to managers of individual projects (i.e. who capture field location data) on procedures for capture and upload of ESRI-readable spatial data (GDA94 polygon shapefiles, or Google KML files) and associated attributes for on-ground investment actions.</w:t>
      </w:r>
    </w:p>
    <w:p w:rsidR="00CC40B7" w:rsidRPr="007D3779" w:rsidRDefault="00CC40B7" w:rsidP="00EF598D">
      <w:pPr>
        <w:numPr>
          <w:ilvl w:val="0"/>
          <w:numId w:val="9"/>
        </w:numPr>
        <w:suppressAutoHyphens/>
        <w:autoSpaceDE w:val="0"/>
        <w:autoSpaceDN w:val="0"/>
        <w:adjustRightInd w:val="0"/>
        <w:spacing w:before="113" w:after="0" w:line="280" w:lineRule="atLeast"/>
        <w:textAlignment w:val="center"/>
        <w:rPr>
          <w:rFonts w:cs="Arial"/>
          <w:szCs w:val="20"/>
          <w:lang w:val="en-US" w:eastAsia="en-AU"/>
        </w:rPr>
      </w:pPr>
      <w:r w:rsidRPr="007D3779">
        <w:rPr>
          <w:rFonts w:cs="Arial"/>
          <w:spacing w:val="-1"/>
          <w:szCs w:val="20"/>
          <w:lang w:val="en-US" w:eastAsia="en-AU"/>
        </w:rPr>
        <w:t xml:space="preserve">Publish standard words for agreements with all individual data custodians (project managers) that provide </w:t>
      </w:r>
      <w:r w:rsidRPr="007D3779">
        <w:rPr>
          <w:rFonts w:cs="Arial"/>
          <w:szCs w:val="20"/>
          <w:lang w:val="en-US" w:eastAsia="en-AU"/>
        </w:rPr>
        <w:t xml:space="preserve">the Department a perpetual, irrevocable, world-wide, royalty-free, non-exclusive </w:t>
      </w:r>
      <w:r w:rsidR="00697B05" w:rsidRPr="007D3779">
        <w:rPr>
          <w:rFonts w:cs="Arial"/>
          <w:szCs w:val="20"/>
          <w:lang w:val="en-US" w:eastAsia="en-AU"/>
        </w:rPr>
        <w:t>license</w:t>
      </w:r>
      <w:r w:rsidRPr="007D3779">
        <w:rPr>
          <w:rFonts w:cs="Arial"/>
          <w:szCs w:val="20"/>
          <w:lang w:val="en-US" w:eastAsia="en-AU"/>
        </w:rPr>
        <w:t xml:space="preserve"> (including the right to novate or assign the </w:t>
      </w:r>
      <w:r w:rsidR="00697B05" w:rsidRPr="007D3779">
        <w:rPr>
          <w:rFonts w:cs="Arial"/>
          <w:szCs w:val="20"/>
          <w:lang w:val="en-US" w:eastAsia="en-AU"/>
        </w:rPr>
        <w:t>license</w:t>
      </w:r>
      <w:r w:rsidRPr="007D3779">
        <w:rPr>
          <w:rFonts w:cs="Arial"/>
          <w:szCs w:val="20"/>
          <w:lang w:val="en-US" w:eastAsia="en-AU"/>
        </w:rPr>
        <w:t xml:space="preserve">, and to sublicense, including under any form of creative commons </w:t>
      </w:r>
      <w:r w:rsidR="00697B05" w:rsidRPr="007D3779">
        <w:rPr>
          <w:rFonts w:cs="Arial"/>
          <w:spacing w:val="1"/>
          <w:szCs w:val="20"/>
          <w:lang w:val="en-US" w:eastAsia="en-AU"/>
        </w:rPr>
        <w:t>license</w:t>
      </w:r>
      <w:r w:rsidRPr="007D3779">
        <w:rPr>
          <w:rFonts w:cs="Arial"/>
          <w:spacing w:val="1"/>
          <w:szCs w:val="20"/>
          <w:lang w:val="en-US" w:eastAsia="en-AU"/>
        </w:rPr>
        <w:t xml:space="preserve"> (available at creativecommons.org.au) that the Department considers appropriate) to use, reproduce, adapt, modify, communicate, broadcast, distribute and publish the Agreement Material (excluding any Secret and Sacred Material) for any Department or Commonwealth purpose.</w:t>
      </w:r>
    </w:p>
    <w:p w:rsidR="00CC40B7" w:rsidRPr="007D3779" w:rsidRDefault="00CC40B7" w:rsidP="00EF598D">
      <w:pPr>
        <w:numPr>
          <w:ilvl w:val="0"/>
          <w:numId w:val="9"/>
        </w:numPr>
        <w:suppressAutoHyphens/>
        <w:autoSpaceDE w:val="0"/>
        <w:autoSpaceDN w:val="0"/>
        <w:adjustRightInd w:val="0"/>
        <w:spacing w:before="113" w:after="0" w:line="280" w:lineRule="atLeast"/>
        <w:textAlignment w:val="center"/>
        <w:rPr>
          <w:rFonts w:cs="Arial"/>
          <w:szCs w:val="20"/>
          <w:lang w:val="en-US" w:eastAsia="en-AU"/>
        </w:rPr>
      </w:pPr>
      <w:r w:rsidRPr="007D3779">
        <w:rPr>
          <w:rFonts w:cs="Arial"/>
          <w:szCs w:val="20"/>
          <w:lang w:val="en-US" w:eastAsia="en-AU"/>
        </w:rPr>
        <w:t xml:space="preserve">Publish and promote standards, as agreed by the Department, to ensure appropriate management of location data deemed sensitive for privacy, security, confidentiality, ecological and/or cultural reasons. The Department’s </w:t>
      </w:r>
      <w:hyperlink r:id="rId19" w:history="1">
        <w:r w:rsidR="00AC0BAF" w:rsidRPr="00B70B38">
          <w:rPr>
            <w:rStyle w:val="Hyperlink"/>
          </w:rPr>
          <w:t>Sensitive Ecological Data—Access and Management Policy V1.0</w:t>
        </w:r>
      </w:hyperlink>
      <w:r w:rsidR="00EF598D">
        <w:rPr>
          <w:rFonts w:cs="Arial"/>
          <w:szCs w:val="20"/>
          <w:lang w:val="en-US" w:eastAsia="en-AU"/>
        </w:rPr>
        <w:t xml:space="preserve"> d</w:t>
      </w:r>
      <w:r w:rsidRPr="007D3779">
        <w:rPr>
          <w:rFonts w:cs="Arial"/>
          <w:szCs w:val="20"/>
          <w:lang w:val="en-US" w:eastAsia="en-AU"/>
        </w:rPr>
        <w:t xml:space="preserve">eals with the management of sensitive ecological data, and its principles should be considered for application to other forms of sensitivity around location data. The </w:t>
      </w:r>
      <w:hyperlink r:id="rId20" w:history="1">
        <w:r w:rsidR="00AC0BAF" w:rsidRPr="00B70B38">
          <w:rPr>
            <w:rStyle w:val="Hyperlink"/>
          </w:rPr>
          <w:t>Australian Privacy Principles</w:t>
        </w:r>
      </w:hyperlink>
      <w:r w:rsidR="00EF598D">
        <w:rPr>
          <w:rFonts w:cs="Arial"/>
          <w:szCs w:val="20"/>
          <w:lang w:val="en-US" w:eastAsia="en-AU"/>
        </w:rPr>
        <w:t xml:space="preserve"> o</w:t>
      </w:r>
      <w:r w:rsidRPr="007D3779">
        <w:rPr>
          <w:rFonts w:cs="Arial"/>
          <w:szCs w:val="20"/>
          <w:lang w:val="en-US" w:eastAsia="en-AU"/>
        </w:rPr>
        <w:t xml:space="preserve">utline how the Department, as an Australian Government agency, must handle, use and manage personal information. </w:t>
      </w:r>
    </w:p>
    <w:p w:rsidR="00CC40B7" w:rsidRPr="007D3779" w:rsidRDefault="00CC40B7" w:rsidP="00EF598D">
      <w:pPr>
        <w:numPr>
          <w:ilvl w:val="0"/>
          <w:numId w:val="9"/>
        </w:numPr>
        <w:suppressAutoHyphens/>
        <w:autoSpaceDE w:val="0"/>
        <w:autoSpaceDN w:val="0"/>
        <w:adjustRightInd w:val="0"/>
        <w:spacing w:before="113" w:after="0" w:line="280" w:lineRule="atLeast"/>
        <w:textAlignment w:val="center"/>
        <w:rPr>
          <w:rFonts w:cs="Arial"/>
          <w:szCs w:val="20"/>
          <w:lang w:val="en-US" w:eastAsia="en-AU"/>
        </w:rPr>
      </w:pPr>
      <w:r w:rsidRPr="007D3779">
        <w:rPr>
          <w:rFonts w:cs="Arial"/>
          <w:spacing w:val="-1"/>
          <w:szCs w:val="20"/>
          <w:lang w:val="en-US" w:eastAsia="en-AU"/>
        </w:rPr>
        <w:t>Provide a continuously ‘live’, accessible, clearly documented (e.g.</w:t>
      </w:r>
      <w:r w:rsidR="00B70B38">
        <w:rPr>
          <w:rFonts w:cs="Arial"/>
          <w:spacing w:val="-1"/>
          <w:szCs w:val="20"/>
          <w:lang w:val="en-US" w:eastAsia="en-AU"/>
        </w:rPr>
        <w:t xml:space="preserve"> </w:t>
      </w:r>
      <w:hyperlink r:id="rId21" w:history="1">
        <w:r w:rsidR="00AC0BAF" w:rsidRPr="00B70B38">
          <w:rPr>
            <w:rStyle w:val="Hyperlink"/>
          </w:rPr>
          <w:t>using OGC Standards</w:t>
        </w:r>
      </w:hyperlink>
      <w:r w:rsidRPr="007D3779">
        <w:rPr>
          <w:rFonts w:cs="Arial"/>
          <w:spacing w:val="-1"/>
          <w:szCs w:val="20"/>
          <w:lang w:val="en-US" w:eastAsia="en-AU"/>
        </w:rPr>
        <w:t xml:space="preserve">), open standards compliant web service, or widely used and well-supported application programming interface (API), </w:t>
      </w:r>
      <w:r w:rsidRPr="007D3779">
        <w:rPr>
          <w:rFonts w:cs="Arial"/>
          <w:spacing w:val="1"/>
          <w:szCs w:val="20"/>
          <w:lang w:val="en-US" w:eastAsia="en-AU"/>
        </w:rPr>
        <w:t>that allows for automated sharing of all spatial and non-spatial data for on ground activity areas, including robust controls to ensure accordance with the prescribed sensitive data management procedures above.</w:t>
      </w:r>
    </w:p>
    <w:p w:rsidR="00CC40B7" w:rsidRPr="007D3779" w:rsidRDefault="00CC40B7" w:rsidP="000F2B4F">
      <w:pPr>
        <w:rPr>
          <w:rFonts w:ascii="Myriad Pro" w:eastAsia="Kozuka Gothic Pro H" w:hAnsi="Myriad Pro" w:cs="Arial"/>
          <w:szCs w:val="20"/>
        </w:rPr>
      </w:pPr>
    </w:p>
    <w:p w:rsidR="00981101" w:rsidRDefault="00981101" w:rsidP="00F74FC3">
      <w:pPr>
        <w:rPr>
          <w:rStyle w:val="TextBold"/>
          <w:rFonts w:ascii="Myriad Pro" w:eastAsia="Kozuka Gothic Pro H" w:hAnsi="Myriad Pro" w:cs="Arial"/>
        </w:rPr>
      </w:pPr>
    </w:p>
    <w:p w:rsidR="00F74FC3" w:rsidRPr="002A2662" w:rsidRDefault="00F74FC3" w:rsidP="00F74FC3">
      <w:pPr>
        <w:rPr>
          <w:rStyle w:val="TextBold"/>
          <w:rFonts w:ascii="Myriad Pro" w:eastAsia="Kozuka Gothic Pro H" w:hAnsi="Myriad Pro" w:cs="Arial"/>
        </w:rPr>
      </w:pPr>
      <w:r w:rsidRPr="002A2662">
        <w:rPr>
          <w:rStyle w:val="TextBold"/>
          <w:rFonts w:ascii="Myriad Pro" w:eastAsia="Kozuka Gothic Pro H" w:hAnsi="Myriad Pro" w:cs="Arial"/>
        </w:rPr>
        <w:lastRenderedPageBreak/>
        <w:t>© Commonwealth of Australia, 201</w:t>
      </w:r>
      <w:r w:rsidR="008A685B" w:rsidRPr="002A2662">
        <w:rPr>
          <w:rStyle w:val="TextBold"/>
          <w:rFonts w:ascii="Myriad Pro" w:eastAsia="Kozuka Gothic Pro H" w:hAnsi="Myriad Pro" w:cs="Arial"/>
        </w:rPr>
        <w:t>8</w:t>
      </w:r>
      <w:r w:rsidRPr="002A2662">
        <w:rPr>
          <w:rStyle w:val="TextBold"/>
          <w:rFonts w:ascii="Myriad Pro" w:eastAsia="Kozuka Gothic Pro H" w:hAnsi="Myriad Pro" w:cs="Arial"/>
        </w:rPr>
        <w:t>.</w:t>
      </w:r>
    </w:p>
    <w:p w:rsidR="00F74FC3" w:rsidRPr="007D3779" w:rsidRDefault="00F74FC3" w:rsidP="00F74FC3">
      <w:pPr>
        <w:rPr>
          <w:rFonts w:ascii="Myriad Pro" w:eastAsia="Kozuka Gothic Pro H" w:hAnsi="Myriad Pro" w:cs="Arial"/>
          <w:szCs w:val="20"/>
        </w:rPr>
      </w:pPr>
      <w:r w:rsidRPr="007D3779">
        <w:rPr>
          <w:rFonts w:ascii="Myriad Pro" w:eastAsia="Kozuka Gothic Pro H" w:hAnsi="Myriad Pro" w:cs="Arial"/>
          <w:szCs w:val="20"/>
        </w:rPr>
        <w:t>This fact sheet is licensed by Commonwealth of Australia under a Creative</w:t>
      </w:r>
      <w:r w:rsidRPr="007D3779">
        <w:rPr>
          <w:rStyle w:val="nobreak"/>
          <w:rFonts w:ascii="Myriad Pro" w:eastAsia="Kozuka Gothic Pro H" w:hAnsi="Myriad Pro" w:cs="Arial"/>
          <w:szCs w:val="20"/>
        </w:rPr>
        <w:t xml:space="preserve"> </w:t>
      </w:r>
      <w:r w:rsidRPr="007D3779">
        <w:rPr>
          <w:rFonts w:ascii="Myriad Pro" w:eastAsia="Kozuka Gothic Pro H" w:hAnsi="Myriad Pro" w:cs="Arial"/>
          <w:szCs w:val="20"/>
        </w:rPr>
        <w:t xml:space="preserve">Commons Attribution </w:t>
      </w:r>
      <w:r w:rsidR="004F465C" w:rsidRPr="007D3779">
        <w:rPr>
          <w:rFonts w:ascii="Myriad Pro" w:eastAsia="Kozuka Gothic Pro H" w:hAnsi="Myriad Pro" w:cs="Arial"/>
          <w:szCs w:val="20"/>
        </w:rPr>
        <w:t>4</w:t>
      </w:r>
      <w:r w:rsidRPr="007D3779">
        <w:rPr>
          <w:rFonts w:ascii="Myriad Pro" w:eastAsia="Kozuka Gothic Pro H" w:hAnsi="Myriad Pro" w:cs="Arial"/>
          <w:szCs w:val="20"/>
        </w:rPr>
        <w:t xml:space="preserve">.0 </w:t>
      </w:r>
      <w:r w:rsidR="0050266D" w:rsidRPr="007D3779">
        <w:rPr>
          <w:rFonts w:ascii="Myriad Pro" w:eastAsia="Kozuka Gothic Pro H" w:hAnsi="Myriad Pro" w:cs="Arial"/>
          <w:szCs w:val="20"/>
        </w:rPr>
        <w:t>International</w:t>
      </w:r>
      <w:r w:rsidRPr="007D3779">
        <w:rPr>
          <w:rFonts w:ascii="Myriad Pro" w:eastAsia="Kozuka Gothic Pro H" w:hAnsi="Myriad Pro" w:cs="Arial"/>
          <w:szCs w:val="20"/>
        </w:rPr>
        <w:t xml:space="preserve"> licence. </w:t>
      </w:r>
    </w:p>
    <w:p w:rsidR="00F74FC3" w:rsidRPr="007D3779" w:rsidRDefault="00F74FC3" w:rsidP="00F74FC3">
      <w:pPr>
        <w:rPr>
          <w:rFonts w:ascii="Myriad Pro" w:eastAsia="Kozuka Gothic Pro H" w:hAnsi="Myriad Pro" w:cs="Arial"/>
          <w:szCs w:val="20"/>
        </w:rPr>
      </w:pPr>
      <w:r w:rsidRPr="007D3779">
        <w:rPr>
          <w:rFonts w:ascii="Myriad Pro" w:eastAsia="Kozuka Gothic Pro H" w:hAnsi="Myriad Pro" w:cs="Arial"/>
          <w:szCs w:val="20"/>
        </w:rPr>
        <w:t>The views and opinions expressed in this publication are those of the authors and do not necessarily reflect those of the Australian Government or the Minister for the Environment</w:t>
      </w:r>
      <w:r w:rsidR="001A1B85" w:rsidRPr="007D3779">
        <w:rPr>
          <w:rFonts w:ascii="Myriad Pro" w:eastAsia="Kozuka Gothic Pro H" w:hAnsi="Myriad Pro" w:cs="Arial"/>
          <w:szCs w:val="20"/>
        </w:rPr>
        <w:t xml:space="preserve"> and Energy</w:t>
      </w:r>
      <w:r w:rsidRPr="007D3779">
        <w:rPr>
          <w:rFonts w:ascii="Myriad Pro" w:eastAsia="Kozuka Gothic Pro H" w:hAnsi="Myriad Pro" w:cs="Arial"/>
          <w:szCs w:val="20"/>
        </w:rPr>
        <w:t>.</w:t>
      </w:r>
    </w:p>
    <w:sectPr w:rsidR="00F74FC3" w:rsidRPr="007D3779" w:rsidSect="00B8204E">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B85" w:rsidRDefault="001A1B85" w:rsidP="00A60185">
      <w:pPr>
        <w:spacing w:after="0" w:line="240" w:lineRule="auto"/>
      </w:pPr>
      <w:r>
        <w:separator/>
      </w:r>
    </w:p>
  </w:endnote>
  <w:endnote w:type="continuationSeparator" w:id="0">
    <w:p w:rsidR="001A1B85" w:rsidRDefault="001A1B85"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Times Regular">
    <w:panose1 w:val="00000000000000000000"/>
    <w:charset w:val="00"/>
    <w:family w:val="auto"/>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Kozuka Gothic Pro H">
    <w:panose1 w:val="000000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F045B3">
    <w:pPr>
      <w:pStyle w:val="Footer"/>
      <w:jc w:val="center"/>
    </w:pPr>
    <w:r>
      <w:fldChar w:fldCharType="begin"/>
    </w:r>
    <w:r>
      <w:instrText xml:space="preserve"> PAGE   \* MERGEFORMAT </w:instrText>
    </w:r>
    <w:r>
      <w:fldChar w:fldCharType="separate"/>
    </w:r>
    <w:r w:rsidR="00B70B38">
      <w:rPr>
        <w:noProof/>
      </w:rPr>
      <w:t>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B85" w:rsidRDefault="001A1B85" w:rsidP="00A60185">
      <w:pPr>
        <w:spacing w:after="0" w:line="240" w:lineRule="auto"/>
      </w:pPr>
      <w:r>
        <w:separator/>
      </w:r>
    </w:p>
  </w:footnote>
  <w:footnote w:type="continuationSeparator" w:id="0">
    <w:p w:rsidR="001A1B85" w:rsidRDefault="001A1B85"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E844FB" w:rsidP="00E45765">
    <w:pPr>
      <w:pStyle w:val="Classification"/>
    </w:pPr>
    <w:r>
      <w:fldChar w:fldCharType="begin"/>
    </w:r>
    <w:r w:rsidR="002148E9">
      <w:instrText xml:space="preserve"> DOCPROPERTY SecurityClassification \* MERGEFORMAT </w:instrText>
    </w:r>
    <w:r>
      <w:fldChar w:fldCharType="separate"/>
    </w:r>
    <w:r w:rsidR="001A1B85">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8E03506"/>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42E67FA"/>
    <w:multiLevelType w:val="hybridMultilevel"/>
    <w:tmpl w:val="6BECD0EC"/>
    <w:lvl w:ilvl="0" w:tplc="CF42D61C">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7923E0"/>
    <w:multiLevelType w:val="hybridMultilevel"/>
    <w:tmpl w:val="255810D6"/>
    <w:lvl w:ilvl="0" w:tplc="0C09000F">
      <w:start w:val="1"/>
      <w:numFmt w:val="decimal"/>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F745BC2"/>
    <w:multiLevelType w:val="multilevel"/>
    <w:tmpl w:val="E5E89F92"/>
    <w:numStyleLink w:val="BulletList"/>
  </w:abstractNum>
  <w:abstractNum w:abstractNumId="5" w15:restartNumberingAfterBreak="0">
    <w:nsid w:val="215741D3"/>
    <w:multiLevelType w:val="hybridMultilevel"/>
    <w:tmpl w:val="EF7852DE"/>
    <w:lvl w:ilvl="0" w:tplc="A3068AD8">
      <w:start w:val="1"/>
      <w:numFmt w:val="decimal"/>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4FE5D3D"/>
    <w:multiLevelType w:val="hybridMultilevel"/>
    <w:tmpl w:val="AE96338A"/>
    <w:lvl w:ilvl="0" w:tplc="CF42D61C">
      <w:start w:val="1"/>
      <w:numFmt w:val="lowerLetter"/>
      <w:pStyle w:val="Bullets2"/>
      <w:lvlText w:val="%1."/>
      <w:lvlJc w:val="left"/>
      <w:pPr>
        <w:ind w:left="717" w:hanging="360"/>
      </w:pPr>
      <w:rPr>
        <w:rFonts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A56886"/>
    <w:multiLevelType w:val="hybridMultilevel"/>
    <w:tmpl w:val="6E1CAAD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4ADB7DE4"/>
    <w:multiLevelType w:val="hybridMultilevel"/>
    <w:tmpl w:val="505068AA"/>
    <w:lvl w:ilvl="0" w:tplc="46160E20">
      <w:start w:val="1"/>
      <w:numFmt w:val="decimal"/>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AC0B06"/>
    <w:multiLevelType w:val="hybridMultilevel"/>
    <w:tmpl w:val="0ED0BE48"/>
    <w:lvl w:ilvl="0" w:tplc="0C09000F">
      <w:start w:val="1"/>
      <w:numFmt w:val="decimal"/>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5456429"/>
    <w:multiLevelType w:val="multilevel"/>
    <w:tmpl w:val="E898CC72"/>
    <w:numStyleLink w:val="KeyPoints"/>
  </w:abstractNum>
  <w:abstractNum w:abstractNumId="1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2"/>
  </w:num>
  <w:num w:numId="2">
    <w:abstractNumId w:val="1"/>
  </w:num>
  <w:num w:numId="3">
    <w:abstractNumId w:val="7"/>
  </w:num>
  <w:num w:numId="4">
    <w:abstractNumId w:val="11"/>
  </w:num>
  <w:num w:numId="5">
    <w:abstractNumId w:val="4"/>
  </w:num>
  <w:num w:numId="6">
    <w:abstractNumId w:val="6"/>
  </w:num>
  <w:num w:numId="7">
    <w:abstractNumId w:val="5"/>
  </w:num>
  <w:num w:numId="8">
    <w:abstractNumId w:val="0"/>
  </w:num>
  <w:num w:numId="9">
    <w:abstractNumId w:val="10"/>
  </w:num>
  <w:num w:numId="10">
    <w:abstractNumId w:val="8"/>
  </w:num>
  <w:num w:numId="11">
    <w:abstractNumId w:val="3"/>
  </w:num>
  <w:num w:numId="12">
    <w:abstractNumId w:val="9"/>
  </w:num>
  <w:num w:numId="13">
    <w:abstractNumId w:val="2"/>
  </w:num>
  <w:num w:numId="14">
    <w:abstractNumId w:val="6"/>
    <w:lvlOverride w:ilvl="0">
      <w:startOverride w:val="1"/>
    </w:lvlOverride>
  </w:num>
  <w:num w:numId="15">
    <w:abstractNumId w:val="6"/>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8E06BC"/>
    <w:rsid w:val="00004AEE"/>
    <w:rsid w:val="00005CAA"/>
    <w:rsid w:val="00010210"/>
    <w:rsid w:val="00012D66"/>
    <w:rsid w:val="00015ADA"/>
    <w:rsid w:val="00020C99"/>
    <w:rsid w:val="0002707B"/>
    <w:rsid w:val="0005148E"/>
    <w:rsid w:val="00065A2B"/>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25E"/>
    <w:rsid w:val="000F2B4F"/>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1B85"/>
    <w:rsid w:val="001A51C8"/>
    <w:rsid w:val="001B4CA8"/>
    <w:rsid w:val="001B5EA1"/>
    <w:rsid w:val="001C4F3D"/>
    <w:rsid w:val="001D0CDC"/>
    <w:rsid w:val="001D1D82"/>
    <w:rsid w:val="001E1182"/>
    <w:rsid w:val="001F2063"/>
    <w:rsid w:val="00202C90"/>
    <w:rsid w:val="0021328B"/>
    <w:rsid w:val="00213D66"/>
    <w:rsid w:val="00213DE8"/>
    <w:rsid w:val="002148E9"/>
    <w:rsid w:val="00216118"/>
    <w:rsid w:val="002209AB"/>
    <w:rsid w:val="002251E3"/>
    <w:rsid w:val="00227A95"/>
    <w:rsid w:val="002316BD"/>
    <w:rsid w:val="002473FC"/>
    <w:rsid w:val="00252E3C"/>
    <w:rsid w:val="00252E40"/>
    <w:rsid w:val="00262198"/>
    <w:rsid w:val="00285F1B"/>
    <w:rsid w:val="00292B81"/>
    <w:rsid w:val="002A2662"/>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5147"/>
    <w:rsid w:val="0037016E"/>
    <w:rsid w:val="00372810"/>
    <w:rsid w:val="00372908"/>
    <w:rsid w:val="00383020"/>
    <w:rsid w:val="00394D7E"/>
    <w:rsid w:val="003975FD"/>
    <w:rsid w:val="003A06F9"/>
    <w:rsid w:val="003B057D"/>
    <w:rsid w:val="003B60CC"/>
    <w:rsid w:val="003C1B25"/>
    <w:rsid w:val="003C2443"/>
    <w:rsid w:val="003C5DA3"/>
    <w:rsid w:val="003D4BCD"/>
    <w:rsid w:val="003D6C2B"/>
    <w:rsid w:val="003E01D8"/>
    <w:rsid w:val="003E2100"/>
    <w:rsid w:val="003F6F5B"/>
    <w:rsid w:val="0040342D"/>
    <w:rsid w:val="004106EB"/>
    <w:rsid w:val="0041192D"/>
    <w:rsid w:val="00413EE1"/>
    <w:rsid w:val="0042128E"/>
    <w:rsid w:val="00432B60"/>
    <w:rsid w:val="00440698"/>
    <w:rsid w:val="00446F5D"/>
    <w:rsid w:val="004540E2"/>
    <w:rsid w:val="00454454"/>
    <w:rsid w:val="00460607"/>
    <w:rsid w:val="00467924"/>
    <w:rsid w:val="004712A5"/>
    <w:rsid w:val="0047266F"/>
    <w:rsid w:val="00474426"/>
    <w:rsid w:val="00476D6B"/>
    <w:rsid w:val="00492C16"/>
    <w:rsid w:val="004A0678"/>
    <w:rsid w:val="004A48A3"/>
    <w:rsid w:val="004B0D92"/>
    <w:rsid w:val="004B0EC0"/>
    <w:rsid w:val="004B66F1"/>
    <w:rsid w:val="004C3EA0"/>
    <w:rsid w:val="004C5B3F"/>
    <w:rsid w:val="004F465C"/>
    <w:rsid w:val="004F7169"/>
    <w:rsid w:val="005009A6"/>
    <w:rsid w:val="00500D66"/>
    <w:rsid w:val="0050266D"/>
    <w:rsid w:val="00514C8E"/>
    <w:rsid w:val="00531DBF"/>
    <w:rsid w:val="00545759"/>
    <w:rsid w:val="00545BE0"/>
    <w:rsid w:val="00546930"/>
    <w:rsid w:val="00554C6A"/>
    <w:rsid w:val="00562E85"/>
    <w:rsid w:val="0056332F"/>
    <w:rsid w:val="005719B3"/>
    <w:rsid w:val="0057295E"/>
    <w:rsid w:val="00573AA0"/>
    <w:rsid w:val="00576FD7"/>
    <w:rsid w:val="00581C39"/>
    <w:rsid w:val="005903B6"/>
    <w:rsid w:val="0059310A"/>
    <w:rsid w:val="005A0247"/>
    <w:rsid w:val="005A126E"/>
    <w:rsid w:val="005A452F"/>
    <w:rsid w:val="005B140D"/>
    <w:rsid w:val="005C0FE8"/>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612E"/>
    <w:rsid w:val="00687C92"/>
    <w:rsid w:val="0069534E"/>
    <w:rsid w:val="0069669C"/>
    <w:rsid w:val="00697B05"/>
    <w:rsid w:val="006A1200"/>
    <w:rsid w:val="006A4F4E"/>
    <w:rsid w:val="006A67D8"/>
    <w:rsid w:val="006A6C23"/>
    <w:rsid w:val="006B14DB"/>
    <w:rsid w:val="006B21C4"/>
    <w:rsid w:val="006C4A1A"/>
    <w:rsid w:val="006D0393"/>
    <w:rsid w:val="006D0825"/>
    <w:rsid w:val="006D1A83"/>
    <w:rsid w:val="006E1CFE"/>
    <w:rsid w:val="006F10C4"/>
    <w:rsid w:val="006F40E9"/>
    <w:rsid w:val="006F5603"/>
    <w:rsid w:val="00701400"/>
    <w:rsid w:val="007037CF"/>
    <w:rsid w:val="00706744"/>
    <w:rsid w:val="007167C0"/>
    <w:rsid w:val="00716B8A"/>
    <w:rsid w:val="00720481"/>
    <w:rsid w:val="00733193"/>
    <w:rsid w:val="007352A2"/>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779"/>
    <w:rsid w:val="007D3AD7"/>
    <w:rsid w:val="007E24F6"/>
    <w:rsid w:val="007E7DB1"/>
    <w:rsid w:val="00800F64"/>
    <w:rsid w:val="00801050"/>
    <w:rsid w:val="00802F0B"/>
    <w:rsid w:val="00810A67"/>
    <w:rsid w:val="00833CF7"/>
    <w:rsid w:val="00834CDE"/>
    <w:rsid w:val="00842464"/>
    <w:rsid w:val="00845601"/>
    <w:rsid w:val="00855C5C"/>
    <w:rsid w:val="008713FB"/>
    <w:rsid w:val="008A3C96"/>
    <w:rsid w:val="008A685B"/>
    <w:rsid w:val="008B4019"/>
    <w:rsid w:val="008B65C9"/>
    <w:rsid w:val="008C2D4A"/>
    <w:rsid w:val="008C6E32"/>
    <w:rsid w:val="008D3900"/>
    <w:rsid w:val="008D6E1D"/>
    <w:rsid w:val="008E06BC"/>
    <w:rsid w:val="008F39B4"/>
    <w:rsid w:val="008F4162"/>
    <w:rsid w:val="00903E02"/>
    <w:rsid w:val="00913175"/>
    <w:rsid w:val="00916EDB"/>
    <w:rsid w:val="00920861"/>
    <w:rsid w:val="00922B13"/>
    <w:rsid w:val="009242EF"/>
    <w:rsid w:val="00932291"/>
    <w:rsid w:val="00932861"/>
    <w:rsid w:val="0093408E"/>
    <w:rsid w:val="00952DDF"/>
    <w:rsid w:val="00956E7A"/>
    <w:rsid w:val="00963B6A"/>
    <w:rsid w:val="00970950"/>
    <w:rsid w:val="00981101"/>
    <w:rsid w:val="009812D4"/>
    <w:rsid w:val="00986CEE"/>
    <w:rsid w:val="009920D8"/>
    <w:rsid w:val="009B38BE"/>
    <w:rsid w:val="009C1FC3"/>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4B82"/>
    <w:rsid w:val="00A55F5B"/>
    <w:rsid w:val="00A60185"/>
    <w:rsid w:val="00A661EA"/>
    <w:rsid w:val="00A830E5"/>
    <w:rsid w:val="00A87135"/>
    <w:rsid w:val="00A93280"/>
    <w:rsid w:val="00A951EA"/>
    <w:rsid w:val="00A96A36"/>
    <w:rsid w:val="00AA04D2"/>
    <w:rsid w:val="00AA2150"/>
    <w:rsid w:val="00AA2548"/>
    <w:rsid w:val="00AA58C4"/>
    <w:rsid w:val="00AB11C8"/>
    <w:rsid w:val="00AC08A8"/>
    <w:rsid w:val="00AC0BAF"/>
    <w:rsid w:val="00AD56C8"/>
    <w:rsid w:val="00AD58F2"/>
    <w:rsid w:val="00B0512A"/>
    <w:rsid w:val="00B0529F"/>
    <w:rsid w:val="00B1418B"/>
    <w:rsid w:val="00B21195"/>
    <w:rsid w:val="00B24B22"/>
    <w:rsid w:val="00B25310"/>
    <w:rsid w:val="00B32F8F"/>
    <w:rsid w:val="00B54DE9"/>
    <w:rsid w:val="00B54F43"/>
    <w:rsid w:val="00B553EC"/>
    <w:rsid w:val="00B55E3F"/>
    <w:rsid w:val="00B70B38"/>
    <w:rsid w:val="00B8204E"/>
    <w:rsid w:val="00B93DD0"/>
    <w:rsid w:val="00B97732"/>
    <w:rsid w:val="00BA65A8"/>
    <w:rsid w:val="00BA6D19"/>
    <w:rsid w:val="00BA7461"/>
    <w:rsid w:val="00BA7DA9"/>
    <w:rsid w:val="00BC4215"/>
    <w:rsid w:val="00BD1A6F"/>
    <w:rsid w:val="00BE6D3C"/>
    <w:rsid w:val="00BE7852"/>
    <w:rsid w:val="00BF7CEE"/>
    <w:rsid w:val="00C03880"/>
    <w:rsid w:val="00C1359F"/>
    <w:rsid w:val="00C135CF"/>
    <w:rsid w:val="00C2683F"/>
    <w:rsid w:val="00C3184D"/>
    <w:rsid w:val="00C4714E"/>
    <w:rsid w:val="00C51CCA"/>
    <w:rsid w:val="00C5504F"/>
    <w:rsid w:val="00C57B55"/>
    <w:rsid w:val="00C63376"/>
    <w:rsid w:val="00C74F97"/>
    <w:rsid w:val="00C770B9"/>
    <w:rsid w:val="00C8276E"/>
    <w:rsid w:val="00C842AC"/>
    <w:rsid w:val="00C96688"/>
    <w:rsid w:val="00C96B15"/>
    <w:rsid w:val="00CA0723"/>
    <w:rsid w:val="00CB1690"/>
    <w:rsid w:val="00CC40B7"/>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E75DD"/>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844FB"/>
    <w:rsid w:val="00E91F18"/>
    <w:rsid w:val="00E9226D"/>
    <w:rsid w:val="00EA416C"/>
    <w:rsid w:val="00EA5941"/>
    <w:rsid w:val="00EB60CE"/>
    <w:rsid w:val="00EB7D53"/>
    <w:rsid w:val="00EC196F"/>
    <w:rsid w:val="00EE3146"/>
    <w:rsid w:val="00EF50BB"/>
    <w:rsid w:val="00EF53FF"/>
    <w:rsid w:val="00EF598D"/>
    <w:rsid w:val="00F00192"/>
    <w:rsid w:val="00F01DF6"/>
    <w:rsid w:val="00F0340D"/>
    <w:rsid w:val="00F045B3"/>
    <w:rsid w:val="00F059A6"/>
    <w:rsid w:val="00F20BCD"/>
    <w:rsid w:val="00F23756"/>
    <w:rsid w:val="00F2523A"/>
    <w:rsid w:val="00F25FFA"/>
    <w:rsid w:val="00F310D2"/>
    <w:rsid w:val="00F36F3D"/>
    <w:rsid w:val="00F477BD"/>
    <w:rsid w:val="00F53491"/>
    <w:rsid w:val="00F65A1C"/>
    <w:rsid w:val="00F66F50"/>
    <w:rsid w:val="00F6735B"/>
    <w:rsid w:val="00F74FC3"/>
    <w:rsid w:val="00F82FF8"/>
    <w:rsid w:val="00F8330D"/>
    <w:rsid w:val="00F84305"/>
    <w:rsid w:val="00F8485C"/>
    <w:rsid w:val="00F84BF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A476B4-EFC1-4F83-BC71-B2D7358A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B38"/>
    <w:pPr>
      <w:spacing w:after="200" w:line="276" w:lineRule="auto"/>
    </w:pPr>
    <w:rPr>
      <w:szCs w:val="22"/>
      <w:lang w:eastAsia="en-US"/>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
    <w:qFormat/>
    <w:rsid w:val="00B70B38"/>
    <w:pPr>
      <w:suppressAutoHyphens/>
      <w:autoSpaceDE w:val="0"/>
      <w:autoSpaceDN w:val="0"/>
      <w:adjustRightInd w:val="0"/>
      <w:spacing w:before="397" w:after="120" w:line="380" w:lineRule="atLeast"/>
      <w:textAlignment w:val="center"/>
      <w:outlineLvl w:val="1"/>
    </w:pPr>
    <w:rPr>
      <w:rFonts w:cs="Arial"/>
      <w:sz w:val="30"/>
      <w:szCs w:val="30"/>
      <w:lang w:val="en-US" w:eastAsia="en-AU"/>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B70B38"/>
    <w:rPr>
      <w:rFonts w:cs="Arial"/>
      <w:sz w:val="30"/>
      <w:szCs w:val="30"/>
      <w:lang w:val="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372810"/>
    <w:pPr>
      <w:spacing w:before="120" w:after="120" w:line="360" w:lineRule="auto"/>
    </w:pPr>
    <w:rPr>
      <w:lang w:eastAsia="en-US"/>
    </w:rPr>
  </w:style>
  <w:style w:type="paragraph" w:customStyle="1" w:styleId="Subhead4">
    <w:name w:val="Subhead 4"/>
    <w:next w:val="Text"/>
    <w:uiPriority w:val="99"/>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372810"/>
    <w:pPr>
      <w:spacing w:before="120" w:line="360" w:lineRule="auto"/>
      <w:outlineLvl w:val="0"/>
    </w:pPr>
    <w:rPr>
      <w:lang w:eastAsia="en-US"/>
    </w:rPr>
  </w:style>
  <w:style w:type="paragraph" w:customStyle="1" w:styleId="Bullets2">
    <w:name w:val="Bullets 2"/>
    <w:basedOn w:val="ListBullet2"/>
    <w:uiPriority w:val="99"/>
    <w:qFormat/>
    <w:rsid w:val="00213D66"/>
    <w:pPr>
      <w:numPr>
        <w:ilvl w:val="0"/>
        <w:numId w:val="6"/>
      </w:numPr>
      <w:spacing w:before="120" w:after="0" w:line="360" w:lineRule="auto"/>
      <w:outlineLvl w:val="1"/>
    </w:pPr>
    <w:rPr>
      <w:szCs w:val="20"/>
    </w:rPr>
  </w:style>
  <w:style w:type="paragraph" w:customStyle="1" w:styleId="Intro">
    <w:name w:val="Intro"/>
    <w:basedOn w:val="Text"/>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paragraph" w:customStyle="1" w:styleId="NoParagraphStyle">
    <w:name w:val="[No Paragraph Style]"/>
    <w:rsid w:val="008E06BC"/>
    <w:pPr>
      <w:widowControl w:val="0"/>
      <w:autoSpaceDE w:val="0"/>
      <w:autoSpaceDN w:val="0"/>
      <w:adjustRightInd w:val="0"/>
      <w:spacing w:line="288" w:lineRule="auto"/>
      <w:textAlignment w:val="center"/>
    </w:pPr>
    <w:rPr>
      <w:rFonts w:ascii="Times Regular" w:eastAsiaTheme="minorEastAsia" w:hAnsi="Times Regular" w:cs="Times Regular"/>
      <w:color w:val="000000"/>
      <w:sz w:val="24"/>
      <w:szCs w:val="24"/>
      <w:lang w:val="en-US"/>
    </w:rPr>
  </w:style>
  <w:style w:type="paragraph" w:customStyle="1" w:styleId="Covertitle0">
    <w:name w:val="Cover title"/>
    <w:basedOn w:val="NoParagraphStyle"/>
    <w:uiPriority w:val="99"/>
    <w:rsid w:val="008E06BC"/>
    <w:pPr>
      <w:suppressAutoHyphens/>
      <w:spacing w:line="660" w:lineRule="atLeast"/>
    </w:pPr>
    <w:rPr>
      <w:rFonts w:ascii="Myriad Pro" w:hAnsi="Myriad Pro" w:cs="Myriad Pro"/>
      <w:color w:val="134F8E"/>
      <w:sz w:val="58"/>
      <w:szCs w:val="58"/>
      <w:lang w:val="en-GB"/>
    </w:rPr>
  </w:style>
  <w:style w:type="paragraph" w:customStyle="1" w:styleId="Coverdate">
    <w:name w:val="Cover date"/>
    <w:basedOn w:val="NoParagraphStyle"/>
    <w:uiPriority w:val="99"/>
    <w:rsid w:val="008E06BC"/>
    <w:pPr>
      <w:suppressAutoHyphens/>
      <w:spacing w:before="340"/>
    </w:pPr>
    <w:rPr>
      <w:rFonts w:ascii="Myriad Pro" w:hAnsi="Myriad Pro" w:cs="Myriad Pro"/>
      <w:sz w:val="28"/>
      <w:szCs w:val="28"/>
      <w:lang w:val="en-GB"/>
    </w:rPr>
  </w:style>
  <w:style w:type="paragraph" w:customStyle="1" w:styleId="CaseStudy">
    <w:name w:val="Case Study"/>
    <w:basedOn w:val="Subhead2"/>
    <w:uiPriority w:val="99"/>
    <w:rsid w:val="008E06BC"/>
    <w:pPr>
      <w:widowControl w:val="0"/>
      <w:suppressAutoHyphens/>
      <w:autoSpaceDE w:val="0"/>
      <w:autoSpaceDN w:val="0"/>
      <w:adjustRightInd w:val="0"/>
      <w:spacing w:before="397" w:after="0" w:line="380" w:lineRule="atLeast"/>
      <w:textAlignment w:val="center"/>
    </w:pPr>
    <w:rPr>
      <w:rFonts w:ascii="Myriad Pro Light" w:eastAsiaTheme="minorEastAsia" w:hAnsi="Myriad Pro Light" w:cs="Myriad Pro Light"/>
      <w:b w:val="0"/>
      <w:color w:val="134F8E"/>
      <w:sz w:val="22"/>
      <w:lang w:val="en-US" w:eastAsia="en-AU"/>
    </w:rPr>
  </w:style>
  <w:style w:type="paragraph" w:styleId="BodyText">
    <w:name w:val="Body Text"/>
    <w:basedOn w:val="Normal"/>
    <w:link w:val="BodyTextChar"/>
    <w:uiPriority w:val="99"/>
    <w:rsid w:val="008E06BC"/>
    <w:pPr>
      <w:widowControl w:val="0"/>
      <w:autoSpaceDE w:val="0"/>
      <w:autoSpaceDN w:val="0"/>
      <w:adjustRightInd w:val="0"/>
      <w:spacing w:before="120" w:after="120" w:line="264" w:lineRule="auto"/>
      <w:textAlignment w:val="center"/>
    </w:pPr>
    <w:rPr>
      <w:rFonts w:eastAsiaTheme="minorEastAsia" w:cs="Arial"/>
      <w:color w:val="000000"/>
      <w:szCs w:val="20"/>
      <w:lang w:val="en-US" w:eastAsia="en-AU"/>
    </w:rPr>
  </w:style>
  <w:style w:type="character" w:customStyle="1" w:styleId="BodyTextChar">
    <w:name w:val="Body Text Char"/>
    <w:basedOn w:val="DefaultParagraphFont"/>
    <w:link w:val="BodyText"/>
    <w:uiPriority w:val="99"/>
    <w:rsid w:val="008E06BC"/>
    <w:rPr>
      <w:rFonts w:eastAsiaTheme="minorEastAsia" w:cs="Arial"/>
      <w:color w:val="000000"/>
      <w:lang w:val="en-US"/>
    </w:rPr>
  </w:style>
  <w:style w:type="character" w:styleId="Hyperlink">
    <w:name w:val="Hyperlink"/>
    <w:basedOn w:val="DefaultParagraphFont"/>
    <w:uiPriority w:val="99"/>
    <w:rsid w:val="00B70B38"/>
    <w:rPr>
      <w:color w:val="0000FF"/>
      <w:w w:val="100"/>
      <w:sz w:val="20"/>
      <w:u w:val="thick" w:color="0000FF"/>
    </w:rPr>
  </w:style>
  <w:style w:type="paragraph" w:customStyle="1" w:styleId="Coversubtitle0">
    <w:name w:val="Cover subtitle"/>
    <w:basedOn w:val="NoParagraphStyle"/>
    <w:uiPriority w:val="99"/>
    <w:rsid w:val="008A685B"/>
    <w:pPr>
      <w:widowControl/>
      <w:suppressAutoHyphens/>
      <w:spacing w:before="340"/>
    </w:pPr>
    <w:rPr>
      <w:rFonts w:ascii="Myriad Pro" w:eastAsia="Calibri" w:hAnsi="Myriad Pro" w:cs="Myriad Pro"/>
      <w:sz w:val="30"/>
      <w:szCs w:val="30"/>
      <w:lang w:val="en-GB"/>
    </w:rPr>
  </w:style>
  <w:style w:type="character" w:customStyle="1" w:styleId="TextItalic">
    <w:name w:val="Text Italic"/>
    <w:uiPriority w:val="99"/>
    <w:rsid w:val="008A685B"/>
    <w:rPr>
      <w:i/>
      <w:iCs/>
    </w:rPr>
  </w:style>
  <w:style w:type="paragraph" w:styleId="ListParagraph">
    <w:name w:val="List Paragraph"/>
    <w:basedOn w:val="Normal"/>
    <w:uiPriority w:val="34"/>
    <w:rsid w:val="00446F5D"/>
    <w:pPr>
      <w:ind w:left="720"/>
      <w:contextualSpacing/>
    </w:pPr>
  </w:style>
  <w:style w:type="character" w:styleId="FollowedHyperlink">
    <w:name w:val="FollowedHyperlink"/>
    <w:basedOn w:val="DefaultParagraphFont"/>
    <w:uiPriority w:val="99"/>
    <w:semiHidden/>
    <w:unhideWhenUsed/>
    <w:rsid w:val="00213D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0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mc.gov.au/public-data/public-data-policy"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opengeospatial.org/standards/wms" TargetMode="External"/><Relationship Id="rId7" Type="http://schemas.openxmlformats.org/officeDocument/2006/relationships/image" Target="media/image1.jpeg"/><Relationship Id="rId12" Type="http://schemas.openxmlformats.org/officeDocument/2006/relationships/hyperlink" Target="http://www.environment.gov.au/about-us/environmental-information-data/web-services%20" TargetMode="External"/><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www.oaic.gov.au/privacy-law/privacy-act/australian-privacy-principl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rm.gov.au/system/files/pages/71b6ae5d-51be-47c6-9f0c-11ecb28f6969/files/merit-ready-reckoner.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environment.gov.au/about-us/environmental-information-data/information-policy/sensitive-ecological-data-access-and-management-policy" TargetMode="External"/><Relationship Id="rId19" Type="http://schemas.openxmlformats.org/officeDocument/2006/relationships/hyperlink" Target="http://www.environment.gov.au/system/files/resources/246e674a-feb1-4399-a678-be9f4b6a6800/files/sensitive-ecological-data-access-mgt-policy.pdf" TargetMode="External"/><Relationship Id="rId4" Type="http://schemas.openxmlformats.org/officeDocument/2006/relationships/webSettings" Target="webSettings.xml"/><Relationship Id="rId9" Type="http://schemas.openxmlformats.org/officeDocument/2006/relationships/hyperlink" Target="https://www.oaic.gov.au/privacy-law/privacy-act/australian-privacy-principles" TargetMode="Externa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CAF6145B.dotm</Template>
  <TotalTime>15</TotalTime>
  <Pages>8</Pages>
  <Words>2357</Words>
  <Characters>13438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On-Ground Investment Location Data Capture, Management and Sharing Standards V1.0</dc:title>
  <dc:creator>Department of the Environment and Energy</dc:creator>
  <cp:lastModifiedBy>Durack, Bec</cp:lastModifiedBy>
  <cp:revision>2</cp:revision>
  <dcterms:created xsi:type="dcterms:W3CDTF">2018-09-03T04:02:00Z</dcterms:created>
  <dcterms:modified xsi:type="dcterms:W3CDTF">2018-09-03T04:02:00Z</dcterms:modified>
</cp:coreProperties>
</file>