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D41DE" w14:textId="77777777" w:rsidR="00194EFC" w:rsidRPr="008E62ED" w:rsidRDefault="00194EFC" w:rsidP="00194EFC">
      <w:pPr>
        <w:jc w:val="right"/>
      </w:pPr>
      <w:bookmarkStart w:id="0" w:name="_GoBack"/>
      <w:bookmarkEnd w:id="0"/>
    </w:p>
    <w:p w14:paraId="670D41DF" w14:textId="022440F3" w:rsidR="00194EFC" w:rsidRPr="008E62ED" w:rsidRDefault="00D74C06" w:rsidP="00194EFC">
      <w:pPr>
        <w:spacing w:before="360"/>
        <w:jc w:val="center"/>
      </w:pPr>
      <w:r w:rsidRPr="008E62ED">
        <w:rPr>
          <w:caps/>
          <w:noProof/>
          <w:lang w:eastAsia="en-AU"/>
        </w:rPr>
        <w:drawing>
          <wp:inline distT="0" distB="0" distL="0" distR="0" wp14:anchorId="670D4232" wp14:editId="670D4233">
            <wp:extent cx="2468880" cy="1371600"/>
            <wp:effectExtent l="0" t="0" r="762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8880" cy="1371600"/>
                    </a:xfrm>
                    <a:prstGeom prst="rect">
                      <a:avLst/>
                    </a:prstGeom>
                    <a:noFill/>
                    <a:ln>
                      <a:noFill/>
                    </a:ln>
                  </pic:spPr>
                </pic:pic>
              </a:graphicData>
            </a:graphic>
          </wp:inline>
        </w:drawing>
      </w:r>
    </w:p>
    <w:p w14:paraId="12BE027D" w14:textId="77777777" w:rsidR="00151365" w:rsidRDefault="00151365" w:rsidP="00194EFC">
      <w:pPr>
        <w:spacing w:before="360"/>
        <w:jc w:val="center"/>
        <w:rPr>
          <w:sz w:val="36"/>
          <w:szCs w:val="36"/>
        </w:rPr>
      </w:pPr>
    </w:p>
    <w:p w14:paraId="670D41E1" w14:textId="2998FCD9" w:rsidR="00194EFC" w:rsidRPr="008E62ED" w:rsidRDefault="00D74C06" w:rsidP="00194EFC">
      <w:pPr>
        <w:spacing w:before="360"/>
        <w:jc w:val="center"/>
        <w:rPr>
          <w:sz w:val="36"/>
          <w:szCs w:val="36"/>
        </w:rPr>
      </w:pPr>
      <w:r w:rsidRPr="008E62ED">
        <w:rPr>
          <w:sz w:val="36"/>
          <w:szCs w:val="36"/>
        </w:rPr>
        <w:t xml:space="preserve">Australian Government response to the </w:t>
      </w:r>
      <w:r w:rsidRPr="008E62ED">
        <w:rPr>
          <w:sz w:val="36"/>
          <w:szCs w:val="36"/>
        </w:rPr>
        <w:br/>
      </w:r>
      <w:r>
        <w:rPr>
          <w:sz w:val="36"/>
          <w:szCs w:val="36"/>
        </w:rPr>
        <w:t xml:space="preserve">Senate </w:t>
      </w:r>
      <w:r w:rsidR="00D05AA2" w:rsidRPr="00D05AA2">
        <w:rPr>
          <w:sz w:val="36"/>
          <w:szCs w:val="36"/>
          <w:lang w:val="en"/>
        </w:rPr>
        <w:t xml:space="preserve">Environment and Communications References Committee </w:t>
      </w:r>
      <w:r w:rsidR="00DE1324">
        <w:rPr>
          <w:sz w:val="36"/>
          <w:szCs w:val="36"/>
          <w:lang w:val="en"/>
        </w:rPr>
        <w:t>Report</w:t>
      </w:r>
      <w:r w:rsidRPr="008E62ED">
        <w:rPr>
          <w:sz w:val="36"/>
          <w:szCs w:val="36"/>
        </w:rPr>
        <w:t>:</w:t>
      </w:r>
    </w:p>
    <w:p w14:paraId="670D41E3" w14:textId="7F29DA53" w:rsidR="00194EFC" w:rsidRDefault="00194EFC" w:rsidP="00194EFC">
      <w:pPr>
        <w:spacing w:before="240"/>
        <w:jc w:val="center"/>
        <w:rPr>
          <w:sz w:val="36"/>
          <w:szCs w:val="36"/>
        </w:rPr>
      </w:pPr>
      <w:r>
        <w:rPr>
          <w:sz w:val="36"/>
          <w:szCs w:val="36"/>
        </w:rPr>
        <w:t xml:space="preserve">Protection of Aboriginal rock art of the Burrup Peninsula  </w:t>
      </w:r>
    </w:p>
    <w:p w14:paraId="64BEDC50" w14:textId="24D7967C" w:rsidR="00095A20" w:rsidRDefault="00095A20" w:rsidP="00194EFC">
      <w:pPr>
        <w:spacing w:before="240"/>
        <w:jc w:val="center"/>
        <w:rPr>
          <w:sz w:val="36"/>
          <w:szCs w:val="36"/>
        </w:rPr>
      </w:pPr>
    </w:p>
    <w:p w14:paraId="6E17DF1F" w14:textId="77777777" w:rsidR="00095A20" w:rsidRDefault="00095A20" w:rsidP="00194EFC">
      <w:pPr>
        <w:spacing w:before="240"/>
        <w:jc w:val="center"/>
        <w:rPr>
          <w:sz w:val="36"/>
          <w:szCs w:val="36"/>
        </w:rPr>
      </w:pPr>
    </w:p>
    <w:p w14:paraId="3814E03C" w14:textId="77777777" w:rsidR="00095A20" w:rsidRDefault="00095A20" w:rsidP="00194EFC">
      <w:pPr>
        <w:spacing w:before="240"/>
        <w:jc w:val="center"/>
        <w:rPr>
          <w:sz w:val="36"/>
          <w:szCs w:val="36"/>
        </w:rPr>
      </w:pPr>
    </w:p>
    <w:p w14:paraId="3D45F2CA" w14:textId="77777777" w:rsidR="00095A20" w:rsidRDefault="00095A20" w:rsidP="00194EFC">
      <w:pPr>
        <w:spacing w:before="240"/>
        <w:jc w:val="center"/>
        <w:rPr>
          <w:sz w:val="36"/>
          <w:szCs w:val="36"/>
        </w:rPr>
      </w:pPr>
    </w:p>
    <w:p w14:paraId="1101B945" w14:textId="77777777" w:rsidR="00095A20" w:rsidRDefault="00095A20" w:rsidP="00194EFC">
      <w:pPr>
        <w:spacing w:before="240"/>
        <w:jc w:val="center"/>
        <w:rPr>
          <w:sz w:val="36"/>
          <w:szCs w:val="36"/>
        </w:rPr>
      </w:pPr>
    </w:p>
    <w:p w14:paraId="3240349B" w14:textId="77777777" w:rsidR="00095A20" w:rsidRDefault="00095A20" w:rsidP="00194EFC">
      <w:pPr>
        <w:spacing w:before="240"/>
        <w:jc w:val="center"/>
        <w:rPr>
          <w:sz w:val="36"/>
          <w:szCs w:val="36"/>
        </w:rPr>
      </w:pPr>
    </w:p>
    <w:p w14:paraId="0F1B307F" w14:textId="77777777" w:rsidR="00095A20" w:rsidRDefault="00095A20" w:rsidP="00194EFC">
      <w:pPr>
        <w:spacing w:before="240"/>
        <w:jc w:val="center"/>
        <w:rPr>
          <w:sz w:val="36"/>
          <w:szCs w:val="36"/>
        </w:rPr>
      </w:pPr>
    </w:p>
    <w:p w14:paraId="3576AEED" w14:textId="77777777" w:rsidR="00095A20" w:rsidRDefault="00095A20" w:rsidP="00194EFC">
      <w:pPr>
        <w:spacing w:before="240"/>
        <w:jc w:val="center"/>
        <w:rPr>
          <w:sz w:val="36"/>
          <w:szCs w:val="36"/>
        </w:rPr>
      </w:pPr>
    </w:p>
    <w:p w14:paraId="1C3A5CAD" w14:textId="77777777" w:rsidR="00095A20" w:rsidRDefault="00095A20" w:rsidP="00194EFC">
      <w:pPr>
        <w:spacing w:before="240"/>
        <w:jc w:val="center"/>
        <w:rPr>
          <w:sz w:val="36"/>
          <w:szCs w:val="36"/>
        </w:rPr>
      </w:pPr>
    </w:p>
    <w:p w14:paraId="6A33D2B1" w14:textId="48923C36" w:rsidR="00095A20" w:rsidRDefault="00976D0C" w:rsidP="003D7CC5">
      <w:pPr>
        <w:spacing w:before="240"/>
        <w:jc w:val="right"/>
        <w:rPr>
          <w:sz w:val="36"/>
          <w:szCs w:val="36"/>
        </w:rPr>
      </w:pPr>
      <w:r>
        <w:rPr>
          <w:sz w:val="36"/>
          <w:szCs w:val="36"/>
        </w:rPr>
        <w:t>June</w:t>
      </w:r>
      <w:r w:rsidR="00C832B8" w:rsidRPr="00C832B8">
        <w:rPr>
          <w:sz w:val="36"/>
          <w:szCs w:val="36"/>
        </w:rPr>
        <w:t xml:space="preserve"> </w:t>
      </w:r>
      <w:r w:rsidR="00FD1AAA">
        <w:rPr>
          <w:sz w:val="36"/>
          <w:szCs w:val="36"/>
        </w:rPr>
        <w:t>2020</w:t>
      </w:r>
    </w:p>
    <w:p w14:paraId="670D41E5" w14:textId="77777777" w:rsidR="00194EFC" w:rsidRPr="008E62ED" w:rsidRDefault="00D74C06">
      <w:pPr>
        <w:spacing w:after="160" w:line="259" w:lineRule="auto"/>
        <w:rPr>
          <w:sz w:val="28"/>
          <w:szCs w:val="28"/>
          <w:highlight w:val="yellow"/>
        </w:rPr>
      </w:pPr>
      <w:r w:rsidRPr="008E62ED">
        <w:rPr>
          <w:sz w:val="28"/>
          <w:szCs w:val="28"/>
          <w:highlight w:val="yellow"/>
        </w:rPr>
        <w:br w:type="page"/>
      </w:r>
    </w:p>
    <w:p w14:paraId="670D41E9" w14:textId="77777777" w:rsidR="00194EFC" w:rsidRPr="008E62ED" w:rsidRDefault="00D74C06" w:rsidP="00194EFC">
      <w:pPr>
        <w:pStyle w:val="Heading2"/>
        <w:rPr>
          <w:rFonts w:ascii="Times New Roman" w:hAnsi="Times New Roman" w:cs="Times New Roman"/>
          <w:sz w:val="24"/>
          <w:szCs w:val="24"/>
        </w:rPr>
      </w:pPr>
      <w:r w:rsidRPr="008E62ED">
        <w:rPr>
          <w:rFonts w:ascii="Times New Roman" w:hAnsi="Times New Roman" w:cs="Times New Roman"/>
          <w:sz w:val="24"/>
          <w:szCs w:val="24"/>
        </w:rPr>
        <w:lastRenderedPageBreak/>
        <w:t>Introduction</w:t>
      </w:r>
    </w:p>
    <w:p w14:paraId="670D41EA" w14:textId="541CCC67" w:rsidR="00194EFC" w:rsidRDefault="00D74C06" w:rsidP="00194EFC">
      <w:pPr>
        <w:spacing w:before="100" w:beforeAutospacing="1" w:after="100" w:afterAutospacing="1"/>
      </w:pPr>
      <w:r w:rsidRPr="00331D6D">
        <w:t xml:space="preserve">On </w:t>
      </w:r>
      <w:r w:rsidR="00194EFC">
        <w:t xml:space="preserve">30 November 2016, the </w:t>
      </w:r>
      <w:r w:rsidRPr="00331D6D">
        <w:t xml:space="preserve">Senate referred the following matter to the Senate </w:t>
      </w:r>
      <w:r>
        <w:t xml:space="preserve">Standing Committee on </w:t>
      </w:r>
      <w:r w:rsidRPr="00331D6D">
        <w:t>Environment and Communications for inquiry and report</w:t>
      </w:r>
      <w:r w:rsidR="00194EFC">
        <w:t xml:space="preserve"> by 21 March 2017</w:t>
      </w:r>
      <w:r>
        <w:t>:</w:t>
      </w:r>
    </w:p>
    <w:p w14:paraId="57A59B9A" w14:textId="52B641E8" w:rsidR="00B770A3" w:rsidRPr="00D23D38" w:rsidRDefault="00B770A3" w:rsidP="00B770A3">
      <w:pPr>
        <w:autoSpaceDE w:val="0"/>
        <w:autoSpaceDN w:val="0"/>
        <w:adjustRightInd w:val="0"/>
        <w:ind w:left="567"/>
        <w:rPr>
          <w:lang w:eastAsia="en-AU"/>
        </w:rPr>
      </w:pPr>
      <w:r w:rsidRPr="00D23D38">
        <w:rPr>
          <w:lang w:eastAsia="en-AU"/>
        </w:rPr>
        <w:t xml:space="preserve">The Commonwealth's responsibility under the </w:t>
      </w:r>
      <w:r w:rsidRPr="00D23D38">
        <w:rPr>
          <w:i/>
          <w:iCs/>
          <w:lang w:eastAsia="en-AU"/>
        </w:rPr>
        <w:t>Environment Protection and</w:t>
      </w:r>
      <w:r>
        <w:rPr>
          <w:i/>
          <w:iCs/>
          <w:lang w:eastAsia="en-AU"/>
        </w:rPr>
        <w:t xml:space="preserve"> </w:t>
      </w:r>
      <w:r w:rsidRPr="00D23D38">
        <w:rPr>
          <w:i/>
          <w:iCs/>
          <w:lang w:eastAsia="en-AU"/>
        </w:rPr>
        <w:t xml:space="preserve">Biodiversity Conservation Act 1999 </w:t>
      </w:r>
      <w:r w:rsidRPr="00D23D38">
        <w:rPr>
          <w:lang w:eastAsia="en-AU"/>
        </w:rPr>
        <w:t>to protect the globally significant and</w:t>
      </w:r>
      <w:r>
        <w:rPr>
          <w:lang w:eastAsia="en-AU"/>
        </w:rPr>
        <w:t xml:space="preserve"> </w:t>
      </w:r>
      <w:r w:rsidRPr="00D23D38">
        <w:rPr>
          <w:lang w:eastAsia="en-AU"/>
        </w:rPr>
        <w:t>National Heritage listed Aboriginal rock art of the Burrup Peninsula in</w:t>
      </w:r>
      <w:r>
        <w:rPr>
          <w:lang w:eastAsia="en-AU"/>
        </w:rPr>
        <w:t xml:space="preserve"> </w:t>
      </w:r>
      <w:r w:rsidRPr="00D23D38">
        <w:rPr>
          <w:lang w:eastAsia="en-AU"/>
        </w:rPr>
        <w:t>Western Australia, with particular reference to:</w:t>
      </w:r>
    </w:p>
    <w:p w14:paraId="074F45A1" w14:textId="77777777" w:rsidR="00B770A3" w:rsidRPr="00D23D38" w:rsidRDefault="00B770A3" w:rsidP="00B770A3">
      <w:pPr>
        <w:autoSpaceDE w:val="0"/>
        <w:autoSpaceDN w:val="0"/>
        <w:adjustRightInd w:val="0"/>
        <w:ind w:left="567"/>
        <w:rPr>
          <w:lang w:eastAsia="en-AU"/>
        </w:rPr>
      </w:pPr>
    </w:p>
    <w:p w14:paraId="6D0E6B73" w14:textId="2BC36834" w:rsidR="00B770A3" w:rsidRPr="00D23D38" w:rsidRDefault="00B770A3" w:rsidP="00B770A3">
      <w:pPr>
        <w:autoSpaceDE w:val="0"/>
        <w:autoSpaceDN w:val="0"/>
        <w:adjustRightInd w:val="0"/>
        <w:ind w:left="567"/>
        <w:rPr>
          <w:lang w:eastAsia="en-AU"/>
        </w:rPr>
      </w:pPr>
      <w:r w:rsidRPr="00D23D38">
        <w:rPr>
          <w:lang w:eastAsia="en-AU"/>
        </w:rPr>
        <w:t>(a) the total industrial pollution load from existing industrial activities and</w:t>
      </w:r>
      <w:r>
        <w:rPr>
          <w:lang w:eastAsia="en-AU"/>
        </w:rPr>
        <w:t xml:space="preserve"> </w:t>
      </w:r>
      <w:r w:rsidRPr="00D23D38">
        <w:rPr>
          <w:lang w:eastAsia="en-AU"/>
        </w:rPr>
        <w:t>port zone on the Burrup Peninsula in Western Australia, and its existing</w:t>
      </w:r>
      <w:r>
        <w:rPr>
          <w:lang w:eastAsia="en-AU"/>
        </w:rPr>
        <w:t xml:space="preserve"> </w:t>
      </w:r>
      <w:r w:rsidRPr="00D23D38">
        <w:rPr>
          <w:lang w:eastAsia="en-AU"/>
        </w:rPr>
        <w:t>impacts on Aboriginal rock art;</w:t>
      </w:r>
    </w:p>
    <w:p w14:paraId="5D3D1356" w14:textId="77777777" w:rsidR="00B770A3" w:rsidRPr="00D23D38" w:rsidRDefault="00B770A3" w:rsidP="00B770A3">
      <w:pPr>
        <w:autoSpaceDE w:val="0"/>
        <w:autoSpaceDN w:val="0"/>
        <w:adjustRightInd w:val="0"/>
        <w:ind w:left="567"/>
        <w:rPr>
          <w:lang w:eastAsia="en-AU"/>
        </w:rPr>
      </w:pPr>
    </w:p>
    <w:p w14:paraId="04324FB7" w14:textId="1F5C46F5" w:rsidR="00B770A3" w:rsidRPr="00D23D38" w:rsidRDefault="00B770A3" w:rsidP="00B770A3">
      <w:pPr>
        <w:autoSpaceDE w:val="0"/>
        <w:autoSpaceDN w:val="0"/>
        <w:adjustRightInd w:val="0"/>
        <w:ind w:left="567"/>
        <w:rPr>
          <w:lang w:eastAsia="en-AU"/>
        </w:rPr>
      </w:pPr>
      <w:r w:rsidRPr="00D23D38">
        <w:rPr>
          <w:lang w:eastAsia="en-AU"/>
        </w:rPr>
        <w:t>(b) the projected additional pollution load from the Yara Pilbara Fertilisers</w:t>
      </w:r>
      <w:r>
        <w:rPr>
          <w:lang w:eastAsia="en-AU"/>
        </w:rPr>
        <w:t xml:space="preserve"> </w:t>
      </w:r>
      <w:r w:rsidRPr="00D23D38">
        <w:rPr>
          <w:lang w:eastAsia="en-AU"/>
        </w:rPr>
        <w:t>Pty Ltd ammonium nitrate plant, including the likely impacts on the</w:t>
      </w:r>
      <w:r>
        <w:rPr>
          <w:lang w:eastAsia="en-AU"/>
        </w:rPr>
        <w:t xml:space="preserve"> </w:t>
      </w:r>
      <w:r w:rsidRPr="00D23D38">
        <w:rPr>
          <w:lang w:eastAsia="en-AU"/>
        </w:rPr>
        <w:t>Aboriginal rock art, human health and the environment;</w:t>
      </w:r>
    </w:p>
    <w:p w14:paraId="1928D32F" w14:textId="77777777" w:rsidR="00B770A3" w:rsidRPr="00D23D38" w:rsidRDefault="00B770A3" w:rsidP="00B770A3">
      <w:pPr>
        <w:autoSpaceDE w:val="0"/>
        <w:autoSpaceDN w:val="0"/>
        <w:adjustRightInd w:val="0"/>
        <w:ind w:left="567"/>
        <w:rPr>
          <w:lang w:eastAsia="en-AU"/>
        </w:rPr>
      </w:pPr>
    </w:p>
    <w:p w14:paraId="13CBF68B" w14:textId="6CEAB20A" w:rsidR="00B770A3" w:rsidRPr="00D23D38" w:rsidRDefault="00B770A3" w:rsidP="00B770A3">
      <w:pPr>
        <w:autoSpaceDE w:val="0"/>
        <w:autoSpaceDN w:val="0"/>
        <w:adjustRightInd w:val="0"/>
        <w:ind w:left="567"/>
        <w:rPr>
          <w:lang w:eastAsia="en-AU"/>
        </w:rPr>
      </w:pPr>
      <w:r w:rsidRPr="00D23D38">
        <w:rPr>
          <w:lang w:eastAsia="en-AU"/>
        </w:rPr>
        <w:t>(c) the accuracy and adequacy of reports used by the Western Australian</w:t>
      </w:r>
      <w:r>
        <w:rPr>
          <w:lang w:eastAsia="en-AU"/>
        </w:rPr>
        <w:t xml:space="preserve"> </w:t>
      </w:r>
      <w:r w:rsidRPr="00D23D38">
        <w:rPr>
          <w:lang w:eastAsia="en-AU"/>
        </w:rPr>
        <w:t>and Commonwealth governments when setting the relevant technical,</w:t>
      </w:r>
      <w:r>
        <w:rPr>
          <w:lang w:eastAsia="en-AU"/>
        </w:rPr>
        <w:t xml:space="preserve"> </w:t>
      </w:r>
      <w:r w:rsidRPr="00D23D38">
        <w:rPr>
          <w:lang w:eastAsia="en-AU"/>
        </w:rPr>
        <w:t>environmental and cultural conditions regulating the construction and</w:t>
      </w:r>
      <w:r>
        <w:rPr>
          <w:lang w:eastAsia="en-AU"/>
        </w:rPr>
        <w:t xml:space="preserve"> </w:t>
      </w:r>
      <w:r w:rsidRPr="00D23D38">
        <w:rPr>
          <w:lang w:eastAsia="en-AU"/>
        </w:rPr>
        <w:t>operation of the Yara Pilbara Fertilisers Pty Ltd ammonium nitrate plant</w:t>
      </w:r>
      <w:r>
        <w:rPr>
          <w:lang w:eastAsia="en-AU"/>
        </w:rPr>
        <w:t xml:space="preserve"> </w:t>
      </w:r>
      <w:r w:rsidRPr="00D23D38">
        <w:rPr>
          <w:lang w:eastAsia="en-AU"/>
        </w:rPr>
        <w:t>in an area of highly significant Aboriginal rock art;</w:t>
      </w:r>
    </w:p>
    <w:p w14:paraId="12BDF2B6" w14:textId="77777777" w:rsidR="00B770A3" w:rsidRPr="00D23D38" w:rsidRDefault="00B770A3" w:rsidP="00B770A3">
      <w:pPr>
        <w:autoSpaceDE w:val="0"/>
        <w:autoSpaceDN w:val="0"/>
        <w:adjustRightInd w:val="0"/>
        <w:ind w:left="567"/>
        <w:rPr>
          <w:lang w:eastAsia="en-AU"/>
        </w:rPr>
      </w:pPr>
    </w:p>
    <w:p w14:paraId="4F5342DD" w14:textId="748F8359" w:rsidR="00B770A3" w:rsidRPr="00D23D38" w:rsidRDefault="00B770A3" w:rsidP="00B770A3">
      <w:pPr>
        <w:autoSpaceDE w:val="0"/>
        <w:autoSpaceDN w:val="0"/>
        <w:adjustRightInd w:val="0"/>
        <w:ind w:left="567"/>
        <w:rPr>
          <w:lang w:eastAsia="en-AU"/>
        </w:rPr>
      </w:pPr>
      <w:r w:rsidRPr="00D23D38">
        <w:rPr>
          <w:lang w:eastAsia="en-AU"/>
        </w:rPr>
        <w:t>(d) the rigour and adequacy of the monitoring, analysis, compliance and</w:t>
      </w:r>
      <w:r>
        <w:rPr>
          <w:lang w:eastAsia="en-AU"/>
        </w:rPr>
        <w:t xml:space="preserve"> </w:t>
      </w:r>
      <w:r w:rsidRPr="00D23D38">
        <w:rPr>
          <w:lang w:eastAsia="en-AU"/>
        </w:rPr>
        <w:t>enforcement performed by the Western Australian and Commonwealth</w:t>
      </w:r>
      <w:r>
        <w:rPr>
          <w:lang w:eastAsia="en-AU"/>
        </w:rPr>
        <w:t xml:space="preserve"> </w:t>
      </w:r>
      <w:r w:rsidRPr="00D23D38">
        <w:rPr>
          <w:lang w:eastAsia="en-AU"/>
        </w:rPr>
        <w:t>government agencies in carrying out their legislated responsibilities in</w:t>
      </w:r>
      <w:r>
        <w:rPr>
          <w:lang w:eastAsia="en-AU"/>
        </w:rPr>
        <w:t xml:space="preserve"> </w:t>
      </w:r>
      <w:r w:rsidRPr="00D23D38">
        <w:rPr>
          <w:lang w:eastAsia="en-AU"/>
        </w:rPr>
        <w:t>overseeing industries on the Burrup Peninsula;</w:t>
      </w:r>
    </w:p>
    <w:p w14:paraId="4838E66F" w14:textId="77777777" w:rsidR="00B770A3" w:rsidRPr="00D23D38" w:rsidRDefault="00B770A3" w:rsidP="00B770A3">
      <w:pPr>
        <w:autoSpaceDE w:val="0"/>
        <w:autoSpaceDN w:val="0"/>
        <w:adjustRightInd w:val="0"/>
        <w:ind w:left="567"/>
        <w:rPr>
          <w:lang w:eastAsia="en-AU"/>
        </w:rPr>
      </w:pPr>
    </w:p>
    <w:p w14:paraId="4A399D42" w14:textId="52243930" w:rsidR="00B770A3" w:rsidRPr="00D23D38" w:rsidRDefault="00B770A3" w:rsidP="00B770A3">
      <w:pPr>
        <w:autoSpaceDE w:val="0"/>
        <w:autoSpaceDN w:val="0"/>
        <w:adjustRightInd w:val="0"/>
        <w:ind w:left="567"/>
        <w:rPr>
          <w:lang w:eastAsia="en-AU"/>
        </w:rPr>
      </w:pPr>
      <w:r w:rsidRPr="00D23D38">
        <w:rPr>
          <w:lang w:eastAsia="en-AU"/>
        </w:rPr>
        <w:t>(e) the projected level of fugitive gas and nitric acid leaks from the Yara</w:t>
      </w:r>
      <w:r>
        <w:rPr>
          <w:lang w:eastAsia="en-AU"/>
        </w:rPr>
        <w:t xml:space="preserve"> </w:t>
      </w:r>
      <w:r w:rsidRPr="00D23D38">
        <w:rPr>
          <w:lang w:eastAsia="en-AU"/>
        </w:rPr>
        <w:t>Pilbara fertiliser and ammonium nitrate plants, their effects on human</w:t>
      </w:r>
      <w:r>
        <w:rPr>
          <w:lang w:eastAsia="en-AU"/>
        </w:rPr>
        <w:t xml:space="preserve"> </w:t>
      </w:r>
      <w:r w:rsidRPr="00D23D38">
        <w:rPr>
          <w:lang w:eastAsia="en-AU"/>
        </w:rPr>
        <w:t>health, likely effects on rock art and the general environment, and the</w:t>
      </w:r>
      <w:r>
        <w:rPr>
          <w:lang w:eastAsia="en-AU"/>
        </w:rPr>
        <w:t xml:space="preserve"> </w:t>
      </w:r>
      <w:r w:rsidRPr="00D23D38">
        <w:rPr>
          <w:lang w:eastAsia="en-AU"/>
        </w:rPr>
        <w:t>adequacy of the company responses;</w:t>
      </w:r>
    </w:p>
    <w:p w14:paraId="1F52D73A" w14:textId="77777777" w:rsidR="00B770A3" w:rsidRPr="00D23D38" w:rsidRDefault="00B770A3" w:rsidP="00B770A3">
      <w:pPr>
        <w:autoSpaceDE w:val="0"/>
        <w:autoSpaceDN w:val="0"/>
        <w:adjustRightInd w:val="0"/>
        <w:ind w:left="567"/>
        <w:rPr>
          <w:lang w:eastAsia="en-AU"/>
        </w:rPr>
      </w:pPr>
    </w:p>
    <w:p w14:paraId="071EF424" w14:textId="78EA9DB2" w:rsidR="00B770A3" w:rsidRPr="00D23D38" w:rsidRDefault="00B770A3" w:rsidP="00B770A3">
      <w:pPr>
        <w:autoSpaceDE w:val="0"/>
        <w:autoSpaceDN w:val="0"/>
        <w:adjustRightInd w:val="0"/>
        <w:ind w:left="567"/>
        <w:rPr>
          <w:lang w:eastAsia="en-AU"/>
        </w:rPr>
      </w:pPr>
      <w:r w:rsidRPr="00D23D38">
        <w:rPr>
          <w:lang w:eastAsia="en-AU"/>
        </w:rPr>
        <w:t>(f) the failure by Yara Pilbara Fertilisers Pty Ltd, the Western Australian</w:t>
      </w:r>
      <w:r>
        <w:rPr>
          <w:lang w:eastAsia="en-AU"/>
        </w:rPr>
        <w:t xml:space="preserve"> </w:t>
      </w:r>
      <w:r w:rsidRPr="00D23D38">
        <w:rPr>
          <w:lang w:eastAsia="en-AU"/>
        </w:rPr>
        <w:t>Government or the Federal Government to include risk analysis of</w:t>
      </w:r>
      <w:r>
        <w:rPr>
          <w:lang w:eastAsia="en-AU"/>
        </w:rPr>
        <w:t xml:space="preserve"> </w:t>
      </w:r>
      <w:r w:rsidRPr="00D23D38">
        <w:rPr>
          <w:lang w:eastAsia="en-AU"/>
        </w:rPr>
        <w:t>establishing an ammonium nitrate plant in close proximity to the rock</w:t>
      </w:r>
      <w:r>
        <w:rPr>
          <w:lang w:eastAsia="en-AU"/>
        </w:rPr>
        <w:t xml:space="preserve"> </w:t>
      </w:r>
      <w:r w:rsidRPr="00D23D38">
        <w:rPr>
          <w:lang w:eastAsia="en-AU"/>
        </w:rPr>
        <w:t>art, a gas hub and major port and in a cyclone surge zone;</w:t>
      </w:r>
    </w:p>
    <w:p w14:paraId="4988BD01" w14:textId="77777777" w:rsidR="00B770A3" w:rsidRPr="00D23D38" w:rsidRDefault="00B770A3" w:rsidP="00B770A3">
      <w:pPr>
        <w:autoSpaceDE w:val="0"/>
        <w:autoSpaceDN w:val="0"/>
        <w:adjustRightInd w:val="0"/>
        <w:ind w:left="567"/>
        <w:rPr>
          <w:lang w:eastAsia="en-AU"/>
        </w:rPr>
      </w:pPr>
    </w:p>
    <w:p w14:paraId="44545DE7" w14:textId="24845164" w:rsidR="00B770A3" w:rsidRPr="00D23D38" w:rsidRDefault="00B770A3" w:rsidP="00B770A3">
      <w:pPr>
        <w:autoSpaceDE w:val="0"/>
        <w:autoSpaceDN w:val="0"/>
        <w:adjustRightInd w:val="0"/>
        <w:ind w:left="567"/>
        <w:rPr>
          <w:lang w:eastAsia="en-AU"/>
        </w:rPr>
      </w:pPr>
      <w:r w:rsidRPr="00D23D38">
        <w:rPr>
          <w:lang w:eastAsia="en-AU"/>
        </w:rPr>
        <w:t>(g) the adequacy of the Yara Pilbara plans to protect the communities of</w:t>
      </w:r>
      <w:r>
        <w:rPr>
          <w:lang w:eastAsia="en-AU"/>
        </w:rPr>
        <w:t xml:space="preserve"> </w:t>
      </w:r>
      <w:r w:rsidRPr="00D23D38">
        <w:rPr>
          <w:lang w:eastAsia="en-AU"/>
        </w:rPr>
        <w:t>Dampier and Karratha and the rock art sites from the consequences of</w:t>
      </w:r>
      <w:r>
        <w:rPr>
          <w:lang w:eastAsia="en-AU"/>
        </w:rPr>
        <w:t xml:space="preserve"> </w:t>
      </w:r>
      <w:r w:rsidRPr="00D23D38">
        <w:rPr>
          <w:lang w:eastAsia="en-AU"/>
        </w:rPr>
        <w:t>any explosion caused by 'sympathetic detonation' or other factors,</w:t>
      </w:r>
      <w:r>
        <w:rPr>
          <w:lang w:eastAsia="en-AU"/>
        </w:rPr>
        <w:t xml:space="preserve"> </w:t>
      </w:r>
      <w:r w:rsidRPr="00D23D38">
        <w:rPr>
          <w:lang w:eastAsia="en-AU"/>
        </w:rPr>
        <w:t>including the ability to douse the nitrate stores with sufficient water to</w:t>
      </w:r>
      <w:r>
        <w:rPr>
          <w:lang w:eastAsia="en-AU"/>
        </w:rPr>
        <w:t xml:space="preserve"> </w:t>
      </w:r>
      <w:r w:rsidRPr="00D23D38">
        <w:rPr>
          <w:lang w:eastAsia="en-AU"/>
        </w:rPr>
        <w:t>prevent a spontaneous explosion; and</w:t>
      </w:r>
    </w:p>
    <w:p w14:paraId="73A35309" w14:textId="77777777" w:rsidR="00B770A3" w:rsidRPr="00D23D38" w:rsidRDefault="00B770A3" w:rsidP="00B770A3">
      <w:pPr>
        <w:autoSpaceDE w:val="0"/>
        <w:autoSpaceDN w:val="0"/>
        <w:adjustRightInd w:val="0"/>
        <w:ind w:left="567"/>
        <w:rPr>
          <w:lang w:eastAsia="en-AU"/>
        </w:rPr>
      </w:pPr>
    </w:p>
    <w:p w14:paraId="5BB58497" w14:textId="77777777" w:rsidR="00B770A3" w:rsidRDefault="00B770A3" w:rsidP="00B770A3">
      <w:pPr>
        <w:autoSpaceDE w:val="0"/>
        <w:autoSpaceDN w:val="0"/>
        <w:adjustRightInd w:val="0"/>
        <w:ind w:left="567"/>
        <w:rPr>
          <w:sz w:val="17"/>
          <w:szCs w:val="17"/>
          <w:lang w:eastAsia="en-AU"/>
        </w:rPr>
      </w:pPr>
      <w:r w:rsidRPr="00D23D38">
        <w:rPr>
          <w:lang w:eastAsia="en-AU"/>
        </w:rPr>
        <w:t>(h) any related matters</w:t>
      </w:r>
      <w:r>
        <w:rPr>
          <w:sz w:val="26"/>
          <w:szCs w:val="26"/>
          <w:lang w:eastAsia="en-AU"/>
        </w:rPr>
        <w:t>.</w:t>
      </w:r>
    </w:p>
    <w:p w14:paraId="00C8B548" w14:textId="77777777" w:rsidR="00B770A3" w:rsidRDefault="00B770A3" w:rsidP="00194EFC">
      <w:pPr>
        <w:pStyle w:val="ListBullet"/>
        <w:numPr>
          <w:ilvl w:val="0"/>
          <w:numId w:val="0"/>
        </w:numPr>
        <w:rPr>
          <w:rFonts w:ascii="Times New Roman" w:hAnsi="Times New Roman" w:cs="Times New Roman"/>
          <w:sz w:val="24"/>
          <w:szCs w:val="24"/>
        </w:rPr>
      </w:pPr>
    </w:p>
    <w:p w14:paraId="3F6AB53D" w14:textId="77777777" w:rsidR="009B768C" w:rsidRDefault="009B768C" w:rsidP="00194EFC">
      <w:pPr>
        <w:pStyle w:val="ListBullet"/>
        <w:numPr>
          <w:ilvl w:val="0"/>
          <w:numId w:val="0"/>
        </w:numPr>
        <w:rPr>
          <w:rFonts w:ascii="Times New Roman" w:hAnsi="Times New Roman" w:cs="Times New Roman"/>
          <w:sz w:val="24"/>
          <w:szCs w:val="24"/>
        </w:rPr>
      </w:pPr>
    </w:p>
    <w:p w14:paraId="7BB7A8C8" w14:textId="77777777" w:rsidR="009B768C" w:rsidRPr="00B770A3" w:rsidRDefault="009B768C" w:rsidP="00194EFC">
      <w:pPr>
        <w:pStyle w:val="ListBullet"/>
        <w:numPr>
          <w:ilvl w:val="0"/>
          <w:numId w:val="0"/>
        </w:numPr>
        <w:rPr>
          <w:rFonts w:ascii="Times New Roman" w:hAnsi="Times New Roman" w:cs="Times New Roman"/>
          <w:sz w:val="24"/>
          <w:szCs w:val="24"/>
        </w:rPr>
      </w:pPr>
    </w:p>
    <w:p w14:paraId="4FD2EB0E" w14:textId="7D1B1963" w:rsidR="009B768C" w:rsidRDefault="00D74C06" w:rsidP="00B770A3">
      <w:pPr>
        <w:pStyle w:val="ListBullet"/>
        <w:numPr>
          <w:ilvl w:val="0"/>
          <w:numId w:val="0"/>
        </w:numPr>
        <w:spacing w:after="120"/>
        <w:rPr>
          <w:rFonts w:ascii="Times New Roman" w:hAnsi="Times New Roman" w:cs="Times New Roman"/>
          <w:sz w:val="24"/>
          <w:szCs w:val="24"/>
        </w:rPr>
      </w:pPr>
      <w:r w:rsidRPr="00B770A3">
        <w:rPr>
          <w:rFonts w:ascii="Times New Roman" w:hAnsi="Times New Roman" w:cs="Times New Roman"/>
          <w:sz w:val="24"/>
          <w:szCs w:val="24"/>
        </w:rPr>
        <w:lastRenderedPageBreak/>
        <w:t xml:space="preserve">On </w:t>
      </w:r>
      <w:r w:rsidR="00194EFC" w:rsidRPr="00B770A3">
        <w:rPr>
          <w:rFonts w:ascii="Times New Roman" w:hAnsi="Times New Roman" w:cs="Times New Roman"/>
          <w:sz w:val="24"/>
          <w:szCs w:val="24"/>
        </w:rPr>
        <w:t>21 March 201</w:t>
      </w:r>
      <w:r w:rsidR="00B770A3" w:rsidRPr="00B770A3">
        <w:rPr>
          <w:rFonts w:ascii="Times New Roman" w:hAnsi="Times New Roman" w:cs="Times New Roman"/>
          <w:sz w:val="24"/>
          <w:szCs w:val="24"/>
        </w:rPr>
        <w:t>8</w:t>
      </w:r>
      <w:r w:rsidR="00194EFC" w:rsidRPr="00B770A3">
        <w:rPr>
          <w:rFonts w:ascii="Times New Roman" w:hAnsi="Times New Roman" w:cs="Times New Roman"/>
          <w:sz w:val="24"/>
          <w:szCs w:val="24"/>
        </w:rPr>
        <w:t xml:space="preserve">, </w:t>
      </w:r>
      <w:r w:rsidRPr="00B770A3">
        <w:rPr>
          <w:rFonts w:ascii="Times New Roman" w:hAnsi="Times New Roman" w:cs="Times New Roman"/>
          <w:sz w:val="24"/>
          <w:szCs w:val="24"/>
        </w:rPr>
        <w:t xml:space="preserve">the Senate Inquiry tabled </w:t>
      </w:r>
      <w:r w:rsidR="00194EFC" w:rsidRPr="00B770A3">
        <w:rPr>
          <w:rFonts w:ascii="Times New Roman" w:hAnsi="Times New Roman" w:cs="Times New Roman"/>
          <w:sz w:val="24"/>
          <w:szCs w:val="24"/>
        </w:rPr>
        <w:t>a</w:t>
      </w:r>
      <w:r w:rsidRPr="00B770A3">
        <w:rPr>
          <w:rFonts w:ascii="Times New Roman" w:hAnsi="Times New Roman" w:cs="Times New Roman"/>
          <w:sz w:val="24"/>
          <w:szCs w:val="24"/>
        </w:rPr>
        <w:t xml:space="preserve"> report</w:t>
      </w:r>
      <w:r w:rsidR="00F175FA">
        <w:rPr>
          <w:rFonts w:ascii="Times New Roman" w:hAnsi="Times New Roman" w:cs="Times New Roman"/>
          <w:sz w:val="24"/>
          <w:szCs w:val="24"/>
        </w:rPr>
        <w:t xml:space="preserve">, </w:t>
      </w:r>
      <w:r w:rsidR="00F175FA" w:rsidRPr="00F175FA">
        <w:rPr>
          <w:rFonts w:ascii="Times New Roman" w:hAnsi="Times New Roman" w:cs="Times New Roman"/>
          <w:i/>
          <w:sz w:val="24"/>
          <w:szCs w:val="24"/>
        </w:rPr>
        <w:t>P</w:t>
      </w:r>
      <w:r w:rsidR="00194EFC" w:rsidRPr="00F175FA">
        <w:rPr>
          <w:rFonts w:ascii="Times New Roman" w:hAnsi="Times New Roman" w:cs="Times New Roman"/>
          <w:i/>
          <w:sz w:val="24"/>
          <w:szCs w:val="24"/>
        </w:rPr>
        <w:t>rotection of Aboriginal rock art of the Burrup</w:t>
      </w:r>
      <w:r w:rsidR="00F175FA" w:rsidRPr="00F175FA">
        <w:rPr>
          <w:rFonts w:ascii="Times New Roman" w:hAnsi="Times New Roman" w:cs="Times New Roman"/>
          <w:i/>
          <w:sz w:val="24"/>
          <w:szCs w:val="24"/>
        </w:rPr>
        <w:t xml:space="preserve"> Peninsula</w:t>
      </w:r>
      <w:r w:rsidRPr="00B770A3">
        <w:rPr>
          <w:rFonts w:ascii="Times New Roman" w:hAnsi="Times New Roman" w:cs="Times New Roman"/>
          <w:sz w:val="24"/>
          <w:szCs w:val="24"/>
        </w:rPr>
        <w:t>.</w:t>
      </w:r>
      <w:r w:rsidR="00B770A3">
        <w:rPr>
          <w:rFonts w:ascii="Times New Roman" w:hAnsi="Times New Roman" w:cs="Times New Roman"/>
          <w:sz w:val="24"/>
          <w:szCs w:val="24"/>
        </w:rPr>
        <w:t xml:space="preserve"> </w:t>
      </w:r>
      <w:r w:rsidR="00B770A3" w:rsidRPr="00F25C0E">
        <w:rPr>
          <w:rFonts w:ascii="Times New Roman" w:hAnsi="Times New Roman" w:cs="Times New Roman"/>
          <w:sz w:val="24"/>
          <w:szCs w:val="24"/>
        </w:rPr>
        <w:t xml:space="preserve">The </w:t>
      </w:r>
      <w:r w:rsidR="008B7FDC">
        <w:rPr>
          <w:rFonts w:ascii="Times New Roman" w:hAnsi="Times New Roman" w:cs="Times New Roman"/>
          <w:sz w:val="24"/>
          <w:szCs w:val="24"/>
        </w:rPr>
        <w:t xml:space="preserve">Senate </w:t>
      </w:r>
      <w:r w:rsidR="00B770A3" w:rsidRPr="00F25C0E">
        <w:rPr>
          <w:rFonts w:ascii="Times New Roman" w:hAnsi="Times New Roman" w:cs="Times New Roman"/>
          <w:sz w:val="24"/>
          <w:szCs w:val="24"/>
        </w:rPr>
        <w:t xml:space="preserve">Committee </w:t>
      </w:r>
      <w:r w:rsidR="00B55AE7">
        <w:rPr>
          <w:rFonts w:ascii="Times New Roman" w:hAnsi="Times New Roman" w:cs="Times New Roman"/>
          <w:sz w:val="24"/>
          <w:szCs w:val="24"/>
        </w:rPr>
        <w:t xml:space="preserve">stated that it </w:t>
      </w:r>
      <w:r w:rsidR="00F175FA">
        <w:rPr>
          <w:rFonts w:ascii="Times New Roman" w:hAnsi="Times New Roman" w:cs="Times New Roman"/>
          <w:sz w:val="24"/>
          <w:szCs w:val="24"/>
        </w:rPr>
        <w:t>‘</w:t>
      </w:r>
      <w:r w:rsidR="00B770A3" w:rsidRPr="00F25C0E">
        <w:rPr>
          <w:rFonts w:ascii="Times New Roman" w:hAnsi="Times New Roman" w:cs="Times New Roman"/>
          <w:sz w:val="24"/>
          <w:szCs w:val="24"/>
          <w:lang w:val="en"/>
        </w:rPr>
        <w:t>recognise</w:t>
      </w:r>
      <w:r w:rsidR="00F175FA">
        <w:rPr>
          <w:rFonts w:ascii="Times New Roman" w:hAnsi="Times New Roman" w:cs="Times New Roman"/>
          <w:sz w:val="24"/>
          <w:szCs w:val="24"/>
          <w:lang w:val="en"/>
        </w:rPr>
        <w:t>s</w:t>
      </w:r>
      <w:r w:rsidR="00B770A3" w:rsidRPr="00F25C0E">
        <w:rPr>
          <w:rFonts w:ascii="Times New Roman" w:hAnsi="Times New Roman" w:cs="Times New Roman"/>
          <w:sz w:val="24"/>
          <w:szCs w:val="24"/>
          <w:lang w:val="en"/>
        </w:rPr>
        <w:t xml:space="preserve"> and acknowledge</w:t>
      </w:r>
      <w:r w:rsidR="00F175FA">
        <w:rPr>
          <w:rFonts w:ascii="Times New Roman" w:hAnsi="Times New Roman" w:cs="Times New Roman"/>
          <w:sz w:val="24"/>
          <w:szCs w:val="24"/>
          <w:lang w:val="en"/>
        </w:rPr>
        <w:t>s</w:t>
      </w:r>
      <w:r w:rsidR="00B770A3" w:rsidRPr="00F25C0E">
        <w:rPr>
          <w:rFonts w:ascii="Times New Roman" w:hAnsi="Times New Roman" w:cs="Times New Roman"/>
          <w:sz w:val="24"/>
          <w:szCs w:val="24"/>
          <w:lang w:val="en"/>
        </w:rPr>
        <w:t xml:space="preserve"> the vast cultural and historical values of the rock art of the Burrup Peninsula and is of the view that it is critical that the petroglyphs should be protected and conserved for current and future generations</w:t>
      </w:r>
      <w:r w:rsidR="00C832B8">
        <w:rPr>
          <w:rFonts w:ascii="Times New Roman" w:hAnsi="Times New Roman" w:cs="Times New Roman"/>
          <w:sz w:val="24"/>
          <w:szCs w:val="24"/>
          <w:lang w:val="en"/>
        </w:rPr>
        <w:t>’</w:t>
      </w:r>
      <w:r w:rsidR="00F175FA">
        <w:rPr>
          <w:rFonts w:ascii="Times New Roman" w:hAnsi="Times New Roman" w:cs="Times New Roman"/>
          <w:sz w:val="24"/>
          <w:szCs w:val="24"/>
          <w:lang w:val="en"/>
        </w:rPr>
        <w:t xml:space="preserve"> (para 7.5, p.99)</w:t>
      </w:r>
      <w:r w:rsidR="00874147">
        <w:rPr>
          <w:rFonts w:ascii="Times New Roman" w:hAnsi="Times New Roman" w:cs="Times New Roman"/>
          <w:sz w:val="24"/>
          <w:szCs w:val="24"/>
          <w:lang w:val="en"/>
        </w:rPr>
        <w:t>,</w:t>
      </w:r>
      <w:r w:rsidR="00F175FA">
        <w:rPr>
          <w:rFonts w:ascii="Times New Roman" w:hAnsi="Times New Roman" w:cs="Times New Roman"/>
          <w:sz w:val="24"/>
          <w:szCs w:val="24"/>
          <w:lang w:val="en"/>
        </w:rPr>
        <w:t xml:space="preserve"> </w:t>
      </w:r>
      <w:r w:rsidR="00F25C0E" w:rsidRPr="00F25C0E">
        <w:rPr>
          <w:rFonts w:ascii="Times New Roman" w:hAnsi="Times New Roman" w:cs="Times New Roman"/>
          <w:sz w:val="24"/>
          <w:szCs w:val="24"/>
          <w:lang w:val="en"/>
        </w:rPr>
        <w:t xml:space="preserve">but </w:t>
      </w:r>
      <w:r w:rsidR="00B770A3" w:rsidRPr="00F25C0E">
        <w:rPr>
          <w:rFonts w:ascii="Times New Roman" w:hAnsi="Times New Roman" w:cs="Times New Roman"/>
          <w:sz w:val="24"/>
          <w:szCs w:val="24"/>
        </w:rPr>
        <w:t xml:space="preserve">did not </w:t>
      </w:r>
      <w:r w:rsidR="002C1CD9">
        <w:rPr>
          <w:rFonts w:ascii="Times New Roman" w:hAnsi="Times New Roman" w:cs="Times New Roman"/>
          <w:sz w:val="24"/>
          <w:szCs w:val="24"/>
        </w:rPr>
        <w:t>make any</w:t>
      </w:r>
      <w:r w:rsidR="00501FC8">
        <w:rPr>
          <w:rFonts w:ascii="Times New Roman" w:hAnsi="Times New Roman" w:cs="Times New Roman"/>
          <w:sz w:val="24"/>
          <w:szCs w:val="24"/>
        </w:rPr>
        <w:t xml:space="preserve"> </w:t>
      </w:r>
      <w:r w:rsidR="0004012D">
        <w:rPr>
          <w:rFonts w:ascii="Times New Roman" w:hAnsi="Times New Roman" w:cs="Times New Roman"/>
          <w:sz w:val="24"/>
          <w:szCs w:val="24"/>
        </w:rPr>
        <w:t xml:space="preserve">formal </w:t>
      </w:r>
      <w:r w:rsidR="00CB19F2">
        <w:rPr>
          <w:rFonts w:ascii="Times New Roman" w:hAnsi="Times New Roman" w:cs="Times New Roman"/>
          <w:sz w:val="24"/>
          <w:szCs w:val="24"/>
        </w:rPr>
        <w:t xml:space="preserve">majority </w:t>
      </w:r>
      <w:r w:rsidR="0004012D">
        <w:rPr>
          <w:rFonts w:ascii="Times New Roman" w:hAnsi="Times New Roman" w:cs="Times New Roman"/>
          <w:sz w:val="24"/>
          <w:szCs w:val="24"/>
        </w:rPr>
        <w:t>re</w:t>
      </w:r>
      <w:r w:rsidR="00F42FF7">
        <w:rPr>
          <w:rFonts w:ascii="Times New Roman" w:hAnsi="Times New Roman" w:cs="Times New Roman"/>
          <w:sz w:val="24"/>
          <w:szCs w:val="24"/>
        </w:rPr>
        <w:t>commendations.</w:t>
      </w:r>
    </w:p>
    <w:p w14:paraId="147525E7" w14:textId="24290313" w:rsidR="00AD044A" w:rsidRDefault="00AD044A" w:rsidP="00B770A3">
      <w:pPr>
        <w:pStyle w:val="ListBullet"/>
        <w:numPr>
          <w:ilvl w:val="0"/>
          <w:numId w:val="0"/>
        </w:numPr>
        <w:spacing w:after="120"/>
        <w:rPr>
          <w:rFonts w:ascii="Times New Roman" w:hAnsi="Times New Roman" w:cs="Times New Roman"/>
          <w:sz w:val="24"/>
          <w:szCs w:val="24"/>
        </w:rPr>
      </w:pPr>
      <w:r>
        <w:rPr>
          <w:rFonts w:ascii="Times New Roman" w:hAnsi="Times New Roman" w:cs="Times New Roman"/>
          <w:sz w:val="24"/>
          <w:szCs w:val="24"/>
        </w:rPr>
        <w:t xml:space="preserve">The Australian Government agrees with the Committee’s statement about the values of the rock art of the Burrup Peninsula and the need for </w:t>
      </w:r>
      <w:r w:rsidR="009A4B6F">
        <w:rPr>
          <w:rFonts w:ascii="Times New Roman" w:hAnsi="Times New Roman" w:cs="Times New Roman"/>
          <w:sz w:val="24"/>
          <w:szCs w:val="24"/>
        </w:rPr>
        <w:t>its</w:t>
      </w:r>
      <w:r>
        <w:rPr>
          <w:rFonts w:ascii="Times New Roman" w:hAnsi="Times New Roman" w:cs="Times New Roman"/>
          <w:sz w:val="24"/>
          <w:szCs w:val="24"/>
        </w:rPr>
        <w:t xml:space="preserve"> protection and conservation.  </w:t>
      </w:r>
    </w:p>
    <w:p w14:paraId="0A3F7954" w14:textId="5EDA2D27" w:rsidR="00CD0A69" w:rsidRDefault="00CD0A69" w:rsidP="00B770A3">
      <w:pPr>
        <w:pStyle w:val="ListBullet"/>
        <w:numPr>
          <w:ilvl w:val="0"/>
          <w:numId w:val="0"/>
        </w:numPr>
        <w:spacing w:after="120"/>
        <w:rPr>
          <w:rFonts w:ascii="Times New Roman" w:hAnsi="Times New Roman" w:cs="Times New Roman"/>
          <w:sz w:val="24"/>
          <w:szCs w:val="24"/>
        </w:rPr>
      </w:pPr>
      <w:r>
        <w:rPr>
          <w:rFonts w:ascii="Times New Roman" w:hAnsi="Times New Roman" w:cs="Times New Roman"/>
          <w:sz w:val="24"/>
          <w:szCs w:val="24"/>
        </w:rPr>
        <w:t xml:space="preserve">The Australian Government considers Indigenous engagement as central to the design of its programs service delivery. Central to this engagement is the principle of free, prior and informed consent and ensuring government processes reinforce this. </w:t>
      </w:r>
    </w:p>
    <w:p w14:paraId="670D41F2" w14:textId="67CC549F" w:rsidR="00194EFC" w:rsidRPr="00F25C0E" w:rsidRDefault="00F25C0E" w:rsidP="002C1CD9">
      <w:pPr>
        <w:pStyle w:val="ListBullet"/>
        <w:numPr>
          <w:ilvl w:val="0"/>
          <w:numId w:val="0"/>
        </w:numPr>
        <w:spacing w:after="120"/>
        <w:rPr>
          <w:rFonts w:ascii="Times New Roman" w:hAnsi="Times New Roman" w:cs="Times New Roman"/>
          <w:sz w:val="24"/>
          <w:szCs w:val="24"/>
        </w:rPr>
      </w:pPr>
      <w:r>
        <w:rPr>
          <w:rFonts w:ascii="Times New Roman" w:hAnsi="Times New Roman" w:cs="Times New Roman"/>
          <w:sz w:val="24"/>
          <w:szCs w:val="24"/>
        </w:rPr>
        <w:t>Additional comments were provided by the Green</w:t>
      </w:r>
      <w:r w:rsidR="009E41D5">
        <w:rPr>
          <w:rFonts w:ascii="Times New Roman" w:hAnsi="Times New Roman" w:cs="Times New Roman"/>
          <w:sz w:val="24"/>
          <w:szCs w:val="24"/>
        </w:rPr>
        <w:t>s, Coalition and Labor Senators</w:t>
      </w:r>
      <w:r w:rsidR="00E667F3">
        <w:rPr>
          <w:rFonts w:ascii="Times New Roman" w:hAnsi="Times New Roman" w:cs="Times New Roman"/>
          <w:sz w:val="24"/>
          <w:szCs w:val="24"/>
        </w:rPr>
        <w:t>.</w:t>
      </w:r>
      <w:r w:rsidR="002C1CD9">
        <w:rPr>
          <w:rFonts w:ascii="Times New Roman" w:hAnsi="Times New Roman" w:cs="Times New Roman"/>
          <w:sz w:val="24"/>
          <w:szCs w:val="24"/>
        </w:rPr>
        <w:t xml:space="preserve"> </w:t>
      </w:r>
      <w:r w:rsidR="00E667F3">
        <w:rPr>
          <w:rFonts w:ascii="Times New Roman" w:hAnsi="Times New Roman" w:cs="Times New Roman"/>
          <w:sz w:val="24"/>
          <w:szCs w:val="24"/>
        </w:rPr>
        <w:t xml:space="preserve">The Coalition </w:t>
      </w:r>
      <w:r w:rsidR="00B55AE7">
        <w:rPr>
          <w:rFonts w:ascii="Times New Roman" w:hAnsi="Times New Roman" w:cs="Times New Roman"/>
          <w:sz w:val="24"/>
          <w:szCs w:val="24"/>
        </w:rPr>
        <w:t xml:space="preserve">Senators </w:t>
      </w:r>
      <w:r w:rsidR="00E667F3">
        <w:rPr>
          <w:rFonts w:ascii="Times New Roman" w:hAnsi="Times New Roman" w:cs="Times New Roman"/>
          <w:sz w:val="24"/>
          <w:szCs w:val="24"/>
        </w:rPr>
        <w:t>did not make any recommendations</w:t>
      </w:r>
      <w:r w:rsidR="00FF5E51">
        <w:rPr>
          <w:rFonts w:ascii="Times New Roman" w:hAnsi="Times New Roman" w:cs="Times New Roman"/>
          <w:sz w:val="24"/>
          <w:szCs w:val="24"/>
        </w:rPr>
        <w:t>.</w:t>
      </w:r>
      <w:r w:rsidR="00E667F3">
        <w:rPr>
          <w:rFonts w:ascii="Times New Roman" w:hAnsi="Times New Roman" w:cs="Times New Roman"/>
          <w:sz w:val="24"/>
          <w:szCs w:val="24"/>
        </w:rPr>
        <w:t xml:space="preserve"> </w:t>
      </w:r>
      <w:r w:rsidR="00FF5E51">
        <w:rPr>
          <w:rFonts w:ascii="Times New Roman" w:hAnsi="Times New Roman" w:cs="Times New Roman"/>
          <w:sz w:val="24"/>
          <w:szCs w:val="24"/>
        </w:rPr>
        <w:t>T</w:t>
      </w:r>
      <w:r w:rsidR="00FD2E4E">
        <w:rPr>
          <w:rFonts w:ascii="Times New Roman" w:hAnsi="Times New Roman" w:cs="Times New Roman"/>
          <w:sz w:val="24"/>
          <w:szCs w:val="24"/>
        </w:rPr>
        <w:t>he Australian Green</w:t>
      </w:r>
      <w:r w:rsidR="009A4B6F">
        <w:rPr>
          <w:rFonts w:ascii="Times New Roman" w:hAnsi="Times New Roman" w:cs="Times New Roman"/>
          <w:sz w:val="24"/>
          <w:szCs w:val="24"/>
        </w:rPr>
        <w:t>s</w:t>
      </w:r>
      <w:r w:rsidR="00FD2E4E">
        <w:rPr>
          <w:rFonts w:ascii="Times New Roman" w:hAnsi="Times New Roman" w:cs="Times New Roman"/>
          <w:sz w:val="24"/>
          <w:szCs w:val="24"/>
        </w:rPr>
        <w:t xml:space="preserve"> Senators </w:t>
      </w:r>
      <w:r w:rsidR="002C1CD9">
        <w:rPr>
          <w:rFonts w:ascii="Times New Roman" w:hAnsi="Times New Roman" w:cs="Times New Roman"/>
          <w:sz w:val="24"/>
          <w:szCs w:val="24"/>
        </w:rPr>
        <w:t xml:space="preserve">made </w:t>
      </w:r>
      <w:r>
        <w:rPr>
          <w:rFonts w:ascii="Times New Roman" w:hAnsi="Times New Roman" w:cs="Times New Roman"/>
          <w:sz w:val="24"/>
          <w:szCs w:val="24"/>
        </w:rPr>
        <w:t xml:space="preserve">15 recommendations </w:t>
      </w:r>
      <w:r w:rsidR="002C1CD9">
        <w:rPr>
          <w:rFonts w:ascii="Times New Roman" w:hAnsi="Times New Roman" w:cs="Times New Roman"/>
          <w:sz w:val="24"/>
          <w:szCs w:val="24"/>
        </w:rPr>
        <w:t>a</w:t>
      </w:r>
      <w:r>
        <w:rPr>
          <w:rFonts w:ascii="Times New Roman" w:hAnsi="Times New Roman" w:cs="Times New Roman"/>
          <w:sz w:val="24"/>
          <w:szCs w:val="24"/>
        </w:rPr>
        <w:t xml:space="preserve">nd </w:t>
      </w:r>
      <w:r w:rsidR="009A4B6F">
        <w:rPr>
          <w:rFonts w:ascii="Times New Roman" w:hAnsi="Times New Roman" w:cs="Times New Roman"/>
          <w:sz w:val="24"/>
          <w:szCs w:val="24"/>
        </w:rPr>
        <w:t>Labor Senators</w:t>
      </w:r>
      <w:r w:rsidR="002C1CD9">
        <w:rPr>
          <w:rFonts w:ascii="Times New Roman" w:hAnsi="Times New Roman" w:cs="Times New Roman"/>
          <w:sz w:val="24"/>
          <w:szCs w:val="24"/>
        </w:rPr>
        <w:t xml:space="preserve"> </w:t>
      </w:r>
      <w:r>
        <w:rPr>
          <w:rFonts w:ascii="Times New Roman" w:hAnsi="Times New Roman" w:cs="Times New Roman"/>
          <w:sz w:val="24"/>
          <w:szCs w:val="24"/>
        </w:rPr>
        <w:t>1</w:t>
      </w:r>
      <w:r w:rsidR="00010BE6">
        <w:rPr>
          <w:rFonts w:ascii="Times New Roman" w:hAnsi="Times New Roman" w:cs="Times New Roman"/>
          <w:sz w:val="24"/>
          <w:szCs w:val="24"/>
        </w:rPr>
        <w:t>4</w:t>
      </w:r>
      <w:r>
        <w:rPr>
          <w:rFonts w:ascii="Times New Roman" w:hAnsi="Times New Roman" w:cs="Times New Roman"/>
          <w:sz w:val="24"/>
          <w:szCs w:val="24"/>
        </w:rPr>
        <w:t xml:space="preserve"> recommendations</w:t>
      </w:r>
      <w:r w:rsidR="00501FC8">
        <w:rPr>
          <w:rFonts w:ascii="Times New Roman" w:hAnsi="Times New Roman" w:cs="Times New Roman"/>
          <w:sz w:val="24"/>
          <w:szCs w:val="24"/>
        </w:rPr>
        <w:t xml:space="preserve">. </w:t>
      </w:r>
    </w:p>
    <w:p w14:paraId="670D41F3" w14:textId="717751FB" w:rsidR="00194EFC" w:rsidRDefault="00501FC8" w:rsidP="00194EFC">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 xml:space="preserve">For clarity and to avoid duplication, </w:t>
      </w:r>
      <w:r w:rsidR="00ED5BF9">
        <w:rPr>
          <w:rFonts w:ascii="Times New Roman" w:hAnsi="Times New Roman" w:cs="Times New Roman"/>
          <w:sz w:val="24"/>
          <w:szCs w:val="24"/>
        </w:rPr>
        <w:t xml:space="preserve">the party </w:t>
      </w:r>
      <w:r>
        <w:rPr>
          <w:rFonts w:ascii="Times New Roman" w:hAnsi="Times New Roman" w:cs="Times New Roman"/>
          <w:sz w:val="24"/>
          <w:szCs w:val="24"/>
        </w:rPr>
        <w:t>r</w:t>
      </w:r>
      <w:r w:rsidR="009B768C">
        <w:rPr>
          <w:rFonts w:ascii="Times New Roman" w:hAnsi="Times New Roman" w:cs="Times New Roman"/>
          <w:sz w:val="24"/>
          <w:szCs w:val="24"/>
        </w:rPr>
        <w:t xml:space="preserve">ecommendations have been grouped </w:t>
      </w:r>
      <w:r>
        <w:rPr>
          <w:rFonts w:ascii="Times New Roman" w:hAnsi="Times New Roman" w:cs="Times New Roman"/>
          <w:sz w:val="24"/>
          <w:szCs w:val="24"/>
        </w:rPr>
        <w:t>t</w:t>
      </w:r>
      <w:r w:rsidR="009B768C">
        <w:rPr>
          <w:rFonts w:ascii="Times New Roman" w:hAnsi="Times New Roman" w:cs="Times New Roman"/>
          <w:sz w:val="24"/>
          <w:szCs w:val="24"/>
        </w:rPr>
        <w:t xml:space="preserve">o provide a </w:t>
      </w:r>
      <w:r w:rsidR="009E41D5">
        <w:rPr>
          <w:rFonts w:ascii="Times New Roman" w:hAnsi="Times New Roman" w:cs="Times New Roman"/>
          <w:sz w:val="24"/>
          <w:szCs w:val="24"/>
        </w:rPr>
        <w:t xml:space="preserve">response to cover </w:t>
      </w:r>
      <w:r w:rsidR="005573FF">
        <w:rPr>
          <w:rFonts w:ascii="Times New Roman" w:hAnsi="Times New Roman" w:cs="Times New Roman"/>
          <w:sz w:val="24"/>
          <w:szCs w:val="24"/>
        </w:rPr>
        <w:t>related topics</w:t>
      </w:r>
      <w:r w:rsidR="00263F58">
        <w:rPr>
          <w:rFonts w:ascii="Times New Roman" w:hAnsi="Times New Roman" w:cs="Times New Roman"/>
          <w:sz w:val="24"/>
          <w:szCs w:val="24"/>
        </w:rPr>
        <w:t>.</w:t>
      </w:r>
      <w:r w:rsidR="0072787F">
        <w:rPr>
          <w:rFonts w:ascii="Times New Roman" w:hAnsi="Times New Roman" w:cs="Times New Roman"/>
          <w:sz w:val="24"/>
          <w:szCs w:val="24"/>
        </w:rPr>
        <w:t xml:space="preserve"> </w:t>
      </w:r>
      <w:r w:rsidR="00ED5BF9">
        <w:rPr>
          <w:rFonts w:ascii="Times New Roman" w:hAnsi="Times New Roman" w:cs="Times New Roman"/>
          <w:sz w:val="24"/>
          <w:szCs w:val="24"/>
        </w:rPr>
        <w:t xml:space="preserve">An index has been provided </w:t>
      </w:r>
      <w:r w:rsidR="00353E9A">
        <w:rPr>
          <w:rFonts w:ascii="Times New Roman" w:hAnsi="Times New Roman" w:cs="Times New Roman"/>
          <w:sz w:val="24"/>
          <w:szCs w:val="24"/>
        </w:rPr>
        <w:t xml:space="preserve">for referencing back to the </w:t>
      </w:r>
      <w:r w:rsidR="005573FF">
        <w:rPr>
          <w:rFonts w:ascii="Times New Roman" w:hAnsi="Times New Roman" w:cs="Times New Roman"/>
          <w:sz w:val="24"/>
          <w:szCs w:val="24"/>
        </w:rPr>
        <w:t xml:space="preserve">Committee </w:t>
      </w:r>
      <w:r w:rsidR="00F42FF7">
        <w:rPr>
          <w:rFonts w:ascii="Times New Roman" w:hAnsi="Times New Roman" w:cs="Times New Roman"/>
          <w:sz w:val="24"/>
          <w:szCs w:val="24"/>
        </w:rPr>
        <w:t>report.</w:t>
      </w:r>
    </w:p>
    <w:p w14:paraId="10E87B06" w14:textId="308F5B10" w:rsidR="00ED5BF9" w:rsidRDefault="00ED5BF9" w:rsidP="00ED5BF9">
      <w:pPr>
        <w:pStyle w:val="ListBullet"/>
        <w:numPr>
          <w:ilvl w:val="0"/>
          <w:numId w:val="0"/>
        </w:numPr>
        <w:rPr>
          <w:rFonts w:ascii="Times New Roman" w:hAnsi="Times New Roman" w:cs="Times New Roman"/>
          <w:sz w:val="24"/>
          <w:szCs w:val="24"/>
        </w:rPr>
      </w:pPr>
      <w:r w:rsidRPr="00B770A3">
        <w:rPr>
          <w:rFonts w:ascii="Times New Roman" w:hAnsi="Times New Roman" w:cs="Times New Roman"/>
          <w:sz w:val="24"/>
          <w:szCs w:val="24"/>
        </w:rPr>
        <w:t>The Australian Government welcomes the opportunity to respond to th</w:t>
      </w:r>
      <w:r>
        <w:rPr>
          <w:rFonts w:ascii="Times New Roman" w:hAnsi="Times New Roman" w:cs="Times New Roman"/>
          <w:sz w:val="24"/>
          <w:szCs w:val="24"/>
        </w:rPr>
        <w:t>e</w:t>
      </w:r>
      <w:r w:rsidR="005573FF">
        <w:rPr>
          <w:rFonts w:ascii="Times New Roman" w:hAnsi="Times New Roman" w:cs="Times New Roman"/>
          <w:sz w:val="24"/>
          <w:szCs w:val="24"/>
        </w:rPr>
        <w:t xml:space="preserve"> recommendations made in the </w:t>
      </w:r>
      <w:r w:rsidR="00266702">
        <w:rPr>
          <w:rFonts w:ascii="Times New Roman" w:hAnsi="Times New Roman" w:cs="Times New Roman"/>
          <w:sz w:val="24"/>
          <w:szCs w:val="24"/>
        </w:rPr>
        <w:t>additional comments</w:t>
      </w:r>
      <w:r w:rsidR="00F42FF7">
        <w:rPr>
          <w:rFonts w:ascii="Times New Roman" w:hAnsi="Times New Roman" w:cs="Times New Roman"/>
          <w:sz w:val="24"/>
          <w:szCs w:val="24"/>
        </w:rPr>
        <w:t xml:space="preserve">. </w:t>
      </w:r>
    </w:p>
    <w:p w14:paraId="670D41F4" w14:textId="47F229DA" w:rsidR="00194EFC" w:rsidRDefault="00D74C06" w:rsidP="00194EFC">
      <w:pPr>
        <w:pStyle w:val="Heading2"/>
        <w:rPr>
          <w:rFonts w:ascii="Times New Roman" w:hAnsi="Times New Roman" w:cs="Times New Roman"/>
          <w:sz w:val="24"/>
          <w:szCs w:val="24"/>
        </w:rPr>
      </w:pPr>
      <w:r w:rsidRPr="008E62ED">
        <w:rPr>
          <w:rFonts w:ascii="Times New Roman" w:hAnsi="Times New Roman" w:cs="Times New Roman"/>
          <w:sz w:val="24"/>
          <w:szCs w:val="24"/>
        </w:rPr>
        <w:t xml:space="preserve">Responses to </w:t>
      </w:r>
      <w:r w:rsidR="0006403B">
        <w:rPr>
          <w:rFonts w:ascii="Times New Roman" w:hAnsi="Times New Roman" w:cs="Times New Roman"/>
          <w:sz w:val="24"/>
          <w:szCs w:val="24"/>
        </w:rPr>
        <w:t xml:space="preserve">recommendations in </w:t>
      </w:r>
      <w:r w:rsidR="00874147">
        <w:rPr>
          <w:rFonts w:ascii="Times New Roman" w:hAnsi="Times New Roman" w:cs="Times New Roman"/>
          <w:sz w:val="24"/>
          <w:szCs w:val="24"/>
        </w:rPr>
        <w:t>Additional C</w:t>
      </w:r>
      <w:r w:rsidR="00266702">
        <w:rPr>
          <w:rFonts w:ascii="Times New Roman" w:hAnsi="Times New Roman" w:cs="Times New Roman"/>
          <w:sz w:val="24"/>
          <w:szCs w:val="24"/>
        </w:rPr>
        <w:t xml:space="preserve">omments </w:t>
      </w:r>
    </w:p>
    <w:p w14:paraId="615FAD53" w14:textId="77777777" w:rsidR="009E41D5" w:rsidRDefault="009E41D5" w:rsidP="009E41D5"/>
    <w:tbl>
      <w:tblPr>
        <w:tblStyle w:val="TableGrid"/>
        <w:tblW w:w="9493" w:type="dxa"/>
        <w:tblLook w:val="04A0" w:firstRow="1" w:lastRow="0" w:firstColumn="1" w:lastColumn="0" w:noHBand="0" w:noVBand="1"/>
      </w:tblPr>
      <w:tblGrid>
        <w:gridCol w:w="2068"/>
        <w:gridCol w:w="3102"/>
        <w:gridCol w:w="4323"/>
      </w:tblGrid>
      <w:tr w:rsidR="00ED5BF9" w:rsidRPr="00497624" w14:paraId="551318A7" w14:textId="77777777" w:rsidTr="002E52BF">
        <w:trPr>
          <w:cnfStyle w:val="100000000000" w:firstRow="1" w:lastRow="0" w:firstColumn="0" w:lastColumn="0" w:oddVBand="0" w:evenVBand="0" w:oddHBand="0" w:evenHBand="0" w:firstRowFirstColumn="0" w:firstRowLastColumn="0" w:lastRowFirstColumn="0" w:lastRowLastColumn="0"/>
        </w:trPr>
        <w:tc>
          <w:tcPr>
            <w:tcW w:w="2068" w:type="dxa"/>
          </w:tcPr>
          <w:p w14:paraId="3DE37FEE" w14:textId="6D663711" w:rsidR="00ED5BF9" w:rsidRPr="00ED5BF9" w:rsidRDefault="00ED5BF9" w:rsidP="00ED5BF9">
            <w:pPr>
              <w:autoSpaceDE w:val="0"/>
              <w:autoSpaceDN w:val="0"/>
              <w:adjustRightInd w:val="0"/>
              <w:rPr>
                <w:b/>
                <w:bCs/>
              </w:rPr>
            </w:pPr>
            <w:r w:rsidRPr="00ED5BF9">
              <w:rPr>
                <w:b/>
                <w:bCs/>
              </w:rPr>
              <w:t>Report Index</w:t>
            </w:r>
          </w:p>
        </w:tc>
        <w:tc>
          <w:tcPr>
            <w:tcW w:w="3102" w:type="dxa"/>
          </w:tcPr>
          <w:p w14:paraId="5BAF98B0" w14:textId="2ABFE43C" w:rsidR="00ED5BF9" w:rsidRPr="00ED5BF9" w:rsidRDefault="00266702" w:rsidP="00266702">
            <w:pPr>
              <w:autoSpaceDE w:val="0"/>
              <w:autoSpaceDN w:val="0"/>
              <w:adjustRightInd w:val="0"/>
              <w:rPr>
                <w:b/>
                <w:bCs/>
              </w:rPr>
            </w:pPr>
            <w:r>
              <w:rPr>
                <w:b/>
                <w:bCs/>
              </w:rPr>
              <w:t xml:space="preserve">Additional Comments </w:t>
            </w:r>
          </w:p>
        </w:tc>
        <w:tc>
          <w:tcPr>
            <w:tcW w:w="4323" w:type="dxa"/>
          </w:tcPr>
          <w:p w14:paraId="7A817FDC" w14:textId="4212FC4F" w:rsidR="00ED5BF9" w:rsidRPr="00ED5BF9" w:rsidRDefault="00ED5BF9" w:rsidP="00DE1324">
            <w:pPr>
              <w:autoSpaceDE w:val="0"/>
              <w:autoSpaceDN w:val="0"/>
              <w:adjustRightInd w:val="0"/>
              <w:rPr>
                <w:b/>
                <w:bCs/>
              </w:rPr>
            </w:pPr>
            <w:r w:rsidRPr="00ED5BF9">
              <w:rPr>
                <w:b/>
                <w:bCs/>
              </w:rPr>
              <w:t>Australian Government Response</w:t>
            </w:r>
          </w:p>
        </w:tc>
      </w:tr>
      <w:tr w:rsidR="00266702" w:rsidRPr="00497624" w14:paraId="074CAAC3" w14:textId="77777777" w:rsidTr="00266702">
        <w:trPr>
          <w:cnfStyle w:val="000000100000" w:firstRow="0" w:lastRow="0" w:firstColumn="0" w:lastColumn="0" w:oddVBand="0" w:evenVBand="0" w:oddHBand="1" w:evenHBand="0" w:firstRowFirstColumn="0" w:firstRowLastColumn="0" w:lastRowFirstColumn="0" w:lastRowLastColumn="0"/>
        </w:trPr>
        <w:tc>
          <w:tcPr>
            <w:tcW w:w="9493" w:type="dxa"/>
            <w:gridSpan w:val="3"/>
            <w:shd w:val="clear" w:color="auto" w:fill="BFBFBF" w:themeFill="background1" w:themeFillShade="BF"/>
          </w:tcPr>
          <w:p w14:paraId="78BD0A9A" w14:textId="5F34AA35" w:rsidR="00266702" w:rsidRPr="00967BBB" w:rsidRDefault="00266702" w:rsidP="00266702">
            <w:pPr>
              <w:autoSpaceDE w:val="0"/>
              <w:autoSpaceDN w:val="0"/>
              <w:adjustRightInd w:val="0"/>
              <w:rPr>
                <w:b/>
                <w:bCs/>
              </w:rPr>
            </w:pPr>
            <w:r>
              <w:rPr>
                <w:bCs/>
              </w:rPr>
              <w:t>Consultation with Murujuga Aboriginal Corporation and Elders</w:t>
            </w:r>
          </w:p>
        </w:tc>
      </w:tr>
      <w:tr w:rsidR="009E41D5" w:rsidRPr="00497624" w14:paraId="62FAEBE2"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290A3886" w14:textId="45A4FE0D" w:rsidR="008B7FDC" w:rsidRPr="00C20E68" w:rsidRDefault="00F175FA" w:rsidP="008B7FDC">
            <w:pPr>
              <w:autoSpaceDE w:val="0"/>
              <w:autoSpaceDN w:val="0"/>
              <w:adjustRightInd w:val="0"/>
              <w:rPr>
                <w:bCs/>
              </w:rPr>
            </w:pPr>
            <w:r w:rsidRPr="00C20E68">
              <w:rPr>
                <w:bCs/>
              </w:rPr>
              <w:t xml:space="preserve">Labor </w:t>
            </w:r>
            <w:r w:rsidR="008B7FDC" w:rsidRPr="00C20E68">
              <w:rPr>
                <w:bCs/>
              </w:rPr>
              <w:t xml:space="preserve">Recommendation 1 </w:t>
            </w:r>
          </w:p>
          <w:p w14:paraId="5502C721" w14:textId="71C0AC84" w:rsidR="0072787F" w:rsidRPr="00C20E68" w:rsidRDefault="0072787F" w:rsidP="00795138">
            <w:pPr>
              <w:autoSpaceDE w:val="0"/>
              <w:autoSpaceDN w:val="0"/>
              <w:adjustRightInd w:val="0"/>
              <w:rPr>
                <w:bCs/>
              </w:rPr>
            </w:pPr>
            <w:r w:rsidRPr="00C20E68">
              <w:rPr>
                <w:bCs/>
              </w:rPr>
              <w:t xml:space="preserve">Paragraph 1.10 </w:t>
            </w:r>
            <w:r w:rsidR="008D1957" w:rsidRPr="00C20E68">
              <w:rPr>
                <w:bCs/>
              </w:rPr>
              <w:t xml:space="preserve"> </w:t>
            </w:r>
          </w:p>
          <w:p w14:paraId="7CC29F85" w14:textId="6E15A3BD" w:rsidR="009E41D5" w:rsidRPr="00497624" w:rsidRDefault="0072787F" w:rsidP="002A70AD">
            <w:pPr>
              <w:autoSpaceDE w:val="0"/>
              <w:autoSpaceDN w:val="0"/>
              <w:adjustRightInd w:val="0"/>
              <w:rPr>
                <w:bCs/>
              </w:rPr>
            </w:pPr>
            <w:r w:rsidRPr="00C20E68">
              <w:rPr>
                <w:bCs/>
              </w:rPr>
              <w:t>Page 130</w:t>
            </w:r>
          </w:p>
        </w:tc>
        <w:tc>
          <w:tcPr>
            <w:tcW w:w="3102" w:type="dxa"/>
          </w:tcPr>
          <w:p w14:paraId="7FD162DA" w14:textId="77777777" w:rsidR="009A4B6F" w:rsidRDefault="009E41D5" w:rsidP="00AD044A">
            <w:pPr>
              <w:autoSpaceDE w:val="0"/>
              <w:autoSpaceDN w:val="0"/>
              <w:adjustRightInd w:val="0"/>
              <w:rPr>
                <w:bCs/>
              </w:rPr>
            </w:pPr>
            <w:r w:rsidRPr="00497624">
              <w:rPr>
                <w:bCs/>
              </w:rPr>
              <w:t>Labor Senators recommend that prior to any future steps in securing protection for Murujuga, or undertaking further decisions relating to resource activities in the region, the Western Australian Government and Australian Government must formally consult with the Murujuga Aboriginal Corporation and Murujuga Circle of El</w:t>
            </w:r>
            <w:r w:rsidR="00CF45F6">
              <w:rPr>
                <w:bCs/>
              </w:rPr>
              <w:t>ders, which represent the five Traditional O</w:t>
            </w:r>
            <w:r w:rsidRPr="00497624">
              <w:rPr>
                <w:bCs/>
              </w:rPr>
              <w:t>wner groups in the region. Such consultation should be conducted on terms set by the Murujuga Aboriginal Corporation and Murujuga Circle of Elders.</w:t>
            </w:r>
            <w:r w:rsidR="00010BE6">
              <w:rPr>
                <w:bCs/>
              </w:rPr>
              <w:t xml:space="preserve"> </w:t>
            </w:r>
          </w:p>
          <w:p w14:paraId="5176248F" w14:textId="77777777" w:rsidR="009A4B6F" w:rsidRDefault="009A4B6F" w:rsidP="00AD044A">
            <w:pPr>
              <w:autoSpaceDE w:val="0"/>
              <w:autoSpaceDN w:val="0"/>
              <w:adjustRightInd w:val="0"/>
              <w:rPr>
                <w:bCs/>
              </w:rPr>
            </w:pPr>
          </w:p>
          <w:p w14:paraId="516EAFF2" w14:textId="1ECA4999" w:rsidR="009E41D5" w:rsidRPr="00497624" w:rsidRDefault="009E41D5" w:rsidP="00AD044A">
            <w:pPr>
              <w:autoSpaceDE w:val="0"/>
              <w:autoSpaceDN w:val="0"/>
              <w:adjustRightInd w:val="0"/>
              <w:rPr>
                <w:bCs/>
              </w:rPr>
            </w:pPr>
          </w:p>
        </w:tc>
        <w:tc>
          <w:tcPr>
            <w:tcW w:w="4323" w:type="dxa"/>
          </w:tcPr>
          <w:p w14:paraId="477ECAF3" w14:textId="77777777" w:rsidR="00AD044A" w:rsidRPr="00AD044A" w:rsidRDefault="00AD044A" w:rsidP="00DE1324">
            <w:pPr>
              <w:autoSpaceDE w:val="0"/>
              <w:autoSpaceDN w:val="0"/>
              <w:adjustRightInd w:val="0"/>
              <w:rPr>
                <w:b/>
                <w:bCs/>
              </w:rPr>
            </w:pPr>
            <w:r w:rsidRPr="00AD044A">
              <w:rPr>
                <w:b/>
                <w:bCs/>
              </w:rPr>
              <w:t>Noted</w:t>
            </w:r>
          </w:p>
          <w:p w14:paraId="3FFDF703" w14:textId="41B1AB33" w:rsidR="00680F6D" w:rsidRDefault="00680F6D" w:rsidP="00DE1324">
            <w:pPr>
              <w:autoSpaceDE w:val="0"/>
              <w:autoSpaceDN w:val="0"/>
              <w:adjustRightInd w:val="0"/>
              <w:rPr>
                <w:bCs/>
              </w:rPr>
            </w:pPr>
            <w:r>
              <w:rPr>
                <w:bCs/>
              </w:rPr>
              <w:t xml:space="preserve">Murujuga is </w:t>
            </w:r>
            <w:r w:rsidR="00F42FF7">
              <w:rPr>
                <w:bCs/>
              </w:rPr>
              <w:t>listed i</w:t>
            </w:r>
            <w:r w:rsidR="005573FF">
              <w:rPr>
                <w:bCs/>
              </w:rPr>
              <w:t xml:space="preserve">n Australia’s National Heritage List </w:t>
            </w:r>
            <w:r w:rsidR="00874147">
              <w:rPr>
                <w:bCs/>
              </w:rPr>
              <w:t xml:space="preserve">(NHL) </w:t>
            </w:r>
            <w:r w:rsidR="005573FF">
              <w:rPr>
                <w:bCs/>
              </w:rPr>
              <w:t xml:space="preserve">and protected by the  </w:t>
            </w:r>
          </w:p>
          <w:p w14:paraId="1D36D59A" w14:textId="165890B0" w:rsidR="003A3EFD" w:rsidRDefault="00680F6D" w:rsidP="00DE1324">
            <w:pPr>
              <w:autoSpaceDE w:val="0"/>
              <w:autoSpaceDN w:val="0"/>
              <w:adjustRightInd w:val="0"/>
              <w:rPr>
                <w:bCs/>
              </w:rPr>
            </w:pPr>
            <w:r>
              <w:rPr>
                <w:i/>
                <w:iCs/>
              </w:rPr>
              <w:t>Environment Protection and Biodiversity Conservation Act 1999</w:t>
            </w:r>
            <w:r>
              <w:t xml:space="preserve"> (the EPBC Act)</w:t>
            </w:r>
            <w:r w:rsidR="005573FF">
              <w:t>.</w:t>
            </w:r>
            <w:r>
              <w:t xml:space="preserve"> </w:t>
            </w:r>
            <w:r w:rsidR="00C74191">
              <w:t>The EP</w:t>
            </w:r>
            <w:r w:rsidR="00874147">
              <w:t>BC National Heritage Management P</w:t>
            </w:r>
            <w:r w:rsidR="00C74191">
              <w:t xml:space="preserve">rinciples recognise </w:t>
            </w:r>
            <w:r w:rsidR="00F42FF7">
              <w:t xml:space="preserve">that </w:t>
            </w:r>
            <w:r w:rsidR="005573FF">
              <w:rPr>
                <w:bCs/>
              </w:rPr>
              <w:t>Indigenous people are the primary source of information about the value of their heritage</w:t>
            </w:r>
            <w:r w:rsidR="00C74191">
              <w:rPr>
                <w:bCs/>
              </w:rPr>
              <w:t>. T</w:t>
            </w:r>
            <w:r w:rsidR="008D1957">
              <w:rPr>
                <w:bCs/>
              </w:rPr>
              <w:t>he Australian Government</w:t>
            </w:r>
            <w:r w:rsidR="00353E9A">
              <w:rPr>
                <w:bCs/>
              </w:rPr>
              <w:t xml:space="preserve"> </w:t>
            </w:r>
            <w:r w:rsidR="003C3214">
              <w:rPr>
                <w:bCs/>
              </w:rPr>
              <w:t>follows best practice consultation</w:t>
            </w:r>
            <w:r w:rsidR="008F29B3">
              <w:rPr>
                <w:bCs/>
              </w:rPr>
              <w:t xml:space="preserve"> for decisions that affect</w:t>
            </w:r>
            <w:r w:rsidR="005573FF">
              <w:rPr>
                <w:bCs/>
              </w:rPr>
              <w:t xml:space="preserve"> Indigenous people</w:t>
            </w:r>
            <w:r w:rsidR="00FF5E51">
              <w:rPr>
                <w:bCs/>
              </w:rPr>
              <w:t xml:space="preserve">. This </w:t>
            </w:r>
            <w:r w:rsidR="008F29B3">
              <w:rPr>
                <w:bCs/>
              </w:rPr>
              <w:t>involv</w:t>
            </w:r>
            <w:r w:rsidR="00FF5E51">
              <w:rPr>
                <w:bCs/>
              </w:rPr>
              <w:t xml:space="preserve">es </w:t>
            </w:r>
            <w:r w:rsidR="008F29B3">
              <w:rPr>
                <w:bCs/>
              </w:rPr>
              <w:t xml:space="preserve">early and ongoing engagement, </w:t>
            </w:r>
            <w:r w:rsidR="00A34D37">
              <w:rPr>
                <w:bCs/>
              </w:rPr>
              <w:t xml:space="preserve">ensuring </w:t>
            </w:r>
            <w:r w:rsidR="008F29B3">
              <w:rPr>
                <w:bCs/>
              </w:rPr>
              <w:t>appropriate timeframes and settings</w:t>
            </w:r>
            <w:r w:rsidR="00F42FF7">
              <w:rPr>
                <w:bCs/>
              </w:rPr>
              <w:t>,</w:t>
            </w:r>
            <w:r w:rsidR="008F29B3">
              <w:rPr>
                <w:bCs/>
              </w:rPr>
              <w:t xml:space="preserve"> and respecting community protocols. </w:t>
            </w:r>
          </w:p>
          <w:p w14:paraId="51D138E0" w14:textId="46834788" w:rsidR="00010BE6" w:rsidRDefault="00010BE6" w:rsidP="003A3EFD">
            <w:pPr>
              <w:autoSpaceDE w:val="0"/>
              <w:autoSpaceDN w:val="0"/>
              <w:adjustRightInd w:val="0"/>
              <w:rPr>
                <w:bCs/>
              </w:rPr>
            </w:pPr>
          </w:p>
          <w:p w14:paraId="67FC4BB7" w14:textId="77777777" w:rsidR="00AD044A" w:rsidRDefault="00AD044A" w:rsidP="00AD044A">
            <w:pPr>
              <w:autoSpaceDE w:val="0"/>
              <w:autoSpaceDN w:val="0"/>
              <w:adjustRightInd w:val="0"/>
              <w:rPr>
                <w:bCs/>
              </w:rPr>
            </w:pPr>
          </w:p>
          <w:p w14:paraId="54F19B33" w14:textId="77777777" w:rsidR="00AD044A" w:rsidRDefault="00AD044A" w:rsidP="00AD044A">
            <w:pPr>
              <w:autoSpaceDE w:val="0"/>
              <w:autoSpaceDN w:val="0"/>
              <w:adjustRightInd w:val="0"/>
              <w:rPr>
                <w:bCs/>
              </w:rPr>
            </w:pPr>
          </w:p>
          <w:p w14:paraId="633CEA99" w14:textId="77777777" w:rsidR="00AD044A" w:rsidRDefault="00AD044A" w:rsidP="00AD044A">
            <w:pPr>
              <w:autoSpaceDE w:val="0"/>
              <w:autoSpaceDN w:val="0"/>
              <w:adjustRightInd w:val="0"/>
              <w:rPr>
                <w:bCs/>
              </w:rPr>
            </w:pPr>
          </w:p>
          <w:p w14:paraId="239D4208" w14:textId="3300DA5B" w:rsidR="00AD044A" w:rsidRPr="00497624" w:rsidRDefault="00AD044A" w:rsidP="00AD044A">
            <w:pPr>
              <w:autoSpaceDE w:val="0"/>
              <w:autoSpaceDN w:val="0"/>
              <w:adjustRightInd w:val="0"/>
              <w:rPr>
                <w:bCs/>
              </w:rPr>
            </w:pPr>
          </w:p>
        </w:tc>
      </w:tr>
      <w:tr w:rsidR="009E41D5" w:rsidRPr="00967BBB" w14:paraId="36CD9200" w14:textId="77777777" w:rsidTr="003D7CC5">
        <w:trPr>
          <w:cnfStyle w:val="000000100000" w:firstRow="0" w:lastRow="0" w:firstColumn="0" w:lastColumn="0" w:oddVBand="0" w:evenVBand="0" w:oddHBand="1" w:evenHBand="0" w:firstRowFirstColumn="0" w:firstRowLastColumn="0" w:lastRowFirstColumn="0" w:lastRowLastColumn="0"/>
        </w:trPr>
        <w:tc>
          <w:tcPr>
            <w:tcW w:w="9493" w:type="dxa"/>
            <w:gridSpan w:val="3"/>
            <w:shd w:val="clear" w:color="auto" w:fill="BFBFBF" w:themeFill="background1" w:themeFillShade="BF"/>
          </w:tcPr>
          <w:p w14:paraId="4F381D6C" w14:textId="663CAD75" w:rsidR="009E41D5" w:rsidRPr="00497624" w:rsidRDefault="009E41D5" w:rsidP="00967BBB">
            <w:pPr>
              <w:autoSpaceDE w:val="0"/>
              <w:autoSpaceDN w:val="0"/>
              <w:adjustRightInd w:val="0"/>
              <w:rPr>
                <w:bCs/>
              </w:rPr>
            </w:pPr>
            <w:r w:rsidRPr="00497624">
              <w:rPr>
                <w:bCs/>
              </w:rPr>
              <w:lastRenderedPageBreak/>
              <w:t xml:space="preserve">World </w:t>
            </w:r>
            <w:r w:rsidRPr="009A4B6F">
              <w:rPr>
                <w:bCs/>
              </w:rPr>
              <w:t xml:space="preserve">Heritage Listing </w:t>
            </w:r>
            <w:r w:rsidR="00967BBB" w:rsidRPr="009A4B6F">
              <w:rPr>
                <w:bCs/>
              </w:rPr>
              <w:t>of the Burrup Peninsula</w:t>
            </w:r>
            <w:r w:rsidRPr="009A4B6F">
              <w:rPr>
                <w:bCs/>
              </w:rPr>
              <w:t xml:space="preserve">  </w:t>
            </w:r>
          </w:p>
        </w:tc>
      </w:tr>
      <w:tr w:rsidR="009E41D5" w:rsidRPr="00497624" w14:paraId="3253FE01"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4334FD26" w14:textId="2F66F89F" w:rsidR="00F175FA" w:rsidRPr="00C20E68" w:rsidRDefault="00F175FA" w:rsidP="00266702">
            <w:pPr>
              <w:autoSpaceDE w:val="0"/>
              <w:autoSpaceDN w:val="0"/>
              <w:adjustRightInd w:val="0"/>
              <w:rPr>
                <w:bCs/>
              </w:rPr>
            </w:pPr>
            <w:r w:rsidRPr="00C20E68">
              <w:rPr>
                <w:bCs/>
              </w:rPr>
              <w:t>Greens</w:t>
            </w:r>
          </w:p>
          <w:p w14:paraId="0A892EE4" w14:textId="77777777" w:rsidR="00266702" w:rsidRPr="00C20E68" w:rsidRDefault="00266702" w:rsidP="00266702">
            <w:pPr>
              <w:autoSpaceDE w:val="0"/>
              <w:autoSpaceDN w:val="0"/>
              <w:adjustRightInd w:val="0"/>
              <w:rPr>
                <w:bCs/>
              </w:rPr>
            </w:pPr>
            <w:r w:rsidRPr="00C20E68">
              <w:rPr>
                <w:bCs/>
              </w:rPr>
              <w:t xml:space="preserve">Recommendation 1 </w:t>
            </w:r>
          </w:p>
          <w:p w14:paraId="4BD8A370" w14:textId="4E753C6B" w:rsidR="00266702" w:rsidRPr="00C20E68" w:rsidRDefault="00266702" w:rsidP="00266702">
            <w:pPr>
              <w:autoSpaceDE w:val="0"/>
              <w:autoSpaceDN w:val="0"/>
              <w:adjustRightInd w:val="0"/>
              <w:rPr>
                <w:bCs/>
              </w:rPr>
            </w:pPr>
            <w:r w:rsidRPr="00C20E68">
              <w:rPr>
                <w:bCs/>
              </w:rPr>
              <w:t xml:space="preserve">Paragraph 1.4  </w:t>
            </w:r>
          </w:p>
          <w:p w14:paraId="0766D4B5" w14:textId="34B222D3" w:rsidR="009E41D5" w:rsidRPr="00C20E68" w:rsidRDefault="00266702" w:rsidP="003A3EFD">
            <w:pPr>
              <w:autoSpaceDE w:val="0"/>
              <w:autoSpaceDN w:val="0"/>
              <w:adjustRightInd w:val="0"/>
              <w:rPr>
                <w:bCs/>
              </w:rPr>
            </w:pPr>
            <w:r w:rsidRPr="00C20E68">
              <w:rPr>
                <w:bCs/>
              </w:rPr>
              <w:t xml:space="preserve">Page </w:t>
            </w:r>
            <w:r w:rsidR="00390E1E" w:rsidRPr="00C20E68">
              <w:rPr>
                <w:bCs/>
              </w:rPr>
              <w:t>101</w:t>
            </w:r>
          </w:p>
        </w:tc>
        <w:tc>
          <w:tcPr>
            <w:tcW w:w="3102" w:type="dxa"/>
          </w:tcPr>
          <w:p w14:paraId="212D5DD8" w14:textId="39C7926C" w:rsidR="009E41D5" w:rsidRPr="00497624" w:rsidRDefault="009E41D5" w:rsidP="00F42FF7">
            <w:pPr>
              <w:autoSpaceDE w:val="0"/>
              <w:autoSpaceDN w:val="0"/>
              <w:adjustRightInd w:val="0"/>
              <w:rPr>
                <w:bCs/>
              </w:rPr>
            </w:pPr>
            <w:r w:rsidRPr="00497624">
              <w:rPr>
                <w:bCs/>
              </w:rPr>
              <w:t xml:space="preserve">Australian Greens Senators recommend that the Western Australian Government immediately approach the Australian Government to seek the listing of the Burrup Peninsula on Australia's World Heritage </w:t>
            </w:r>
            <w:r w:rsidR="00F42FF7" w:rsidRPr="00497624">
              <w:rPr>
                <w:bCs/>
              </w:rPr>
              <w:t xml:space="preserve">Tentative </w:t>
            </w:r>
            <w:r w:rsidRPr="00497624">
              <w:rPr>
                <w:bCs/>
              </w:rPr>
              <w:t>List, following appropriate consultation with the Murujuga Aboriginal Corporation.</w:t>
            </w:r>
            <w:r w:rsidR="002A70AD">
              <w:rPr>
                <w:bCs/>
              </w:rPr>
              <w:t xml:space="preserve"> </w:t>
            </w:r>
          </w:p>
        </w:tc>
        <w:tc>
          <w:tcPr>
            <w:tcW w:w="4323" w:type="dxa"/>
            <w:vMerge w:val="restart"/>
          </w:tcPr>
          <w:p w14:paraId="13DBEECA" w14:textId="10475950" w:rsidR="00967BBB" w:rsidRPr="003C3214" w:rsidRDefault="003C3214" w:rsidP="00967BBB">
            <w:pPr>
              <w:autoSpaceDE w:val="0"/>
              <w:autoSpaceDN w:val="0"/>
              <w:adjustRightInd w:val="0"/>
              <w:rPr>
                <w:b/>
              </w:rPr>
            </w:pPr>
            <w:r w:rsidRPr="003C3214">
              <w:rPr>
                <w:b/>
              </w:rPr>
              <w:t xml:space="preserve">Noted </w:t>
            </w:r>
          </w:p>
          <w:p w14:paraId="612824B8" w14:textId="5FF350CC" w:rsidR="00967BBB" w:rsidRDefault="00967BBB" w:rsidP="00967BBB">
            <w:pPr>
              <w:autoSpaceDE w:val="0"/>
              <w:autoSpaceDN w:val="0"/>
              <w:adjustRightInd w:val="0"/>
            </w:pPr>
            <w:r w:rsidRPr="003C3214">
              <w:t>The Western Australian</w:t>
            </w:r>
            <w:r w:rsidR="00B55AE7">
              <w:t xml:space="preserve"> </w:t>
            </w:r>
            <w:r w:rsidRPr="003C3214">
              <w:t xml:space="preserve">Government has </w:t>
            </w:r>
            <w:r w:rsidR="00164327">
              <w:t>provided</w:t>
            </w:r>
            <w:r w:rsidRPr="003C3214">
              <w:t xml:space="preserve"> its support</w:t>
            </w:r>
            <w:r w:rsidR="00DF664C">
              <w:t xml:space="preserve"> for World Heritage </w:t>
            </w:r>
            <w:r w:rsidR="00F42FF7">
              <w:t>l</w:t>
            </w:r>
            <w:r w:rsidR="00DF664C">
              <w:t>isting</w:t>
            </w:r>
            <w:r w:rsidR="00F556CF" w:rsidRPr="00F556CF">
              <w:t>.</w:t>
            </w:r>
            <w:r w:rsidRPr="00F556CF">
              <w:t xml:space="preserve"> </w:t>
            </w:r>
            <w:r w:rsidR="00F556CF" w:rsidRPr="00F556CF">
              <w:t>The Murujuga Aboriginal Corporation representing</w:t>
            </w:r>
            <w:r w:rsidR="00F556CF">
              <w:t xml:space="preserve"> </w:t>
            </w:r>
            <w:r w:rsidRPr="003C3214">
              <w:t>the Traditional Owners and custodians have formally agreed</w:t>
            </w:r>
            <w:r w:rsidR="00087B1B">
              <w:t xml:space="preserve"> to the pursuit of World Heritage listing</w:t>
            </w:r>
            <w:r w:rsidRPr="003C3214">
              <w:t xml:space="preserve">. </w:t>
            </w:r>
          </w:p>
          <w:p w14:paraId="53F034C5" w14:textId="77777777" w:rsidR="00F556CF" w:rsidRPr="003C3214" w:rsidRDefault="00F556CF" w:rsidP="00967BBB">
            <w:pPr>
              <w:autoSpaceDE w:val="0"/>
              <w:autoSpaceDN w:val="0"/>
              <w:adjustRightInd w:val="0"/>
            </w:pPr>
          </w:p>
          <w:p w14:paraId="45B5586D" w14:textId="32E13BC7" w:rsidR="00DF664C" w:rsidRPr="003C3214" w:rsidRDefault="00357A4C" w:rsidP="00DF664C">
            <w:pPr>
              <w:autoSpaceDE w:val="0"/>
              <w:autoSpaceDN w:val="0"/>
              <w:adjustRightInd w:val="0"/>
            </w:pPr>
            <w:r>
              <w:t>Following consideration and agreement at the</w:t>
            </w:r>
            <w:r w:rsidRPr="003C3214">
              <w:t xml:space="preserve"> Meeting of Environment Ministers</w:t>
            </w:r>
            <w:r>
              <w:t xml:space="preserve"> in November 2019, t</w:t>
            </w:r>
            <w:r w:rsidR="00DF664C">
              <w:t xml:space="preserve">he WA Government </w:t>
            </w:r>
            <w:r w:rsidR="00164327">
              <w:t>provided</w:t>
            </w:r>
            <w:r w:rsidR="00DF664C">
              <w:t xml:space="preserve"> a </w:t>
            </w:r>
            <w:r w:rsidR="00164327">
              <w:t>submission</w:t>
            </w:r>
            <w:r w:rsidR="00B55AE7">
              <w:t xml:space="preserve"> to the Australian Government for inclusion of the property on </w:t>
            </w:r>
            <w:r w:rsidR="00F556CF">
              <w:t>Austr</w:t>
            </w:r>
            <w:r w:rsidR="00F42FF7">
              <w:t>alia</w:t>
            </w:r>
            <w:r w:rsidR="00B55AE7">
              <w:t>’s</w:t>
            </w:r>
            <w:r w:rsidR="00F42FF7">
              <w:t xml:space="preserve"> World Heritage T</w:t>
            </w:r>
            <w:r w:rsidR="00F556CF">
              <w:t xml:space="preserve">entative </w:t>
            </w:r>
            <w:r w:rsidR="00F42FF7">
              <w:t>L</w:t>
            </w:r>
            <w:r w:rsidR="00164327">
              <w:t>ist. The Australian Government successfully transmitted the World Heritage Tentative List submission to the UNESCO World Heritage Centre in January 2020.</w:t>
            </w:r>
          </w:p>
          <w:p w14:paraId="157421A7" w14:textId="77777777" w:rsidR="00DF664C" w:rsidRDefault="00DF664C" w:rsidP="00DE1324">
            <w:pPr>
              <w:autoSpaceDE w:val="0"/>
              <w:autoSpaceDN w:val="0"/>
              <w:adjustRightInd w:val="0"/>
            </w:pPr>
          </w:p>
          <w:p w14:paraId="50D5CFA0" w14:textId="71652CA4" w:rsidR="009E41D5" w:rsidRPr="003C3214" w:rsidRDefault="00164327" w:rsidP="00DE1324">
            <w:pPr>
              <w:autoSpaceDE w:val="0"/>
              <w:autoSpaceDN w:val="0"/>
              <w:adjustRightInd w:val="0"/>
              <w:rPr>
                <w:bCs/>
              </w:rPr>
            </w:pPr>
            <w:r>
              <w:t>Now</w:t>
            </w:r>
            <w:r w:rsidR="003C3214">
              <w:t xml:space="preserve"> included on </w:t>
            </w:r>
            <w:r w:rsidR="00F42FF7">
              <w:t>Australia’s</w:t>
            </w:r>
            <w:r w:rsidR="003C3214">
              <w:t xml:space="preserve"> T</w:t>
            </w:r>
            <w:r w:rsidR="00F42FF7">
              <w:t>entative L</w:t>
            </w:r>
            <w:r w:rsidR="00967BBB" w:rsidRPr="003C3214">
              <w:t xml:space="preserve">ist, the WA Government </w:t>
            </w:r>
            <w:r w:rsidR="00F556CF">
              <w:t xml:space="preserve">is </w:t>
            </w:r>
            <w:r w:rsidR="00DF664C" w:rsidRPr="003C3214">
              <w:t xml:space="preserve">responsible for developing </w:t>
            </w:r>
            <w:r w:rsidR="00DF664C">
              <w:t xml:space="preserve">and funding </w:t>
            </w:r>
            <w:r w:rsidR="00DF664C" w:rsidRPr="003C3214">
              <w:t xml:space="preserve">a nomination for World Heritage listing </w:t>
            </w:r>
            <w:r w:rsidR="00DF664C">
              <w:t>in consultation with</w:t>
            </w:r>
            <w:r w:rsidR="00967BBB" w:rsidRPr="003C3214">
              <w:t xml:space="preserve"> the Murujuga Aboriginal Corporation</w:t>
            </w:r>
            <w:r w:rsidR="00F556CF">
              <w:t>. T</w:t>
            </w:r>
            <w:r w:rsidR="00967BBB" w:rsidRPr="003C3214">
              <w:t xml:space="preserve">echnical assistance </w:t>
            </w:r>
            <w:r w:rsidR="00F556CF">
              <w:t>is provided by t</w:t>
            </w:r>
            <w:r w:rsidR="00967BBB" w:rsidRPr="003C3214">
              <w:t>he Australian Government</w:t>
            </w:r>
            <w:r w:rsidR="00A86352" w:rsidRPr="003C3214">
              <w:t>.</w:t>
            </w:r>
          </w:p>
          <w:p w14:paraId="2CF2264F" w14:textId="10CF1E8A" w:rsidR="00967BBB" w:rsidRDefault="00967BBB" w:rsidP="00DE1324">
            <w:pPr>
              <w:autoSpaceDE w:val="0"/>
              <w:autoSpaceDN w:val="0"/>
              <w:adjustRightInd w:val="0"/>
              <w:rPr>
                <w:bCs/>
              </w:rPr>
            </w:pPr>
          </w:p>
          <w:p w14:paraId="358B18A6" w14:textId="77777777" w:rsidR="009E41D5" w:rsidRPr="003C3214" w:rsidRDefault="009E41D5" w:rsidP="00DE1324">
            <w:pPr>
              <w:autoSpaceDE w:val="0"/>
              <w:autoSpaceDN w:val="0"/>
              <w:adjustRightInd w:val="0"/>
              <w:rPr>
                <w:bCs/>
              </w:rPr>
            </w:pPr>
          </w:p>
          <w:p w14:paraId="399E29C0" w14:textId="77777777" w:rsidR="009E41D5" w:rsidRDefault="009E41D5" w:rsidP="00DE1324">
            <w:pPr>
              <w:autoSpaceDE w:val="0"/>
              <w:autoSpaceDN w:val="0"/>
              <w:adjustRightInd w:val="0"/>
              <w:rPr>
                <w:bCs/>
              </w:rPr>
            </w:pPr>
          </w:p>
          <w:p w14:paraId="2367EA9E" w14:textId="77777777" w:rsidR="00AD044A" w:rsidRDefault="00AD044A" w:rsidP="00DE1324">
            <w:pPr>
              <w:autoSpaceDE w:val="0"/>
              <w:autoSpaceDN w:val="0"/>
              <w:adjustRightInd w:val="0"/>
              <w:rPr>
                <w:bCs/>
              </w:rPr>
            </w:pPr>
          </w:p>
          <w:p w14:paraId="721F6DFD" w14:textId="77777777" w:rsidR="00AD044A" w:rsidRDefault="00AD044A" w:rsidP="00DE1324">
            <w:pPr>
              <w:autoSpaceDE w:val="0"/>
              <w:autoSpaceDN w:val="0"/>
              <w:adjustRightInd w:val="0"/>
              <w:rPr>
                <w:bCs/>
              </w:rPr>
            </w:pPr>
          </w:p>
          <w:p w14:paraId="343D64E2" w14:textId="3ACB68F7" w:rsidR="00AD044A" w:rsidRPr="003C3214" w:rsidRDefault="00AD044A" w:rsidP="00DE1324">
            <w:pPr>
              <w:autoSpaceDE w:val="0"/>
              <w:autoSpaceDN w:val="0"/>
              <w:adjustRightInd w:val="0"/>
              <w:rPr>
                <w:bCs/>
              </w:rPr>
            </w:pPr>
          </w:p>
        </w:tc>
      </w:tr>
      <w:tr w:rsidR="009E41D5" w:rsidRPr="00497624" w14:paraId="62716285" w14:textId="77777777" w:rsidTr="002E52BF">
        <w:trPr>
          <w:cnfStyle w:val="000000100000" w:firstRow="0" w:lastRow="0" w:firstColumn="0" w:lastColumn="0" w:oddVBand="0" w:evenVBand="0" w:oddHBand="1" w:evenHBand="0" w:firstRowFirstColumn="0" w:firstRowLastColumn="0" w:lastRowFirstColumn="0" w:lastRowLastColumn="0"/>
        </w:trPr>
        <w:tc>
          <w:tcPr>
            <w:tcW w:w="2068" w:type="dxa"/>
          </w:tcPr>
          <w:p w14:paraId="23C319E9" w14:textId="77777777" w:rsidR="00BD32E8" w:rsidRPr="00C20E68" w:rsidRDefault="00F175FA" w:rsidP="00DE1324">
            <w:pPr>
              <w:autoSpaceDE w:val="0"/>
              <w:autoSpaceDN w:val="0"/>
              <w:adjustRightInd w:val="0"/>
              <w:rPr>
                <w:bCs/>
              </w:rPr>
            </w:pPr>
            <w:r w:rsidRPr="00C20E68">
              <w:rPr>
                <w:bCs/>
              </w:rPr>
              <w:t>Greens</w:t>
            </w:r>
          </w:p>
          <w:p w14:paraId="48B9F8BF" w14:textId="0EC5BA9E" w:rsidR="00390E1E" w:rsidRPr="00C20E68" w:rsidRDefault="00A86352" w:rsidP="00DE1324">
            <w:pPr>
              <w:autoSpaceDE w:val="0"/>
              <w:autoSpaceDN w:val="0"/>
              <w:adjustRightInd w:val="0"/>
              <w:rPr>
                <w:bCs/>
              </w:rPr>
            </w:pPr>
            <w:r w:rsidRPr="00C20E68">
              <w:rPr>
                <w:bCs/>
              </w:rPr>
              <w:t xml:space="preserve">Recommendation </w:t>
            </w:r>
            <w:r w:rsidR="003C3214" w:rsidRPr="00C20E68">
              <w:rPr>
                <w:bCs/>
              </w:rPr>
              <w:t>2</w:t>
            </w:r>
          </w:p>
          <w:p w14:paraId="067CB92F" w14:textId="67CA6992" w:rsidR="00390E1E" w:rsidRPr="00C20E68" w:rsidRDefault="00390E1E" w:rsidP="00DE1324">
            <w:pPr>
              <w:autoSpaceDE w:val="0"/>
              <w:autoSpaceDN w:val="0"/>
              <w:adjustRightInd w:val="0"/>
              <w:rPr>
                <w:bCs/>
              </w:rPr>
            </w:pPr>
            <w:r w:rsidRPr="00C20E68">
              <w:rPr>
                <w:bCs/>
              </w:rPr>
              <w:t>Para</w:t>
            </w:r>
            <w:r w:rsidR="0035088D" w:rsidRPr="00C20E68">
              <w:rPr>
                <w:bCs/>
              </w:rPr>
              <w:t>graph</w:t>
            </w:r>
            <w:r w:rsidRPr="00C20E68">
              <w:rPr>
                <w:bCs/>
              </w:rPr>
              <w:t xml:space="preserve"> 1.5 </w:t>
            </w:r>
          </w:p>
          <w:p w14:paraId="5B444647" w14:textId="377879C2" w:rsidR="009E41D5" w:rsidRPr="00C20E68" w:rsidRDefault="00390E1E" w:rsidP="00703BB6">
            <w:pPr>
              <w:autoSpaceDE w:val="0"/>
              <w:autoSpaceDN w:val="0"/>
              <w:adjustRightInd w:val="0"/>
              <w:rPr>
                <w:bCs/>
              </w:rPr>
            </w:pPr>
            <w:r w:rsidRPr="00C20E68">
              <w:rPr>
                <w:bCs/>
              </w:rPr>
              <w:t>Page 10</w:t>
            </w:r>
            <w:r w:rsidR="00A34D37" w:rsidRPr="00C20E68">
              <w:rPr>
                <w:bCs/>
              </w:rPr>
              <w:t>1</w:t>
            </w:r>
          </w:p>
        </w:tc>
        <w:tc>
          <w:tcPr>
            <w:tcW w:w="3102" w:type="dxa"/>
          </w:tcPr>
          <w:p w14:paraId="39567998" w14:textId="73043A40" w:rsidR="009E41D5" w:rsidRPr="00497624" w:rsidRDefault="009E41D5" w:rsidP="002A70AD">
            <w:pPr>
              <w:autoSpaceDE w:val="0"/>
              <w:autoSpaceDN w:val="0"/>
              <w:adjustRightInd w:val="0"/>
              <w:rPr>
                <w:bCs/>
              </w:rPr>
            </w:pPr>
            <w:r w:rsidRPr="00497624">
              <w:rPr>
                <w:bCs/>
              </w:rPr>
              <w:t>Australian Greens Senators recommend that following listing on the Tentative World Heritage List, the Australian Government and the Western Australian Government work together to nominate the Burrup Peninsula for World Heritage listing.</w:t>
            </w:r>
            <w:r w:rsidR="002A70AD">
              <w:rPr>
                <w:bCs/>
              </w:rPr>
              <w:t xml:space="preserve"> </w:t>
            </w:r>
          </w:p>
        </w:tc>
        <w:tc>
          <w:tcPr>
            <w:tcW w:w="4323" w:type="dxa"/>
            <w:vMerge/>
          </w:tcPr>
          <w:p w14:paraId="45838AD2" w14:textId="77777777" w:rsidR="009E41D5" w:rsidRPr="00497624" w:rsidRDefault="009E41D5" w:rsidP="00DE1324">
            <w:pPr>
              <w:autoSpaceDE w:val="0"/>
              <w:autoSpaceDN w:val="0"/>
              <w:adjustRightInd w:val="0"/>
              <w:rPr>
                <w:bCs/>
              </w:rPr>
            </w:pPr>
          </w:p>
        </w:tc>
      </w:tr>
      <w:tr w:rsidR="009E41D5" w:rsidRPr="00497624" w14:paraId="3BA7B100"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4CFCA707" w14:textId="36B3E68E" w:rsidR="00BD32E8" w:rsidRPr="00C20E68" w:rsidRDefault="00BD32E8" w:rsidP="00390E1E">
            <w:pPr>
              <w:autoSpaceDE w:val="0"/>
              <w:autoSpaceDN w:val="0"/>
              <w:adjustRightInd w:val="0"/>
              <w:rPr>
                <w:bCs/>
              </w:rPr>
            </w:pPr>
            <w:r w:rsidRPr="00C20E68">
              <w:rPr>
                <w:bCs/>
              </w:rPr>
              <w:t>Labor</w:t>
            </w:r>
          </w:p>
          <w:p w14:paraId="2DF87418" w14:textId="2F8A8879" w:rsidR="00390E1E" w:rsidRPr="00C20E68" w:rsidRDefault="00390E1E" w:rsidP="00390E1E">
            <w:pPr>
              <w:autoSpaceDE w:val="0"/>
              <w:autoSpaceDN w:val="0"/>
              <w:adjustRightInd w:val="0"/>
              <w:rPr>
                <w:bCs/>
              </w:rPr>
            </w:pPr>
            <w:r w:rsidRPr="00C20E68">
              <w:rPr>
                <w:bCs/>
              </w:rPr>
              <w:t>Recommendation 2</w:t>
            </w:r>
          </w:p>
          <w:p w14:paraId="731A7508" w14:textId="77777777" w:rsidR="009E41D5" w:rsidRPr="00C20E68" w:rsidRDefault="00390E1E" w:rsidP="0035088D">
            <w:pPr>
              <w:autoSpaceDE w:val="0"/>
              <w:autoSpaceDN w:val="0"/>
              <w:adjustRightInd w:val="0"/>
              <w:rPr>
                <w:bCs/>
              </w:rPr>
            </w:pPr>
            <w:r w:rsidRPr="00C20E68">
              <w:rPr>
                <w:bCs/>
              </w:rPr>
              <w:t>Para</w:t>
            </w:r>
            <w:r w:rsidR="0035088D" w:rsidRPr="00C20E68">
              <w:rPr>
                <w:bCs/>
              </w:rPr>
              <w:t>graph</w:t>
            </w:r>
            <w:r w:rsidRPr="00C20E68">
              <w:rPr>
                <w:bCs/>
              </w:rPr>
              <w:t xml:space="preserve"> 1.14</w:t>
            </w:r>
          </w:p>
          <w:p w14:paraId="32DD660E" w14:textId="374A74DC" w:rsidR="0035088D" w:rsidRPr="00C20E68" w:rsidRDefault="0035088D" w:rsidP="0035088D">
            <w:pPr>
              <w:autoSpaceDE w:val="0"/>
              <w:autoSpaceDN w:val="0"/>
              <w:adjustRightInd w:val="0"/>
              <w:rPr>
                <w:bCs/>
              </w:rPr>
            </w:pPr>
            <w:r w:rsidRPr="00C20E68">
              <w:rPr>
                <w:bCs/>
              </w:rPr>
              <w:t>Page 131</w:t>
            </w:r>
          </w:p>
        </w:tc>
        <w:tc>
          <w:tcPr>
            <w:tcW w:w="3102" w:type="dxa"/>
          </w:tcPr>
          <w:p w14:paraId="72A0E37A" w14:textId="76CC0E69" w:rsidR="009E41D5" w:rsidRPr="00497624" w:rsidRDefault="009E41D5" w:rsidP="00F42FF7">
            <w:pPr>
              <w:autoSpaceDE w:val="0"/>
              <w:autoSpaceDN w:val="0"/>
              <w:adjustRightInd w:val="0"/>
              <w:rPr>
                <w:bCs/>
              </w:rPr>
            </w:pPr>
            <w:r w:rsidRPr="00497624">
              <w:rPr>
                <w:bCs/>
              </w:rPr>
              <w:t xml:space="preserve">Labor Senators recommend that, if agreed by the Murujuga Aboriginal Corporation, it be provided funding to consult on the potential to seek listing of Murujuga on Australia's World Heritage </w:t>
            </w:r>
            <w:r w:rsidR="00F42FF7" w:rsidRPr="00497624">
              <w:rPr>
                <w:bCs/>
              </w:rPr>
              <w:t xml:space="preserve">Tentative </w:t>
            </w:r>
            <w:r w:rsidRPr="00497624">
              <w:rPr>
                <w:bCs/>
              </w:rPr>
              <w:t xml:space="preserve">List. If a listing is agreed, that the Murujuga Aboriginal Corporation be assisted by the Western Australian and Australian Governments to prepare a tentative listing. </w:t>
            </w:r>
          </w:p>
        </w:tc>
        <w:tc>
          <w:tcPr>
            <w:tcW w:w="4323" w:type="dxa"/>
            <w:vMerge/>
          </w:tcPr>
          <w:p w14:paraId="2143A899" w14:textId="77777777" w:rsidR="009E41D5" w:rsidRPr="00497624" w:rsidRDefault="009E41D5" w:rsidP="00DE1324">
            <w:pPr>
              <w:autoSpaceDE w:val="0"/>
              <w:autoSpaceDN w:val="0"/>
              <w:adjustRightInd w:val="0"/>
              <w:rPr>
                <w:bCs/>
              </w:rPr>
            </w:pPr>
          </w:p>
        </w:tc>
      </w:tr>
      <w:tr w:rsidR="009E41D5" w:rsidRPr="00497624" w14:paraId="19338A0F" w14:textId="77777777" w:rsidTr="002E52BF">
        <w:trPr>
          <w:cnfStyle w:val="000000100000" w:firstRow="0" w:lastRow="0" w:firstColumn="0" w:lastColumn="0" w:oddVBand="0" w:evenVBand="0" w:oddHBand="1" w:evenHBand="0" w:firstRowFirstColumn="0" w:firstRowLastColumn="0" w:lastRowFirstColumn="0" w:lastRowLastColumn="0"/>
        </w:trPr>
        <w:tc>
          <w:tcPr>
            <w:tcW w:w="2068" w:type="dxa"/>
          </w:tcPr>
          <w:p w14:paraId="3F5BA69C" w14:textId="062B38F7" w:rsidR="00F175FA" w:rsidRPr="00C20E68" w:rsidRDefault="00F175FA" w:rsidP="00390E1E">
            <w:pPr>
              <w:autoSpaceDE w:val="0"/>
              <w:autoSpaceDN w:val="0"/>
              <w:adjustRightInd w:val="0"/>
              <w:rPr>
                <w:bCs/>
              </w:rPr>
            </w:pPr>
            <w:r w:rsidRPr="00C20E68">
              <w:rPr>
                <w:bCs/>
              </w:rPr>
              <w:t>Labor</w:t>
            </w:r>
          </w:p>
          <w:p w14:paraId="0C416C74" w14:textId="77777777" w:rsidR="00390E1E" w:rsidRPr="00C20E68" w:rsidRDefault="00390E1E" w:rsidP="00390E1E">
            <w:pPr>
              <w:autoSpaceDE w:val="0"/>
              <w:autoSpaceDN w:val="0"/>
              <w:adjustRightInd w:val="0"/>
              <w:rPr>
                <w:bCs/>
              </w:rPr>
            </w:pPr>
            <w:r w:rsidRPr="00C20E68">
              <w:rPr>
                <w:bCs/>
              </w:rPr>
              <w:t xml:space="preserve">Recommendation </w:t>
            </w:r>
            <w:r w:rsidR="009E41D5" w:rsidRPr="00C20E68">
              <w:rPr>
                <w:bCs/>
              </w:rPr>
              <w:t>3</w:t>
            </w:r>
          </w:p>
          <w:p w14:paraId="65F83CF0" w14:textId="77777777" w:rsidR="009E41D5" w:rsidRPr="00C20E68" w:rsidRDefault="00390E1E" w:rsidP="0035088D">
            <w:pPr>
              <w:autoSpaceDE w:val="0"/>
              <w:autoSpaceDN w:val="0"/>
              <w:adjustRightInd w:val="0"/>
              <w:rPr>
                <w:bCs/>
              </w:rPr>
            </w:pPr>
            <w:r w:rsidRPr="00C20E68">
              <w:rPr>
                <w:bCs/>
              </w:rPr>
              <w:t>Para</w:t>
            </w:r>
            <w:r w:rsidR="0035088D" w:rsidRPr="00C20E68">
              <w:rPr>
                <w:bCs/>
              </w:rPr>
              <w:t>graph</w:t>
            </w:r>
            <w:r w:rsidRPr="00C20E68">
              <w:rPr>
                <w:bCs/>
              </w:rPr>
              <w:t xml:space="preserve"> 1.15</w:t>
            </w:r>
          </w:p>
          <w:p w14:paraId="2B3E286A" w14:textId="389DD507" w:rsidR="0035088D" w:rsidRPr="00497624" w:rsidRDefault="0035088D" w:rsidP="0035088D">
            <w:pPr>
              <w:autoSpaceDE w:val="0"/>
              <w:autoSpaceDN w:val="0"/>
              <w:adjustRightInd w:val="0"/>
              <w:rPr>
                <w:bCs/>
              </w:rPr>
            </w:pPr>
            <w:r w:rsidRPr="00C20E68">
              <w:rPr>
                <w:bCs/>
              </w:rPr>
              <w:t>Page 131</w:t>
            </w:r>
          </w:p>
        </w:tc>
        <w:tc>
          <w:tcPr>
            <w:tcW w:w="3102" w:type="dxa"/>
          </w:tcPr>
          <w:p w14:paraId="3C6561B5" w14:textId="77777777" w:rsidR="009A4B6F" w:rsidRDefault="009E41D5" w:rsidP="00F42FF7">
            <w:pPr>
              <w:autoSpaceDE w:val="0"/>
              <w:autoSpaceDN w:val="0"/>
              <w:adjustRightInd w:val="0"/>
              <w:rPr>
                <w:bCs/>
              </w:rPr>
            </w:pPr>
            <w:r w:rsidRPr="00497624">
              <w:rPr>
                <w:bCs/>
              </w:rPr>
              <w:t xml:space="preserve">If </w:t>
            </w:r>
            <w:r w:rsidR="00F42FF7">
              <w:rPr>
                <w:bCs/>
              </w:rPr>
              <w:t>t</w:t>
            </w:r>
            <w:r w:rsidR="00CF45F6">
              <w:rPr>
                <w:bCs/>
              </w:rPr>
              <w:t>entative listing is agreed by T</w:t>
            </w:r>
            <w:r w:rsidRPr="00497624">
              <w:rPr>
                <w:bCs/>
              </w:rPr>
              <w:t xml:space="preserve">raditional </w:t>
            </w:r>
            <w:r w:rsidR="00CF45F6">
              <w:rPr>
                <w:bCs/>
              </w:rPr>
              <w:t>O</w:t>
            </w:r>
            <w:r w:rsidRPr="00497624">
              <w:rPr>
                <w:bCs/>
              </w:rPr>
              <w:t xml:space="preserve">wners, and Murujuga is placed on </w:t>
            </w:r>
            <w:r w:rsidR="00F42FF7">
              <w:rPr>
                <w:bCs/>
              </w:rPr>
              <w:t>Australia’s</w:t>
            </w:r>
            <w:r w:rsidRPr="00497624">
              <w:rPr>
                <w:bCs/>
              </w:rPr>
              <w:t xml:space="preserve"> World Heritage </w:t>
            </w:r>
            <w:r w:rsidR="00F42FF7" w:rsidRPr="00497624">
              <w:rPr>
                <w:bCs/>
              </w:rPr>
              <w:t xml:space="preserve">Tentative </w:t>
            </w:r>
            <w:r w:rsidR="00F42FF7">
              <w:rPr>
                <w:bCs/>
              </w:rPr>
              <w:t>L</w:t>
            </w:r>
            <w:r w:rsidRPr="00497624">
              <w:rPr>
                <w:bCs/>
              </w:rPr>
              <w:t>ist, Labor Senators recommend that the Australian Government and the Western Australian Govern</w:t>
            </w:r>
            <w:r w:rsidR="00AD58E9">
              <w:rPr>
                <w:bCs/>
              </w:rPr>
              <w:t>ment work together to resource T</w:t>
            </w:r>
            <w:r w:rsidRPr="00497624">
              <w:rPr>
                <w:bCs/>
              </w:rPr>
              <w:t xml:space="preserve">raditional </w:t>
            </w:r>
            <w:r w:rsidR="00AD58E9">
              <w:rPr>
                <w:bCs/>
              </w:rPr>
              <w:t>O</w:t>
            </w:r>
            <w:r w:rsidRPr="00497624">
              <w:rPr>
                <w:bCs/>
              </w:rPr>
              <w:t xml:space="preserve">wners to prepare a nomination of Murujuga for World Heritage listing. </w:t>
            </w:r>
          </w:p>
          <w:p w14:paraId="0AA13511" w14:textId="18623BD7" w:rsidR="001363D8" w:rsidRPr="00497624" w:rsidRDefault="001363D8" w:rsidP="00F42FF7">
            <w:pPr>
              <w:autoSpaceDE w:val="0"/>
              <w:autoSpaceDN w:val="0"/>
              <w:adjustRightInd w:val="0"/>
              <w:rPr>
                <w:bCs/>
              </w:rPr>
            </w:pPr>
          </w:p>
        </w:tc>
        <w:tc>
          <w:tcPr>
            <w:tcW w:w="4323" w:type="dxa"/>
            <w:vMerge/>
          </w:tcPr>
          <w:p w14:paraId="657D7662" w14:textId="77777777" w:rsidR="009E41D5" w:rsidRPr="00497624" w:rsidRDefault="009E41D5" w:rsidP="00DE1324">
            <w:pPr>
              <w:autoSpaceDE w:val="0"/>
              <w:autoSpaceDN w:val="0"/>
              <w:adjustRightInd w:val="0"/>
              <w:rPr>
                <w:bCs/>
              </w:rPr>
            </w:pPr>
          </w:p>
        </w:tc>
      </w:tr>
      <w:tr w:rsidR="009E41D5" w:rsidRPr="00497624" w14:paraId="77F14B14" w14:textId="77777777" w:rsidTr="003D7CC5">
        <w:trPr>
          <w:cnfStyle w:val="000000010000" w:firstRow="0" w:lastRow="0" w:firstColumn="0" w:lastColumn="0" w:oddVBand="0" w:evenVBand="0" w:oddHBand="0" w:evenHBand="1" w:firstRowFirstColumn="0" w:firstRowLastColumn="0" w:lastRowFirstColumn="0" w:lastRowLastColumn="0"/>
        </w:trPr>
        <w:tc>
          <w:tcPr>
            <w:tcW w:w="9493" w:type="dxa"/>
            <w:gridSpan w:val="3"/>
            <w:shd w:val="clear" w:color="auto" w:fill="BFBFBF" w:themeFill="background1" w:themeFillShade="BF"/>
          </w:tcPr>
          <w:p w14:paraId="69442FF9" w14:textId="77777777" w:rsidR="009E41D5" w:rsidRPr="00497624" w:rsidRDefault="009E41D5" w:rsidP="00DE1324">
            <w:pPr>
              <w:autoSpaceDE w:val="0"/>
              <w:autoSpaceDN w:val="0"/>
              <w:adjustRightInd w:val="0"/>
              <w:rPr>
                <w:bCs/>
              </w:rPr>
            </w:pPr>
            <w:r w:rsidRPr="00497624">
              <w:rPr>
                <w:bCs/>
              </w:rPr>
              <w:lastRenderedPageBreak/>
              <w:t xml:space="preserve">Indigenous Ranger programs  </w:t>
            </w:r>
          </w:p>
        </w:tc>
      </w:tr>
      <w:tr w:rsidR="009E41D5" w:rsidRPr="00497624" w14:paraId="0BCA583F" w14:textId="77777777" w:rsidTr="00F42FF7">
        <w:trPr>
          <w:cnfStyle w:val="000000100000" w:firstRow="0" w:lastRow="0" w:firstColumn="0" w:lastColumn="0" w:oddVBand="0" w:evenVBand="0" w:oddHBand="1" w:evenHBand="0" w:firstRowFirstColumn="0" w:firstRowLastColumn="0" w:lastRowFirstColumn="0" w:lastRowLastColumn="0"/>
          <w:trHeight w:val="1975"/>
        </w:trPr>
        <w:tc>
          <w:tcPr>
            <w:tcW w:w="2068" w:type="dxa"/>
          </w:tcPr>
          <w:p w14:paraId="65B30213" w14:textId="7BC464F9" w:rsidR="00F175FA" w:rsidRPr="00C20E68" w:rsidRDefault="00F175FA" w:rsidP="00390E1E">
            <w:pPr>
              <w:autoSpaceDE w:val="0"/>
              <w:autoSpaceDN w:val="0"/>
              <w:adjustRightInd w:val="0"/>
              <w:rPr>
                <w:bCs/>
              </w:rPr>
            </w:pPr>
            <w:r w:rsidRPr="00C20E68">
              <w:rPr>
                <w:bCs/>
              </w:rPr>
              <w:t>Greens</w:t>
            </w:r>
          </w:p>
          <w:p w14:paraId="61556ED5" w14:textId="77777777" w:rsidR="00390E1E" w:rsidRPr="00C20E68" w:rsidRDefault="00390E1E" w:rsidP="00390E1E">
            <w:pPr>
              <w:autoSpaceDE w:val="0"/>
              <w:autoSpaceDN w:val="0"/>
              <w:adjustRightInd w:val="0"/>
              <w:rPr>
                <w:bCs/>
              </w:rPr>
            </w:pPr>
            <w:r w:rsidRPr="00C20E68">
              <w:rPr>
                <w:bCs/>
              </w:rPr>
              <w:t xml:space="preserve">Recommendation </w:t>
            </w:r>
            <w:r w:rsidR="009E41D5" w:rsidRPr="00C20E68">
              <w:rPr>
                <w:bCs/>
              </w:rPr>
              <w:t>3</w:t>
            </w:r>
          </w:p>
          <w:p w14:paraId="052CC0BD" w14:textId="328A097C" w:rsidR="009E41D5" w:rsidRPr="00C20E68" w:rsidRDefault="00390E1E" w:rsidP="00390E1E">
            <w:pPr>
              <w:autoSpaceDE w:val="0"/>
              <w:autoSpaceDN w:val="0"/>
              <w:adjustRightInd w:val="0"/>
              <w:rPr>
                <w:bCs/>
              </w:rPr>
            </w:pPr>
            <w:r w:rsidRPr="00C20E68">
              <w:rPr>
                <w:bCs/>
              </w:rPr>
              <w:t>Para</w:t>
            </w:r>
            <w:r w:rsidR="003A3EFD" w:rsidRPr="00C20E68">
              <w:rPr>
                <w:bCs/>
              </w:rPr>
              <w:t>graph</w:t>
            </w:r>
            <w:r w:rsidRPr="00C20E68">
              <w:rPr>
                <w:bCs/>
              </w:rPr>
              <w:t xml:space="preserve"> 1.6</w:t>
            </w:r>
          </w:p>
          <w:p w14:paraId="7EDA467B" w14:textId="2CE727BE" w:rsidR="00A34D37" w:rsidRPr="00C20E68" w:rsidRDefault="00A34D37" w:rsidP="00390E1E">
            <w:pPr>
              <w:autoSpaceDE w:val="0"/>
              <w:autoSpaceDN w:val="0"/>
              <w:adjustRightInd w:val="0"/>
              <w:rPr>
                <w:bCs/>
              </w:rPr>
            </w:pPr>
            <w:r w:rsidRPr="00C20E68">
              <w:rPr>
                <w:bCs/>
              </w:rPr>
              <w:t>Page 101</w:t>
            </w:r>
          </w:p>
        </w:tc>
        <w:tc>
          <w:tcPr>
            <w:tcW w:w="3102" w:type="dxa"/>
          </w:tcPr>
          <w:p w14:paraId="16CEE595" w14:textId="77777777" w:rsidR="009E41D5" w:rsidRPr="00497624" w:rsidRDefault="009E41D5" w:rsidP="00DE1324">
            <w:pPr>
              <w:autoSpaceDE w:val="0"/>
              <w:autoSpaceDN w:val="0"/>
              <w:adjustRightInd w:val="0"/>
              <w:rPr>
                <w:bCs/>
              </w:rPr>
            </w:pPr>
            <w:r w:rsidRPr="00497624">
              <w:rPr>
                <w:bCs/>
              </w:rPr>
              <w:t xml:space="preserve">Australian Greens Senators recommend that the Murujuga Indigenous Ranger program be given appropriate funding by both the Australian Government and the Western Australian Government, and the Murujuga Rangers be granted the power to undertake the same enforcement activities as state-employed rangers. </w:t>
            </w:r>
          </w:p>
          <w:p w14:paraId="1A4A3336" w14:textId="77777777" w:rsidR="009E41D5" w:rsidRPr="00497624" w:rsidRDefault="009E41D5" w:rsidP="00DE1324">
            <w:pPr>
              <w:autoSpaceDE w:val="0"/>
              <w:autoSpaceDN w:val="0"/>
              <w:adjustRightInd w:val="0"/>
              <w:rPr>
                <w:bCs/>
              </w:rPr>
            </w:pPr>
          </w:p>
        </w:tc>
        <w:tc>
          <w:tcPr>
            <w:tcW w:w="4323" w:type="dxa"/>
            <w:vMerge w:val="restart"/>
          </w:tcPr>
          <w:p w14:paraId="1C790FB1" w14:textId="77777777" w:rsidR="00A339F2" w:rsidRDefault="00A339F2" w:rsidP="00A339F2">
            <w:pPr>
              <w:autoSpaceDE w:val="0"/>
              <w:autoSpaceDN w:val="0"/>
              <w:adjustRightInd w:val="0"/>
              <w:rPr>
                <w:b/>
                <w:bCs/>
              </w:rPr>
            </w:pPr>
            <w:r w:rsidRPr="00E81237">
              <w:rPr>
                <w:b/>
                <w:bCs/>
              </w:rPr>
              <w:t xml:space="preserve">Noted </w:t>
            </w:r>
          </w:p>
          <w:p w14:paraId="09F2262C" w14:textId="13A9E241" w:rsidR="00C832B8" w:rsidRDefault="00E81237" w:rsidP="00F2135F">
            <w:pPr>
              <w:autoSpaceDE w:val="0"/>
              <w:autoSpaceDN w:val="0"/>
              <w:adjustRightInd w:val="0"/>
            </w:pPr>
            <w:r w:rsidRPr="00265186">
              <w:rPr>
                <w:bCs/>
              </w:rPr>
              <w:t xml:space="preserve">The Murujuga </w:t>
            </w:r>
            <w:r w:rsidR="00F2135F">
              <w:rPr>
                <w:bCs/>
              </w:rPr>
              <w:t xml:space="preserve">Indigenous </w:t>
            </w:r>
            <w:r w:rsidRPr="00265186">
              <w:rPr>
                <w:bCs/>
              </w:rPr>
              <w:t xml:space="preserve">Ranger </w:t>
            </w:r>
            <w:r w:rsidR="000A2333" w:rsidRPr="00265186">
              <w:rPr>
                <w:bCs/>
              </w:rPr>
              <w:t xml:space="preserve">Project is managed by the Murujuga Aboriginal Corporation </w:t>
            </w:r>
            <w:r w:rsidR="00F2135F">
              <w:rPr>
                <w:bCs/>
              </w:rPr>
              <w:t xml:space="preserve">with cultural advice and guidance through the </w:t>
            </w:r>
            <w:r w:rsidR="000A2333" w:rsidRPr="00265186">
              <w:rPr>
                <w:bCs/>
              </w:rPr>
              <w:t>Circle of Elders</w:t>
            </w:r>
            <w:r w:rsidR="00265186" w:rsidRPr="00265186">
              <w:rPr>
                <w:bCs/>
              </w:rPr>
              <w:t xml:space="preserve">. </w:t>
            </w:r>
            <w:r w:rsidR="00265186">
              <w:rPr>
                <w:bCs/>
              </w:rPr>
              <w:t>Th</w:t>
            </w:r>
            <w:r w:rsidR="000A2333" w:rsidRPr="00265186">
              <w:rPr>
                <w:bCs/>
              </w:rPr>
              <w:t>e Ranger</w:t>
            </w:r>
            <w:r w:rsidR="00265186">
              <w:rPr>
                <w:bCs/>
              </w:rPr>
              <w:t xml:space="preserve"> project has been funded under the EPBC Act C</w:t>
            </w:r>
            <w:r w:rsidR="00265186">
              <w:t>onservation A</w:t>
            </w:r>
            <w:r w:rsidR="00265186" w:rsidRPr="003020B8">
              <w:t>greements with Woodside Energy Ltd and Hamersley Iron Pty Ltd and Dampier Salt Ltd (Rio Tinto).</w:t>
            </w:r>
            <w:r w:rsidR="00265186">
              <w:t xml:space="preserve"> </w:t>
            </w:r>
          </w:p>
          <w:p w14:paraId="4EDDC4AD" w14:textId="77777777" w:rsidR="00C832B8" w:rsidRDefault="00C832B8" w:rsidP="00F2135F">
            <w:pPr>
              <w:autoSpaceDE w:val="0"/>
              <w:autoSpaceDN w:val="0"/>
              <w:adjustRightInd w:val="0"/>
            </w:pPr>
          </w:p>
          <w:p w14:paraId="3A4AAA8A" w14:textId="2CCF1151" w:rsidR="009E41D5" w:rsidRDefault="00265186" w:rsidP="00F2135F">
            <w:pPr>
              <w:autoSpaceDE w:val="0"/>
              <w:autoSpaceDN w:val="0"/>
              <w:adjustRightInd w:val="0"/>
              <w:rPr>
                <w:bCs/>
              </w:rPr>
            </w:pPr>
            <w:r>
              <w:t>There is f</w:t>
            </w:r>
            <w:r w:rsidR="000A2333" w:rsidRPr="00265186">
              <w:rPr>
                <w:bCs/>
              </w:rPr>
              <w:t>und</w:t>
            </w:r>
            <w:r>
              <w:rPr>
                <w:bCs/>
              </w:rPr>
              <w:t xml:space="preserve">ing for the </w:t>
            </w:r>
            <w:r w:rsidR="008B74FB">
              <w:rPr>
                <w:bCs/>
              </w:rPr>
              <w:t xml:space="preserve">Ranger </w:t>
            </w:r>
            <w:r>
              <w:rPr>
                <w:bCs/>
              </w:rPr>
              <w:t>project</w:t>
            </w:r>
            <w:r w:rsidR="000A2333" w:rsidRPr="00265186">
              <w:rPr>
                <w:bCs/>
              </w:rPr>
              <w:t xml:space="preserve"> until 2021 as a part of an ongoing commitment to the Conservation</w:t>
            </w:r>
            <w:r>
              <w:rPr>
                <w:bCs/>
              </w:rPr>
              <w:t xml:space="preserve"> A</w:t>
            </w:r>
            <w:r w:rsidR="000A2333" w:rsidRPr="00265186">
              <w:rPr>
                <w:bCs/>
              </w:rPr>
              <w:t>greements</w:t>
            </w:r>
            <w:r w:rsidRPr="00265186">
              <w:rPr>
                <w:bCs/>
              </w:rPr>
              <w:t xml:space="preserve"> by Woodside and Rio Tinto</w:t>
            </w:r>
            <w:r w:rsidR="00F556CF">
              <w:rPr>
                <w:bCs/>
              </w:rPr>
              <w:t xml:space="preserve">. </w:t>
            </w:r>
            <w:r w:rsidRPr="00265186">
              <w:rPr>
                <w:bCs/>
              </w:rPr>
              <w:t xml:space="preserve"> </w:t>
            </w:r>
            <w:r w:rsidR="00F556CF">
              <w:rPr>
                <w:bCs/>
              </w:rPr>
              <w:t xml:space="preserve">This commitment recognises </w:t>
            </w:r>
            <w:r w:rsidRPr="00265186">
              <w:rPr>
                <w:bCs/>
              </w:rPr>
              <w:t xml:space="preserve">the strong relationships </w:t>
            </w:r>
            <w:r w:rsidR="00F556CF">
              <w:rPr>
                <w:bCs/>
              </w:rPr>
              <w:t>w</w:t>
            </w:r>
            <w:r w:rsidRPr="00265186">
              <w:rPr>
                <w:bCs/>
              </w:rPr>
              <w:t xml:space="preserve">ith the </w:t>
            </w:r>
            <w:r w:rsidR="00E81237" w:rsidRPr="00265186">
              <w:rPr>
                <w:bCs/>
              </w:rPr>
              <w:t>Murujuga Aboriginal Corporation</w:t>
            </w:r>
            <w:r w:rsidR="000A2333" w:rsidRPr="00265186">
              <w:rPr>
                <w:bCs/>
              </w:rPr>
              <w:t xml:space="preserve"> </w:t>
            </w:r>
            <w:r>
              <w:rPr>
                <w:bCs/>
              </w:rPr>
              <w:t xml:space="preserve">and </w:t>
            </w:r>
            <w:r w:rsidR="00431AF3">
              <w:rPr>
                <w:bCs/>
              </w:rPr>
              <w:t xml:space="preserve">ongoing </w:t>
            </w:r>
            <w:r w:rsidRPr="00265186">
              <w:rPr>
                <w:bCs/>
              </w:rPr>
              <w:t>support</w:t>
            </w:r>
            <w:r w:rsidR="00F556CF">
              <w:rPr>
                <w:bCs/>
              </w:rPr>
              <w:t xml:space="preserve"> for</w:t>
            </w:r>
            <w:r w:rsidRPr="00265186">
              <w:rPr>
                <w:bCs/>
              </w:rPr>
              <w:t xml:space="preserve"> the protection</w:t>
            </w:r>
            <w:r w:rsidR="00431AF3">
              <w:rPr>
                <w:bCs/>
              </w:rPr>
              <w:t>,</w:t>
            </w:r>
            <w:r w:rsidRPr="00265186">
              <w:rPr>
                <w:bCs/>
              </w:rPr>
              <w:t xml:space="preserve"> conservation and management of the National Heritage values.</w:t>
            </w:r>
            <w:r>
              <w:rPr>
                <w:bCs/>
              </w:rPr>
              <w:t xml:space="preserve"> </w:t>
            </w:r>
          </w:p>
          <w:p w14:paraId="5D7D3777" w14:textId="77777777" w:rsidR="00A339F2" w:rsidRDefault="00A339F2" w:rsidP="00F2135F">
            <w:pPr>
              <w:autoSpaceDE w:val="0"/>
              <w:autoSpaceDN w:val="0"/>
              <w:adjustRightInd w:val="0"/>
              <w:rPr>
                <w:bCs/>
              </w:rPr>
            </w:pPr>
          </w:p>
          <w:p w14:paraId="234BE0C2" w14:textId="0B9E6DD7" w:rsidR="00A339F2" w:rsidRDefault="00A339F2" w:rsidP="00A339F2">
            <w:pPr>
              <w:autoSpaceDE w:val="0"/>
              <w:autoSpaceDN w:val="0"/>
              <w:adjustRightInd w:val="0"/>
              <w:rPr>
                <w:rFonts w:cs="Arial"/>
                <w:bCs/>
                <w:szCs w:val="26"/>
              </w:rPr>
            </w:pPr>
            <w:r>
              <w:rPr>
                <w:rFonts w:cs="Arial"/>
                <w:bCs/>
                <w:szCs w:val="26"/>
              </w:rPr>
              <w:t xml:space="preserve">Management responsibility for Murujuga National Park rests with the WA Government. </w:t>
            </w:r>
            <w:r w:rsidR="00B55AE7">
              <w:rPr>
                <w:rFonts w:cs="Arial"/>
                <w:bCs/>
                <w:szCs w:val="26"/>
              </w:rPr>
              <w:t>The Australian Government</w:t>
            </w:r>
            <w:r>
              <w:rPr>
                <w:rFonts w:cs="Arial"/>
                <w:bCs/>
                <w:szCs w:val="26"/>
              </w:rPr>
              <w:t xml:space="preserve"> note</w:t>
            </w:r>
            <w:r w:rsidR="00B55AE7">
              <w:rPr>
                <w:rFonts w:cs="Arial"/>
                <w:bCs/>
                <w:szCs w:val="26"/>
              </w:rPr>
              <w:t>s that</w:t>
            </w:r>
            <w:r>
              <w:rPr>
                <w:rFonts w:cs="Arial"/>
                <w:bCs/>
                <w:szCs w:val="26"/>
              </w:rPr>
              <w:t xml:space="preserve"> the WA Department of Biodiversity Conservation and Attractions has been working with the Murujuga Aboriginal Corporation to develop Murujuga Rangers’ capacity to administer and manage Murujuga National </w:t>
            </w:r>
            <w:r w:rsidR="002A1DC8">
              <w:rPr>
                <w:rFonts w:cs="Arial"/>
                <w:bCs/>
                <w:szCs w:val="26"/>
              </w:rPr>
              <w:t xml:space="preserve">Park, </w:t>
            </w:r>
            <w:r>
              <w:rPr>
                <w:rFonts w:cs="Arial"/>
                <w:bCs/>
                <w:szCs w:val="26"/>
              </w:rPr>
              <w:t xml:space="preserve">including </w:t>
            </w:r>
            <w:r w:rsidR="00B55AE7">
              <w:rPr>
                <w:rFonts w:cs="Arial"/>
                <w:bCs/>
                <w:szCs w:val="26"/>
              </w:rPr>
              <w:t xml:space="preserve">by addressing </w:t>
            </w:r>
            <w:r>
              <w:rPr>
                <w:rFonts w:cs="Arial"/>
                <w:bCs/>
                <w:szCs w:val="26"/>
              </w:rPr>
              <w:t>their legislative authority to do so.</w:t>
            </w:r>
          </w:p>
          <w:p w14:paraId="6D9BC465" w14:textId="690851AF" w:rsidR="00431AF3" w:rsidRPr="00497624" w:rsidRDefault="00431AF3" w:rsidP="00F42FF7">
            <w:pPr>
              <w:autoSpaceDE w:val="0"/>
              <w:autoSpaceDN w:val="0"/>
              <w:adjustRightInd w:val="0"/>
              <w:rPr>
                <w:bCs/>
              </w:rPr>
            </w:pPr>
          </w:p>
        </w:tc>
      </w:tr>
      <w:tr w:rsidR="009E41D5" w:rsidRPr="00497624" w14:paraId="31F61EB2" w14:textId="77777777" w:rsidTr="002E52BF">
        <w:trPr>
          <w:cnfStyle w:val="000000010000" w:firstRow="0" w:lastRow="0" w:firstColumn="0" w:lastColumn="0" w:oddVBand="0" w:evenVBand="0" w:oddHBand="0" w:evenHBand="1" w:firstRowFirstColumn="0" w:firstRowLastColumn="0" w:lastRowFirstColumn="0" w:lastRowLastColumn="0"/>
          <w:trHeight w:val="2990"/>
        </w:trPr>
        <w:tc>
          <w:tcPr>
            <w:tcW w:w="2068" w:type="dxa"/>
          </w:tcPr>
          <w:p w14:paraId="3F797EA5" w14:textId="3BE445EF" w:rsidR="00F175FA" w:rsidRPr="00C20E68" w:rsidRDefault="00F175FA" w:rsidP="00390E1E">
            <w:pPr>
              <w:autoSpaceDE w:val="0"/>
              <w:autoSpaceDN w:val="0"/>
              <w:adjustRightInd w:val="0"/>
              <w:rPr>
                <w:bCs/>
              </w:rPr>
            </w:pPr>
            <w:r w:rsidRPr="00C20E68">
              <w:rPr>
                <w:bCs/>
              </w:rPr>
              <w:t>Labor</w:t>
            </w:r>
          </w:p>
          <w:p w14:paraId="7ADF2BD1" w14:textId="77777777" w:rsidR="00390E1E" w:rsidRPr="00C20E68" w:rsidRDefault="00390E1E" w:rsidP="00390E1E">
            <w:pPr>
              <w:autoSpaceDE w:val="0"/>
              <w:autoSpaceDN w:val="0"/>
              <w:adjustRightInd w:val="0"/>
              <w:rPr>
                <w:bCs/>
              </w:rPr>
            </w:pPr>
            <w:r w:rsidRPr="00C20E68">
              <w:rPr>
                <w:bCs/>
              </w:rPr>
              <w:t xml:space="preserve">Recommendation </w:t>
            </w:r>
            <w:r w:rsidR="009E41D5" w:rsidRPr="00C20E68">
              <w:rPr>
                <w:bCs/>
              </w:rPr>
              <w:t>4</w:t>
            </w:r>
          </w:p>
          <w:p w14:paraId="038019E0" w14:textId="77777777" w:rsidR="009E41D5" w:rsidRPr="00C20E68" w:rsidRDefault="00390E1E" w:rsidP="00390E1E">
            <w:pPr>
              <w:autoSpaceDE w:val="0"/>
              <w:autoSpaceDN w:val="0"/>
              <w:adjustRightInd w:val="0"/>
              <w:rPr>
                <w:bCs/>
              </w:rPr>
            </w:pPr>
            <w:r w:rsidRPr="00C20E68">
              <w:rPr>
                <w:bCs/>
              </w:rPr>
              <w:t>Para</w:t>
            </w:r>
            <w:r w:rsidR="0035088D" w:rsidRPr="00C20E68">
              <w:rPr>
                <w:bCs/>
              </w:rPr>
              <w:t>graph</w:t>
            </w:r>
            <w:r w:rsidRPr="00C20E68">
              <w:rPr>
                <w:bCs/>
              </w:rPr>
              <w:t xml:space="preserve"> 1.19</w:t>
            </w:r>
          </w:p>
          <w:p w14:paraId="6CA81E9C" w14:textId="098D170A" w:rsidR="0035088D" w:rsidRPr="00497624" w:rsidRDefault="0035088D" w:rsidP="00390E1E">
            <w:pPr>
              <w:autoSpaceDE w:val="0"/>
              <w:autoSpaceDN w:val="0"/>
              <w:adjustRightInd w:val="0"/>
              <w:rPr>
                <w:bCs/>
              </w:rPr>
            </w:pPr>
            <w:r w:rsidRPr="00C20E68">
              <w:rPr>
                <w:bCs/>
              </w:rPr>
              <w:t>Page 132</w:t>
            </w:r>
          </w:p>
        </w:tc>
        <w:tc>
          <w:tcPr>
            <w:tcW w:w="3102" w:type="dxa"/>
          </w:tcPr>
          <w:p w14:paraId="2966E39D" w14:textId="6AEB5C81" w:rsidR="009E41D5" w:rsidRPr="00497624" w:rsidRDefault="009E41D5" w:rsidP="00DE1324">
            <w:pPr>
              <w:autoSpaceDE w:val="0"/>
              <w:autoSpaceDN w:val="0"/>
              <w:adjustRightInd w:val="0"/>
              <w:rPr>
                <w:bCs/>
              </w:rPr>
            </w:pPr>
            <w:r w:rsidRPr="00497624">
              <w:rPr>
                <w:bCs/>
              </w:rPr>
              <w:t>Labor Senators note the vital work that is undertaken by the Murujuga Indigenous Rangers and the importance of ensuring that the area is protected from physical destruction and vandalism. Labor Senators recommend that the Murujuga Indigenous Ranger program be given appropriate funding by both the Australian Government and the Western Australian Government. In particular, the Murujuga Rangers must be granted the power to undertake the same enforcement activities as state-employed rangers and must be engaged by the state and Commonwealth governments on any monitoring and research work.</w:t>
            </w:r>
          </w:p>
        </w:tc>
        <w:tc>
          <w:tcPr>
            <w:tcW w:w="4323" w:type="dxa"/>
            <w:vMerge/>
          </w:tcPr>
          <w:p w14:paraId="6B36D77F" w14:textId="77777777" w:rsidR="009E41D5" w:rsidRPr="00497624" w:rsidRDefault="009E41D5" w:rsidP="00DE1324">
            <w:pPr>
              <w:autoSpaceDE w:val="0"/>
              <w:autoSpaceDN w:val="0"/>
              <w:adjustRightInd w:val="0"/>
              <w:rPr>
                <w:bCs/>
              </w:rPr>
            </w:pPr>
          </w:p>
        </w:tc>
      </w:tr>
      <w:tr w:rsidR="009E41D5" w:rsidRPr="00497624" w14:paraId="240BC1D6" w14:textId="77777777" w:rsidTr="003D7CC5">
        <w:trPr>
          <w:cnfStyle w:val="000000100000" w:firstRow="0" w:lastRow="0" w:firstColumn="0" w:lastColumn="0" w:oddVBand="0" w:evenVBand="0" w:oddHBand="1" w:evenHBand="0" w:firstRowFirstColumn="0" w:firstRowLastColumn="0" w:lastRowFirstColumn="0" w:lastRowLastColumn="0"/>
        </w:trPr>
        <w:tc>
          <w:tcPr>
            <w:tcW w:w="9493" w:type="dxa"/>
            <w:gridSpan w:val="3"/>
            <w:shd w:val="clear" w:color="auto" w:fill="BFBFBF" w:themeFill="background1" w:themeFillShade="BF"/>
          </w:tcPr>
          <w:p w14:paraId="4A045A5F" w14:textId="5D627AA8" w:rsidR="009E41D5" w:rsidRPr="00497624" w:rsidRDefault="00E667F3" w:rsidP="00F43E34">
            <w:pPr>
              <w:autoSpaceDE w:val="0"/>
              <w:autoSpaceDN w:val="0"/>
              <w:adjustRightInd w:val="0"/>
              <w:rPr>
                <w:bCs/>
              </w:rPr>
            </w:pPr>
            <w:r>
              <w:rPr>
                <w:bCs/>
              </w:rPr>
              <w:t xml:space="preserve">Regulation of </w:t>
            </w:r>
            <w:r w:rsidR="009E41D5" w:rsidRPr="00497624">
              <w:rPr>
                <w:bCs/>
              </w:rPr>
              <w:t xml:space="preserve">emissions </w:t>
            </w:r>
            <w:r w:rsidR="00D51379">
              <w:rPr>
                <w:bCs/>
              </w:rPr>
              <w:t xml:space="preserve">from </w:t>
            </w:r>
            <w:r w:rsidR="00F43E34">
              <w:rPr>
                <w:bCs/>
              </w:rPr>
              <w:t xml:space="preserve">shipping and </w:t>
            </w:r>
            <w:r w:rsidR="00D51379">
              <w:rPr>
                <w:bCs/>
              </w:rPr>
              <w:t xml:space="preserve">land-based activity </w:t>
            </w:r>
          </w:p>
        </w:tc>
      </w:tr>
      <w:tr w:rsidR="00F43E34" w:rsidRPr="00497624" w14:paraId="03EB4A50"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38629633" w14:textId="4DA49F20" w:rsidR="00F43E34" w:rsidRPr="00C20E68" w:rsidRDefault="00F43E34" w:rsidP="00263F58">
            <w:pPr>
              <w:autoSpaceDE w:val="0"/>
              <w:autoSpaceDN w:val="0"/>
              <w:adjustRightInd w:val="0"/>
              <w:rPr>
                <w:bCs/>
              </w:rPr>
            </w:pPr>
            <w:r w:rsidRPr="00C20E68">
              <w:rPr>
                <w:bCs/>
              </w:rPr>
              <w:t>Greens</w:t>
            </w:r>
          </w:p>
          <w:p w14:paraId="20C8D214" w14:textId="77777777" w:rsidR="00F43E34" w:rsidRPr="00C20E68" w:rsidRDefault="00F43E34" w:rsidP="00263F58">
            <w:pPr>
              <w:autoSpaceDE w:val="0"/>
              <w:autoSpaceDN w:val="0"/>
              <w:adjustRightInd w:val="0"/>
              <w:rPr>
                <w:bCs/>
              </w:rPr>
            </w:pPr>
            <w:r w:rsidRPr="00C20E68">
              <w:rPr>
                <w:bCs/>
              </w:rPr>
              <w:t>Recommendation 4</w:t>
            </w:r>
          </w:p>
          <w:p w14:paraId="770F6DED" w14:textId="5330086E" w:rsidR="00F43E34" w:rsidRPr="00C20E68" w:rsidRDefault="00F43E34" w:rsidP="00263F58">
            <w:pPr>
              <w:autoSpaceDE w:val="0"/>
              <w:autoSpaceDN w:val="0"/>
              <w:adjustRightInd w:val="0"/>
              <w:rPr>
                <w:bCs/>
              </w:rPr>
            </w:pPr>
            <w:r w:rsidRPr="00C20E68">
              <w:rPr>
                <w:bCs/>
              </w:rPr>
              <w:t>Paragraph 1.11</w:t>
            </w:r>
          </w:p>
          <w:p w14:paraId="7217E19E" w14:textId="071A669C" w:rsidR="00F43E34" w:rsidRPr="00497624" w:rsidRDefault="00F43E34" w:rsidP="003A3EFD">
            <w:pPr>
              <w:autoSpaceDE w:val="0"/>
              <w:autoSpaceDN w:val="0"/>
              <w:adjustRightInd w:val="0"/>
              <w:rPr>
                <w:bCs/>
              </w:rPr>
            </w:pPr>
            <w:r w:rsidRPr="00C20E68">
              <w:rPr>
                <w:bCs/>
              </w:rPr>
              <w:t>Page 102</w:t>
            </w:r>
          </w:p>
        </w:tc>
        <w:tc>
          <w:tcPr>
            <w:tcW w:w="3102" w:type="dxa"/>
          </w:tcPr>
          <w:p w14:paraId="1937510E" w14:textId="34115FDC" w:rsidR="00F43E34" w:rsidRDefault="00F43E34" w:rsidP="00DE1324">
            <w:pPr>
              <w:autoSpaceDE w:val="0"/>
              <w:autoSpaceDN w:val="0"/>
              <w:adjustRightInd w:val="0"/>
              <w:rPr>
                <w:bCs/>
              </w:rPr>
            </w:pPr>
            <w:r w:rsidRPr="00497624">
              <w:rPr>
                <w:bCs/>
              </w:rPr>
              <w:t xml:space="preserve">Australian Greens Senators recommend that the Western Australian Government implement measures to ensure that ships entering and leaving the Port of Dampier use low sulphur content fuel or an approved means of achieving required emissions reductions. The maximum sulphur content of fuel utilised by ships entering and </w:t>
            </w:r>
            <w:r w:rsidRPr="00497624">
              <w:rPr>
                <w:bCs/>
              </w:rPr>
              <w:lastRenderedPageBreak/>
              <w:t>leaving the port should be 0.10 per cent, as required for Emissions Control Areas declared under Annex VI to IMO MARPOL 73/78 Convention.</w:t>
            </w:r>
          </w:p>
          <w:p w14:paraId="7A2D33DD" w14:textId="77777777" w:rsidR="00F43E34" w:rsidRPr="00497624" w:rsidRDefault="00F43E34" w:rsidP="00DE1324">
            <w:pPr>
              <w:autoSpaceDE w:val="0"/>
              <w:autoSpaceDN w:val="0"/>
              <w:adjustRightInd w:val="0"/>
              <w:rPr>
                <w:bCs/>
              </w:rPr>
            </w:pPr>
          </w:p>
        </w:tc>
        <w:tc>
          <w:tcPr>
            <w:tcW w:w="4323" w:type="dxa"/>
          </w:tcPr>
          <w:p w14:paraId="6BFD00BF" w14:textId="28391381" w:rsidR="00E25457" w:rsidRPr="00280830" w:rsidRDefault="00E25457" w:rsidP="00E25457">
            <w:pPr>
              <w:autoSpaceDE w:val="0"/>
              <w:autoSpaceDN w:val="0"/>
              <w:adjustRightInd w:val="0"/>
              <w:rPr>
                <w:b/>
                <w:bCs/>
              </w:rPr>
            </w:pPr>
            <w:r w:rsidRPr="00280830">
              <w:rPr>
                <w:b/>
                <w:bCs/>
              </w:rPr>
              <w:lastRenderedPageBreak/>
              <w:t>Not</w:t>
            </w:r>
            <w:r w:rsidR="00AD044A">
              <w:rPr>
                <w:b/>
                <w:bCs/>
              </w:rPr>
              <w:t>ed</w:t>
            </w:r>
            <w:r w:rsidRPr="00280830">
              <w:rPr>
                <w:b/>
                <w:bCs/>
              </w:rPr>
              <w:t xml:space="preserve"> </w:t>
            </w:r>
          </w:p>
          <w:p w14:paraId="64128E34" w14:textId="6FE8484B" w:rsidR="00E25457" w:rsidRDefault="00E25457" w:rsidP="00E25457">
            <w:pPr>
              <w:autoSpaceDE w:val="0"/>
              <w:autoSpaceDN w:val="0"/>
              <w:adjustRightInd w:val="0"/>
              <w:rPr>
                <w:bCs/>
              </w:rPr>
            </w:pPr>
            <w:r>
              <w:rPr>
                <w:bCs/>
              </w:rPr>
              <w:t xml:space="preserve">The Australian Government supports a global approach to regulating ships due to the international nature of the industry and the importance of ships for Australia. </w:t>
            </w:r>
            <w:r w:rsidRPr="00280830">
              <w:rPr>
                <w:bCs/>
              </w:rPr>
              <w:t xml:space="preserve">The Australian Government </w:t>
            </w:r>
            <w:r>
              <w:rPr>
                <w:bCs/>
              </w:rPr>
              <w:t>implements Annex </w:t>
            </w:r>
            <w:r w:rsidRPr="00280830">
              <w:rPr>
                <w:bCs/>
              </w:rPr>
              <w:t xml:space="preserve">VI of the International Convention for the Prevention of Pollution from Ships (MARPOL Annex VI), which </w:t>
            </w:r>
            <w:r>
              <w:rPr>
                <w:bCs/>
              </w:rPr>
              <w:t xml:space="preserve">regulates the </w:t>
            </w:r>
            <w:r w:rsidRPr="00180FEE">
              <w:rPr>
                <w:bCs/>
              </w:rPr>
              <w:t xml:space="preserve">sulphur content of fuel </w:t>
            </w:r>
            <w:r>
              <w:rPr>
                <w:bCs/>
              </w:rPr>
              <w:t>used</w:t>
            </w:r>
            <w:r w:rsidRPr="00180FEE">
              <w:rPr>
                <w:bCs/>
              </w:rPr>
              <w:t xml:space="preserve"> by </w:t>
            </w:r>
            <w:r w:rsidR="005C54B8" w:rsidRPr="00180FEE">
              <w:rPr>
                <w:bCs/>
              </w:rPr>
              <w:t>ships</w:t>
            </w:r>
            <w:r w:rsidR="005C54B8">
              <w:rPr>
                <w:bCs/>
              </w:rPr>
              <w:t>, through</w:t>
            </w:r>
            <w:r w:rsidRPr="00280830">
              <w:rPr>
                <w:bCs/>
              </w:rPr>
              <w:t xml:space="preserve"> the </w:t>
            </w:r>
            <w:r w:rsidRPr="00352745">
              <w:rPr>
                <w:bCs/>
                <w:i/>
              </w:rPr>
              <w:t xml:space="preserve">Protection of the Sea </w:t>
            </w:r>
            <w:r w:rsidRPr="00352745">
              <w:rPr>
                <w:bCs/>
                <w:i/>
              </w:rPr>
              <w:lastRenderedPageBreak/>
              <w:t>(Prevention of Pollution from Ships) Act 1983</w:t>
            </w:r>
            <w:r w:rsidRPr="00280830">
              <w:rPr>
                <w:bCs/>
              </w:rPr>
              <w:t xml:space="preserve"> and Marine Order 97. </w:t>
            </w:r>
          </w:p>
          <w:p w14:paraId="5159DD7B" w14:textId="77777777" w:rsidR="00633F77" w:rsidRPr="00280830" w:rsidRDefault="00633F77" w:rsidP="00E25457">
            <w:pPr>
              <w:autoSpaceDE w:val="0"/>
              <w:autoSpaceDN w:val="0"/>
              <w:adjustRightInd w:val="0"/>
              <w:rPr>
                <w:bCs/>
              </w:rPr>
            </w:pPr>
          </w:p>
          <w:p w14:paraId="679CC2D5" w14:textId="0D816C3A" w:rsidR="00F43E34" w:rsidRPr="00497624" w:rsidRDefault="00E25457" w:rsidP="00AD044A">
            <w:pPr>
              <w:autoSpaceDE w:val="0"/>
              <w:autoSpaceDN w:val="0"/>
              <w:adjustRightInd w:val="0"/>
              <w:rPr>
                <w:bCs/>
              </w:rPr>
            </w:pPr>
            <w:r>
              <w:rPr>
                <w:bCs/>
              </w:rPr>
              <w:t>These l</w:t>
            </w:r>
            <w:r w:rsidRPr="00280830">
              <w:rPr>
                <w:bCs/>
              </w:rPr>
              <w:t xml:space="preserve">imits have been progressively tightened </w:t>
            </w:r>
            <w:r>
              <w:rPr>
                <w:bCs/>
              </w:rPr>
              <w:t>and f</w:t>
            </w:r>
            <w:r w:rsidRPr="00280830">
              <w:rPr>
                <w:bCs/>
              </w:rPr>
              <w:t xml:space="preserve">rom 1 January 2020, the </w:t>
            </w:r>
            <w:r>
              <w:rPr>
                <w:bCs/>
              </w:rPr>
              <w:t>limit on</w:t>
            </w:r>
            <w:r w:rsidRPr="00280830">
              <w:rPr>
                <w:bCs/>
              </w:rPr>
              <w:t xml:space="preserve"> sulphur will be reduced from 3.5% to 0.5%</w:t>
            </w:r>
            <w:r>
              <w:rPr>
                <w:bCs/>
              </w:rPr>
              <w:t>. This will</w:t>
            </w:r>
            <w:r w:rsidRPr="00280830">
              <w:rPr>
                <w:bCs/>
              </w:rPr>
              <w:t xml:space="preserve"> significantly reduce the impacts of sulphur oxide emissions from ships on the environment and human health.</w:t>
            </w:r>
            <w:r>
              <w:rPr>
                <w:bCs/>
              </w:rPr>
              <w:t xml:space="preserve"> </w:t>
            </w:r>
            <w:r w:rsidR="00AD044A">
              <w:rPr>
                <w:bCs/>
              </w:rPr>
              <w:t xml:space="preserve"> </w:t>
            </w:r>
          </w:p>
        </w:tc>
      </w:tr>
      <w:tr w:rsidR="00E25457" w:rsidRPr="00497624" w14:paraId="661384EB" w14:textId="77777777" w:rsidTr="002E52BF">
        <w:trPr>
          <w:cnfStyle w:val="000000100000" w:firstRow="0" w:lastRow="0" w:firstColumn="0" w:lastColumn="0" w:oddVBand="0" w:evenVBand="0" w:oddHBand="1" w:evenHBand="0" w:firstRowFirstColumn="0" w:firstRowLastColumn="0" w:lastRowFirstColumn="0" w:lastRowLastColumn="0"/>
        </w:trPr>
        <w:tc>
          <w:tcPr>
            <w:tcW w:w="2068" w:type="dxa"/>
          </w:tcPr>
          <w:p w14:paraId="5B5D49ED" w14:textId="77777777" w:rsidR="00E25457" w:rsidRPr="00C20E68" w:rsidRDefault="00E25457" w:rsidP="00E25457">
            <w:pPr>
              <w:autoSpaceDE w:val="0"/>
              <w:autoSpaceDN w:val="0"/>
              <w:adjustRightInd w:val="0"/>
              <w:rPr>
                <w:bCs/>
              </w:rPr>
            </w:pPr>
            <w:r w:rsidRPr="00C20E68">
              <w:rPr>
                <w:bCs/>
              </w:rPr>
              <w:lastRenderedPageBreak/>
              <w:t>Labor</w:t>
            </w:r>
          </w:p>
          <w:p w14:paraId="24E9DDD8" w14:textId="77777777" w:rsidR="00E25457" w:rsidRPr="00C20E68" w:rsidRDefault="00E25457" w:rsidP="00E25457">
            <w:pPr>
              <w:autoSpaceDE w:val="0"/>
              <w:autoSpaceDN w:val="0"/>
              <w:adjustRightInd w:val="0"/>
              <w:rPr>
                <w:bCs/>
              </w:rPr>
            </w:pPr>
            <w:r w:rsidRPr="00C20E68">
              <w:rPr>
                <w:bCs/>
              </w:rPr>
              <w:t>Recommendation 12</w:t>
            </w:r>
          </w:p>
          <w:p w14:paraId="3AF06BA7" w14:textId="77777777" w:rsidR="00E25457" w:rsidRPr="00C20E68" w:rsidRDefault="00E25457" w:rsidP="00E25457">
            <w:pPr>
              <w:autoSpaceDE w:val="0"/>
              <w:autoSpaceDN w:val="0"/>
              <w:adjustRightInd w:val="0"/>
              <w:rPr>
                <w:bCs/>
              </w:rPr>
            </w:pPr>
            <w:r w:rsidRPr="00C20E68">
              <w:rPr>
                <w:bCs/>
              </w:rPr>
              <w:t>Paragraph 1.59</w:t>
            </w:r>
          </w:p>
          <w:p w14:paraId="1A7FCEFB" w14:textId="345ECABF" w:rsidR="00E25457" w:rsidRDefault="00E25457" w:rsidP="00E25457">
            <w:pPr>
              <w:autoSpaceDE w:val="0"/>
              <w:autoSpaceDN w:val="0"/>
              <w:adjustRightInd w:val="0"/>
              <w:rPr>
                <w:bCs/>
                <w:sz w:val="22"/>
                <w:szCs w:val="22"/>
              </w:rPr>
            </w:pPr>
            <w:r w:rsidRPr="00C20E68">
              <w:rPr>
                <w:bCs/>
              </w:rPr>
              <w:t>Page 138</w:t>
            </w:r>
          </w:p>
        </w:tc>
        <w:tc>
          <w:tcPr>
            <w:tcW w:w="3102" w:type="dxa"/>
          </w:tcPr>
          <w:p w14:paraId="34343F16" w14:textId="75193997" w:rsidR="00E25457" w:rsidRPr="00497624" w:rsidRDefault="00E25457" w:rsidP="00DE1324">
            <w:pPr>
              <w:autoSpaceDE w:val="0"/>
              <w:autoSpaceDN w:val="0"/>
              <w:adjustRightInd w:val="0"/>
              <w:rPr>
                <w:bCs/>
              </w:rPr>
            </w:pPr>
            <w:r w:rsidRPr="00497624">
              <w:rPr>
                <w:bCs/>
              </w:rPr>
              <w:t>Labor Senators recommend the Western Australian Government monitor the Port of Dampier to determine if emissions from ships are impacting the values of the surrounding area. If a problem is identified, Labor Senators recommend that a transition to use of low sulphur content fuel or an approved means of achieving required emissions reductions is investigated</w:t>
            </w:r>
          </w:p>
        </w:tc>
        <w:tc>
          <w:tcPr>
            <w:tcW w:w="4323" w:type="dxa"/>
          </w:tcPr>
          <w:p w14:paraId="27FEF6A6" w14:textId="77777777" w:rsidR="00AD044A" w:rsidRPr="00AD044A" w:rsidRDefault="00AD044A" w:rsidP="00E25457">
            <w:pPr>
              <w:rPr>
                <w:b/>
                <w:bCs/>
              </w:rPr>
            </w:pPr>
            <w:r w:rsidRPr="00AD044A">
              <w:rPr>
                <w:b/>
                <w:bCs/>
              </w:rPr>
              <w:t xml:space="preserve">Noted </w:t>
            </w:r>
          </w:p>
          <w:p w14:paraId="6A811D49" w14:textId="62FBDB75" w:rsidR="00E25457" w:rsidRDefault="00AD044A" w:rsidP="00E25457">
            <w:pPr>
              <w:rPr>
                <w:bCs/>
              </w:rPr>
            </w:pPr>
            <w:r>
              <w:rPr>
                <w:bCs/>
              </w:rPr>
              <w:t xml:space="preserve">See </w:t>
            </w:r>
            <w:r w:rsidR="00E25457">
              <w:rPr>
                <w:bCs/>
              </w:rPr>
              <w:t xml:space="preserve">the response to </w:t>
            </w:r>
            <w:r w:rsidR="00ED30E3">
              <w:rPr>
                <w:bCs/>
              </w:rPr>
              <w:t>r</w:t>
            </w:r>
            <w:r w:rsidR="00E25457">
              <w:rPr>
                <w:bCs/>
              </w:rPr>
              <w:t>ecommendation 4</w:t>
            </w:r>
            <w:r w:rsidR="00ED30E3">
              <w:rPr>
                <w:bCs/>
              </w:rPr>
              <w:t xml:space="preserve"> (Greens)</w:t>
            </w:r>
            <w:r w:rsidR="00E25457">
              <w:rPr>
                <w:bCs/>
              </w:rPr>
              <w:t xml:space="preserve">.  </w:t>
            </w:r>
          </w:p>
          <w:p w14:paraId="743E8B23" w14:textId="77777777" w:rsidR="00633F77" w:rsidRDefault="00633F77" w:rsidP="00E25457">
            <w:pPr>
              <w:rPr>
                <w:bCs/>
              </w:rPr>
            </w:pPr>
          </w:p>
          <w:p w14:paraId="536508E8" w14:textId="0635899E" w:rsidR="00E25457" w:rsidRDefault="00E25457" w:rsidP="00C20E68">
            <w:pPr>
              <w:autoSpaceDE w:val="0"/>
              <w:autoSpaceDN w:val="0"/>
              <w:adjustRightInd w:val="0"/>
              <w:rPr>
                <w:rFonts w:cs="Arial"/>
                <w:b/>
                <w:bCs/>
                <w:szCs w:val="26"/>
              </w:rPr>
            </w:pPr>
            <w:r w:rsidRPr="006D1D43">
              <w:rPr>
                <w:bCs/>
              </w:rPr>
              <w:t>Whil</w:t>
            </w:r>
            <w:r w:rsidR="00C20E68">
              <w:rPr>
                <w:bCs/>
              </w:rPr>
              <w:t>e</w:t>
            </w:r>
            <w:r w:rsidRPr="006D1D43">
              <w:rPr>
                <w:bCs/>
              </w:rPr>
              <w:t xml:space="preserve"> the monitoring of emissions at the Port of Dampier is the responsibility of </w:t>
            </w:r>
            <w:r>
              <w:rPr>
                <w:bCs/>
              </w:rPr>
              <w:t xml:space="preserve">the </w:t>
            </w:r>
            <w:r w:rsidRPr="006D1D43">
              <w:rPr>
                <w:bCs/>
              </w:rPr>
              <w:t>Western Australia</w:t>
            </w:r>
            <w:r>
              <w:rPr>
                <w:bCs/>
              </w:rPr>
              <w:t>n</w:t>
            </w:r>
            <w:r w:rsidRPr="006D1D43">
              <w:rPr>
                <w:bCs/>
              </w:rPr>
              <w:t xml:space="preserve"> Government, the Australian Government supports the on-going monitoring and collection of data on emissions from both shipping and land-based industries. Such data is important for assessing air quality </w:t>
            </w:r>
            <w:r>
              <w:rPr>
                <w:bCs/>
              </w:rPr>
              <w:t>issues</w:t>
            </w:r>
            <w:r w:rsidRPr="006D1D43">
              <w:rPr>
                <w:bCs/>
              </w:rPr>
              <w:t xml:space="preserve"> and investigating the type and extent of controls that may be required</w:t>
            </w:r>
            <w:r w:rsidR="001363D8">
              <w:rPr>
                <w:bCs/>
              </w:rPr>
              <w:t>.</w:t>
            </w:r>
          </w:p>
        </w:tc>
      </w:tr>
      <w:tr w:rsidR="00E25457" w:rsidRPr="00497624" w14:paraId="341C8B50"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1572F02F" w14:textId="7B48F9A5" w:rsidR="00E25457" w:rsidRPr="00C20E68" w:rsidRDefault="00E25457" w:rsidP="00E25457">
            <w:pPr>
              <w:autoSpaceDE w:val="0"/>
              <w:autoSpaceDN w:val="0"/>
              <w:adjustRightInd w:val="0"/>
              <w:rPr>
                <w:bCs/>
              </w:rPr>
            </w:pPr>
            <w:r w:rsidRPr="00C20E68">
              <w:rPr>
                <w:bCs/>
              </w:rPr>
              <w:t>Greens</w:t>
            </w:r>
          </w:p>
          <w:p w14:paraId="7574E927" w14:textId="77777777" w:rsidR="00E25457" w:rsidRPr="00C20E68" w:rsidRDefault="00E25457" w:rsidP="00E25457">
            <w:pPr>
              <w:autoSpaceDE w:val="0"/>
              <w:autoSpaceDN w:val="0"/>
              <w:adjustRightInd w:val="0"/>
              <w:rPr>
                <w:bCs/>
              </w:rPr>
            </w:pPr>
            <w:r w:rsidRPr="00C20E68">
              <w:rPr>
                <w:bCs/>
              </w:rPr>
              <w:t>Recommendation 6</w:t>
            </w:r>
          </w:p>
          <w:p w14:paraId="21217235" w14:textId="77777777" w:rsidR="00E25457" w:rsidRPr="00C20E68" w:rsidRDefault="00E25457" w:rsidP="00E25457">
            <w:pPr>
              <w:autoSpaceDE w:val="0"/>
              <w:autoSpaceDN w:val="0"/>
              <w:adjustRightInd w:val="0"/>
              <w:rPr>
                <w:bCs/>
              </w:rPr>
            </w:pPr>
            <w:r w:rsidRPr="00C20E68">
              <w:rPr>
                <w:bCs/>
              </w:rPr>
              <w:t>Paragraph 1.32</w:t>
            </w:r>
          </w:p>
          <w:p w14:paraId="1B272A9B" w14:textId="77777777" w:rsidR="00E25457" w:rsidRPr="00C20E68" w:rsidRDefault="00E25457" w:rsidP="00E25457">
            <w:pPr>
              <w:autoSpaceDE w:val="0"/>
              <w:autoSpaceDN w:val="0"/>
              <w:adjustRightInd w:val="0"/>
              <w:rPr>
                <w:bCs/>
              </w:rPr>
            </w:pPr>
            <w:r w:rsidRPr="00C20E68">
              <w:rPr>
                <w:bCs/>
              </w:rPr>
              <w:t>Page 105</w:t>
            </w:r>
          </w:p>
          <w:p w14:paraId="055A4EF8" w14:textId="77777777" w:rsidR="00E25457" w:rsidRPr="00C20E68" w:rsidRDefault="00E25457" w:rsidP="00263F58">
            <w:pPr>
              <w:autoSpaceDE w:val="0"/>
              <w:autoSpaceDN w:val="0"/>
              <w:adjustRightInd w:val="0"/>
              <w:rPr>
                <w:bCs/>
              </w:rPr>
            </w:pPr>
          </w:p>
        </w:tc>
        <w:tc>
          <w:tcPr>
            <w:tcW w:w="3102" w:type="dxa"/>
          </w:tcPr>
          <w:p w14:paraId="7494281A" w14:textId="62092552" w:rsidR="00E25457" w:rsidRPr="00497624" w:rsidRDefault="00E25457" w:rsidP="00DE1324">
            <w:pPr>
              <w:autoSpaceDE w:val="0"/>
              <w:autoSpaceDN w:val="0"/>
              <w:adjustRightInd w:val="0"/>
              <w:rPr>
                <w:bCs/>
              </w:rPr>
            </w:pPr>
            <w:r w:rsidRPr="00497624">
              <w:rPr>
                <w:bCs/>
              </w:rPr>
              <w:t>Australian Greens Senators recommend that the Western Australian Government require all other industry and shipping on the Burrup Peninsula to comply with zero acidic emissions standards within one year</w:t>
            </w:r>
          </w:p>
        </w:tc>
        <w:tc>
          <w:tcPr>
            <w:tcW w:w="4323" w:type="dxa"/>
          </w:tcPr>
          <w:p w14:paraId="2DDC244A" w14:textId="41B3B8E4" w:rsidR="00E25457" w:rsidRPr="00352745" w:rsidRDefault="00E25457" w:rsidP="00E25457">
            <w:pPr>
              <w:autoSpaceDE w:val="0"/>
              <w:autoSpaceDN w:val="0"/>
              <w:adjustRightInd w:val="0"/>
              <w:rPr>
                <w:b/>
                <w:bCs/>
              </w:rPr>
            </w:pPr>
            <w:r w:rsidRPr="00352745">
              <w:rPr>
                <w:b/>
                <w:bCs/>
              </w:rPr>
              <w:t>Not</w:t>
            </w:r>
            <w:r w:rsidR="00AD044A">
              <w:rPr>
                <w:b/>
                <w:bCs/>
              </w:rPr>
              <w:t>ed</w:t>
            </w:r>
          </w:p>
          <w:p w14:paraId="2D3FBE8E" w14:textId="4FCDA3D9" w:rsidR="001363D8" w:rsidRDefault="00AD044A" w:rsidP="001363D8">
            <w:pPr>
              <w:autoSpaceDE w:val="0"/>
              <w:autoSpaceDN w:val="0"/>
              <w:adjustRightInd w:val="0"/>
              <w:rPr>
                <w:rFonts w:cs="Arial"/>
                <w:bCs/>
                <w:szCs w:val="26"/>
              </w:rPr>
            </w:pPr>
            <w:r>
              <w:rPr>
                <w:rFonts w:cs="Arial"/>
                <w:bCs/>
                <w:szCs w:val="26"/>
              </w:rPr>
              <w:t xml:space="preserve">See the response to recommendation 4 (Greens) </w:t>
            </w:r>
            <w:r w:rsidR="00BC133F">
              <w:rPr>
                <w:rFonts w:cs="Arial"/>
                <w:bCs/>
                <w:szCs w:val="26"/>
              </w:rPr>
              <w:t>in relation to</w:t>
            </w:r>
            <w:r>
              <w:rPr>
                <w:rFonts w:cs="Arial"/>
                <w:bCs/>
                <w:szCs w:val="26"/>
              </w:rPr>
              <w:t xml:space="preserve"> </w:t>
            </w:r>
            <w:r w:rsidR="001363D8">
              <w:rPr>
                <w:rFonts w:cs="Arial"/>
                <w:bCs/>
                <w:szCs w:val="26"/>
              </w:rPr>
              <w:t>sulphur</w:t>
            </w:r>
            <w:r>
              <w:rPr>
                <w:rFonts w:cs="Arial"/>
                <w:bCs/>
                <w:szCs w:val="26"/>
              </w:rPr>
              <w:t xml:space="preserve"> </w:t>
            </w:r>
            <w:r w:rsidR="001363D8">
              <w:rPr>
                <w:rFonts w:cs="Arial"/>
                <w:bCs/>
                <w:szCs w:val="26"/>
              </w:rPr>
              <w:t xml:space="preserve">dioxide </w:t>
            </w:r>
            <w:r>
              <w:rPr>
                <w:rFonts w:cs="Arial"/>
                <w:bCs/>
                <w:szCs w:val="26"/>
              </w:rPr>
              <w:t>emissions from shipping.</w:t>
            </w:r>
            <w:r w:rsidR="001363D8">
              <w:rPr>
                <w:rFonts w:cs="Arial"/>
                <w:bCs/>
                <w:szCs w:val="26"/>
              </w:rPr>
              <w:t xml:space="preserve"> </w:t>
            </w:r>
          </w:p>
          <w:p w14:paraId="72D36D7F" w14:textId="7864809E" w:rsidR="00E25457" w:rsidRPr="005D06C6" w:rsidRDefault="001363D8" w:rsidP="001363D8">
            <w:pPr>
              <w:autoSpaceDE w:val="0"/>
              <w:autoSpaceDN w:val="0"/>
              <w:adjustRightInd w:val="0"/>
              <w:rPr>
                <w:rFonts w:cs="Arial"/>
                <w:b/>
                <w:bCs/>
                <w:szCs w:val="26"/>
              </w:rPr>
            </w:pPr>
            <w:r>
              <w:rPr>
                <w:rFonts w:cs="Arial"/>
                <w:bCs/>
                <w:szCs w:val="26"/>
              </w:rPr>
              <w:t>Land-based i</w:t>
            </w:r>
            <w:r>
              <w:rPr>
                <w:bCs/>
              </w:rPr>
              <w:t xml:space="preserve">ndustry emission standards </w:t>
            </w:r>
            <w:r w:rsidR="00AD044A">
              <w:rPr>
                <w:bCs/>
              </w:rPr>
              <w:t>fall</w:t>
            </w:r>
            <w:r>
              <w:rPr>
                <w:bCs/>
              </w:rPr>
              <w:t xml:space="preserve"> </w:t>
            </w:r>
            <w:r w:rsidR="00AD044A">
              <w:rPr>
                <w:bCs/>
              </w:rPr>
              <w:t>within the responsibilities of the Western Australian Government</w:t>
            </w:r>
            <w:r>
              <w:rPr>
                <w:bCs/>
              </w:rPr>
              <w:t>.</w:t>
            </w:r>
            <w:r w:rsidR="00AD044A">
              <w:rPr>
                <w:bCs/>
              </w:rPr>
              <w:t xml:space="preserve">   </w:t>
            </w:r>
          </w:p>
        </w:tc>
      </w:tr>
      <w:tr w:rsidR="009E41D5" w:rsidRPr="00497624" w14:paraId="51371E55" w14:textId="77777777" w:rsidTr="002E52BF">
        <w:trPr>
          <w:cnfStyle w:val="000000100000" w:firstRow="0" w:lastRow="0" w:firstColumn="0" w:lastColumn="0" w:oddVBand="0" w:evenVBand="0" w:oddHBand="1" w:evenHBand="0" w:firstRowFirstColumn="0" w:firstRowLastColumn="0" w:lastRowFirstColumn="0" w:lastRowLastColumn="0"/>
        </w:trPr>
        <w:tc>
          <w:tcPr>
            <w:tcW w:w="2068" w:type="dxa"/>
          </w:tcPr>
          <w:p w14:paraId="7DC97843" w14:textId="4693A7A7" w:rsidR="00BD32E8" w:rsidRPr="00C20E68" w:rsidRDefault="00BD32E8" w:rsidP="00263F58">
            <w:pPr>
              <w:autoSpaceDE w:val="0"/>
              <w:autoSpaceDN w:val="0"/>
              <w:adjustRightInd w:val="0"/>
              <w:rPr>
                <w:bCs/>
              </w:rPr>
            </w:pPr>
            <w:r w:rsidRPr="00C20E68">
              <w:rPr>
                <w:bCs/>
              </w:rPr>
              <w:t>Greens</w:t>
            </w:r>
          </w:p>
          <w:p w14:paraId="7500BDFF" w14:textId="77777777" w:rsidR="00390E1E" w:rsidRPr="00C20E68" w:rsidRDefault="00390E1E" w:rsidP="00263F58">
            <w:pPr>
              <w:autoSpaceDE w:val="0"/>
              <w:autoSpaceDN w:val="0"/>
              <w:adjustRightInd w:val="0"/>
              <w:rPr>
                <w:bCs/>
              </w:rPr>
            </w:pPr>
            <w:r w:rsidRPr="00C20E68">
              <w:rPr>
                <w:bCs/>
              </w:rPr>
              <w:t xml:space="preserve">Recommendation </w:t>
            </w:r>
            <w:r w:rsidR="009E41D5" w:rsidRPr="00C20E68">
              <w:rPr>
                <w:bCs/>
              </w:rPr>
              <w:t>5</w:t>
            </w:r>
          </w:p>
          <w:p w14:paraId="730E8A23" w14:textId="4236E780" w:rsidR="009E41D5" w:rsidRPr="00C20E68" w:rsidRDefault="00390E1E" w:rsidP="00263F58">
            <w:pPr>
              <w:autoSpaceDE w:val="0"/>
              <w:autoSpaceDN w:val="0"/>
              <w:adjustRightInd w:val="0"/>
              <w:rPr>
                <w:bCs/>
              </w:rPr>
            </w:pPr>
            <w:r w:rsidRPr="00C20E68">
              <w:rPr>
                <w:bCs/>
              </w:rPr>
              <w:t>Para</w:t>
            </w:r>
            <w:r w:rsidR="0035088D" w:rsidRPr="00C20E68">
              <w:rPr>
                <w:bCs/>
              </w:rPr>
              <w:t>graph</w:t>
            </w:r>
            <w:r w:rsidRPr="00C20E68">
              <w:rPr>
                <w:bCs/>
              </w:rPr>
              <w:t xml:space="preserve"> 1.18</w:t>
            </w:r>
          </w:p>
          <w:p w14:paraId="3A07B3E5" w14:textId="73CBB243" w:rsidR="00A34D37" w:rsidRPr="00C20E68" w:rsidRDefault="00A34D37" w:rsidP="00263F58">
            <w:pPr>
              <w:autoSpaceDE w:val="0"/>
              <w:autoSpaceDN w:val="0"/>
              <w:adjustRightInd w:val="0"/>
              <w:rPr>
                <w:bCs/>
              </w:rPr>
            </w:pPr>
            <w:r w:rsidRPr="00C20E68">
              <w:rPr>
                <w:bCs/>
              </w:rPr>
              <w:t>Page 103</w:t>
            </w:r>
          </w:p>
        </w:tc>
        <w:tc>
          <w:tcPr>
            <w:tcW w:w="3102" w:type="dxa"/>
          </w:tcPr>
          <w:p w14:paraId="548D1BC7" w14:textId="6882ACF9" w:rsidR="009E41D5" w:rsidRPr="00497624" w:rsidRDefault="009E41D5" w:rsidP="00DE1324">
            <w:pPr>
              <w:autoSpaceDE w:val="0"/>
              <w:autoSpaceDN w:val="0"/>
              <w:adjustRightInd w:val="0"/>
              <w:rPr>
                <w:bCs/>
              </w:rPr>
            </w:pPr>
            <w:r w:rsidRPr="00497624">
              <w:rPr>
                <w:bCs/>
              </w:rPr>
              <w:t xml:space="preserve">Australian Greens Senators recommend that the Commonwealth Government, in conjunction with the Western Australian Government, establish measurements of existing emissions as a matter of priority. </w:t>
            </w:r>
          </w:p>
        </w:tc>
        <w:tc>
          <w:tcPr>
            <w:tcW w:w="4323" w:type="dxa"/>
          </w:tcPr>
          <w:p w14:paraId="7B5441EA" w14:textId="25C61907" w:rsidR="00C87E6D" w:rsidRPr="005D06C6" w:rsidRDefault="005D06C6" w:rsidP="00D51379">
            <w:pPr>
              <w:autoSpaceDE w:val="0"/>
              <w:autoSpaceDN w:val="0"/>
              <w:adjustRightInd w:val="0"/>
              <w:rPr>
                <w:rFonts w:cs="Arial"/>
                <w:b/>
                <w:bCs/>
                <w:sz w:val="22"/>
                <w:szCs w:val="26"/>
              </w:rPr>
            </w:pPr>
            <w:r w:rsidRPr="005D06C6">
              <w:rPr>
                <w:rFonts w:cs="Arial"/>
                <w:b/>
                <w:bCs/>
                <w:szCs w:val="26"/>
              </w:rPr>
              <w:t>Noted</w:t>
            </w:r>
            <w:r w:rsidR="00D51379" w:rsidRPr="005D06C6">
              <w:rPr>
                <w:rFonts w:cs="Arial"/>
                <w:b/>
                <w:bCs/>
                <w:sz w:val="22"/>
                <w:szCs w:val="26"/>
              </w:rPr>
              <w:t xml:space="preserve"> </w:t>
            </w:r>
          </w:p>
          <w:p w14:paraId="57DE73F4" w14:textId="77777777" w:rsidR="001363D8" w:rsidRDefault="005D06C6" w:rsidP="005D06C6">
            <w:pPr>
              <w:autoSpaceDE w:val="0"/>
              <w:autoSpaceDN w:val="0"/>
              <w:adjustRightInd w:val="0"/>
              <w:rPr>
                <w:rFonts w:cs="Arial"/>
                <w:bCs/>
                <w:szCs w:val="26"/>
              </w:rPr>
            </w:pPr>
            <w:r>
              <w:rPr>
                <w:rFonts w:cs="Arial"/>
                <w:bCs/>
                <w:szCs w:val="26"/>
              </w:rPr>
              <w:t xml:space="preserve">The </w:t>
            </w:r>
            <w:r w:rsidR="0047052B">
              <w:rPr>
                <w:rFonts w:cs="Arial"/>
                <w:bCs/>
                <w:szCs w:val="26"/>
              </w:rPr>
              <w:t xml:space="preserve">Australian Government </w:t>
            </w:r>
            <w:r>
              <w:rPr>
                <w:rFonts w:cs="Arial"/>
                <w:bCs/>
                <w:szCs w:val="26"/>
              </w:rPr>
              <w:t>is not responsible for monitoring air emissions</w:t>
            </w:r>
            <w:r w:rsidR="00680771">
              <w:rPr>
                <w:rFonts w:cs="Arial"/>
                <w:bCs/>
                <w:szCs w:val="26"/>
              </w:rPr>
              <w:t>.</w:t>
            </w:r>
            <w:r>
              <w:rPr>
                <w:rFonts w:cs="Arial"/>
                <w:bCs/>
                <w:szCs w:val="26"/>
              </w:rPr>
              <w:t xml:space="preserve"> </w:t>
            </w:r>
          </w:p>
          <w:p w14:paraId="74CD92F8" w14:textId="07B42A6E" w:rsidR="001363D8" w:rsidRDefault="001363D8" w:rsidP="005D06C6">
            <w:pPr>
              <w:autoSpaceDE w:val="0"/>
              <w:autoSpaceDN w:val="0"/>
              <w:adjustRightInd w:val="0"/>
              <w:rPr>
                <w:rFonts w:cs="Arial"/>
                <w:bCs/>
                <w:szCs w:val="26"/>
              </w:rPr>
            </w:pPr>
            <w:r>
              <w:rPr>
                <w:rFonts w:cs="Arial"/>
                <w:bCs/>
                <w:szCs w:val="26"/>
              </w:rPr>
              <w:t xml:space="preserve">Under the Australian Constitution the states are responsible for natural resource management, including air shed management. In this case, the emissions of air pollutants are regulated by the Western Australian </w:t>
            </w:r>
            <w:r>
              <w:rPr>
                <w:rFonts w:cs="Arial"/>
                <w:bCs/>
                <w:i/>
                <w:szCs w:val="26"/>
              </w:rPr>
              <w:t>Environment Protection Act 1986</w:t>
            </w:r>
            <w:r>
              <w:rPr>
                <w:rFonts w:cs="Arial"/>
                <w:bCs/>
                <w:szCs w:val="26"/>
              </w:rPr>
              <w:t xml:space="preserve">. </w:t>
            </w:r>
          </w:p>
          <w:p w14:paraId="68225217" w14:textId="77777777" w:rsidR="00633F77" w:rsidRDefault="00633F77" w:rsidP="005D06C6">
            <w:pPr>
              <w:autoSpaceDE w:val="0"/>
              <w:autoSpaceDN w:val="0"/>
              <w:adjustRightInd w:val="0"/>
              <w:rPr>
                <w:rFonts w:cs="Arial"/>
                <w:bCs/>
                <w:szCs w:val="26"/>
              </w:rPr>
            </w:pPr>
          </w:p>
          <w:p w14:paraId="50975F08" w14:textId="6D55D07A" w:rsidR="00776008" w:rsidRPr="00776008" w:rsidRDefault="00776008" w:rsidP="00776008">
            <w:r w:rsidRPr="00776008">
              <w:t xml:space="preserve">However, for any actions that are approved under the EPBC Act where air emissions may impact on matters protected under the EPBC Act, such as the </w:t>
            </w:r>
            <w:r w:rsidR="000B20CB">
              <w:t>Aboriginal rock a</w:t>
            </w:r>
            <w:r w:rsidRPr="00776008">
              <w:t xml:space="preserve">rt on the Burrup Peninsula, the Minister may impose certain conditions such as the requirement </w:t>
            </w:r>
            <w:r w:rsidRPr="00776008">
              <w:lastRenderedPageBreak/>
              <w:t xml:space="preserve">for air quality emissions monitoring and reporting. </w:t>
            </w:r>
          </w:p>
          <w:p w14:paraId="6D3F2D1C" w14:textId="77777777" w:rsidR="00776008" w:rsidRPr="00776008" w:rsidRDefault="00776008" w:rsidP="00776008"/>
          <w:p w14:paraId="3CCAF573" w14:textId="5A258A80" w:rsidR="00633F77" w:rsidRPr="00776008" w:rsidRDefault="00776008" w:rsidP="00776008">
            <w:pPr>
              <w:rPr>
                <w:sz w:val="22"/>
                <w:szCs w:val="22"/>
              </w:rPr>
            </w:pPr>
            <w:r w:rsidRPr="00776008">
              <w:t xml:space="preserve">Under EPBC Approval 2008/4546 Yara Pilbara Nitrates are required to undertake an air quality management program at selected Aboriginal rock art sites to establish baseline air quality data levels and to undertake on-going monitoring for the life of the project. The Department of Environment and Energy requires the monitoring results to be submitted annually. </w:t>
            </w:r>
          </w:p>
        </w:tc>
      </w:tr>
      <w:tr w:rsidR="00390E1E" w:rsidRPr="00497624" w14:paraId="567A6329" w14:textId="77777777" w:rsidTr="002E52BF">
        <w:trPr>
          <w:cnfStyle w:val="000000010000" w:firstRow="0" w:lastRow="0" w:firstColumn="0" w:lastColumn="0" w:oddVBand="0" w:evenVBand="0" w:oddHBand="0" w:evenHBand="1" w:firstRowFirstColumn="0" w:firstRowLastColumn="0" w:lastRowFirstColumn="0" w:lastRowLastColumn="0"/>
          <w:trHeight w:val="1119"/>
        </w:trPr>
        <w:tc>
          <w:tcPr>
            <w:tcW w:w="2068" w:type="dxa"/>
          </w:tcPr>
          <w:p w14:paraId="67056706" w14:textId="312D5E12" w:rsidR="00BD32E8" w:rsidRPr="00C20E68" w:rsidRDefault="00BD32E8" w:rsidP="00390E1E">
            <w:pPr>
              <w:autoSpaceDE w:val="0"/>
              <w:autoSpaceDN w:val="0"/>
              <w:adjustRightInd w:val="0"/>
              <w:rPr>
                <w:bCs/>
              </w:rPr>
            </w:pPr>
            <w:r w:rsidRPr="00C20E68">
              <w:rPr>
                <w:bCs/>
              </w:rPr>
              <w:lastRenderedPageBreak/>
              <w:t>Greens</w:t>
            </w:r>
          </w:p>
          <w:p w14:paraId="78C1966F" w14:textId="55962176" w:rsidR="00390E1E" w:rsidRPr="00C20E68" w:rsidRDefault="00390E1E" w:rsidP="00390E1E">
            <w:pPr>
              <w:autoSpaceDE w:val="0"/>
              <w:autoSpaceDN w:val="0"/>
              <w:adjustRightInd w:val="0"/>
              <w:rPr>
                <w:bCs/>
              </w:rPr>
            </w:pPr>
            <w:r w:rsidRPr="00C20E68">
              <w:rPr>
                <w:bCs/>
              </w:rPr>
              <w:t>Recommendation</w:t>
            </w:r>
            <w:r w:rsidR="00A86352" w:rsidRPr="00C20E68">
              <w:rPr>
                <w:bCs/>
              </w:rPr>
              <w:t xml:space="preserve"> </w:t>
            </w:r>
            <w:r w:rsidR="00A34D37" w:rsidRPr="00C20E68">
              <w:rPr>
                <w:bCs/>
              </w:rPr>
              <w:t>5</w:t>
            </w:r>
          </w:p>
          <w:p w14:paraId="5FC989C4" w14:textId="2ADC6107" w:rsidR="00390E1E" w:rsidRPr="00C20E68" w:rsidRDefault="00390E1E" w:rsidP="00390E1E">
            <w:pPr>
              <w:autoSpaceDE w:val="0"/>
              <w:autoSpaceDN w:val="0"/>
              <w:adjustRightInd w:val="0"/>
              <w:rPr>
                <w:bCs/>
              </w:rPr>
            </w:pPr>
            <w:r w:rsidRPr="00C20E68">
              <w:rPr>
                <w:bCs/>
              </w:rPr>
              <w:t>Para</w:t>
            </w:r>
            <w:r w:rsidR="0035088D" w:rsidRPr="00C20E68">
              <w:rPr>
                <w:bCs/>
              </w:rPr>
              <w:t>graph</w:t>
            </w:r>
            <w:r w:rsidRPr="00C20E68">
              <w:rPr>
                <w:bCs/>
              </w:rPr>
              <w:t xml:space="preserve"> </w:t>
            </w:r>
            <w:r w:rsidR="00A86352" w:rsidRPr="00C20E68">
              <w:rPr>
                <w:bCs/>
              </w:rPr>
              <w:t>1.19</w:t>
            </w:r>
          </w:p>
          <w:p w14:paraId="2424CBD7" w14:textId="41BC1E06" w:rsidR="00A34D37" w:rsidRPr="00C20E68" w:rsidRDefault="00A34D37" w:rsidP="00390E1E">
            <w:pPr>
              <w:autoSpaceDE w:val="0"/>
              <w:autoSpaceDN w:val="0"/>
              <w:adjustRightInd w:val="0"/>
              <w:rPr>
                <w:b/>
                <w:bCs/>
              </w:rPr>
            </w:pPr>
            <w:r w:rsidRPr="00C20E68">
              <w:rPr>
                <w:bCs/>
              </w:rPr>
              <w:t>Page 103</w:t>
            </w:r>
          </w:p>
        </w:tc>
        <w:tc>
          <w:tcPr>
            <w:tcW w:w="3102" w:type="dxa"/>
          </w:tcPr>
          <w:p w14:paraId="32ACC9E7" w14:textId="68D8B501" w:rsidR="00390E1E" w:rsidRPr="00497624" w:rsidRDefault="00390E1E" w:rsidP="00390E1E">
            <w:pPr>
              <w:autoSpaceDE w:val="0"/>
              <w:autoSpaceDN w:val="0"/>
              <w:adjustRightInd w:val="0"/>
              <w:rPr>
                <w:bCs/>
              </w:rPr>
            </w:pPr>
            <w:r w:rsidRPr="00497624">
              <w:rPr>
                <w:bCs/>
              </w:rPr>
              <w:t>Australian Greens Senators recommend that the Western Australian Government implement measures to ensure that the emission load on the Burrup Peninsula is reduced.</w:t>
            </w:r>
          </w:p>
        </w:tc>
        <w:tc>
          <w:tcPr>
            <w:tcW w:w="4323" w:type="dxa"/>
            <w:vMerge w:val="restart"/>
          </w:tcPr>
          <w:p w14:paraId="27FC3892" w14:textId="77777777" w:rsidR="00BC133F" w:rsidRPr="009B7079" w:rsidRDefault="00BC133F" w:rsidP="00390E1E">
            <w:pPr>
              <w:autoSpaceDE w:val="0"/>
              <w:autoSpaceDN w:val="0"/>
              <w:adjustRightInd w:val="0"/>
              <w:rPr>
                <w:b/>
                <w:bCs/>
              </w:rPr>
            </w:pPr>
            <w:r w:rsidRPr="009B7079">
              <w:rPr>
                <w:b/>
                <w:bCs/>
              </w:rPr>
              <w:t>Noted</w:t>
            </w:r>
          </w:p>
          <w:p w14:paraId="32BCAD85" w14:textId="77777777" w:rsidR="00EB7266" w:rsidRDefault="00A86352" w:rsidP="001F7F68">
            <w:pPr>
              <w:autoSpaceDE w:val="0"/>
              <w:autoSpaceDN w:val="0"/>
              <w:adjustRightInd w:val="0"/>
              <w:rPr>
                <w:bCs/>
              </w:rPr>
            </w:pPr>
            <w:r>
              <w:rPr>
                <w:bCs/>
              </w:rPr>
              <w:t>These recommendations fall wholly within the responsibilities of the Western Australian Government</w:t>
            </w:r>
            <w:r w:rsidR="001F7F68">
              <w:rPr>
                <w:bCs/>
              </w:rPr>
              <w:t xml:space="preserve">. </w:t>
            </w:r>
          </w:p>
          <w:p w14:paraId="05EA8B57" w14:textId="77777777" w:rsidR="00EB7266" w:rsidRDefault="00EB7266" w:rsidP="001F7F68">
            <w:pPr>
              <w:autoSpaceDE w:val="0"/>
              <w:autoSpaceDN w:val="0"/>
              <w:adjustRightInd w:val="0"/>
              <w:rPr>
                <w:bCs/>
              </w:rPr>
            </w:pPr>
          </w:p>
          <w:p w14:paraId="37EB5B6C" w14:textId="21759501" w:rsidR="0022337E" w:rsidRDefault="0022337E" w:rsidP="001F7F68">
            <w:pPr>
              <w:autoSpaceDE w:val="0"/>
              <w:autoSpaceDN w:val="0"/>
              <w:adjustRightInd w:val="0"/>
              <w:rPr>
                <w:bCs/>
              </w:rPr>
            </w:pPr>
            <w:r>
              <w:rPr>
                <w:bCs/>
              </w:rPr>
              <w:t xml:space="preserve">The Australian Government agrees with </w:t>
            </w:r>
            <w:r w:rsidR="003B3DCE">
              <w:rPr>
                <w:bCs/>
              </w:rPr>
              <w:t>the intent of</w:t>
            </w:r>
            <w:r>
              <w:rPr>
                <w:bCs/>
              </w:rPr>
              <w:t xml:space="preserve"> these recommendations. </w:t>
            </w:r>
          </w:p>
          <w:p w14:paraId="29CA71BF" w14:textId="4CC319BE" w:rsidR="00390E1E" w:rsidRPr="00497624" w:rsidRDefault="00EB7266" w:rsidP="00EB7266">
            <w:pPr>
              <w:autoSpaceDE w:val="0"/>
              <w:autoSpaceDN w:val="0"/>
              <w:adjustRightInd w:val="0"/>
              <w:rPr>
                <w:bCs/>
              </w:rPr>
            </w:pPr>
            <w:r>
              <w:rPr>
                <w:bCs/>
              </w:rPr>
              <w:t xml:space="preserve">   </w:t>
            </w:r>
          </w:p>
        </w:tc>
      </w:tr>
      <w:tr w:rsidR="00390E1E" w:rsidRPr="00497624" w14:paraId="1AD6EC6D" w14:textId="77777777" w:rsidTr="002E52BF">
        <w:trPr>
          <w:cnfStyle w:val="000000100000" w:firstRow="0" w:lastRow="0" w:firstColumn="0" w:lastColumn="0" w:oddVBand="0" w:evenVBand="0" w:oddHBand="1" w:evenHBand="0" w:firstRowFirstColumn="0" w:firstRowLastColumn="0" w:lastRowFirstColumn="0" w:lastRowLastColumn="0"/>
          <w:trHeight w:val="1119"/>
        </w:trPr>
        <w:tc>
          <w:tcPr>
            <w:tcW w:w="2068" w:type="dxa"/>
          </w:tcPr>
          <w:p w14:paraId="6AFE908D" w14:textId="1212FC2E" w:rsidR="00BD32E8" w:rsidRPr="00C20E68" w:rsidRDefault="00BD32E8" w:rsidP="00390E1E">
            <w:pPr>
              <w:autoSpaceDE w:val="0"/>
              <w:autoSpaceDN w:val="0"/>
              <w:adjustRightInd w:val="0"/>
              <w:rPr>
                <w:bCs/>
              </w:rPr>
            </w:pPr>
            <w:r w:rsidRPr="00C20E68">
              <w:rPr>
                <w:bCs/>
              </w:rPr>
              <w:t>Labor</w:t>
            </w:r>
          </w:p>
          <w:p w14:paraId="7CE70954" w14:textId="3CBBAE04" w:rsidR="00A86352" w:rsidRPr="00C20E68" w:rsidRDefault="00390E1E" w:rsidP="00390E1E">
            <w:pPr>
              <w:autoSpaceDE w:val="0"/>
              <w:autoSpaceDN w:val="0"/>
              <w:adjustRightInd w:val="0"/>
              <w:rPr>
                <w:bCs/>
              </w:rPr>
            </w:pPr>
            <w:r w:rsidRPr="00C20E68">
              <w:rPr>
                <w:bCs/>
              </w:rPr>
              <w:t xml:space="preserve">Recommendation </w:t>
            </w:r>
            <w:r w:rsidR="0035088D" w:rsidRPr="00C20E68">
              <w:rPr>
                <w:bCs/>
              </w:rPr>
              <w:t>11</w:t>
            </w:r>
          </w:p>
          <w:p w14:paraId="16008A0E" w14:textId="53DA4A82" w:rsidR="00A86352" w:rsidRPr="00C20E68" w:rsidRDefault="00A86352" w:rsidP="00390E1E">
            <w:pPr>
              <w:autoSpaceDE w:val="0"/>
              <w:autoSpaceDN w:val="0"/>
              <w:adjustRightInd w:val="0"/>
              <w:rPr>
                <w:bCs/>
              </w:rPr>
            </w:pPr>
            <w:r w:rsidRPr="00C20E68">
              <w:rPr>
                <w:bCs/>
              </w:rPr>
              <w:t>Para</w:t>
            </w:r>
            <w:r w:rsidR="0035088D" w:rsidRPr="00C20E68">
              <w:rPr>
                <w:bCs/>
              </w:rPr>
              <w:t>graph</w:t>
            </w:r>
            <w:r w:rsidRPr="00C20E68">
              <w:rPr>
                <w:bCs/>
              </w:rPr>
              <w:t xml:space="preserve"> 1.56</w:t>
            </w:r>
          </w:p>
          <w:p w14:paraId="26C0F741" w14:textId="16A7FE3C" w:rsidR="0035088D" w:rsidRPr="00C20E68" w:rsidRDefault="0035088D" w:rsidP="00390E1E">
            <w:pPr>
              <w:autoSpaceDE w:val="0"/>
              <w:autoSpaceDN w:val="0"/>
              <w:adjustRightInd w:val="0"/>
              <w:rPr>
                <w:bCs/>
              </w:rPr>
            </w:pPr>
            <w:r w:rsidRPr="00C20E68">
              <w:rPr>
                <w:bCs/>
              </w:rPr>
              <w:t>Page 138</w:t>
            </w:r>
          </w:p>
          <w:p w14:paraId="1B6F4040" w14:textId="77777777" w:rsidR="00A86352" w:rsidRPr="00C20E68" w:rsidRDefault="00A86352" w:rsidP="00390E1E">
            <w:pPr>
              <w:autoSpaceDE w:val="0"/>
              <w:autoSpaceDN w:val="0"/>
              <w:adjustRightInd w:val="0"/>
              <w:rPr>
                <w:b/>
                <w:bCs/>
              </w:rPr>
            </w:pPr>
          </w:p>
          <w:p w14:paraId="1C2C5B47" w14:textId="45D11013" w:rsidR="00390E1E" w:rsidRPr="00C20E68" w:rsidRDefault="00390E1E" w:rsidP="00390E1E">
            <w:pPr>
              <w:autoSpaceDE w:val="0"/>
              <w:autoSpaceDN w:val="0"/>
              <w:adjustRightInd w:val="0"/>
              <w:rPr>
                <w:bCs/>
              </w:rPr>
            </w:pPr>
          </w:p>
        </w:tc>
        <w:tc>
          <w:tcPr>
            <w:tcW w:w="3102" w:type="dxa"/>
          </w:tcPr>
          <w:p w14:paraId="2D083088" w14:textId="63830CAD" w:rsidR="00390E1E" w:rsidRPr="00497624" w:rsidRDefault="00390E1E" w:rsidP="00390E1E">
            <w:pPr>
              <w:autoSpaceDE w:val="0"/>
              <w:autoSpaceDN w:val="0"/>
              <w:adjustRightInd w:val="0"/>
              <w:rPr>
                <w:bCs/>
              </w:rPr>
            </w:pPr>
            <w:r w:rsidRPr="00497624">
              <w:rPr>
                <w:bCs/>
              </w:rPr>
              <w:t xml:space="preserve">Labor Senators recommend that the Western Australian Government investigate and implement measures to ensure that the emission load on the Burrup Peninsula is reduced. </w:t>
            </w:r>
            <w:r>
              <w:rPr>
                <w:bCs/>
              </w:rPr>
              <w:t xml:space="preserve"> </w:t>
            </w:r>
          </w:p>
        </w:tc>
        <w:tc>
          <w:tcPr>
            <w:tcW w:w="4323" w:type="dxa"/>
            <w:vMerge/>
          </w:tcPr>
          <w:p w14:paraId="2E3AA4F4" w14:textId="77777777" w:rsidR="00390E1E" w:rsidRPr="00497624" w:rsidRDefault="00390E1E" w:rsidP="00390E1E">
            <w:pPr>
              <w:autoSpaceDE w:val="0"/>
              <w:autoSpaceDN w:val="0"/>
              <w:adjustRightInd w:val="0"/>
              <w:rPr>
                <w:bCs/>
              </w:rPr>
            </w:pPr>
          </w:p>
        </w:tc>
      </w:tr>
      <w:tr w:rsidR="00390E1E" w:rsidRPr="00497624" w14:paraId="7B9393D8" w14:textId="77777777" w:rsidTr="003D7CC5">
        <w:trPr>
          <w:cnfStyle w:val="000000010000" w:firstRow="0" w:lastRow="0" w:firstColumn="0" w:lastColumn="0" w:oddVBand="0" w:evenVBand="0" w:oddHBand="0" w:evenHBand="1" w:firstRowFirstColumn="0" w:firstRowLastColumn="0" w:lastRowFirstColumn="0" w:lastRowLastColumn="0"/>
        </w:trPr>
        <w:tc>
          <w:tcPr>
            <w:tcW w:w="9493" w:type="dxa"/>
            <w:gridSpan w:val="3"/>
            <w:shd w:val="clear" w:color="auto" w:fill="BFBFBF" w:themeFill="background1" w:themeFillShade="BF"/>
          </w:tcPr>
          <w:p w14:paraId="2F8E27A4" w14:textId="6A3E4DEB" w:rsidR="00390E1E" w:rsidRPr="00497624" w:rsidRDefault="00F43E34" w:rsidP="00F43E34">
            <w:pPr>
              <w:autoSpaceDE w:val="0"/>
              <w:autoSpaceDN w:val="0"/>
              <w:adjustRightInd w:val="0"/>
              <w:rPr>
                <w:bCs/>
              </w:rPr>
            </w:pPr>
            <w:r>
              <w:rPr>
                <w:bCs/>
              </w:rPr>
              <w:t xml:space="preserve">Industrial </w:t>
            </w:r>
            <w:r w:rsidR="00390E1E" w:rsidRPr="00497624">
              <w:rPr>
                <w:bCs/>
              </w:rPr>
              <w:t>development on the Peninsula</w:t>
            </w:r>
          </w:p>
        </w:tc>
      </w:tr>
      <w:tr w:rsidR="00F43E34" w:rsidRPr="00497624" w14:paraId="0AF1ECE7" w14:textId="77777777" w:rsidTr="002E52BF">
        <w:trPr>
          <w:cnfStyle w:val="000000100000" w:firstRow="0" w:lastRow="0" w:firstColumn="0" w:lastColumn="0" w:oddVBand="0" w:evenVBand="0" w:oddHBand="1" w:evenHBand="0" w:firstRowFirstColumn="0" w:firstRowLastColumn="0" w:lastRowFirstColumn="0" w:lastRowLastColumn="0"/>
        </w:trPr>
        <w:tc>
          <w:tcPr>
            <w:tcW w:w="2068" w:type="dxa"/>
          </w:tcPr>
          <w:p w14:paraId="318F6A13" w14:textId="77777777" w:rsidR="00F43E34" w:rsidRPr="00C20E68" w:rsidRDefault="00F43E34" w:rsidP="00F43E34">
            <w:pPr>
              <w:autoSpaceDE w:val="0"/>
              <w:autoSpaceDN w:val="0"/>
              <w:adjustRightInd w:val="0"/>
              <w:rPr>
                <w:bCs/>
              </w:rPr>
            </w:pPr>
            <w:r w:rsidRPr="00C20E68">
              <w:rPr>
                <w:bCs/>
              </w:rPr>
              <w:t>Greens</w:t>
            </w:r>
          </w:p>
          <w:p w14:paraId="65E53603" w14:textId="77777777" w:rsidR="00F43E34" w:rsidRPr="00C20E68" w:rsidRDefault="00F43E34" w:rsidP="00F43E34">
            <w:pPr>
              <w:autoSpaceDE w:val="0"/>
              <w:autoSpaceDN w:val="0"/>
              <w:adjustRightInd w:val="0"/>
              <w:rPr>
                <w:bCs/>
              </w:rPr>
            </w:pPr>
            <w:r w:rsidRPr="00C20E68">
              <w:rPr>
                <w:bCs/>
              </w:rPr>
              <w:t>Recommendation 7</w:t>
            </w:r>
          </w:p>
          <w:p w14:paraId="25560C80" w14:textId="77777777" w:rsidR="00F43E34" w:rsidRPr="00C20E68" w:rsidRDefault="00F43E34" w:rsidP="00F43E34">
            <w:pPr>
              <w:autoSpaceDE w:val="0"/>
              <w:autoSpaceDN w:val="0"/>
              <w:adjustRightInd w:val="0"/>
              <w:rPr>
                <w:bCs/>
              </w:rPr>
            </w:pPr>
            <w:r w:rsidRPr="00C20E68">
              <w:rPr>
                <w:bCs/>
              </w:rPr>
              <w:t>Paragraph 139</w:t>
            </w:r>
          </w:p>
          <w:p w14:paraId="797F36D4" w14:textId="712A4431" w:rsidR="00F43E34" w:rsidRPr="00C20E68" w:rsidRDefault="00F43E34" w:rsidP="00F43E34">
            <w:pPr>
              <w:autoSpaceDE w:val="0"/>
              <w:autoSpaceDN w:val="0"/>
              <w:adjustRightInd w:val="0"/>
              <w:rPr>
                <w:bCs/>
              </w:rPr>
            </w:pPr>
            <w:r w:rsidRPr="00C20E68">
              <w:rPr>
                <w:bCs/>
              </w:rPr>
              <w:t>Page 106</w:t>
            </w:r>
          </w:p>
        </w:tc>
        <w:tc>
          <w:tcPr>
            <w:tcW w:w="3102" w:type="dxa"/>
          </w:tcPr>
          <w:p w14:paraId="20675CED" w14:textId="3A30C049" w:rsidR="00F43E34" w:rsidRPr="00497624" w:rsidRDefault="00F43E34" w:rsidP="002A70AD">
            <w:pPr>
              <w:autoSpaceDE w:val="0"/>
              <w:autoSpaceDN w:val="0"/>
              <w:adjustRightInd w:val="0"/>
              <w:rPr>
                <w:bCs/>
              </w:rPr>
            </w:pPr>
            <w:r w:rsidRPr="00497624">
              <w:rPr>
                <w:bCs/>
              </w:rPr>
              <w:t>Australian Greens Senators recommend that the TANPF be relocated to the Maitland SIA.</w:t>
            </w:r>
          </w:p>
        </w:tc>
        <w:tc>
          <w:tcPr>
            <w:tcW w:w="4323" w:type="dxa"/>
          </w:tcPr>
          <w:p w14:paraId="1AC61654" w14:textId="77777777" w:rsidR="00BC133F" w:rsidRPr="009B7079" w:rsidRDefault="00BC133F" w:rsidP="00CC3902">
            <w:pPr>
              <w:autoSpaceDE w:val="0"/>
              <w:autoSpaceDN w:val="0"/>
              <w:adjustRightInd w:val="0"/>
              <w:rPr>
                <w:b/>
                <w:bCs/>
              </w:rPr>
            </w:pPr>
            <w:r w:rsidRPr="009B7079">
              <w:rPr>
                <w:b/>
                <w:bCs/>
              </w:rPr>
              <w:t>Noted</w:t>
            </w:r>
          </w:p>
          <w:p w14:paraId="3864B7F4" w14:textId="68E1F3C5" w:rsidR="00F43E34" w:rsidRPr="00CC3902" w:rsidRDefault="00F43E34" w:rsidP="00CC3902">
            <w:pPr>
              <w:autoSpaceDE w:val="0"/>
              <w:autoSpaceDN w:val="0"/>
              <w:adjustRightInd w:val="0"/>
              <w:rPr>
                <w:b/>
                <w:bCs/>
              </w:rPr>
            </w:pPr>
            <w:r>
              <w:rPr>
                <w:bCs/>
              </w:rPr>
              <w:t>This recommendation falls wholly within the responsibilities of the Western Australian Government</w:t>
            </w:r>
            <w:r w:rsidR="003B3DCE">
              <w:rPr>
                <w:bCs/>
              </w:rPr>
              <w:t>.</w:t>
            </w:r>
            <w:r>
              <w:rPr>
                <w:bCs/>
              </w:rPr>
              <w:t xml:space="preserve">   </w:t>
            </w:r>
          </w:p>
        </w:tc>
      </w:tr>
      <w:tr w:rsidR="00192F8D" w:rsidRPr="00497624" w14:paraId="6D50892E"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13D47F67" w14:textId="3C534E70" w:rsidR="00192F8D" w:rsidRPr="00C20E68" w:rsidRDefault="00192F8D" w:rsidP="008B7FDC">
            <w:pPr>
              <w:autoSpaceDE w:val="0"/>
              <w:autoSpaceDN w:val="0"/>
              <w:adjustRightInd w:val="0"/>
              <w:rPr>
                <w:bCs/>
              </w:rPr>
            </w:pPr>
            <w:r w:rsidRPr="00C20E68">
              <w:rPr>
                <w:bCs/>
              </w:rPr>
              <w:t>Greens</w:t>
            </w:r>
          </w:p>
          <w:p w14:paraId="4F134994" w14:textId="1D00BB5A" w:rsidR="00192F8D" w:rsidRPr="00C20E68" w:rsidRDefault="00192F8D" w:rsidP="008B7FDC">
            <w:pPr>
              <w:autoSpaceDE w:val="0"/>
              <w:autoSpaceDN w:val="0"/>
              <w:adjustRightInd w:val="0"/>
              <w:rPr>
                <w:bCs/>
              </w:rPr>
            </w:pPr>
            <w:r w:rsidRPr="00C20E68">
              <w:rPr>
                <w:bCs/>
              </w:rPr>
              <w:t>Recommendation 8</w:t>
            </w:r>
          </w:p>
          <w:p w14:paraId="7B63A634" w14:textId="654DDDDD" w:rsidR="00192F8D" w:rsidRPr="00C20E68" w:rsidRDefault="00192F8D" w:rsidP="008B7FDC">
            <w:pPr>
              <w:autoSpaceDE w:val="0"/>
              <w:autoSpaceDN w:val="0"/>
              <w:adjustRightInd w:val="0"/>
              <w:rPr>
                <w:bCs/>
              </w:rPr>
            </w:pPr>
            <w:r w:rsidRPr="00C20E68">
              <w:rPr>
                <w:bCs/>
              </w:rPr>
              <w:t>Paragraph 1.40</w:t>
            </w:r>
          </w:p>
          <w:p w14:paraId="679BBA6E" w14:textId="51A8C0C7" w:rsidR="00192F8D" w:rsidRPr="00C20E68" w:rsidRDefault="00192F8D" w:rsidP="008B7FDC">
            <w:pPr>
              <w:autoSpaceDE w:val="0"/>
              <w:autoSpaceDN w:val="0"/>
              <w:adjustRightInd w:val="0"/>
              <w:rPr>
                <w:bCs/>
              </w:rPr>
            </w:pPr>
            <w:r w:rsidRPr="00C20E68">
              <w:rPr>
                <w:bCs/>
              </w:rPr>
              <w:t>Page 106</w:t>
            </w:r>
          </w:p>
        </w:tc>
        <w:tc>
          <w:tcPr>
            <w:tcW w:w="3102" w:type="dxa"/>
          </w:tcPr>
          <w:p w14:paraId="6A279131" w14:textId="7A5504C1" w:rsidR="00192F8D" w:rsidRPr="00497624" w:rsidRDefault="00192F8D" w:rsidP="002A70AD">
            <w:pPr>
              <w:autoSpaceDE w:val="0"/>
              <w:autoSpaceDN w:val="0"/>
              <w:adjustRightInd w:val="0"/>
              <w:rPr>
                <w:bCs/>
              </w:rPr>
            </w:pPr>
            <w:r w:rsidRPr="00497624">
              <w:rPr>
                <w:bCs/>
              </w:rPr>
              <w:t>Australian Greens Senators recommend that no further industrial development be approved for the Burrup Peninsula.</w:t>
            </w:r>
            <w:r>
              <w:rPr>
                <w:bCs/>
              </w:rPr>
              <w:t xml:space="preserve"> </w:t>
            </w:r>
          </w:p>
        </w:tc>
        <w:tc>
          <w:tcPr>
            <w:tcW w:w="4323" w:type="dxa"/>
            <w:vMerge w:val="restart"/>
          </w:tcPr>
          <w:p w14:paraId="6FE0773A" w14:textId="025CCAEC" w:rsidR="00192F8D" w:rsidRPr="00CC3902" w:rsidRDefault="00192F8D" w:rsidP="00CC3902">
            <w:pPr>
              <w:autoSpaceDE w:val="0"/>
              <w:autoSpaceDN w:val="0"/>
              <w:adjustRightInd w:val="0"/>
              <w:rPr>
                <w:b/>
                <w:bCs/>
              </w:rPr>
            </w:pPr>
            <w:r w:rsidRPr="00CC3902">
              <w:rPr>
                <w:b/>
                <w:bCs/>
              </w:rPr>
              <w:t>Noted</w:t>
            </w:r>
          </w:p>
          <w:p w14:paraId="594B60D9" w14:textId="67053A54" w:rsidR="001F7F68" w:rsidRDefault="001F7F68" w:rsidP="00CC3902">
            <w:pPr>
              <w:autoSpaceDE w:val="0"/>
              <w:autoSpaceDN w:val="0"/>
              <w:adjustRightInd w:val="0"/>
              <w:rPr>
                <w:rFonts w:cs="Arial"/>
                <w:bCs/>
                <w:szCs w:val="26"/>
              </w:rPr>
            </w:pPr>
            <w:r>
              <w:rPr>
                <w:rFonts w:cs="Arial"/>
                <w:bCs/>
                <w:szCs w:val="26"/>
              </w:rPr>
              <w:t>Decisions regarding further industrial development on the Burrup Peninsula are the pr</w:t>
            </w:r>
            <w:r w:rsidR="003B3DCE">
              <w:rPr>
                <w:rFonts w:cs="Arial"/>
                <w:bCs/>
                <w:szCs w:val="26"/>
              </w:rPr>
              <w:t>imary responsibility of the Western Australian G</w:t>
            </w:r>
            <w:r>
              <w:rPr>
                <w:rFonts w:cs="Arial"/>
                <w:bCs/>
                <w:szCs w:val="26"/>
              </w:rPr>
              <w:t xml:space="preserve">overnment. </w:t>
            </w:r>
          </w:p>
          <w:p w14:paraId="601DADE0" w14:textId="77777777" w:rsidR="00633F77" w:rsidRDefault="00633F77" w:rsidP="00CC3902">
            <w:pPr>
              <w:autoSpaceDE w:val="0"/>
              <w:autoSpaceDN w:val="0"/>
              <w:adjustRightInd w:val="0"/>
              <w:rPr>
                <w:rFonts w:cs="Arial"/>
                <w:bCs/>
                <w:szCs w:val="26"/>
              </w:rPr>
            </w:pPr>
          </w:p>
          <w:p w14:paraId="20CC9EEE" w14:textId="3F51AD99" w:rsidR="00192F8D" w:rsidRDefault="00192F8D" w:rsidP="00CC3902">
            <w:pPr>
              <w:autoSpaceDE w:val="0"/>
              <w:autoSpaceDN w:val="0"/>
              <w:adjustRightInd w:val="0"/>
              <w:rPr>
                <w:rFonts w:cs="Arial"/>
                <w:bCs/>
                <w:szCs w:val="26"/>
              </w:rPr>
            </w:pPr>
            <w:r>
              <w:rPr>
                <w:rFonts w:cs="Arial"/>
                <w:bCs/>
                <w:szCs w:val="26"/>
              </w:rPr>
              <w:t>The EPBC Act sets out the requirements for Commonwealth consideration of the potential impacts of actions on matters of national environmental significance</w:t>
            </w:r>
            <w:r w:rsidR="00BC133F">
              <w:rPr>
                <w:rFonts w:cs="Arial"/>
                <w:bCs/>
                <w:szCs w:val="26"/>
              </w:rPr>
              <w:t>,</w:t>
            </w:r>
            <w:r>
              <w:rPr>
                <w:rFonts w:cs="Arial"/>
                <w:bCs/>
                <w:szCs w:val="26"/>
              </w:rPr>
              <w:t xml:space="preserve"> including the listed values of national heritage places. Actions referred to the Commonwealth for consideration under this legislation are considered on their merits on the basis of information provided for the assessment by the proponent.</w:t>
            </w:r>
          </w:p>
          <w:p w14:paraId="64F9E3B4" w14:textId="77777777" w:rsidR="00192F8D" w:rsidRDefault="00192F8D" w:rsidP="00CC3902">
            <w:pPr>
              <w:autoSpaceDE w:val="0"/>
              <w:autoSpaceDN w:val="0"/>
              <w:adjustRightInd w:val="0"/>
              <w:rPr>
                <w:rFonts w:cs="Arial"/>
                <w:bCs/>
                <w:szCs w:val="26"/>
              </w:rPr>
            </w:pPr>
          </w:p>
          <w:p w14:paraId="3B0DF3E4" w14:textId="4125B853" w:rsidR="00192F8D" w:rsidRDefault="00192F8D" w:rsidP="00CC3902">
            <w:pPr>
              <w:autoSpaceDE w:val="0"/>
              <w:autoSpaceDN w:val="0"/>
              <w:adjustRightInd w:val="0"/>
              <w:rPr>
                <w:rFonts w:cs="Arial"/>
                <w:bCs/>
                <w:szCs w:val="26"/>
              </w:rPr>
            </w:pPr>
            <w:r>
              <w:rPr>
                <w:rFonts w:cs="Arial"/>
                <w:bCs/>
                <w:szCs w:val="26"/>
              </w:rPr>
              <w:lastRenderedPageBreak/>
              <w:t xml:space="preserve">Approvals under the EPBC Act are often accompanied by conditions designed to ensure avoidance or mitigation of impacts to matters of national environmental significance. </w:t>
            </w:r>
            <w:r w:rsidR="00EB7266">
              <w:rPr>
                <w:rFonts w:cs="Arial"/>
                <w:bCs/>
                <w:szCs w:val="26"/>
              </w:rPr>
              <w:t>C</w:t>
            </w:r>
            <w:r>
              <w:rPr>
                <w:rFonts w:cs="Arial"/>
                <w:bCs/>
                <w:szCs w:val="26"/>
              </w:rPr>
              <w:t xml:space="preserve">onditions may require compensatory measures be put in place. </w:t>
            </w:r>
          </w:p>
          <w:p w14:paraId="61A16906" w14:textId="21524BF8" w:rsidR="00192F8D" w:rsidRDefault="00192F8D" w:rsidP="00CC3902">
            <w:pPr>
              <w:autoSpaceDE w:val="0"/>
              <w:autoSpaceDN w:val="0"/>
              <w:adjustRightInd w:val="0"/>
              <w:rPr>
                <w:rFonts w:cs="Arial"/>
                <w:bCs/>
                <w:szCs w:val="26"/>
              </w:rPr>
            </w:pPr>
            <w:r>
              <w:rPr>
                <w:rFonts w:cs="Arial"/>
                <w:bCs/>
                <w:szCs w:val="26"/>
              </w:rPr>
              <w:t xml:space="preserve"> </w:t>
            </w:r>
          </w:p>
          <w:p w14:paraId="03479CA1" w14:textId="1B291967" w:rsidR="00192F8D" w:rsidRPr="00497624" w:rsidRDefault="00192F8D" w:rsidP="00192F8D">
            <w:pPr>
              <w:autoSpaceDE w:val="0"/>
              <w:autoSpaceDN w:val="0"/>
              <w:adjustRightInd w:val="0"/>
              <w:rPr>
                <w:bCs/>
              </w:rPr>
            </w:pPr>
            <w:r>
              <w:rPr>
                <w:rFonts w:cs="Arial"/>
                <w:bCs/>
                <w:szCs w:val="26"/>
              </w:rPr>
              <w:t>The Australian Government will make use of new data and information made available to it.</w:t>
            </w:r>
          </w:p>
        </w:tc>
      </w:tr>
      <w:tr w:rsidR="00192F8D" w:rsidRPr="00497624" w14:paraId="1D64246B" w14:textId="77777777" w:rsidTr="002E52BF">
        <w:trPr>
          <w:cnfStyle w:val="000000100000" w:firstRow="0" w:lastRow="0" w:firstColumn="0" w:lastColumn="0" w:oddVBand="0" w:evenVBand="0" w:oddHBand="1" w:evenHBand="0" w:firstRowFirstColumn="0" w:firstRowLastColumn="0" w:lastRowFirstColumn="0" w:lastRowLastColumn="0"/>
        </w:trPr>
        <w:tc>
          <w:tcPr>
            <w:tcW w:w="2068" w:type="dxa"/>
          </w:tcPr>
          <w:p w14:paraId="05E08825" w14:textId="46CCEF9E" w:rsidR="00192F8D" w:rsidRPr="00C20E68" w:rsidRDefault="00192F8D" w:rsidP="00390E1E">
            <w:pPr>
              <w:autoSpaceDE w:val="0"/>
              <w:autoSpaceDN w:val="0"/>
              <w:adjustRightInd w:val="0"/>
              <w:rPr>
                <w:bCs/>
              </w:rPr>
            </w:pPr>
            <w:r w:rsidRPr="00C20E68">
              <w:rPr>
                <w:bCs/>
              </w:rPr>
              <w:t>Labor</w:t>
            </w:r>
          </w:p>
          <w:p w14:paraId="7E9A915D" w14:textId="6C645F28" w:rsidR="00192F8D" w:rsidRPr="00C20E68" w:rsidRDefault="00192F8D" w:rsidP="00390E1E">
            <w:pPr>
              <w:autoSpaceDE w:val="0"/>
              <w:autoSpaceDN w:val="0"/>
              <w:adjustRightInd w:val="0"/>
              <w:rPr>
                <w:bCs/>
              </w:rPr>
            </w:pPr>
            <w:r w:rsidRPr="00C20E68">
              <w:rPr>
                <w:bCs/>
              </w:rPr>
              <w:t>Recommendation 13 Paragraph 1.63</w:t>
            </w:r>
          </w:p>
          <w:p w14:paraId="45AB887F" w14:textId="28C431BA" w:rsidR="00192F8D" w:rsidRPr="00C20E68" w:rsidRDefault="00192F8D" w:rsidP="00390E1E">
            <w:pPr>
              <w:autoSpaceDE w:val="0"/>
              <w:autoSpaceDN w:val="0"/>
              <w:adjustRightInd w:val="0"/>
              <w:rPr>
                <w:bCs/>
              </w:rPr>
            </w:pPr>
            <w:r w:rsidRPr="00C20E68">
              <w:rPr>
                <w:bCs/>
              </w:rPr>
              <w:t>Page 138</w:t>
            </w:r>
          </w:p>
        </w:tc>
        <w:tc>
          <w:tcPr>
            <w:tcW w:w="3102" w:type="dxa"/>
          </w:tcPr>
          <w:p w14:paraId="026AB4AA" w14:textId="63B2530F" w:rsidR="00192F8D" w:rsidRPr="00497624" w:rsidRDefault="00192F8D" w:rsidP="002A70AD">
            <w:pPr>
              <w:autoSpaceDE w:val="0"/>
              <w:autoSpaceDN w:val="0"/>
              <w:adjustRightInd w:val="0"/>
              <w:rPr>
                <w:bCs/>
              </w:rPr>
            </w:pPr>
            <w:r w:rsidRPr="00497624">
              <w:rPr>
                <w:bCs/>
              </w:rPr>
              <w:t>Labor Senators recommend that further industrial development be approved in the Burrup Peninsula only under strict environmental conditions.</w:t>
            </w:r>
            <w:r>
              <w:rPr>
                <w:bCs/>
              </w:rPr>
              <w:t xml:space="preserve"> </w:t>
            </w:r>
          </w:p>
        </w:tc>
        <w:tc>
          <w:tcPr>
            <w:tcW w:w="4323" w:type="dxa"/>
            <w:vMerge/>
          </w:tcPr>
          <w:p w14:paraId="52A19F2B" w14:textId="7C2AF249" w:rsidR="00192F8D" w:rsidRPr="00497624" w:rsidRDefault="00192F8D" w:rsidP="00192F8D">
            <w:pPr>
              <w:autoSpaceDE w:val="0"/>
              <w:autoSpaceDN w:val="0"/>
              <w:adjustRightInd w:val="0"/>
              <w:rPr>
                <w:bCs/>
              </w:rPr>
            </w:pPr>
          </w:p>
        </w:tc>
      </w:tr>
      <w:tr w:rsidR="00192F8D" w:rsidRPr="00497624" w14:paraId="796AE1DA"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763C2B38" w14:textId="77777777" w:rsidR="00192F8D" w:rsidRPr="00C20E68" w:rsidRDefault="00192F8D" w:rsidP="00192F8D">
            <w:pPr>
              <w:autoSpaceDE w:val="0"/>
              <w:autoSpaceDN w:val="0"/>
              <w:adjustRightInd w:val="0"/>
              <w:rPr>
                <w:bCs/>
              </w:rPr>
            </w:pPr>
            <w:r w:rsidRPr="00C20E68">
              <w:rPr>
                <w:bCs/>
              </w:rPr>
              <w:t>Labor Recommendation 14</w:t>
            </w:r>
          </w:p>
          <w:p w14:paraId="7D52FAC7" w14:textId="77777777" w:rsidR="00192F8D" w:rsidRPr="00C20E68" w:rsidRDefault="00192F8D" w:rsidP="00192F8D">
            <w:pPr>
              <w:autoSpaceDE w:val="0"/>
              <w:autoSpaceDN w:val="0"/>
              <w:adjustRightInd w:val="0"/>
              <w:rPr>
                <w:bCs/>
              </w:rPr>
            </w:pPr>
            <w:r w:rsidRPr="00C20E68">
              <w:rPr>
                <w:bCs/>
              </w:rPr>
              <w:t>Paragraph 1.68</w:t>
            </w:r>
          </w:p>
          <w:p w14:paraId="0BA9E45B" w14:textId="736B92CF" w:rsidR="00192F8D" w:rsidRPr="00C20E68" w:rsidRDefault="00192F8D" w:rsidP="00192F8D">
            <w:pPr>
              <w:autoSpaceDE w:val="0"/>
              <w:autoSpaceDN w:val="0"/>
              <w:adjustRightInd w:val="0"/>
              <w:rPr>
                <w:bCs/>
              </w:rPr>
            </w:pPr>
            <w:r w:rsidRPr="00C20E68">
              <w:rPr>
                <w:bCs/>
              </w:rPr>
              <w:t>Page 139</w:t>
            </w:r>
          </w:p>
        </w:tc>
        <w:tc>
          <w:tcPr>
            <w:tcW w:w="3102" w:type="dxa"/>
          </w:tcPr>
          <w:p w14:paraId="3F39F1A2" w14:textId="77777777" w:rsidR="00192F8D" w:rsidRDefault="00192F8D" w:rsidP="00192F8D">
            <w:pPr>
              <w:autoSpaceDE w:val="0"/>
              <w:autoSpaceDN w:val="0"/>
              <w:adjustRightInd w:val="0"/>
              <w:rPr>
                <w:bCs/>
              </w:rPr>
            </w:pPr>
            <w:r w:rsidRPr="00497624">
              <w:rPr>
                <w:bCs/>
              </w:rPr>
              <w:t xml:space="preserve">Labor Senators recommend that the Minister for the Environment and Energy use new data and information provided by improved monitoring to consider the cumulative effects when </w:t>
            </w:r>
            <w:r w:rsidRPr="00497624">
              <w:rPr>
                <w:bCs/>
              </w:rPr>
              <w:lastRenderedPageBreak/>
              <w:t>approving decisions relating to Murujuga</w:t>
            </w:r>
          </w:p>
          <w:p w14:paraId="0FAA3C12" w14:textId="77777777" w:rsidR="00192F8D" w:rsidRPr="00497624" w:rsidRDefault="00192F8D" w:rsidP="002A70AD">
            <w:pPr>
              <w:autoSpaceDE w:val="0"/>
              <w:autoSpaceDN w:val="0"/>
              <w:adjustRightInd w:val="0"/>
              <w:rPr>
                <w:bCs/>
              </w:rPr>
            </w:pPr>
          </w:p>
        </w:tc>
        <w:tc>
          <w:tcPr>
            <w:tcW w:w="4323" w:type="dxa"/>
            <w:vMerge/>
          </w:tcPr>
          <w:p w14:paraId="10CF3D2F" w14:textId="24F36722" w:rsidR="00192F8D" w:rsidRPr="00497624" w:rsidRDefault="00192F8D" w:rsidP="00192F8D">
            <w:pPr>
              <w:autoSpaceDE w:val="0"/>
              <w:autoSpaceDN w:val="0"/>
              <w:adjustRightInd w:val="0"/>
              <w:rPr>
                <w:bCs/>
              </w:rPr>
            </w:pPr>
          </w:p>
        </w:tc>
      </w:tr>
      <w:tr w:rsidR="00F43E34" w:rsidRPr="00497624" w14:paraId="399995BB" w14:textId="77777777" w:rsidTr="00EB7266">
        <w:trPr>
          <w:cnfStyle w:val="000000100000" w:firstRow="0" w:lastRow="0" w:firstColumn="0" w:lastColumn="0" w:oddVBand="0" w:evenVBand="0" w:oddHBand="1" w:evenHBand="0" w:firstRowFirstColumn="0" w:firstRowLastColumn="0" w:lastRowFirstColumn="0" w:lastRowLastColumn="0"/>
        </w:trPr>
        <w:tc>
          <w:tcPr>
            <w:tcW w:w="9493" w:type="dxa"/>
            <w:gridSpan w:val="3"/>
            <w:shd w:val="clear" w:color="auto" w:fill="BFBFBF" w:themeFill="background1" w:themeFillShade="BF"/>
          </w:tcPr>
          <w:p w14:paraId="367B7739" w14:textId="3CB25839" w:rsidR="00F43E34" w:rsidRPr="00C20E68" w:rsidRDefault="00F43E34" w:rsidP="00F43E34">
            <w:pPr>
              <w:shd w:val="clear" w:color="auto" w:fill="BFBFBF" w:themeFill="background1" w:themeFillShade="BF"/>
              <w:autoSpaceDE w:val="0"/>
              <w:autoSpaceDN w:val="0"/>
              <w:adjustRightInd w:val="0"/>
              <w:rPr>
                <w:bCs/>
              </w:rPr>
            </w:pPr>
            <w:r w:rsidRPr="00C20E68">
              <w:rPr>
                <w:bCs/>
              </w:rPr>
              <w:t xml:space="preserve">Alternatives to industrial development on the Peninsula </w:t>
            </w:r>
          </w:p>
        </w:tc>
      </w:tr>
      <w:tr w:rsidR="00390E1E" w:rsidRPr="00497624" w14:paraId="701A0F85"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29939001" w14:textId="01BB42BF" w:rsidR="00BD32E8" w:rsidRPr="00C20E68" w:rsidRDefault="00BD32E8" w:rsidP="00390E1E">
            <w:pPr>
              <w:autoSpaceDE w:val="0"/>
              <w:autoSpaceDN w:val="0"/>
              <w:adjustRightInd w:val="0"/>
              <w:rPr>
                <w:bCs/>
              </w:rPr>
            </w:pPr>
            <w:r w:rsidRPr="00C20E68">
              <w:rPr>
                <w:bCs/>
              </w:rPr>
              <w:t>Greens</w:t>
            </w:r>
          </w:p>
          <w:p w14:paraId="77455401" w14:textId="61A3682E" w:rsidR="00390E1E" w:rsidRPr="00C20E68" w:rsidRDefault="00FF5E51" w:rsidP="00390E1E">
            <w:pPr>
              <w:autoSpaceDE w:val="0"/>
              <w:autoSpaceDN w:val="0"/>
              <w:adjustRightInd w:val="0"/>
              <w:rPr>
                <w:bCs/>
              </w:rPr>
            </w:pPr>
            <w:r w:rsidRPr="00C20E68">
              <w:rPr>
                <w:bCs/>
              </w:rPr>
              <w:t xml:space="preserve">Recommendation </w:t>
            </w:r>
            <w:r w:rsidR="00390E1E" w:rsidRPr="00C20E68">
              <w:rPr>
                <w:bCs/>
              </w:rPr>
              <w:t>9</w:t>
            </w:r>
          </w:p>
          <w:p w14:paraId="3193A2E9" w14:textId="77777777" w:rsidR="008B7FDC" w:rsidRPr="00C20E68" w:rsidRDefault="008B7FDC" w:rsidP="00390E1E">
            <w:pPr>
              <w:autoSpaceDE w:val="0"/>
              <w:autoSpaceDN w:val="0"/>
              <w:adjustRightInd w:val="0"/>
              <w:rPr>
                <w:bCs/>
              </w:rPr>
            </w:pPr>
            <w:r w:rsidRPr="00C20E68">
              <w:rPr>
                <w:bCs/>
              </w:rPr>
              <w:t>Paragraph 1.41</w:t>
            </w:r>
          </w:p>
          <w:p w14:paraId="25D5E7A7" w14:textId="18CAFECE" w:rsidR="0035088D" w:rsidRPr="00C20E68" w:rsidRDefault="0035088D" w:rsidP="00390E1E">
            <w:pPr>
              <w:autoSpaceDE w:val="0"/>
              <w:autoSpaceDN w:val="0"/>
              <w:adjustRightInd w:val="0"/>
              <w:rPr>
                <w:bCs/>
              </w:rPr>
            </w:pPr>
            <w:r w:rsidRPr="00C20E68">
              <w:rPr>
                <w:bCs/>
              </w:rPr>
              <w:t>Page 106</w:t>
            </w:r>
          </w:p>
        </w:tc>
        <w:tc>
          <w:tcPr>
            <w:tcW w:w="3102" w:type="dxa"/>
          </w:tcPr>
          <w:p w14:paraId="0C787BC1" w14:textId="24B8A082" w:rsidR="00390E1E" w:rsidRPr="00497624" w:rsidRDefault="00390E1E" w:rsidP="002A70AD">
            <w:pPr>
              <w:autoSpaceDE w:val="0"/>
              <w:autoSpaceDN w:val="0"/>
              <w:adjustRightInd w:val="0"/>
              <w:rPr>
                <w:bCs/>
              </w:rPr>
            </w:pPr>
            <w:r w:rsidRPr="00497624">
              <w:rPr>
                <w:bCs/>
              </w:rPr>
              <w:t>Australian Greens Senators recommend that the Western Australian Government promote tourism to the Burrup Peninsula as a long-term employment and economic opportunity.</w:t>
            </w:r>
            <w:r w:rsidR="002A70AD">
              <w:rPr>
                <w:bCs/>
              </w:rPr>
              <w:t xml:space="preserve"> </w:t>
            </w:r>
          </w:p>
        </w:tc>
        <w:tc>
          <w:tcPr>
            <w:tcW w:w="4323" w:type="dxa"/>
            <w:vMerge w:val="restart"/>
          </w:tcPr>
          <w:p w14:paraId="5289D864" w14:textId="77777777" w:rsidR="00BC133F" w:rsidRPr="009B7079" w:rsidRDefault="00BC133F" w:rsidP="00390E1E">
            <w:pPr>
              <w:autoSpaceDE w:val="0"/>
              <w:autoSpaceDN w:val="0"/>
              <w:adjustRightInd w:val="0"/>
              <w:rPr>
                <w:b/>
                <w:bCs/>
              </w:rPr>
            </w:pPr>
            <w:r w:rsidRPr="009B7079">
              <w:rPr>
                <w:b/>
                <w:bCs/>
              </w:rPr>
              <w:t>Noted</w:t>
            </w:r>
          </w:p>
          <w:p w14:paraId="09B7E15A" w14:textId="77777777" w:rsidR="00EB7266" w:rsidRDefault="00390E1E" w:rsidP="00390E1E">
            <w:pPr>
              <w:autoSpaceDE w:val="0"/>
              <w:autoSpaceDN w:val="0"/>
              <w:adjustRightInd w:val="0"/>
              <w:rPr>
                <w:bCs/>
              </w:rPr>
            </w:pPr>
            <w:r>
              <w:rPr>
                <w:bCs/>
              </w:rPr>
              <w:t>These recommendations fall wholly within the responsibilities of the Western Australian Government</w:t>
            </w:r>
            <w:r w:rsidR="00EB7266">
              <w:rPr>
                <w:bCs/>
              </w:rPr>
              <w:t>.</w:t>
            </w:r>
          </w:p>
          <w:p w14:paraId="1ADCC402" w14:textId="77777777" w:rsidR="00EB7266" w:rsidRDefault="00EB7266" w:rsidP="00390E1E">
            <w:pPr>
              <w:autoSpaceDE w:val="0"/>
              <w:autoSpaceDN w:val="0"/>
              <w:adjustRightInd w:val="0"/>
              <w:rPr>
                <w:bCs/>
              </w:rPr>
            </w:pPr>
          </w:p>
          <w:p w14:paraId="476F20F9" w14:textId="62A017C4" w:rsidR="00390E1E" w:rsidRPr="00497624" w:rsidRDefault="00EB7266" w:rsidP="00390E1E">
            <w:pPr>
              <w:autoSpaceDE w:val="0"/>
              <w:autoSpaceDN w:val="0"/>
              <w:adjustRightInd w:val="0"/>
              <w:rPr>
                <w:bCs/>
              </w:rPr>
            </w:pPr>
            <w:r>
              <w:rPr>
                <w:bCs/>
              </w:rPr>
              <w:t xml:space="preserve">The Australian Government supports efforts to strengthen tourism opportunities on the Burrup Peninsula. </w:t>
            </w:r>
            <w:r w:rsidR="00390E1E">
              <w:rPr>
                <w:bCs/>
              </w:rPr>
              <w:t xml:space="preserve">   </w:t>
            </w:r>
          </w:p>
          <w:p w14:paraId="00795C8F" w14:textId="77777777" w:rsidR="00390E1E" w:rsidRDefault="00390E1E" w:rsidP="00390E1E">
            <w:pPr>
              <w:autoSpaceDE w:val="0"/>
              <w:autoSpaceDN w:val="0"/>
              <w:adjustRightInd w:val="0"/>
              <w:rPr>
                <w:bCs/>
              </w:rPr>
            </w:pPr>
          </w:p>
          <w:p w14:paraId="0D50CECC" w14:textId="77777777" w:rsidR="002A70AD" w:rsidRPr="00497624" w:rsidRDefault="002A70AD" w:rsidP="00390E1E">
            <w:pPr>
              <w:autoSpaceDE w:val="0"/>
              <w:autoSpaceDN w:val="0"/>
              <w:adjustRightInd w:val="0"/>
              <w:rPr>
                <w:bCs/>
              </w:rPr>
            </w:pPr>
          </w:p>
        </w:tc>
      </w:tr>
      <w:tr w:rsidR="00390E1E" w:rsidRPr="00497624" w14:paraId="22B9E324" w14:textId="77777777" w:rsidTr="002E52BF">
        <w:trPr>
          <w:cnfStyle w:val="000000100000" w:firstRow="0" w:lastRow="0" w:firstColumn="0" w:lastColumn="0" w:oddVBand="0" w:evenVBand="0" w:oddHBand="1" w:evenHBand="0" w:firstRowFirstColumn="0" w:firstRowLastColumn="0" w:lastRowFirstColumn="0" w:lastRowLastColumn="0"/>
        </w:trPr>
        <w:tc>
          <w:tcPr>
            <w:tcW w:w="2068" w:type="dxa"/>
          </w:tcPr>
          <w:p w14:paraId="07FC5136" w14:textId="50EBA558" w:rsidR="00BD32E8" w:rsidRPr="00C20E68" w:rsidRDefault="00BD32E8" w:rsidP="00390E1E">
            <w:pPr>
              <w:autoSpaceDE w:val="0"/>
              <w:autoSpaceDN w:val="0"/>
              <w:adjustRightInd w:val="0"/>
              <w:rPr>
                <w:bCs/>
              </w:rPr>
            </w:pPr>
            <w:r w:rsidRPr="00C20E68">
              <w:rPr>
                <w:bCs/>
              </w:rPr>
              <w:t xml:space="preserve">Labor </w:t>
            </w:r>
          </w:p>
          <w:p w14:paraId="36978A30" w14:textId="619B4952" w:rsidR="00390E1E" w:rsidRPr="00C20E68" w:rsidRDefault="00FF5E51" w:rsidP="00390E1E">
            <w:pPr>
              <w:autoSpaceDE w:val="0"/>
              <w:autoSpaceDN w:val="0"/>
              <w:adjustRightInd w:val="0"/>
              <w:rPr>
                <w:bCs/>
              </w:rPr>
            </w:pPr>
            <w:r w:rsidRPr="00C20E68">
              <w:rPr>
                <w:bCs/>
              </w:rPr>
              <w:t>Recommendation</w:t>
            </w:r>
            <w:r w:rsidR="002E52BF" w:rsidRPr="00C20E68">
              <w:rPr>
                <w:bCs/>
              </w:rPr>
              <w:t xml:space="preserve"> </w:t>
            </w:r>
            <w:r w:rsidR="00390E1E" w:rsidRPr="00C20E68">
              <w:rPr>
                <w:bCs/>
              </w:rPr>
              <w:t>5</w:t>
            </w:r>
          </w:p>
          <w:p w14:paraId="4EAB80CF" w14:textId="77777777" w:rsidR="008B7FDC" w:rsidRPr="00C20E68" w:rsidRDefault="008B7FDC" w:rsidP="008B7FDC">
            <w:pPr>
              <w:autoSpaceDE w:val="0"/>
              <w:autoSpaceDN w:val="0"/>
              <w:adjustRightInd w:val="0"/>
              <w:rPr>
                <w:bCs/>
              </w:rPr>
            </w:pPr>
            <w:r w:rsidRPr="00C20E68">
              <w:rPr>
                <w:bCs/>
              </w:rPr>
              <w:t xml:space="preserve">Paragraph 1.24 </w:t>
            </w:r>
          </w:p>
          <w:p w14:paraId="32D24FFD" w14:textId="27273E7D" w:rsidR="0035088D" w:rsidRPr="00C20E68" w:rsidRDefault="0035088D" w:rsidP="008B7FDC">
            <w:pPr>
              <w:autoSpaceDE w:val="0"/>
              <w:autoSpaceDN w:val="0"/>
              <w:adjustRightInd w:val="0"/>
              <w:rPr>
                <w:bCs/>
              </w:rPr>
            </w:pPr>
            <w:r w:rsidRPr="00C20E68">
              <w:rPr>
                <w:bCs/>
              </w:rPr>
              <w:t>Page 133</w:t>
            </w:r>
          </w:p>
        </w:tc>
        <w:tc>
          <w:tcPr>
            <w:tcW w:w="3102" w:type="dxa"/>
          </w:tcPr>
          <w:p w14:paraId="338131A2" w14:textId="77777777" w:rsidR="008B7FDC" w:rsidRDefault="00390E1E" w:rsidP="008B7FDC">
            <w:pPr>
              <w:autoSpaceDE w:val="0"/>
              <w:autoSpaceDN w:val="0"/>
              <w:adjustRightInd w:val="0"/>
              <w:rPr>
                <w:bCs/>
              </w:rPr>
            </w:pPr>
            <w:r w:rsidRPr="00497624">
              <w:rPr>
                <w:bCs/>
              </w:rPr>
              <w:t>Labor Senators commend the Murujuga Aboriginal Corporation, the Western Australian Government and the City of Karratha, for their collaborative efforts to improve tourism and road infrastructure at Murujuga. Labor Senators recommend that the Western Australian Government should make a significant contribution to the Living Knowledge Centre and road upgrade to Conzinc Bay as well as continue to improve support to the Murujuga Aboriginal Corporation for the ongoing development of tourism on the Burrup Peninsula.</w:t>
            </w:r>
            <w:r>
              <w:rPr>
                <w:bCs/>
              </w:rPr>
              <w:t xml:space="preserve"> </w:t>
            </w:r>
          </w:p>
          <w:p w14:paraId="1DE364C2" w14:textId="7E59EBBD" w:rsidR="00390E1E" w:rsidRPr="00497624" w:rsidRDefault="00390E1E" w:rsidP="008B7FDC">
            <w:pPr>
              <w:autoSpaceDE w:val="0"/>
              <w:autoSpaceDN w:val="0"/>
              <w:adjustRightInd w:val="0"/>
              <w:rPr>
                <w:bCs/>
              </w:rPr>
            </w:pPr>
          </w:p>
        </w:tc>
        <w:tc>
          <w:tcPr>
            <w:tcW w:w="4323" w:type="dxa"/>
            <w:vMerge/>
          </w:tcPr>
          <w:p w14:paraId="379D25A4" w14:textId="77777777" w:rsidR="00390E1E" w:rsidRPr="00497624" w:rsidRDefault="00390E1E" w:rsidP="00390E1E">
            <w:pPr>
              <w:autoSpaceDE w:val="0"/>
              <w:autoSpaceDN w:val="0"/>
              <w:adjustRightInd w:val="0"/>
              <w:rPr>
                <w:bCs/>
              </w:rPr>
            </w:pPr>
          </w:p>
        </w:tc>
      </w:tr>
      <w:tr w:rsidR="00390E1E" w:rsidRPr="00497624" w14:paraId="7F223CFE" w14:textId="77777777" w:rsidTr="003D7CC5">
        <w:trPr>
          <w:cnfStyle w:val="000000010000" w:firstRow="0" w:lastRow="0" w:firstColumn="0" w:lastColumn="0" w:oddVBand="0" w:evenVBand="0" w:oddHBand="0" w:evenHBand="1" w:firstRowFirstColumn="0" w:firstRowLastColumn="0" w:lastRowFirstColumn="0" w:lastRowLastColumn="0"/>
        </w:trPr>
        <w:tc>
          <w:tcPr>
            <w:tcW w:w="9493" w:type="dxa"/>
            <w:gridSpan w:val="3"/>
            <w:shd w:val="clear" w:color="auto" w:fill="BFBFBF" w:themeFill="background1" w:themeFillShade="BF"/>
          </w:tcPr>
          <w:p w14:paraId="504B9865" w14:textId="77777777" w:rsidR="00390E1E" w:rsidRPr="00497624" w:rsidRDefault="00390E1E" w:rsidP="00390E1E">
            <w:pPr>
              <w:autoSpaceDE w:val="0"/>
              <w:autoSpaceDN w:val="0"/>
              <w:adjustRightInd w:val="0"/>
              <w:rPr>
                <w:bCs/>
              </w:rPr>
            </w:pPr>
            <w:r w:rsidRPr="00497624">
              <w:rPr>
                <w:bCs/>
              </w:rPr>
              <w:t xml:space="preserve">Monitoring programs and Rock Art Strategy </w:t>
            </w:r>
          </w:p>
        </w:tc>
      </w:tr>
      <w:tr w:rsidR="00390E1E" w:rsidRPr="00497624" w14:paraId="30BC2F8A" w14:textId="77777777" w:rsidTr="002E52BF">
        <w:trPr>
          <w:cnfStyle w:val="000000100000" w:firstRow="0" w:lastRow="0" w:firstColumn="0" w:lastColumn="0" w:oddVBand="0" w:evenVBand="0" w:oddHBand="1" w:evenHBand="0" w:firstRowFirstColumn="0" w:firstRowLastColumn="0" w:lastRowFirstColumn="0" w:lastRowLastColumn="0"/>
        </w:trPr>
        <w:tc>
          <w:tcPr>
            <w:tcW w:w="2068" w:type="dxa"/>
          </w:tcPr>
          <w:p w14:paraId="347E9C46" w14:textId="4F4CEF0F" w:rsidR="00BD32E8" w:rsidRPr="00C20E68" w:rsidRDefault="00BD32E8" w:rsidP="008B7FDC">
            <w:pPr>
              <w:autoSpaceDE w:val="0"/>
              <w:autoSpaceDN w:val="0"/>
              <w:adjustRightInd w:val="0"/>
              <w:rPr>
                <w:bCs/>
              </w:rPr>
            </w:pPr>
            <w:r w:rsidRPr="00C20E68">
              <w:rPr>
                <w:bCs/>
              </w:rPr>
              <w:t>Greens</w:t>
            </w:r>
          </w:p>
          <w:p w14:paraId="06163261" w14:textId="1116EA51" w:rsidR="008B7FDC" w:rsidRPr="00C20E68" w:rsidRDefault="00FF5E51" w:rsidP="008B7FDC">
            <w:pPr>
              <w:autoSpaceDE w:val="0"/>
              <w:autoSpaceDN w:val="0"/>
              <w:adjustRightInd w:val="0"/>
              <w:rPr>
                <w:bCs/>
              </w:rPr>
            </w:pPr>
            <w:r w:rsidRPr="00C20E68">
              <w:rPr>
                <w:bCs/>
              </w:rPr>
              <w:t xml:space="preserve">Recommendation </w:t>
            </w:r>
            <w:r w:rsidR="00390E1E" w:rsidRPr="00C20E68">
              <w:rPr>
                <w:bCs/>
              </w:rPr>
              <w:t>10</w:t>
            </w:r>
          </w:p>
          <w:p w14:paraId="453EB0F1" w14:textId="77777777" w:rsidR="008B7FDC" w:rsidRPr="00C20E68" w:rsidRDefault="008B7FDC" w:rsidP="008B7FDC">
            <w:pPr>
              <w:autoSpaceDE w:val="0"/>
              <w:autoSpaceDN w:val="0"/>
              <w:adjustRightInd w:val="0"/>
              <w:rPr>
                <w:bCs/>
              </w:rPr>
            </w:pPr>
            <w:r w:rsidRPr="00C20E68">
              <w:rPr>
                <w:bCs/>
              </w:rPr>
              <w:t>Paragraph 1.54</w:t>
            </w:r>
          </w:p>
          <w:p w14:paraId="5F8AE876" w14:textId="3727D3F5" w:rsidR="00390E1E" w:rsidRPr="00C20E68" w:rsidRDefault="008B7FDC" w:rsidP="008B7FDC">
            <w:pPr>
              <w:autoSpaceDE w:val="0"/>
              <w:autoSpaceDN w:val="0"/>
              <w:adjustRightInd w:val="0"/>
              <w:rPr>
                <w:bCs/>
              </w:rPr>
            </w:pPr>
            <w:r w:rsidRPr="00C20E68">
              <w:rPr>
                <w:bCs/>
              </w:rPr>
              <w:t xml:space="preserve">Page 108 </w:t>
            </w:r>
          </w:p>
        </w:tc>
        <w:tc>
          <w:tcPr>
            <w:tcW w:w="3102" w:type="dxa"/>
          </w:tcPr>
          <w:p w14:paraId="6F04F15F" w14:textId="6AC30400" w:rsidR="00390E1E" w:rsidRPr="00497624" w:rsidRDefault="00390E1E" w:rsidP="00390E1E">
            <w:pPr>
              <w:autoSpaceDE w:val="0"/>
              <w:autoSpaceDN w:val="0"/>
              <w:adjustRightInd w:val="0"/>
              <w:rPr>
                <w:bCs/>
              </w:rPr>
            </w:pPr>
            <w:r w:rsidRPr="00497624">
              <w:rPr>
                <w:bCs/>
              </w:rPr>
              <w:t xml:space="preserve">Australian Greens Senators recommend that the incorrect use of the Cinderby et al report in the Gillett 2008 air pollution study, and the impact that this flawed report has had on the establishment of approval conditions be noted; and recommend that CSIRO acknowledge that it </w:t>
            </w:r>
            <w:r w:rsidRPr="00497624">
              <w:rPr>
                <w:bCs/>
              </w:rPr>
              <w:lastRenderedPageBreak/>
              <w:t xml:space="preserve">has produced fundamentally flawed assessments. </w:t>
            </w:r>
          </w:p>
        </w:tc>
        <w:tc>
          <w:tcPr>
            <w:tcW w:w="4323" w:type="dxa"/>
          </w:tcPr>
          <w:p w14:paraId="52DEAC2F" w14:textId="2EDB0107" w:rsidR="00390E1E" w:rsidRDefault="00937008" w:rsidP="00390E1E">
            <w:pPr>
              <w:autoSpaceDE w:val="0"/>
              <w:autoSpaceDN w:val="0"/>
              <w:adjustRightInd w:val="0"/>
              <w:rPr>
                <w:b/>
                <w:bCs/>
              </w:rPr>
            </w:pPr>
            <w:r w:rsidRPr="00937008">
              <w:rPr>
                <w:b/>
                <w:bCs/>
              </w:rPr>
              <w:lastRenderedPageBreak/>
              <w:t xml:space="preserve">Not Agreed </w:t>
            </w:r>
          </w:p>
          <w:p w14:paraId="7091A8CD" w14:textId="370D9947" w:rsidR="00937008" w:rsidRDefault="00937008" w:rsidP="00937008">
            <w:pPr>
              <w:autoSpaceDE w:val="0"/>
              <w:autoSpaceDN w:val="0"/>
              <w:adjustRightInd w:val="0"/>
              <w:rPr>
                <w:rFonts w:cs="Arial"/>
                <w:bCs/>
                <w:szCs w:val="26"/>
              </w:rPr>
            </w:pPr>
            <w:r>
              <w:rPr>
                <w:rFonts w:cs="Arial"/>
                <w:bCs/>
                <w:szCs w:val="26"/>
              </w:rPr>
              <w:t xml:space="preserve">CSIRO does </w:t>
            </w:r>
            <w:r w:rsidRPr="009F0A3C">
              <w:rPr>
                <w:rFonts w:cs="Arial"/>
                <w:bCs/>
                <w:szCs w:val="26"/>
              </w:rPr>
              <w:t xml:space="preserve">not </w:t>
            </w:r>
            <w:r>
              <w:rPr>
                <w:rFonts w:cs="Arial"/>
                <w:bCs/>
                <w:szCs w:val="26"/>
              </w:rPr>
              <w:t>agree with the view that the Gillett 2008 Report has been demonstrated to have flawed content</w:t>
            </w:r>
            <w:r w:rsidR="001363D8">
              <w:rPr>
                <w:rFonts w:cs="Arial"/>
                <w:bCs/>
                <w:szCs w:val="26"/>
              </w:rPr>
              <w:t>.</w:t>
            </w:r>
            <w:r>
              <w:rPr>
                <w:rFonts w:cs="Arial"/>
                <w:bCs/>
                <w:szCs w:val="26"/>
              </w:rPr>
              <w:t xml:space="preserve">  CSIRO notes that the establishment of regulatory approval conditions is not a role for which CSIRO has responsibility.</w:t>
            </w:r>
          </w:p>
          <w:p w14:paraId="43806C01" w14:textId="7FA1545B" w:rsidR="00390E1E" w:rsidRPr="00164327" w:rsidRDefault="00BC133F" w:rsidP="0047052B">
            <w:pPr>
              <w:autoSpaceDE w:val="0"/>
              <w:autoSpaceDN w:val="0"/>
              <w:adjustRightInd w:val="0"/>
              <w:rPr>
                <w:b/>
                <w:bCs/>
              </w:rPr>
            </w:pPr>
            <w:r>
              <w:rPr>
                <w:rFonts w:cs="Arial"/>
                <w:bCs/>
                <w:szCs w:val="26"/>
              </w:rPr>
              <w:t xml:space="preserve">The Australian Government will consider, as appropriate, the Cinderby </w:t>
            </w:r>
            <w:r>
              <w:rPr>
                <w:rFonts w:cs="Arial"/>
                <w:bCs/>
                <w:i/>
                <w:szCs w:val="26"/>
              </w:rPr>
              <w:t>et al</w:t>
            </w:r>
            <w:r>
              <w:rPr>
                <w:rFonts w:cs="Arial"/>
                <w:bCs/>
                <w:szCs w:val="26"/>
              </w:rPr>
              <w:t xml:space="preserve"> report and liaise with the CSIRO on </w:t>
            </w:r>
            <w:r>
              <w:rPr>
                <w:rFonts w:cs="Arial"/>
                <w:bCs/>
                <w:szCs w:val="26"/>
              </w:rPr>
              <w:lastRenderedPageBreak/>
              <w:t>implications, if any, for air pollution controls in respect to the TAN plant.</w:t>
            </w:r>
          </w:p>
        </w:tc>
      </w:tr>
      <w:tr w:rsidR="00390E1E" w:rsidRPr="00497624" w14:paraId="0BF8CD4C"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557BE073" w14:textId="1ACBB466" w:rsidR="00BD32E8" w:rsidRPr="00C20E68" w:rsidRDefault="00BD32E8" w:rsidP="00390E1E">
            <w:pPr>
              <w:autoSpaceDE w:val="0"/>
              <w:autoSpaceDN w:val="0"/>
              <w:adjustRightInd w:val="0"/>
              <w:rPr>
                <w:bCs/>
              </w:rPr>
            </w:pPr>
            <w:r w:rsidRPr="00C20E68">
              <w:rPr>
                <w:bCs/>
              </w:rPr>
              <w:lastRenderedPageBreak/>
              <w:t>Green</w:t>
            </w:r>
          </w:p>
          <w:p w14:paraId="24627B5E" w14:textId="2E936937" w:rsidR="00390E1E" w:rsidRPr="00C20E68" w:rsidRDefault="00FF5E51" w:rsidP="00390E1E">
            <w:pPr>
              <w:autoSpaceDE w:val="0"/>
              <w:autoSpaceDN w:val="0"/>
              <w:adjustRightInd w:val="0"/>
              <w:rPr>
                <w:bCs/>
              </w:rPr>
            </w:pPr>
            <w:r w:rsidRPr="00C20E68">
              <w:rPr>
                <w:bCs/>
              </w:rPr>
              <w:t xml:space="preserve">Recommendation </w:t>
            </w:r>
            <w:r w:rsidR="00390E1E" w:rsidRPr="00C20E68">
              <w:rPr>
                <w:bCs/>
              </w:rPr>
              <w:t>11</w:t>
            </w:r>
          </w:p>
          <w:p w14:paraId="6A5F5D0C" w14:textId="77777777" w:rsidR="008B7FDC" w:rsidRPr="00C20E68" w:rsidRDefault="008B7FDC" w:rsidP="008B7FDC">
            <w:pPr>
              <w:autoSpaceDE w:val="0"/>
              <w:autoSpaceDN w:val="0"/>
              <w:adjustRightInd w:val="0"/>
              <w:rPr>
                <w:bCs/>
              </w:rPr>
            </w:pPr>
            <w:r w:rsidRPr="00C20E68">
              <w:rPr>
                <w:bCs/>
              </w:rPr>
              <w:t>Paragraph 1.55</w:t>
            </w:r>
          </w:p>
          <w:p w14:paraId="3E789E6B" w14:textId="70455323" w:rsidR="008B7FDC" w:rsidRPr="00C20E68" w:rsidRDefault="008B7FDC" w:rsidP="008B7FDC">
            <w:pPr>
              <w:autoSpaceDE w:val="0"/>
              <w:autoSpaceDN w:val="0"/>
              <w:adjustRightInd w:val="0"/>
              <w:rPr>
                <w:bCs/>
              </w:rPr>
            </w:pPr>
            <w:r w:rsidRPr="00C20E68">
              <w:rPr>
                <w:bCs/>
              </w:rPr>
              <w:t xml:space="preserve">Page 108 </w:t>
            </w:r>
          </w:p>
        </w:tc>
        <w:tc>
          <w:tcPr>
            <w:tcW w:w="3102" w:type="dxa"/>
          </w:tcPr>
          <w:p w14:paraId="34624E2E" w14:textId="19AD31F6" w:rsidR="00390E1E" w:rsidRPr="00497624" w:rsidRDefault="00390E1E" w:rsidP="00390E1E">
            <w:pPr>
              <w:autoSpaceDE w:val="0"/>
              <w:autoSpaceDN w:val="0"/>
              <w:adjustRightInd w:val="0"/>
              <w:rPr>
                <w:bCs/>
              </w:rPr>
            </w:pPr>
            <w:r w:rsidRPr="00497624">
              <w:rPr>
                <w:bCs/>
              </w:rPr>
              <w:t xml:space="preserve">Australian Greens Senators recommend that the Western Australian Government prioritise the development and implementation of a new, fully funded independent monitoring program that meets all of the recommendations of the Data Analysis Australia reviews. </w:t>
            </w:r>
          </w:p>
        </w:tc>
        <w:tc>
          <w:tcPr>
            <w:tcW w:w="4323" w:type="dxa"/>
            <w:vMerge w:val="restart"/>
          </w:tcPr>
          <w:p w14:paraId="37B00639" w14:textId="77777777" w:rsidR="00BC133F" w:rsidRPr="009B7079" w:rsidRDefault="00BC133F" w:rsidP="00390E1E">
            <w:pPr>
              <w:autoSpaceDE w:val="0"/>
              <w:autoSpaceDN w:val="0"/>
              <w:adjustRightInd w:val="0"/>
              <w:rPr>
                <w:b/>
                <w:bCs/>
              </w:rPr>
            </w:pPr>
            <w:r w:rsidRPr="009B7079">
              <w:rPr>
                <w:b/>
                <w:bCs/>
              </w:rPr>
              <w:t>Noted</w:t>
            </w:r>
          </w:p>
          <w:p w14:paraId="5975EF01" w14:textId="77777777" w:rsidR="00EB7266" w:rsidRDefault="00390E1E" w:rsidP="00390E1E">
            <w:pPr>
              <w:autoSpaceDE w:val="0"/>
              <w:autoSpaceDN w:val="0"/>
              <w:adjustRightInd w:val="0"/>
              <w:rPr>
                <w:bCs/>
              </w:rPr>
            </w:pPr>
            <w:r>
              <w:rPr>
                <w:bCs/>
              </w:rPr>
              <w:t>These recommendations fall wholly within the responsibilities of the Western Australian Government</w:t>
            </w:r>
            <w:r w:rsidR="00EB7266">
              <w:rPr>
                <w:bCs/>
              </w:rPr>
              <w:t>.</w:t>
            </w:r>
          </w:p>
          <w:p w14:paraId="7CD0A3F2" w14:textId="77777777" w:rsidR="00EB7266" w:rsidRDefault="00EB7266" w:rsidP="00390E1E">
            <w:pPr>
              <w:autoSpaceDE w:val="0"/>
              <w:autoSpaceDN w:val="0"/>
              <w:adjustRightInd w:val="0"/>
              <w:rPr>
                <w:bCs/>
              </w:rPr>
            </w:pPr>
          </w:p>
          <w:p w14:paraId="509C01AB" w14:textId="3DAB8A3A" w:rsidR="00390E1E" w:rsidRPr="00497624" w:rsidRDefault="00EB7266" w:rsidP="00390E1E">
            <w:pPr>
              <w:autoSpaceDE w:val="0"/>
              <w:autoSpaceDN w:val="0"/>
              <w:adjustRightInd w:val="0"/>
              <w:rPr>
                <w:bCs/>
              </w:rPr>
            </w:pPr>
            <w:r>
              <w:rPr>
                <w:bCs/>
              </w:rPr>
              <w:t>The Australian Government can lend support to the proposal outlined in these recommendations.</w:t>
            </w:r>
            <w:r w:rsidR="00390E1E">
              <w:rPr>
                <w:bCs/>
              </w:rPr>
              <w:t xml:space="preserve">   </w:t>
            </w:r>
          </w:p>
        </w:tc>
      </w:tr>
      <w:tr w:rsidR="00390E1E" w:rsidRPr="00497624" w14:paraId="17AC40F0" w14:textId="77777777" w:rsidTr="002E52BF">
        <w:trPr>
          <w:cnfStyle w:val="000000100000" w:firstRow="0" w:lastRow="0" w:firstColumn="0" w:lastColumn="0" w:oddVBand="0" w:evenVBand="0" w:oddHBand="1" w:evenHBand="0" w:firstRowFirstColumn="0" w:firstRowLastColumn="0" w:lastRowFirstColumn="0" w:lastRowLastColumn="0"/>
        </w:trPr>
        <w:tc>
          <w:tcPr>
            <w:tcW w:w="2068" w:type="dxa"/>
          </w:tcPr>
          <w:p w14:paraId="3F1157D7" w14:textId="76EB9D1C" w:rsidR="00BD32E8" w:rsidRPr="00C20E68" w:rsidRDefault="00BD32E8" w:rsidP="00390E1E">
            <w:pPr>
              <w:autoSpaceDE w:val="0"/>
              <w:autoSpaceDN w:val="0"/>
              <w:adjustRightInd w:val="0"/>
              <w:rPr>
                <w:bCs/>
              </w:rPr>
            </w:pPr>
            <w:r w:rsidRPr="00C20E68">
              <w:rPr>
                <w:bCs/>
              </w:rPr>
              <w:t>Labor</w:t>
            </w:r>
          </w:p>
          <w:p w14:paraId="3A5747D0" w14:textId="643D9F42" w:rsidR="00390E1E" w:rsidRPr="00C20E68" w:rsidRDefault="00FF5E51" w:rsidP="00390E1E">
            <w:pPr>
              <w:autoSpaceDE w:val="0"/>
              <w:autoSpaceDN w:val="0"/>
              <w:adjustRightInd w:val="0"/>
              <w:rPr>
                <w:bCs/>
              </w:rPr>
            </w:pPr>
            <w:r w:rsidRPr="00C20E68">
              <w:rPr>
                <w:bCs/>
              </w:rPr>
              <w:t xml:space="preserve">Recommendation </w:t>
            </w:r>
            <w:r w:rsidR="00390E1E" w:rsidRPr="00C20E68">
              <w:rPr>
                <w:bCs/>
              </w:rPr>
              <w:t>6</w:t>
            </w:r>
          </w:p>
          <w:p w14:paraId="4C400034" w14:textId="77777777" w:rsidR="0035088D" w:rsidRPr="00C20E68" w:rsidRDefault="0035088D" w:rsidP="0035088D">
            <w:pPr>
              <w:autoSpaceDE w:val="0"/>
              <w:autoSpaceDN w:val="0"/>
              <w:adjustRightInd w:val="0"/>
              <w:rPr>
                <w:bCs/>
              </w:rPr>
            </w:pPr>
            <w:r w:rsidRPr="00C20E68">
              <w:rPr>
                <w:bCs/>
              </w:rPr>
              <w:t xml:space="preserve">Paragraph 1.36 </w:t>
            </w:r>
          </w:p>
          <w:p w14:paraId="62E89DB8" w14:textId="38A988C1" w:rsidR="0035088D" w:rsidRPr="00C20E68" w:rsidRDefault="0035088D" w:rsidP="0035088D">
            <w:pPr>
              <w:autoSpaceDE w:val="0"/>
              <w:autoSpaceDN w:val="0"/>
              <w:adjustRightInd w:val="0"/>
              <w:rPr>
                <w:bCs/>
              </w:rPr>
            </w:pPr>
            <w:r w:rsidRPr="00C20E68">
              <w:rPr>
                <w:bCs/>
              </w:rPr>
              <w:t>Page 135</w:t>
            </w:r>
          </w:p>
        </w:tc>
        <w:tc>
          <w:tcPr>
            <w:tcW w:w="3102" w:type="dxa"/>
          </w:tcPr>
          <w:p w14:paraId="10F79621" w14:textId="2794FF27" w:rsidR="00390E1E" w:rsidRPr="00497624" w:rsidRDefault="00390E1E" w:rsidP="00390E1E">
            <w:pPr>
              <w:autoSpaceDE w:val="0"/>
              <w:autoSpaceDN w:val="0"/>
              <w:adjustRightInd w:val="0"/>
              <w:rPr>
                <w:bCs/>
              </w:rPr>
            </w:pPr>
            <w:r w:rsidRPr="00497624">
              <w:rPr>
                <w:bCs/>
              </w:rPr>
              <w:t xml:space="preserve">Labor Senators recommend the Western Australian Government prioritise the development and implementation of a new, fully funded independent monitoring program. </w:t>
            </w:r>
          </w:p>
        </w:tc>
        <w:tc>
          <w:tcPr>
            <w:tcW w:w="4323" w:type="dxa"/>
            <w:vMerge/>
          </w:tcPr>
          <w:p w14:paraId="05473440" w14:textId="77777777" w:rsidR="00390E1E" w:rsidRPr="00497624" w:rsidRDefault="00390E1E" w:rsidP="00390E1E">
            <w:pPr>
              <w:autoSpaceDE w:val="0"/>
              <w:autoSpaceDN w:val="0"/>
              <w:adjustRightInd w:val="0"/>
              <w:rPr>
                <w:bCs/>
              </w:rPr>
            </w:pPr>
          </w:p>
        </w:tc>
      </w:tr>
      <w:tr w:rsidR="00390E1E" w:rsidRPr="00497624" w14:paraId="7A10AD05"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449C57A4" w14:textId="29078457" w:rsidR="00BD32E8" w:rsidRPr="00C20E68" w:rsidRDefault="00BD32E8" w:rsidP="00390E1E">
            <w:pPr>
              <w:autoSpaceDE w:val="0"/>
              <w:autoSpaceDN w:val="0"/>
              <w:adjustRightInd w:val="0"/>
              <w:rPr>
                <w:bCs/>
              </w:rPr>
            </w:pPr>
            <w:r w:rsidRPr="00C20E68">
              <w:rPr>
                <w:bCs/>
              </w:rPr>
              <w:t>Greens</w:t>
            </w:r>
          </w:p>
          <w:p w14:paraId="221535E6" w14:textId="2B1BC76E" w:rsidR="00390E1E" w:rsidRPr="00C20E68" w:rsidRDefault="00FF5E51" w:rsidP="00390E1E">
            <w:pPr>
              <w:autoSpaceDE w:val="0"/>
              <w:autoSpaceDN w:val="0"/>
              <w:adjustRightInd w:val="0"/>
              <w:rPr>
                <w:bCs/>
              </w:rPr>
            </w:pPr>
            <w:r w:rsidRPr="00C20E68">
              <w:rPr>
                <w:bCs/>
              </w:rPr>
              <w:t xml:space="preserve">Recommendation </w:t>
            </w:r>
            <w:r w:rsidR="00390E1E" w:rsidRPr="00C20E68">
              <w:rPr>
                <w:bCs/>
              </w:rPr>
              <w:t>12</w:t>
            </w:r>
          </w:p>
          <w:p w14:paraId="0F5C9793" w14:textId="77777777" w:rsidR="008B7FDC" w:rsidRPr="00C20E68" w:rsidRDefault="008B7FDC" w:rsidP="008B7FDC">
            <w:pPr>
              <w:autoSpaceDE w:val="0"/>
              <w:autoSpaceDN w:val="0"/>
              <w:adjustRightInd w:val="0"/>
              <w:rPr>
                <w:bCs/>
              </w:rPr>
            </w:pPr>
            <w:r w:rsidRPr="00C20E68">
              <w:rPr>
                <w:bCs/>
              </w:rPr>
              <w:t>Paragraph 1.56</w:t>
            </w:r>
          </w:p>
          <w:p w14:paraId="4643E7D1" w14:textId="30F7BD09" w:rsidR="008B7FDC" w:rsidRPr="00C20E68" w:rsidRDefault="008B7FDC" w:rsidP="008B7FDC">
            <w:pPr>
              <w:autoSpaceDE w:val="0"/>
              <w:autoSpaceDN w:val="0"/>
              <w:adjustRightInd w:val="0"/>
              <w:rPr>
                <w:bCs/>
              </w:rPr>
            </w:pPr>
            <w:r w:rsidRPr="00C20E68">
              <w:rPr>
                <w:bCs/>
              </w:rPr>
              <w:t xml:space="preserve">Page 109  </w:t>
            </w:r>
          </w:p>
        </w:tc>
        <w:tc>
          <w:tcPr>
            <w:tcW w:w="3102" w:type="dxa"/>
          </w:tcPr>
          <w:p w14:paraId="36211258" w14:textId="1E7BF030" w:rsidR="00390E1E" w:rsidRPr="00497624" w:rsidRDefault="00390E1E" w:rsidP="00390E1E">
            <w:pPr>
              <w:autoSpaceDE w:val="0"/>
              <w:autoSpaceDN w:val="0"/>
              <w:adjustRightInd w:val="0"/>
              <w:rPr>
                <w:bCs/>
              </w:rPr>
            </w:pPr>
            <w:r w:rsidRPr="00497624">
              <w:rPr>
                <w:bCs/>
              </w:rPr>
              <w:t>Australian Greens Senators recommend that the proposals for further monitoring included in the Draft Burrup Rock Art Strategy be implemented as soon as possible.</w:t>
            </w:r>
          </w:p>
          <w:p w14:paraId="2DC99682" w14:textId="77777777" w:rsidR="00390E1E" w:rsidRPr="00497624" w:rsidRDefault="00390E1E" w:rsidP="00390E1E">
            <w:pPr>
              <w:autoSpaceDE w:val="0"/>
              <w:autoSpaceDN w:val="0"/>
              <w:adjustRightInd w:val="0"/>
              <w:rPr>
                <w:bCs/>
              </w:rPr>
            </w:pPr>
          </w:p>
        </w:tc>
        <w:tc>
          <w:tcPr>
            <w:tcW w:w="4323" w:type="dxa"/>
            <w:vMerge w:val="restart"/>
          </w:tcPr>
          <w:p w14:paraId="4AFA5010" w14:textId="77777777" w:rsidR="00BC133F" w:rsidRPr="009B7079" w:rsidRDefault="00BC133F" w:rsidP="00390E1E">
            <w:pPr>
              <w:autoSpaceDE w:val="0"/>
              <w:autoSpaceDN w:val="0"/>
              <w:adjustRightInd w:val="0"/>
              <w:rPr>
                <w:b/>
                <w:bCs/>
              </w:rPr>
            </w:pPr>
            <w:r w:rsidRPr="009B7079">
              <w:rPr>
                <w:b/>
                <w:bCs/>
              </w:rPr>
              <w:t>Noted</w:t>
            </w:r>
          </w:p>
          <w:p w14:paraId="7F003E2B" w14:textId="77777777" w:rsidR="00EB7266" w:rsidRDefault="00390E1E" w:rsidP="00390E1E">
            <w:pPr>
              <w:autoSpaceDE w:val="0"/>
              <w:autoSpaceDN w:val="0"/>
              <w:adjustRightInd w:val="0"/>
              <w:rPr>
                <w:bCs/>
              </w:rPr>
            </w:pPr>
            <w:r>
              <w:rPr>
                <w:bCs/>
              </w:rPr>
              <w:t>These recommendations fall wholly within the responsibilities of the Western Australian Government</w:t>
            </w:r>
            <w:r w:rsidR="00EB7266">
              <w:rPr>
                <w:bCs/>
              </w:rPr>
              <w:t>.</w:t>
            </w:r>
          </w:p>
          <w:p w14:paraId="7AA5DD75" w14:textId="77777777" w:rsidR="00EB7266" w:rsidRDefault="00EB7266" w:rsidP="00390E1E">
            <w:pPr>
              <w:autoSpaceDE w:val="0"/>
              <w:autoSpaceDN w:val="0"/>
              <w:adjustRightInd w:val="0"/>
              <w:rPr>
                <w:bCs/>
              </w:rPr>
            </w:pPr>
          </w:p>
          <w:p w14:paraId="0B551041" w14:textId="07B490B3" w:rsidR="0022337E" w:rsidRDefault="0022337E" w:rsidP="0022337E">
            <w:pPr>
              <w:autoSpaceDE w:val="0"/>
              <w:autoSpaceDN w:val="0"/>
              <w:adjustRightInd w:val="0"/>
              <w:rPr>
                <w:bCs/>
              </w:rPr>
            </w:pPr>
            <w:r>
              <w:rPr>
                <w:bCs/>
              </w:rPr>
              <w:t>The Australian Government agrees with</w:t>
            </w:r>
            <w:r w:rsidR="00C72722">
              <w:rPr>
                <w:bCs/>
              </w:rPr>
              <w:t xml:space="preserve"> the intent of</w:t>
            </w:r>
            <w:r>
              <w:rPr>
                <w:bCs/>
              </w:rPr>
              <w:t xml:space="preserve"> these recommendations. </w:t>
            </w:r>
          </w:p>
          <w:p w14:paraId="7D993845" w14:textId="66EC1E58" w:rsidR="00390E1E" w:rsidRPr="00497624" w:rsidRDefault="00390E1E" w:rsidP="00EB7266">
            <w:pPr>
              <w:autoSpaceDE w:val="0"/>
              <w:autoSpaceDN w:val="0"/>
              <w:adjustRightInd w:val="0"/>
              <w:rPr>
                <w:bCs/>
              </w:rPr>
            </w:pPr>
          </w:p>
        </w:tc>
      </w:tr>
      <w:tr w:rsidR="00390E1E" w:rsidRPr="00497624" w14:paraId="2C5485ED" w14:textId="77777777" w:rsidTr="002E52BF">
        <w:trPr>
          <w:cnfStyle w:val="000000100000" w:firstRow="0" w:lastRow="0" w:firstColumn="0" w:lastColumn="0" w:oddVBand="0" w:evenVBand="0" w:oddHBand="1" w:evenHBand="0" w:firstRowFirstColumn="0" w:firstRowLastColumn="0" w:lastRowFirstColumn="0" w:lastRowLastColumn="0"/>
        </w:trPr>
        <w:tc>
          <w:tcPr>
            <w:tcW w:w="2068" w:type="dxa"/>
          </w:tcPr>
          <w:p w14:paraId="206CBCB3" w14:textId="7FDE5A5D" w:rsidR="00BD32E8" w:rsidRPr="00C20E68" w:rsidRDefault="00BD32E8" w:rsidP="00390E1E">
            <w:pPr>
              <w:autoSpaceDE w:val="0"/>
              <w:autoSpaceDN w:val="0"/>
              <w:adjustRightInd w:val="0"/>
              <w:rPr>
                <w:bCs/>
              </w:rPr>
            </w:pPr>
            <w:r w:rsidRPr="00C20E68">
              <w:rPr>
                <w:bCs/>
              </w:rPr>
              <w:t>Labor</w:t>
            </w:r>
          </w:p>
          <w:p w14:paraId="7A485DDD" w14:textId="1E074C59" w:rsidR="00390E1E" w:rsidRPr="00C20E68" w:rsidRDefault="00FF5E51" w:rsidP="00390E1E">
            <w:pPr>
              <w:autoSpaceDE w:val="0"/>
              <w:autoSpaceDN w:val="0"/>
              <w:adjustRightInd w:val="0"/>
              <w:rPr>
                <w:bCs/>
              </w:rPr>
            </w:pPr>
            <w:r w:rsidRPr="00C20E68">
              <w:rPr>
                <w:bCs/>
              </w:rPr>
              <w:t xml:space="preserve">Recommendation </w:t>
            </w:r>
            <w:r w:rsidR="00390E1E" w:rsidRPr="00C20E68">
              <w:rPr>
                <w:bCs/>
              </w:rPr>
              <w:t>7</w:t>
            </w:r>
          </w:p>
          <w:p w14:paraId="6A17B17E" w14:textId="77777777" w:rsidR="002E52BF" w:rsidRPr="00C20E68" w:rsidRDefault="002E52BF" w:rsidP="00390E1E">
            <w:pPr>
              <w:autoSpaceDE w:val="0"/>
              <w:autoSpaceDN w:val="0"/>
              <w:adjustRightInd w:val="0"/>
              <w:rPr>
                <w:bCs/>
              </w:rPr>
            </w:pPr>
            <w:r w:rsidRPr="00C20E68">
              <w:rPr>
                <w:bCs/>
              </w:rPr>
              <w:t xml:space="preserve">Paragraph 1.37 </w:t>
            </w:r>
          </w:p>
          <w:p w14:paraId="6CCA7FB1" w14:textId="450E88FB" w:rsidR="002E52BF" w:rsidRPr="00497624" w:rsidRDefault="002E52BF" w:rsidP="00390E1E">
            <w:pPr>
              <w:autoSpaceDE w:val="0"/>
              <w:autoSpaceDN w:val="0"/>
              <w:adjustRightInd w:val="0"/>
              <w:rPr>
                <w:bCs/>
              </w:rPr>
            </w:pPr>
            <w:r w:rsidRPr="00C20E68">
              <w:rPr>
                <w:bCs/>
              </w:rPr>
              <w:t>Page 135</w:t>
            </w:r>
          </w:p>
        </w:tc>
        <w:tc>
          <w:tcPr>
            <w:tcW w:w="3102" w:type="dxa"/>
          </w:tcPr>
          <w:p w14:paraId="2F919247" w14:textId="6F82BDB2" w:rsidR="00390E1E" w:rsidRPr="00497624" w:rsidRDefault="00390E1E" w:rsidP="00390E1E">
            <w:pPr>
              <w:autoSpaceDE w:val="0"/>
              <w:autoSpaceDN w:val="0"/>
              <w:adjustRightInd w:val="0"/>
              <w:rPr>
                <w:bCs/>
              </w:rPr>
            </w:pPr>
            <w:r w:rsidRPr="00497624">
              <w:rPr>
                <w:bCs/>
              </w:rPr>
              <w:t xml:space="preserve">Labor Senators recommend that the Western Australian Government implement, as soon as possible, proposals for further monitoring included in the Draft Burrup Rock Art Strategy. </w:t>
            </w:r>
          </w:p>
        </w:tc>
        <w:tc>
          <w:tcPr>
            <w:tcW w:w="4323" w:type="dxa"/>
            <w:vMerge/>
          </w:tcPr>
          <w:p w14:paraId="7EA573B3" w14:textId="77777777" w:rsidR="00390E1E" w:rsidRPr="00497624" w:rsidRDefault="00390E1E" w:rsidP="00390E1E">
            <w:pPr>
              <w:autoSpaceDE w:val="0"/>
              <w:autoSpaceDN w:val="0"/>
              <w:adjustRightInd w:val="0"/>
              <w:rPr>
                <w:bCs/>
              </w:rPr>
            </w:pPr>
          </w:p>
        </w:tc>
      </w:tr>
      <w:tr w:rsidR="00390E1E" w:rsidRPr="00497624" w14:paraId="091C36A7" w14:textId="77777777" w:rsidTr="003D7CC5">
        <w:trPr>
          <w:cnfStyle w:val="000000010000" w:firstRow="0" w:lastRow="0" w:firstColumn="0" w:lastColumn="0" w:oddVBand="0" w:evenVBand="0" w:oddHBand="0" w:evenHBand="1" w:firstRowFirstColumn="0" w:firstRowLastColumn="0" w:lastRowFirstColumn="0" w:lastRowLastColumn="0"/>
        </w:trPr>
        <w:tc>
          <w:tcPr>
            <w:tcW w:w="9493" w:type="dxa"/>
            <w:gridSpan w:val="3"/>
            <w:shd w:val="clear" w:color="auto" w:fill="BFBFBF" w:themeFill="background1" w:themeFillShade="BF"/>
          </w:tcPr>
          <w:p w14:paraId="2A8D4852" w14:textId="77777777" w:rsidR="00390E1E" w:rsidRPr="00497624" w:rsidRDefault="00390E1E" w:rsidP="00390E1E">
            <w:pPr>
              <w:autoSpaceDE w:val="0"/>
              <w:autoSpaceDN w:val="0"/>
              <w:adjustRightInd w:val="0"/>
              <w:rPr>
                <w:bCs/>
              </w:rPr>
            </w:pPr>
            <w:r w:rsidRPr="00497624">
              <w:rPr>
                <w:bCs/>
              </w:rPr>
              <w:t xml:space="preserve">Yara Pilbara TANPF approval </w:t>
            </w:r>
          </w:p>
        </w:tc>
      </w:tr>
      <w:tr w:rsidR="00390E1E" w:rsidRPr="00497624" w14:paraId="2D03D54A" w14:textId="77777777" w:rsidTr="002E52BF">
        <w:trPr>
          <w:cnfStyle w:val="000000100000" w:firstRow="0" w:lastRow="0" w:firstColumn="0" w:lastColumn="0" w:oddVBand="0" w:evenVBand="0" w:oddHBand="1" w:evenHBand="0" w:firstRowFirstColumn="0" w:firstRowLastColumn="0" w:lastRowFirstColumn="0" w:lastRowLastColumn="0"/>
        </w:trPr>
        <w:tc>
          <w:tcPr>
            <w:tcW w:w="2068" w:type="dxa"/>
          </w:tcPr>
          <w:p w14:paraId="0F7DA611" w14:textId="0FCC3A77" w:rsidR="00BD32E8" w:rsidRPr="00C20E68" w:rsidRDefault="00BD32E8" w:rsidP="008B7FDC">
            <w:pPr>
              <w:autoSpaceDE w:val="0"/>
              <w:autoSpaceDN w:val="0"/>
              <w:adjustRightInd w:val="0"/>
              <w:rPr>
                <w:bCs/>
              </w:rPr>
            </w:pPr>
            <w:r w:rsidRPr="00C20E68">
              <w:rPr>
                <w:bCs/>
              </w:rPr>
              <w:t>Greens</w:t>
            </w:r>
          </w:p>
          <w:p w14:paraId="4437A65F" w14:textId="77777777" w:rsidR="008B7FDC" w:rsidRPr="00C20E68" w:rsidRDefault="00FF5E51" w:rsidP="008B7FDC">
            <w:pPr>
              <w:autoSpaceDE w:val="0"/>
              <w:autoSpaceDN w:val="0"/>
              <w:adjustRightInd w:val="0"/>
              <w:rPr>
                <w:bCs/>
              </w:rPr>
            </w:pPr>
            <w:r w:rsidRPr="00C20E68">
              <w:rPr>
                <w:bCs/>
              </w:rPr>
              <w:t xml:space="preserve">Recommendation </w:t>
            </w:r>
            <w:r w:rsidR="00390E1E" w:rsidRPr="00C20E68">
              <w:rPr>
                <w:bCs/>
              </w:rPr>
              <w:t>6</w:t>
            </w:r>
          </w:p>
          <w:p w14:paraId="53922E49" w14:textId="77777777" w:rsidR="008B7FDC" w:rsidRPr="00C20E68" w:rsidRDefault="008B7FDC" w:rsidP="008B7FDC">
            <w:pPr>
              <w:autoSpaceDE w:val="0"/>
              <w:autoSpaceDN w:val="0"/>
              <w:adjustRightInd w:val="0"/>
              <w:rPr>
                <w:bCs/>
              </w:rPr>
            </w:pPr>
            <w:r w:rsidRPr="00C20E68">
              <w:rPr>
                <w:bCs/>
              </w:rPr>
              <w:t xml:space="preserve">Paragraph 1.31  </w:t>
            </w:r>
          </w:p>
          <w:p w14:paraId="1A695560" w14:textId="060AA3B2" w:rsidR="00390E1E" w:rsidRPr="00C20E68" w:rsidRDefault="008B7FDC" w:rsidP="008B7FDC">
            <w:pPr>
              <w:autoSpaceDE w:val="0"/>
              <w:autoSpaceDN w:val="0"/>
              <w:adjustRightInd w:val="0"/>
              <w:rPr>
                <w:bCs/>
              </w:rPr>
            </w:pPr>
            <w:r w:rsidRPr="00C20E68">
              <w:rPr>
                <w:bCs/>
              </w:rPr>
              <w:t xml:space="preserve">Page </w:t>
            </w:r>
            <w:r w:rsidR="000F1AC2" w:rsidRPr="00C20E68">
              <w:rPr>
                <w:bCs/>
              </w:rPr>
              <w:t>105</w:t>
            </w:r>
          </w:p>
        </w:tc>
        <w:tc>
          <w:tcPr>
            <w:tcW w:w="3102" w:type="dxa"/>
          </w:tcPr>
          <w:p w14:paraId="55FCF9E6" w14:textId="77174C31" w:rsidR="00390E1E" w:rsidRPr="00497624" w:rsidRDefault="00390E1E" w:rsidP="00390E1E">
            <w:pPr>
              <w:autoSpaceDE w:val="0"/>
              <w:autoSpaceDN w:val="0"/>
              <w:adjustRightInd w:val="0"/>
              <w:rPr>
                <w:bCs/>
              </w:rPr>
            </w:pPr>
            <w:r w:rsidRPr="00497624">
              <w:rPr>
                <w:bCs/>
              </w:rPr>
              <w:t xml:space="preserve">Australian Greens Senators recommend that given the significant impact of ammonium nitrate and other acidic emissions on both the environment and human health, the Australian Government vary the conditions of approval of the Yara Pilbara TANPF to impose a zero acidic emissions requirement. </w:t>
            </w:r>
          </w:p>
        </w:tc>
        <w:tc>
          <w:tcPr>
            <w:tcW w:w="4323" w:type="dxa"/>
          </w:tcPr>
          <w:p w14:paraId="25DC9606" w14:textId="1CB1C39F" w:rsidR="005D06C6" w:rsidRPr="005D06C6" w:rsidRDefault="005D06C6" w:rsidP="005D06C6">
            <w:pPr>
              <w:autoSpaceDE w:val="0"/>
              <w:autoSpaceDN w:val="0"/>
              <w:adjustRightInd w:val="0"/>
              <w:rPr>
                <w:rFonts w:cs="Arial"/>
                <w:b/>
                <w:bCs/>
                <w:sz w:val="22"/>
                <w:szCs w:val="26"/>
              </w:rPr>
            </w:pPr>
            <w:r w:rsidRPr="005D06C6">
              <w:rPr>
                <w:rFonts w:cs="Arial"/>
                <w:b/>
                <w:bCs/>
                <w:szCs w:val="26"/>
              </w:rPr>
              <w:t>Noted</w:t>
            </w:r>
          </w:p>
          <w:p w14:paraId="0197F7CE" w14:textId="77777777" w:rsidR="00ED30E3" w:rsidRDefault="005D06C6" w:rsidP="005D06C6">
            <w:pPr>
              <w:autoSpaceDE w:val="0"/>
              <w:autoSpaceDN w:val="0"/>
              <w:adjustRightInd w:val="0"/>
              <w:rPr>
                <w:rFonts w:cs="Arial"/>
                <w:bCs/>
                <w:szCs w:val="26"/>
              </w:rPr>
            </w:pPr>
            <w:r>
              <w:rPr>
                <w:rFonts w:cs="Arial"/>
                <w:bCs/>
                <w:szCs w:val="26"/>
              </w:rPr>
              <w:t xml:space="preserve">The Government may only, in accordance with the EPBC Act, assess the impacts of actions on matters of national environmental significance, such as National Heritage Places or listed vulnerable, endangered or critically endangered species. </w:t>
            </w:r>
          </w:p>
          <w:p w14:paraId="2C41E7DE" w14:textId="77777777" w:rsidR="00ED30E3" w:rsidRDefault="00ED30E3" w:rsidP="005D06C6">
            <w:pPr>
              <w:autoSpaceDE w:val="0"/>
              <w:autoSpaceDN w:val="0"/>
              <w:adjustRightInd w:val="0"/>
              <w:rPr>
                <w:rFonts w:cs="Arial"/>
                <w:bCs/>
                <w:szCs w:val="26"/>
              </w:rPr>
            </w:pPr>
          </w:p>
          <w:p w14:paraId="7822FB7F" w14:textId="3E0A4D3D" w:rsidR="005D06C6" w:rsidRDefault="005D06C6" w:rsidP="005D06C6">
            <w:pPr>
              <w:autoSpaceDE w:val="0"/>
              <w:autoSpaceDN w:val="0"/>
              <w:adjustRightInd w:val="0"/>
              <w:rPr>
                <w:rFonts w:cs="Arial"/>
                <w:bCs/>
                <w:szCs w:val="26"/>
              </w:rPr>
            </w:pPr>
            <w:r>
              <w:rPr>
                <w:rFonts w:cs="Arial"/>
                <w:bCs/>
                <w:szCs w:val="26"/>
              </w:rPr>
              <w:t>Following the approval of the Operational Environmental Management Plan required under Condition 7 of EPBC Act approval for the TAN</w:t>
            </w:r>
            <w:r w:rsidR="00ED30E3">
              <w:rPr>
                <w:rFonts w:cs="Arial"/>
                <w:bCs/>
                <w:szCs w:val="26"/>
              </w:rPr>
              <w:t>PF</w:t>
            </w:r>
            <w:r>
              <w:rPr>
                <w:rFonts w:cs="Arial"/>
                <w:bCs/>
                <w:szCs w:val="26"/>
              </w:rPr>
              <w:t xml:space="preserve"> plant, there has been no cause to vary the conditions of approval (i.e. a breach in approved conditions). </w:t>
            </w:r>
          </w:p>
          <w:p w14:paraId="71171D30" w14:textId="77777777" w:rsidR="005D06C6" w:rsidRDefault="005D06C6" w:rsidP="005D06C6">
            <w:pPr>
              <w:autoSpaceDE w:val="0"/>
              <w:autoSpaceDN w:val="0"/>
              <w:adjustRightInd w:val="0"/>
              <w:rPr>
                <w:rFonts w:cs="Arial"/>
                <w:bCs/>
                <w:szCs w:val="26"/>
              </w:rPr>
            </w:pPr>
          </w:p>
          <w:p w14:paraId="54F3EE25" w14:textId="195CD2C6" w:rsidR="00390E1E" w:rsidRPr="000B20CB" w:rsidRDefault="005D06C6" w:rsidP="00390E1E">
            <w:pPr>
              <w:autoSpaceDE w:val="0"/>
              <w:autoSpaceDN w:val="0"/>
              <w:adjustRightInd w:val="0"/>
              <w:rPr>
                <w:rFonts w:cs="Arial"/>
                <w:bCs/>
                <w:szCs w:val="26"/>
              </w:rPr>
            </w:pPr>
            <w:r>
              <w:rPr>
                <w:rFonts w:cs="Arial"/>
                <w:bCs/>
                <w:szCs w:val="26"/>
              </w:rPr>
              <w:lastRenderedPageBreak/>
              <w:t>Impacts on environmental and human health in general are regulated through state and territory environmental and public health legislation.</w:t>
            </w:r>
          </w:p>
        </w:tc>
      </w:tr>
      <w:tr w:rsidR="00390E1E" w:rsidRPr="00497624" w14:paraId="73065876"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57761C51" w14:textId="0A5FD91E" w:rsidR="00BD32E8" w:rsidRPr="00C20E68" w:rsidRDefault="00BD32E8" w:rsidP="00390E1E">
            <w:pPr>
              <w:autoSpaceDE w:val="0"/>
              <w:autoSpaceDN w:val="0"/>
              <w:adjustRightInd w:val="0"/>
              <w:rPr>
                <w:bCs/>
              </w:rPr>
            </w:pPr>
            <w:r w:rsidRPr="00C20E68">
              <w:rPr>
                <w:bCs/>
              </w:rPr>
              <w:lastRenderedPageBreak/>
              <w:t>Labor</w:t>
            </w:r>
          </w:p>
          <w:p w14:paraId="3A3B2858" w14:textId="344460BA" w:rsidR="00390E1E" w:rsidRPr="00C20E68" w:rsidRDefault="00FF5E51" w:rsidP="00390E1E">
            <w:pPr>
              <w:autoSpaceDE w:val="0"/>
              <w:autoSpaceDN w:val="0"/>
              <w:adjustRightInd w:val="0"/>
              <w:rPr>
                <w:bCs/>
              </w:rPr>
            </w:pPr>
            <w:r w:rsidRPr="00C20E68">
              <w:rPr>
                <w:bCs/>
              </w:rPr>
              <w:t>Recommendation</w:t>
            </w:r>
            <w:r w:rsidR="00703BB6" w:rsidRPr="00C20E68">
              <w:rPr>
                <w:bCs/>
              </w:rPr>
              <w:t xml:space="preserve"> </w:t>
            </w:r>
            <w:r w:rsidR="00390E1E" w:rsidRPr="00C20E68">
              <w:rPr>
                <w:bCs/>
              </w:rPr>
              <w:t>8</w:t>
            </w:r>
          </w:p>
          <w:p w14:paraId="26054C14" w14:textId="1EF3498D" w:rsidR="00703BB6" w:rsidRPr="00C20E68" w:rsidRDefault="00703BB6" w:rsidP="00390E1E">
            <w:pPr>
              <w:autoSpaceDE w:val="0"/>
              <w:autoSpaceDN w:val="0"/>
              <w:adjustRightInd w:val="0"/>
              <w:rPr>
                <w:bCs/>
              </w:rPr>
            </w:pPr>
            <w:r w:rsidRPr="00C20E68">
              <w:rPr>
                <w:bCs/>
              </w:rPr>
              <w:t xml:space="preserve">Paragraph 1.42 </w:t>
            </w:r>
          </w:p>
          <w:p w14:paraId="071A352E" w14:textId="2CBA29D3" w:rsidR="00703BB6" w:rsidRPr="00C20E68" w:rsidRDefault="00703BB6" w:rsidP="00390E1E">
            <w:pPr>
              <w:autoSpaceDE w:val="0"/>
              <w:autoSpaceDN w:val="0"/>
              <w:adjustRightInd w:val="0"/>
              <w:rPr>
                <w:bCs/>
              </w:rPr>
            </w:pPr>
            <w:r w:rsidRPr="00C20E68">
              <w:rPr>
                <w:bCs/>
              </w:rPr>
              <w:t>Page 136</w:t>
            </w:r>
          </w:p>
        </w:tc>
        <w:tc>
          <w:tcPr>
            <w:tcW w:w="3102" w:type="dxa"/>
          </w:tcPr>
          <w:p w14:paraId="1376C928" w14:textId="3E848B36" w:rsidR="00390E1E" w:rsidRPr="00497624" w:rsidRDefault="00390E1E" w:rsidP="00390E1E">
            <w:pPr>
              <w:autoSpaceDE w:val="0"/>
              <w:autoSpaceDN w:val="0"/>
              <w:adjustRightInd w:val="0"/>
              <w:rPr>
                <w:bCs/>
              </w:rPr>
            </w:pPr>
            <w:r w:rsidRPr="00497624">
              <w:rPr>
                <w:bCs/>
              </w:rPr>
              <w:t>Labor Senators recommend that the Department of Environment and Energy actively work with Yara Pilbara to ensure its compliance is improved.</w:t>
            </w:r>
          </w:p>
          <w:p w14:paraId="4F0FB3C9" w14:textId="77777777" w:rsidR="00390E1E" w:rsidRPr="00497624" w:rsidRDefault="00390E1E" w:rsidP="00390E1E">
            <w:pPr>
              <w:autoSpaceDE w:val="0"/>
              <w:autoSpaceDN w:val="0"/>
              <w:adjustRightInd w:val="0"/>
              <w:rPr>
                <w:bCs/>
              </w:rPr>
            </w:pPr>
          </w:p>
        </w:tc>
        <w:tc>
          <w:tcPr>
            <w:tcW w:w="4323" w:type="dxa"/>
          </w:tcPr>
          <w:p w14:paraId="0707287A" w14:textId="58027FA3" w:rsidR="00C3258F" w:rsidRPr="00C3258F" w:rsidRDefault="00AD58E9" w:rsidP="00C3258F">
            <w:pPr>
              <w:autoSpaceDE w:val="0"/>
              <w:autoSpaceDN w:val="0"/>
              <w:adjustRightInd w:val="0"/>
              <w:rPr>
                <w:rFonts w:cs="Arial"/>
                <w:b/>
                <w:bCs/>
                <w:sz w:val="22"/>
                <w:szCs w:val="26"/>
              </w:rPr>
            </w:pPr>
            <w:r>
              <w:rPr>
                <w:rFonts w:cs="Arial"/>
                <w:b/>
                <w:bCs/>
                <w:szCs w:val="26"/>
              </w:rPr>
              <w:t>Noted</w:t>
            </w:r>
          </w:p>
          <w:p w14:paraId="0949E5ED" w14:textId="76E46165" w:rsidR="00390E1E" w:rsidRPr="00497624" w:rsidRDefault="00C3258F" w:rsidP="00390E1E">
            <w:pPr>
              <w:autoSpaceDE w:val="0"/>
              <w:autoSpaceDN w:val="0"/>
              <w:adjustRightInd w:val="0"/>
              <w:rPr>
                <w:bCs/>
              </w:rPr>
            </w:pPr>
            <w:r>
              <w:rPr>
                <w:rFonts w:cs="Arial"/>
                <w:bCs/>
                <w:szCs w:val="26"/>
              </w:rPr>
              <w:t xml:space="preserve">The </w:t>
            </w:r>
            <w:r w:rsidR="0047052B">
              <w:rPr>
                <w:rFonts w:cs="Arial"/>
                <w:bCs/>
                <w:szCs w:val="26"/>
              </w:rPr>
              <w:t xml:space="preserve">Australian Government </w:t>
            </w:r>
            <w:r>
              <w:rPr>
                <w:rFonts w:cs="Arial"/>
                <w:bCs/>
                <w:szCs w:val="26"/>
              </w:rPr>
              <w:t xml:space="preserve">is responsible for monitoring actions that are approved under the EPBC Act. The Department </w:t>
            </w:r>
            <w:r w:rsidR="0047052B">
              <w:rPr>
                <w:rFonts w:cs="Arial"/>
                <w:bCs/>
                <w:szCs w:val="26"/>
              </w:rPr>
              <w:t xml:space="preserve">of Environment and Energy </w:t>
            </w:r>
            <w:r>
              <w:rPr>
                <w:rFonts w:cs="Arial"/>
                <w:bCs/>
                <w:szCs w:val="26"/>
              </w:rPr>
              <w:t>monitors compliance with approved actions by undertaking desktop assessments, audits, site inspections, and by reviewing compliance reports and environmental monitoring reports. The Department prioritises compliance monitoring work on potential risks</w:t>
            </w:r>
            <w:r w:rsidR="00ED30E3">
              <w:rPr>
                <w:rFonts w:cs="Arial"/>
                <w:bCs/>
                <w:szCs w:val="26"/>
              </w:rPr>
              <w:t xml:space="preserve"> to m</w:t>
            </w:r>
            <w:r>
              <w:rPr>
                <w:rFonts w:cs="Arial"/>
                <w:bCs/>
                <w:szCs w:val="26"/>
              </w:rPr>
              <w:t xml:space="preserve">atters of </w:t>
            </w:r>
            <w:r w:rsidR="00ED30E3">
              <w:rPr>
                <w:rFonts w:cs="Arial"/>
                <w:bCs/>
                <w:szCs w:val="26"/>
              </w:rPr>
              <w:t>n</w:t>
            </w:r>
            <w:r>
              <w:rPr>
                <w:rFonts w:cs="Arial"/>
                <w:bCs/>
                <w:szCs w:val="26"/>
              </w:rPr>
              <w:t xml:space="preserve">ational </w:t>
            </w:r>
            <w:r w:rsidR="00ED30E3">
              <w:rPr>
                <w:rFonts w:cs="Arial"/>
                <w:bCs/>
                <w:szCs w:val="26"/>
              </w:rPr>
              <w:t>e</w:t>
            </w:r>
            <w:r>
              <w:rPr>
                <w:rFonts w:cs="Arial"/>
                <w:bCs/>
                <w:szCs w:val="26"/>
              </w:rPr>
              <w:t xml:space="preserve">nvironmental </w:t>
            </w:r>
            <w:r w:rsidR="00ED30E3">
              <w:rPr>
                <w:rFonts w:cs="Arial"/>
                <w:bCs/>
                <w:szCs w:val="26"/>
              </w:rPr>
              <w:t>s</w:t>
            </w:r>
            <w:r>
              <w:rPr>
                <w:rFonts w:cs="Arial"/>
                <w:bCs/>
                <w:szCs w:val="26"/>
              </w:rPr>
              <w:t>ignificance</w:t>
            </w:r>
            <w:r w:rsidR="00ED30E3">
              <w:rPr>
                <w:rFonts w:cs="Arial"/>
                <w:bCs/>
                <w:szCs w:val="26"/>
              </w:rPr>
              <w:t>.</w:t>
            </w:r>
            <w:r w:rsidR="00390E1E" w:rsidRPr="00497624">
              <w:rPr>
                <w:bCs/>
              </w:rPr>
              <w:t xml:space="preserve"> </w:t>
            </w:r>
          </w:p>
        </w:tc>
      </w:tr>
      <w:tr w:rsidR="00390E1E" w:rsidRPr="00497624" w14:paraId="567826E7" w14:textId="77777777" w:rsidTr="002E52BF">
        <w:trPr>
          <w:cnfStyle w:val="000000100000" w:firstRow="0" w:lastRow="0" w:firstColumn="0" w:lastColumn="0" w:oddVBand="0" w:evenVBand="0" w:oddHBand="1" w:evenHBand="0" w:firstRowFirstColumn="0" w:firstRowLastColumn="0" w:lastRowFirstColumn="0" w:lastRowLastColumn="0"/>
        </w:trPr>
        <w:tc>
          <w:tcPr>
            <w:tcW w:w="2068" w:type="dxa"/>
          </w:tcPr>
          <w:p w14:paraId="1A191D2E" w14:textId="177056A8" w:rsidR="00BD32E8" w:rsidRPr="00C20E68" w:rsidRDefault="00BD32E8" w:rsidP="000F1AC2">
            <w:pPr>
              <w:autoSpaceDE w:val="0"/>
              <w:autoSpaceDN w:val="0"/>
              <w:adjustRightInd w:val="0"/>
              <w:rPr>
                <w:bCs/>
              </w:rPr>
            </w:pPr>
            <w:r w:rsidRPr="00C20E68">
              <w:rPr>
                <w:bCs/>
              </w:rPr>
              <w:t>Greens</w:t>
            </w:r>
          </w:p>
          <w:p w14:paraId="4B35C3D6" w14:textId="153FF0A4" w:rsidR="000F1AC2" w:rsidRPr="00C20E68" w:rsidRDefault="00FF5E51" w:rsidP="000F1AC2">
            <w:pPr>
              <w:autoSpaceDE w:val="0"/>
              <w:autoSpaceDN w:val="0"/>
              <w:adjustRightInd w:val="0"/>
              <w:rPr>
                <w:bCs/>
              </w:rPr>
            </w:pPr>
            <w:r w:rsidRPr="00C20E68">
              <w:rPr>
                <w:bCs/>
              </w:rPr>
              <w:t xml:space="preserve">Recommendation </w:t>
            </w:r>
            <w:r w:rsidR="00390E1E" w:rsidRPr="00C20E68">
              <w:rPr>
                <w:bCs/>
              </w:rPr>
              <w:t>13</w:t>
            </w:r>
          </w:p>
          <w:p w14:paraId="6D7DFC2B" w14:textId="77777777" w:rsidR="000F1AC2" w:rsidRPr="00C20E68" w:rsidRDefault="000F1AC2" w:rsidP="000F1AC2">
            <w:pPr>
              <w:autoSpaceDE w:val="0"/>
              <w:autoSpaceDN w:val="0"/>
              <w:adjustRightInd w:val="0"/>
              <w:rPr>
                <w:bCs/>
              </w:rPr>
            </w:pPr>
            <w:r w:rsidRPr="00C20E68">
              <w:rPr>
                <w:bCs/>
              </w:rPr>
              <w:t>Paragraph 1.64</w:t>
            </w:r>
          </w:p>
          <w:p w14:paraId="557C9CE1" w14:textId="50FF7029" w:rsidR="00390E1E" w:rsidRPr="00C20E68" w:rsidRDefault="000F1AC2" w:rsidP="000F1AC2">
            <w:pPr>
              <w:autoSpaceDE w:val="0"/>
              <w:autoSpaceDN w:val="0"/>
              <w:adjustRightInd w:val="0"/>
              <w:rPr>
                <w:bCs/>
              </w:rPr>
            </w:pPr>
            <w:r w:rsidRPr="00C20E68">
              <w:rPr>
                <w:bCs/>
              </w:rPr>
              <w:t xml:space="preserve">Page 110 </w:t>
            </w:r>
          </w:p>
        </w:tc>
        <w:tc>
          <w:tcPr>
            <w:tcW w:w="3102" w:type="dxa"/>
          </w:tcPr>
          <w:p w14:paraId="289B40E0" w14:textId="20FC8BE6" w:rsidR="00390E1E" w:rsidRPr="00497624" w:rsidRDefault="00390E1E" w:rsidP="00390E1E">
            <w:pPr>
              <w:autoSpaceDE w:val="0"/>
              <w:autoSpaceDN w:val="0"/>
              <w:adjustRightInd w:val="0"/>
              <w:rPr>
                <w:bCs/>
              </w:rPr>
            </w:pPr>
            <w:r w:rsidRPr="00497624">
              <w:rPr>
                <w:bCs/>
              </w:rPr>
              <w:t xml:space="preserve">Australian Greens Senators recommend that the Australian Government vary the approval conditions for the TANPF to require Yara Pilbara to engage a Heritage Monitor to conduct a comprehensive survey to identify all rock art sites in a two kilometre radius from the site. </w:t>
            </w:r>
          </w:p>
        </w:tc>
        <w:tc>
          <w:tcPr>
            <w:tcW w:w="4323" w:type="dxa"/>
            <w:vMerge w:val="restart"/>
          </w:tcPr>
          <w:p w14:paraId="40706F69" w14:textId="70237482" w:rsidR="005D06C6" w:rsidRPr="005D06C6" w:rsidRDefault="00AD58E9" w:rsidP="005D06C6">
            <w:pPr>
              <w:autoSpaceDE w:val="0"/>
              <w:autoSpaceDN w:val="0"/>
              <w:adjustRightInd w:val="0"/>
              <w:rPr>
                <w:rFonts w:cs="Arial"/>
                <w:b/>
                <w:bCs/>
                <w:sz w:val="22"/>
                <w:szCs w:val="26"/>
              </w:rPr>
            </w:pPr>
            <w:r>
              <w:rPr>
                <w:rFonts w:cs="Arial"/>
                <w:b/>
                <w:bCs/>
                <w:szCs w:val="26"/>
              </w:rPr>
              <w:t>Noted</w:t>
            </w:r>
          </w:p>
          <w:p w14:paraId="3CFD24C3" w14:textId="4709DD37" w:rsidR="00390E1E" w:rsidRPr="00497624" w:rsidRDefault="005D06C6" w:rsidP="005D06C6">
            <w:pPr>
              <w:autoSpaceDE w:val="0"/>
              <w:autoSpaceDN w:val="0"/>
              <w:adjustRightInd w:val="0"/>
              <w:rPr>
                <w:bCs/>
              </w:rPr>
            </w:pPr>
            <w:r>
              <w:rPr>
                <w:rFonts w:cs="Arial"/>
                <w:bCs/>
                <w:szCs w:val="26"/>
              </w:rPr>
              <w:t>The Australian Government considers the Operational Environmental Management Plan, approved 15 September 2017, adequately addresses these matters</w:t>
            </w:r>
            <w:r w:rsidR="00ED30E3">
              <w:rPr>
                <w:rFonts w:cs="Arial"/>
                <w:bCs/>
                <w:szCs w:val="26"/>
              </w:rPr>
              <w:t>.</w:t>
            </w:r>
          </w:p>
        </w:tc>
      </w:tr>
      <w:tr w:rsidR="00390E1E" w:rsidRPr="00497624" w14:paraId="209E6AF0"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4BB92D91" w14:textId="5E0231DB" w:rsidR="00BD32E8" w:rsidRPr="00C20E68" w:rsidRDefault="00BD32E8" w:rsidP="0035088D">
            <w:pPr>
              <w:autoSpaceDE w:val="0"/>
              <w:autoSpaceDN w:val="0"/>
              <w:adjustRightInd w:val="0"/>
              <w:rPr>
                <w:bCs/>
              </w:rPr>
            </w:pPr>
            <w:r w:rsidRPr="00C20E68">
              <w:rPr>
                <w:bCs/>
              </w:rPr>
              <w:t>Labor</w:t>
            </w:r>
          </w:p>
          <w:p w14:paraId="3AF7B474" w14:textId="210DA43E" w:rsidR="0035088D" w:rsidRPr="00C20E68" w:rsidRDefault="00FF5E51" w:rsidP="0035088D">
            <w:pPr>
              <w:autoSpaceDE w:val="0"/>
              <w:autoSpaceDN w:val="0"/>
              <w:adjustRightInd w:val="0"/>
              <w:rPr>
                <w:bCs/>
              </w:rPr>
            </w:pPr>
            <w:r w:rsidRPr="00C20E68">
              <w:rPr>
                <w:bCs/>
              </w:rPr>
              <w:t xml:space="preserve">Recommendation </w:t>
            </w:r>
            <w:r w:rsidR="00390E1E" w:rsidRPr="00C20E68">
              <w:rPr>
                <w:bCs/>
              </w:rPr>
              <w:t>9</w:t>
            </w:r>
          </w:p>
          <w:p w14:paraId="450662EB" w14:textId="77777777" w:rsidR="0035088D" w:rsidRPr="00C20E68" w:rsidRDefault="0035088D" w:rsidP="0035088D">
            <w:pPr>
              <w:autoSpaceDE w:val="0"/>
              <w:autoSpaceDN w:val="0"/>
              <w:adjustRightInd w:val="0"/>
              <w:rPr>
                <w:bCs/>
              </w:rPr>
            </w:pPr>
            <w:r w:rsidRPr="00C20E68">
              <w:rPr>
                <w:bCs/>
              </w:rPr>
              <w:t>Paragraph 1.47</w:t>
            </w:r>
          </w:p>
          <w:p w14:paraId="5A79527E" w14:textId="2362B452" w:rsidR="00390E1E" w:rsidRPr="00C20E68" w:rsidRDefault="0035088D" w:rsidP="0035088D">
            <w:pPr>
              <w:autoSpaceDE w:val="0"/>
              <w:autoSpaceDN w:val="0"/>
              <w:adjustRightInd w:val="0"/>
              <w:rPr>
                <w:bCs/>
              </w:rPr>
            </w:pPr>
            <w:r w:rsidRPr="00C20E68">
              <w:rPr>
                <w:bCs/>
              </w:rPr>
              <w:t xml:space="preserve">Page 136 </w:t>
            </w:r>
          </w:p>
        </w:tc>
        <w:tc>
          <w:tcPr>
            <w:tcW w:w="3102" w:type="dxa"/>
          </w:tcPr>
          <w:p w14:paraId="7B5E9F29" w14:textId="752B944C" w:rsidR="00390E1E" w:rsidRPr="00497624" w:rsidRDefault="00390E1E" w:rsidP="00390E1E">
            <w:pPr>
              <w:autoSpaceDE w:val="0"/>
              <w:autoSpaceDN w:val="0"/>
              <w:adjustRightInd w:val="0"/>
              <w:rPr>
                <w:bCs/>
              </w:rPr>
            </w:pPr>
            <w:r w:rsidRPr="00497624">
              <w:rPr>
                <w:bCs/>
              </w:rPr>
              <w:t>Labor Senators recommend that the Australian Government engage a Heritage Monitor to conduct a comprehensive survey to identify all rock art sites in a two kilometre radius from the site, which may be affected by emissions</w:t>
            </w:r>
          </w:p>
        </w:tc>
        <w:tc>
          <w:tcPr>
            <w:tcW w:w="4323" w:type="dxa"/>
            <w:vMerge/>
          </w:tcPr>
          <w:p w14:paraId="780CDD9B" w14:textId="77777777" w:rsidR="00390E1E" w:rsidRPr="00497624" w:rsidRDefault="00390E1E" w:rsidP="00390E1E">
            <w:pPr>
              <w:autoSpaceDE w:val="0"/>
              <w:autoSpaceDN w:val="0"/>
              <w:adjustRightInd w:val="0"/>
              <w:rPr>
                <w:bCs/>
              </w:rPr>
            </w:pPr>
          </w:p>
        </w:tc>
      </w:tr>
      <w:tr w:rsidR="00390E1E" w:rsidRPr="00497624" w14:paraId="4A669DAF" w14:textId="77777777" w:rsidTr="002E52BF">
        <w:trPr>
          <w:cnfStyle w:val="000000100000" w:firstRow="0" w:lastRow="0" w:firstColumn="0" w:lastColumn="0" w:oddVBand="0" w:evenVBand="0" w:oddHBand="1" w:evenHBand="0" w:firstRowFirstColumn="0" w:firstRowLastColumn="0" w:lastRowFirstColumn="0" w:lastRowLastColumn="0"/>
        </w:trPr>
        <w:tc>
          <w:tcPr>
            <w:tcW w:w="2068" w:type="dxa"/>
          </w:tcPr>
          <w:p w14:paraId="28EBB322" w14:textId="1B071D89" w:rsidR="00BD32E8" w:rsidRPr="00C20E68" w:rsidRDefault="00BD32E8" w:rsidP="00390E1E">
            <w:pPr>
              <w:autoSpaceDE w:val="0"/>
              <w:autoSpaceDN w:val="0"/>
              <w:adjustRightInd w:val="0"/>
              <w:rPr>
                <w:bCs/>
              </w:rPr>
            </w:pPr>
            <w:r w:rsidRPr="00C20E68">
              <w:rPr>
                <w:bCs/>
              </w:rPr>
              <w:t xml:space="preserve">Greens </w:t>
            </w:r>
          </w:p>
          <w:p w14:paraId="60C09D0D" w14:textId="1B25B9D2" w:rsidR="00390E1E" w:rsidRPr="00C20E68" w:rsidRDefault="00FF5E51" w:rsidP="00390E1E">
            <w:pPr>
              <w:autoSpaceDE w:val="0"/>
              <w:autoSpaceDN w:val="0"/>
              <w:adjustRightInd w:val="0"/>
              <w:rPr>
                <w:bCs/>
              </w:rPr>
            </w:pPr>
            <w:r w:rsidRPr="00C20E68">
              <w:rPr>
                <w:bCs/>
              </w:rPr>
              <w:t>Recommendation</w:t>
            </w:r>
            <w:r w:rsidR="00703BB6" w:rsidRPr="00C20E68">
              <w:rPr>
                <w:bCs/>
              </w:rPr>
              <w:t xml:space="preserve"> </w:t>
            </w:r>
            <w:r w:rsidR="00390E1E" w:rsidRPr="00C20E68">
              <w:rPr>
                <w:bCs/>
              </w:rPr>
              <w:t>14</w:t>
            </w:r>
          </w:p>
          <w:p w14:paraId="0B890CB6" w14:textId="77777777" w:rsidR="000F1AC2" w:rsidRPr="00C20E68" w:rsidRDefault="000F1AC2" w:rsidP="000F1AC2">
            <w:pPr>
              <w:autoSpaceDE w:val="0"/>
              <w:autoSpaceDN w:val="0"/>
              <w:adjustRightInd w:val="0"/>
              <w:rPr>
                <w:bCs/>
              </w:rPr>
            </w:pPr>
            <w:r w:rsidRPr="00C20E68">
              <w:rPr>
                <w:bCs/>
              </w:rPr>
              <w:t>Paragraph 1.69</w:t>
            </w:r>
          </w:p>
          <w:p w14:paraId="787934C1" w14:textId="6393A0F4" w:rsidR="000F1AC2" w:rsidRPr="00C20E68" w:rsidRDefault="000F1AC2" w:rsidP="00703BB6">
            <w:pPr>
              <w:autoSpaceDE w:val="0"/>
              <w:autoSpaceDN w:val="0"/>
              <w:adjustRightInd w:val="0"/>
              <w:rPr>
                <w:bCs/>
              </w:rPr>
            </w:pPr>
            <w:r w:rsidRPr="00C20E68">
              <w:rPr>
                <w:bCs/>
              </w:rPr>
              <w:t xml:space="preserve">Page 110 </w:t>
            </w:r>
          </w:p>
        </w:tc>
        <w:tc>
          <w:tcPr>
            <w:tcW w:w="3102" w:type="dxa"/>
          </w:tcPr>
          <w:p w14:paraId="5CE9B976" w14:textId="727EB1A7" w:rsidR="00390E1E" w:rsidRPr="00497624" w:rsidRDefault="00390E1E" w:rsidP="00390E1E">
            <w:pPr>
              <w:autoSpaceDE w:val="0"/>
              <w:autoSpaceDN w:val="0"/>
              <w:adjustRightInd w:val="0"/>
              <w:rPr>
                <w:bCs/>
              </w:rPr>
            </w:pPr>
            <w:r w:rsidRPr="00497624">
              <w:rPr>
                <w:bCs/>
              </w:rPr>
              <w:t>Australian Greens Senators recommend that the Western Australian Government promptly review and assess Yara Pilbara's compliance with its approval conditions, and take any necessary enforcement action.</w:t>
            </w:r>
          </w:p>
          <w:p w14:paraId="0D7CCCB2" w14:textId="77777777" w:rsidR="00390E1E" w:rsidRPr="00497624" w:rsidRDefault="00390E1E" w:rsidP="00390E1E">
            <w:pPr>
              <w:autoSpaceDE w:val="0"/>
              <w:autoSpaceDN w:val="0"/>
              <w:adjustRightInd w:val="0"/>
              <w:rPr>
                <w:bCs/>
              </w:rPr>
            </w:pPr>
          </w:p>
        </w:tc>
        <w:tc>
          <w:tcPr>
            <w:tcW w:w="4323" w:type="dxa"/>
            <w:vMerge w:val="restart"/>
          </w:tcPr>
          <w:p w14:paraId="2D0249DA" w14:textId="77777777" w:rsidR="00BC133F" w:rsidRPr="009B7079" w:rsidRDefault="00BC133F" w:rsidP="00390E1E">
            <w:pPr>
              <w:autoSpaceDE w:val="0"/>
              <w:autoSpaceDN w:val="0"/>
              <w:adjustRightInd w:val="0"/>
              <w:rPr>
                <w:b/>
                <w:bCs/>
              </w:rPr>
            </w:pPr>
            <w:r w:rsidRPr="009B7079">
              <w:rPr>
                <w:b/>
                <w:bCs/>
              </w:rPr>
              <w:t>Noted</w:t>
            </w:r>
          </w:p>
          <w:p w14:paraId="0A474445" w14:textId="6C710294" w:rsidR="00390E1E" w:rsidRPr="00497624" w:rsidRDefault="00390E1E" w:rsidP="00390E1E">
            <w:pPr>
              <w:autoSpaceDE w:val="0"/>
              <w:autoSpaceDN w:val="0"/>
              <w:adjustRightInd w:val="0"/>
              <w:rPr>
                <w:bCs/>
              </w:rPr>
            </w:pPr>
            <w:r>
              <w:rPr>
                <w:bCs/>
              </w:rPr>
              <w:t>These recommendations fall wholly within the responsibilities of the Western Australian Government</w:t>
            </w:r>
            <w:r w:rsidR="00633F77">
              <w:rPr>
                <w:bCs/>
              </w:rPr>
              <w:t>.</w:t>
            </w:r>
            <w:r>
              <w:rPr>
                <w:bCs/>
              </w:rPr>
              <w:t xml:space="preserve">   </w:t>
            </w:r>
          </w:p>
          <w:p w14:paraId="6B12C6EF" w14:textId="77777777" w:rsidR="00390E1E" w:rsidRPr="00497624" w:rsidRDefault="00390E1E" w:rsidP="00390E1E">
            <w:pPr>
              <w:autoSpaceDE w:val="0"/>
              <w:autoSpaceDN w:val="0"/>
              <w:adjustRightInd w:val="0"/>
              <w:rPr>
                <w:bCs/>
              </w:rPr>
            </w:pPr>
          </w:p>
        </w:tc>
      </w:tr>
      <w:tr w:rsidR="00390E1E" w:rsidRPr="00497624" w14:paraId="4274559E"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153F94A6" w14:textId="4BD80949" w:rsidR="00BD32E8" w:rsidRPr="00C20E68" w:rsidRDefault="00BD32E8" w:rsidP="00703BB6">
            <w:pPr>
              <w:autoSpaceDE w:val="0"/>
              <w:autoSpaceDN w:val="0"/>
              <w:adjustRightInd w:val="0"/>
              <w:rPr>
                <w:bCs/>
              </w:rPr>
            </w:pPr>
            <w:r w:rsidRPr="00C20E68">
              <w:rPr>
                <w:bCs/>
              </w:rPr>
              <w:t xml:space="preserve">Labor </w:t>
            </w:r>
          </w:p>
          <w:p w14:paraId="11566184" w14:textId="041302C1" w:rsidR="00703BB6" w:rsidRPr="00C20E68" w:rsidRDefault="00FF5E51" w:rsidP="00703BB6">
            <w:pPr>
              <w:autoSpaceDE w:val="0"/>
              <w:autoSpaceDN w:val="0"/>
              <w:adjustRightInd w:val="0"/>
              <w:rPr>
                <w:bCs/>
              </w:rPr>
            </w:pPr>
            <w:r w:rsidRPr="00C20E68">
              <w:rPr>
                <w:bCs/>
              </w:rPr>
              <w:t xml:space="preserve">Recommendation </w:t>
            </w:r>
            <w:r w:rsidR="00390E1E" w:rsidRPr="00C20E68">
              <w:rPr>
                <w:bCs/>
              </w:rPr>
              <w:t>10</w:t>
            </w:r>
          </w:p>
          <w:p w14:paraId="352C6B09" w14:textId="77777777" w:rsidR="00703BB6" w:rsidRPr="00C20E68" w:rsidRDefault="00703BB6" w:rsidP="00703BB6">
            <w:pPr>
              <w:autoSpaceDE w:val="0"/>
              <w:autoSpaceDN w:val="0"/>
              <w:adjustRightInd w:val="0"/>
              <w:rPr>
                <w:bCs/>
              </w:rPr>
            </w:pPr>
            <w:r w:rsidRPr="00C20E68">
              <w:rPr>
                <w:bCs/>
              </w:rPr>
              <w:t>Paragraph 1.52</w:t>
            </w:r>
          </w:p>
          <w:p w14:paraId="5DBC1AEA" w14:textId="685D485A" w:rsidR="00390E1E" w:rsidRPr="00C20E68" w:rsidRDefault="00703BB6" w:rsidP="00703BB6">
            <w:pPr>
              <w:autoSpaceDE w:val="0"/>
              <w:autoSpaceDN w:val="0"/>
              <w:adjustRightInd w:val="0"/>
              <w:rPr>
                <w:bCs/>
              </w:rPr>
            </w:pPr>
            <w:r w:rsidRPr="00C20E68">
              <w:rPr>
                <w:bCs/>
              </w:rPr>
              <w:t xml:space="preserve">Page 137 </w:t>
            </w:r>
          </w:p>
        </w:tc>
        <w:tc>
          <w:tcPr>
            <w:tcW w:w="3102" w:type="dxa"/>
          </w:tcPr>
          <w:p w14:paraId="733368C2" w14:textId="77777777" w:rsidR="00390E1E" w:rsidRDefault="00390E1E" w:rsidP="00390E1E">
            <w:pPr>
              <w:autoSpaceDE w:val="0"/>
              <w:autoSpaceDN w:val="0"/>
              <w:adjustRightInd w:val="0"/>
              <w:rPr>
                <w:bCs/>
              </w:rPr>
            </w:pPr>
            <w:r w:rsidRPr="00497624">
              <w:rPr>
                <w:bCs/>
              </w:rPr>
              <w:t xml:space="preserve">Labor Senators recommend that the Western Australian Government promptly review and assess Yara Pilbara's compliance with its approval </w:t>
            </w:r>
            <w:r w:rsidRPr="00497624">
              <w:rPr>
                <w:bCs/>
              </w:rPr>
              <w:lastRenderedPageBreak/>
              <w:t>conditions and against best practice, and take any necessary action to improve compliance.</w:t>
            </w:r>
          </w:p>
          <w:p w14:paraId="2D8E3EA4" w14:textId="77777777" w:rsidR="00017DCD" w:rsidRDefault="00017DCD" w:rsidP="00390E1E">
            <w:pPr>
              <w:autoSpaceDE w:val="0"/>
              <w:autoSpaceDN w:val="0"/>
              <w:adjustRightInd w:val="0"/>
              <w:rPr>
                <w:bCs/>
              </w:rPr>
            </w:pPr>
          </w:p>
          <w:p w14:paraId="146162C5" w14:textId="5DADA545" w:rsidR="00017DCD" w:rsidRPr="00497624" w:rsidRDefault="00017DCD" w:rsidP="00390E1E">
            <w:pPr>
              <w:autoSpaceDE w:val="0"/>
              <w:autoSpaceDN w:val="0"/>
              <w:adjustRightInd w:val="0"/>
              <w:rPr>
                <w:bCs/>
              </w:rPr>
            </w:pPr>
          </w:p>
        </w:tc>
        <w:tc>
          <w:tcPr>
            <w:tcW w:w="4323" w:type="dxa"/>
            <w:vMerge/>
          </w:tcPr>
          <w:p w14:paraId="7716D849" w14:textId="77777777" w:rsidR="00390E1E" w:rsidRPr="00497624" w:rsidRDefault="00390E1E" w:rsidP="00390E1E">
            <w:pPr>
              <w:autoSpaceDE w:val="0"/>
              <w:autoSpaceDN w:val="0"/>
              <w:adjustRightInd w:val="0"/>
              <w:rPr>
                <w:bCs/>
              </w:rPr>
            </w:pPr>
          </w:p>
        </w:tc>
      </w:tr>
      <w:tr w:rsidR="00390E1E" w:rsidRPr="00497624" w14:paraId="5B6EE102" w14:textId="77777777" w:rsidTr="003D7CC5">
        <w:trPr>
          <w:cnfStyle w:val="000000100000" w:firstRow="0" w:lastRow="0" w:firstColumn="0" w:lastColumn="0" w:oddVBand="0" w:evenVBand="0" w:oddHBand="1" w:evenHBand="0" w:firstRowFirstColumn="0" w:firstRowLastColumn="0" w:lastRowFirstColumn="0" w:lastRowLastColumn="0"/>
        </w:trPr>
        <w:tc>
          <w:tcPr>
            <w:tcW w:w="9493" w:type="dxa"/>
            <w:gridSpan w:val="3"/>
            <w:shd w:val="clear" w:color="auto" w:fill="BFBFBF" w:themeFill="background1" w:themeFillShade="BF"/>
          </w:tcPr>
          <w:p w14:paraId="040553DC" w14:textId="77777777" w:rsidR="00390E1E" w:rsidRPr="00C20E68" w:rsidRDefault="00390E1E" w:rsidP="00390E1E">
            <w:pPr>
              <w:autoSpaceDE w:val="0"/>
              <w:autoSpaceDN w:val="0"/>
              <w:adjustRightInd w:val="0"/>
              <w:rPr>
                <w:bCs/>
              </w:rPr>
            </w:pPr>
            <w:r w:rsidRPr="00C20E68">
              <w:rPr>
                <w:bCs/>
              </w:rPr>
              <w:t xml:space="preserve">Legislative reform  </w:t>
            </w:r>
          </w:p>
        </w:tc>
      </w:tr>
      <w:tr w:rsidR="00390E1E" w:rsidRPr="00497624" w14:paraId="00FB8984" w14:textId="77777777" w:rsidTr="002E52BF">
        <w:trPr>
          <w:cnfStyle w:val="000000010000" w:firstRow="0" w:lastRow="0" w:firstColumn="0" w:lastColumn="0" w:oddVBand="0" w:evenVBand="0" w:oddHBand="0" w:evenHBand="1" w:firstRowFirstColumn="0" w:firstRowLastColumn="0" w:lastRowFirstColumn="0" w:lastRowLastColumn="0"/>
        </w:trPr>
        <w:tc>
          <w:tcPr>
            <w:tcW w:w="2068" w:type="dxa"/>
          </w:tcPr>
          <w:p w14:paraId="17B7A17F" w14:textId="2192957D" w:rsidR="00BD32E8" w:rsidRPr="00C20E68" w:rsidRDefault="00BD32E8" w:rsidP="00390E1E">
            <w:pPr>
              <w:autoSpaceDE w:val="0"/>
              <w:autoSpaceDN w:val="0"/>
              <w:adjustRightInd w:val="0"/>
              <w:rPr>
                <w:bCs/>
              </w:rPr>
            </w:pPr>
            <w:r w:rsidRPr="00C20E68">
              <w:rPr>
                <w:bCs/>
              </w:rPr>
              <w:t>Greens</w:t>
            </w:r>
          </w:p>
          <w:p w14:paraId="75239CD7" w14:textId="46E90B98" w:rsidR="00390E1E" w:rsidRPr="00C20E68" w:rsidRDefault="00FF5E51" w:rsidP="00390E1E">
            <w:pPr>
              <w:autoSpaceDE w:val="0"/>
              <w:autoSpaceDN w:val="0"/>
              <w:adjustRightInd w:val="0"/>
              <w:rPr>
                <w:bCs/>
              </w:rPr>
            </w:pPr>
            <w:r w:rsidRPr="00C20E68">
              <w:rPr>
                <w:bCs/>
              </w:rPr>
              <w:t xml:space="preserve">Recommendation </w:t>
            </w:r>
            <w:r w:rsidR="00390E1E" w:rsidRPr="00C20E68">
              <w:rPr>
                <w:bCs/>
              </w:rPr>
              <w:t>15</w:t>
            </w:r>
          </w:p>
          <w:p w14:paraId="01E6B3CE" w14:textId="77777777" w:rsidR="000F1AC2" w:rsidRPr="00C20E68" w:rsidRDefault="000F1AC2" w:rsidP="000F1AC2">
            <w:pPr>
              <w:autoSpaceDE w:val="0"/>
              <w:autoSpaceDN w:val="0"/>
              <w:adjustRightInd w:val="0"/>
              <w:rPr>
                <w:bCs/>
              </w:rPr>
            </w:pPr>
            <w:r w:rsidRPr="00C20E68">
              <w:rPr>
                <w:bCs/>
              </w:rPr>
              <w:t>Paragraph 1.74</w:t>
            </w:r>
          </w:p>
          <w:p w14:paraId="47BAEB82" w14:textId="4C392263" w:rsidR="000F1AC2" w:rsidRPr="00C20E68" w:rsidRDefault="000F1AC2" w:rsidP="000F1AC2">
            <w:pPr>
              <w:autoSpaceDE w:val="0"/>
              <w:autoSpaceDN w:val="0"/>
              <w:adjustRightInd w:val="0"/>
              <w:rPr>
                <w:bCs/>
              </w:rPr>
            </w:pPr>
            <w:r w:rsidRPr="00C20E68">
              <w:rPr>
                <w:bCs/>
              </w:rPr>
              <w:t xml:space="preserve">Page 111 </w:t>
            </w:r>
          </w:p>
        </w:tc>
        <w:tc>
          <w:tcPr>
            <w:tcW w:w="3102" w:type="dxa"/>
          </w:tcPr>
          <w:p w14:paraId="68E9B5A3" w14:textId="1574B51C" w:rsidR="00390E1E" w:rsidRPr="00497624" w:rsidRDefault="00390E1E" w:rsidP="00390E1E">
            <w:pPr>
              <w:autoSpaceDE w:val="0"/>
              <w:autoSpaceDN w:val="0"/>
              <w:adjustRightInd w:val="0"/>
              <w:rPr>
                <w:bCs/>
              </w:rPr>
            </w:pPr>
            <w:r w:rsidRPr="00497624">
              <w:rPr>
                <w:bCs/>
              </w:rPr>
              <w:t xml:space="preserve">Australian Greens Senators recommend that the </w:t>
            </w:r>
            <w:r w:rsidRPr="00497624">
              <w:rPr>
                <w:bCs/>
                <w:i/>
                <w:iCs/>
              </w:rPr>
              <w:t xml:space="preserve">Environment Protection and Biodiversity Conservation Act 1999 </w:t>
            </w:r>
            <w:r w:rsidRPr="00497624">
              <w:rPr>
                <w:bCs/>
              </w:rPr>
              <w:t>be amended to require the Minister or their delegate to consider the cumulative effects when approving decisions.</w:t>
            </w:r>
          </w:p>
          <w:p w14:paraId="68EA1F21" w14:textId="77777777" w:rsidR="00390E1E" w:rsidRPr="00497624" w:rsidRDefault="00390E1E" w:rsidP="00390E1E">
            <w:pPr>
              <w:autoSpaceDE w:val="0"/>
              <w:autoSpaceDN w:val="0"/>
              <w:adjustRightInd w:val="0"/>
              <w:rPr>
                <w:bCs/>
              </w:rPr>
            </w:pPr>
          </w:p>
        </w:tc>
        <w:tc>
          <w:tcPr>
            <w:tcW w:w="4323" w:type="dxa"/>
          </w:tcPr>
          <w:p w14:paraId="40AD46FD" w14:textId="765D0C5D" w:rsidR="007837BE" w:rsidRPr="007837BE" w:rsidRDefault="007837BE" w:rsidP="007837BE">
            <w:pPr>
              <w:autoSpaceDE w:val="0"/>
              <w:autoSpaceDN w:val="0"/>
              <w:rPr>
                <w:b/>
                <w:bCs/>
              </w:rPr>
            </w:pPr>
            <w:r w:rsidRPr="007837BE">
              <w:rPr>
                <w:b/>
                <w:bCs/>
              </w:rPr>
              <w:t xml:space="preserve">Noted </w:t>
            </w:r>
          </w:p>
          <w:p w14:paraId="68C9F8BC" w14:textId="4D9BFD6E" w:rsidR="007837BE" w:rsidRDefault="007837BE" w:rsidP="007837BE">
            <w:pPr>
              <w:autoSpaceDE w:val="0"/>
              <w:autoSpaceDN w:val="0"/>
              <w:rPr>
                <w:sz w:val="22"/>
                <w:szCs w:val="22"/>
              </w:rPr>
            </w:pPr>
            <w:r>
              <w:rPr>
                <w:bCs/>
              </w:rPr>
              <w:t>T</w:t>
            </w:r>
            <w:r>
              <w:t xml:space="preserve">he </w:t>
            </w:r>
            <w:r w:rsidR="00680771">
              <w:t xml:space="preserve">EPBC Act </w:t>
            </w:r>
            <w:r>
              <w:t>is the Australian Government’s central piece of environmental legislation. It provides a legal framework to protect and manage nationally and internationally important flora, fauna, ecological communities and heritage places – defined in the EPBC Act as matters of national environmental significance.</w:t>
            </w:r>
          </w:p>
          <w:p w14:paraId="2758318B" w14:textId="77777777" w:rsidR="007837BE" w:rsidRDefault="007837BE" w:rsidP="007837BE">
            <w:pPr>
              <w:autoSpaceDE w:val="0"/>
              <w:autoSpaceDN w:val="0"/>
            </w:pPr>
          </w:p>
          <w:p w14:paraId="7D7174E3" w14:textId="5D5A5D78" w:rsidR="007837BE" w:rsidRDefault="007837BE" w:rsidP="007837BE">
            <w:pPr>
              <w:autoSpaceDE w:val="0"/>
              <w:autoSpaceDN w:val="0"/>
            </w:pPr>
            <w:r>
              <w:t>The Minister may consider cumulative impacts of a range of activities when deciding whether an action requires approval under the EPBC Act, to the extent that those cumulative impacts form part</w:t>
            </w:r>
            <w:r w:rsidR="00633F77">
              <w:t xml:space="preserve"> of the context of the action. </w:t>
            </w:r>
          </w:p>
          <w:p w14:paraId="049E2F0A" w14:textId="77777777" w:rsidR="007837BE" w:rsidRDefault="007837BE" w:rsidP="007837BE">
            <w:pPr>
              <w:autoSpaceDE w:val="0"/>
              <w:autoSpaceDN w:val="0"/>
            </w:pPr>
          </w:p>
          <w:p w14:paraId="39AEC655" w14:textId="1296E502" w:rsidR="00874147" w:rsidRPr="00497624" w:rsidRDefault="007837BE" w:rsidP="00164327">
            <w:pPr>
              <w:autoSpaceDE w:val="0"/>
              <w:autoSpaceDN w:val="0"/>
              <w:adjustRightInd w:val="0"/>
              <w:rPr>
                <w:bCs/>
              </w:rPr>
            </w:pPr>
            <w:r>
              <w:t>The next statutory review of the</w:t>
            </w:r>
            <w:r w:rsidR="00EB016B">
              <w:t xml:space="preserve"> EPBC Act</w:t>
            </w:r>
            <w:r>
              <w:rPr>
                <w:i/>
                <w:iCs/>
              </w:rPr>
              <w:t xml:space="preserve"> </w:t>
            </w:r>
            <w:r>
              <w:t>commence</w:t>
            </w:r>
            <w:r w:rsidR="00164327">
              <w:t>d</w:t>
            </w:r>
            <w:r>
              <w:t xml:space="preserve"> </w:t>
            </w:r>
            <w:r w:rsidR="00164327">
              <w:t xml:space="preserve">October 2019. The review </w:t>
            </w:r>
            <w:r>
              <w:t>will examine the operation of the Act, and the extent to which its objects have been achieved. While the Government has not yet determine</w:t>
            </w:r>
            <w:r w:rsidR="001363D8">
              <w:t>d</w:t>
            </w:r>
            <w:r>
              <w:t xml:space="preserve"> the scope of the review, issues such as </w:t>
            </w:r>
            <w:r w:rsidR="001363D8">
              <w:t>consideration of cumulative</w:t>
            </w:r>
            <w:r>
              <w:t xml:space="preserve"> effects under the EPBC Act</w:t>
            </w:r>
            <w:r w:rsidR="001363D8">
              <w:t>,</w:t>
            </w:r>
            <w:r>
              <w:t xml:space="preserve"> may be examined</w:t>
            </w:r>
            <w:r w:rsidR="001363D8">
              <w:t>.</w:t>
            </w:r>
            <w:r>
              <w:t xml:space="preserve"> </w:t>
            </w:r>
          </w:p>
        </w:tc>
      </w:tr>
    </w:tbl>
    <w:p w14:paraId="2E892B62" w14:textId="77777777" w:rsidR="009E41D5" w:rsidRPr="009E41D5" w:rsidRDefault="009E41D5" w:rsidP="00874147"/>
    <w:sectPr w:rsidR="009E41D5" w:rsidRPr="009E41D5" w:rsidSect="003D7CC5">
      <w:footerReference w:type="default" r:id="rId12"/>
      <w:pgSz w:w="11906" w:h="16838" w:code="9"/>
      <w:pgMar w:top="1440" w:right="1416" w:bottom="1135" w:left="1440" w:header="709" w:footer="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D4239" w14:textId="77777777" w:rsidR="000F1AC2" w:rsidRDefault="000F1AC2">
      <w:r>
        <w:separator/>
      </w:r>
    </w:p>
  </w:endnote>
  <w:endnote w:type="continuationSeparator" w:id="0">
    <w:p w14:paraId="670D423B" w14:textId="77777777" w:rsidR="000F1AC2" w:rsidRDefault="000F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4234" w14:textId="77777777" w:rsidR="000F1AC2" w:rsidRDefault="000F1AC2" w:rsidP="00194EFC">
    <w:pPr>
      <w:pStyle w:val="Footer"/>
      <w:jc w:val="center"/>
    </w:pPr>
    <w:r>
      <w:fldChar w:fldCharType="begin"/>
    </w:r>
    <w:r>
      <w:instrText xml:space="preserve"> PAGE  \* Arabic  \* MERGEFORMAT </w:instrText>
    </w:r>
    <w:r>
      <w:fldChar w:fldCharType="separate"/>
    </w:r>
    <w:r w:rsidR="00357A4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D4235" w14:textId="77777777" w:rsidR="000F1AC2" w:rsidRDefault="000F1AC2">
      <w:r>
        <w:separator/>
      </w:r>
    </w:p>
  </w:footnote>
  <w:footnote w:type="continuationSeparator" w:id="0">
    <w:p w14:paraId="670D4237" w14:textId="77777777" w:rsidR="000F1AC2" w:rsidRDefault="000F1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1AD1"/>
    <w:multiLevelType w:val="hybridMultilevel"/>
    <w:tmpl w:val="F7ECBF48"/>
    <w:lvl w:ilvl="0" w:tplc="E0E07BB2">
      <w:start w:val="1"/>
      <w:numFmt w:val="bullet"/>
      <w:lvlText w:val=""/>
      <w:lvlJc w:val="left"/>
      <w:pPr>
        <w:ind w:left="720" w:hanging="360"/>
      </w:pPr>
      <w:rPr>
        <w:rFonts w:ascii="Symbol" w:hAnsi="Symbol" w:hint="default"/>
      </w:rPr>
    </w:lvl>
    <w:lvl w:ilvl="1" w:tplc="CB56223C">
      <w:start w:val="1"/>
      <w:numFmt w:val="bullet"/>
      <w:lvlText w:val="o"/>
      <w:lvlJc w:val="left"/>
      <w:pPr>
        <w:ind w:left="1440" w:hanging="360"/>
      </w:pPr>
      <w:rPr>
        <w:rFonts w:ascii="Courier New" w:hAnsi="Courier New" w:cs="Courier New" w:hint="default"/>
      </w:rPr>
    </w:lvl>
    <w:lvl w:ilvl="2" w:tplc="E19A4B6A">
      <w:start w:val="1"/>
      <w:numFmt w:val="bullet"/>
      <w:lvlText w:val=""/>
      <w:lvlJc w:val="left"/>
      <w:pPr>
        <w:ind w:left="2160" w:hanging="360"/>
      </w:pPr>
      <w:rPr>
        <w:rFonts w:ascii="Wingdings" w:hAnsi="Wingdings" w:hint="default"/>
      </w:rPr>
    </w:lvl>
    <w:lvl w:ilvl="3" w:tplc="7ED06E50">
      <w:start w:val="1"/>
      <w:numFmt w:val="bullet"/>
      <w:lvlText w:val=""/>
      <w:lvlJc w:val="left"/>
      <w:pPr>
        <w:ind w:left="2880" w:hanging="360"/>
      </w:pPr>
      <w:rPr>
        <w:rFonts w:ascii="Symbol" w:hAnsi="Symbol" w:hint="default"/>
      </w:rPr>
    </w:lvl>
    <w:lvl w:ilvl="4" w:tplc="4DEA7888">
      <w:start w:val="1"/>
      <w:numFmt w:val="bullet"/>
      <w:lvlText w:val="o"/>
      <w:lvlJc w:val="left"/>
      <w:pPr>
        <w:ind w:left="3600" w:hanging="360"/>
      </w:pPr>
      <w:rPr>
        <w:rFonts w:ascii="Courier New" w:hAnsi="Courier New" w:cs="Courier New" w:hint="default"/>
      </w:rPr>
    </w:lvl>
    <w:lvl w:ilvl="5" w:tplc="56C2AA60">
      <w:start w:val="1"/>
      <w:numFmt w:val="bullet"/>
      <w:lvlText w:val=""/>
      <w:lvlJc w:val="left"/>
      <w:pPr>
        <w:ind w:left="4320" w:hanging="360"/>
      </w:pPr>
      <w:rPr>
        <w:rFonts w:ascii="Wingdings" w:hAnsi="Wingdings" w:hint="default"/>
      </w:rPr>
    </w:lvl>
    <w:lvl w:ilvl="6" w:tplc="C6EA98C6">
      <w:start w:val="1"/>
      <w:numFmt w:val="bullet"/>
      <w:lvlText w:val=""/>
      <w:lvlJc w:val="left"/>
      <w:pPr>
        <w:ind w:left="5040" w:hanging="360"/>
      </w:pPr>
      <w:rPr>
        <w:rFonts w:ascii="Symbol" w:hAnsi="Symbol" w:hint="default"/>
      </w:rPr>
    </w:lvl>
    <w:lvl w:ilvl="7" w:tplc="5510D42E">
      <w:start w:val="1"/>
      <w:numFmt w:val="bullet"/>
      <w:lvlText w:val="o"/>
      <w:lvlJc w:val="left"/>
      <w:pPr>
        <w:ind w:left="5760" w:hanging="360"/>
      </w:pPr>
      <w:rPr>
        <w:rFonts w:ascii="Courier New" w:hAnsi="Courier New" w:cs="Courier New" w:hint="default"/>
      </w:rPr>
    </w:lvl>
    <w:lvl w:ilvl="8" w:tplc="941EB11A">
      <w:start w:val="1"/>
      <w:numFmt w:val="bullet"/>
      <w:lvlText w:val=""/>
      <w:lvlJc w:val="left"/>
      <w:pPr>
        <w:ind w:left="6480" w:hanging="360"/>
      </w:pPr>
      <w:rPr>
        <w:rFonts w:ascii="Wingdings" w:hAnsi="Wingdings" w:hint="default"/>
      </w:rPr>
    </w:lvl>
  </w:abstractNum>
  <w:abstractNum w:abstractNumId="1" w15:restartNumberingAfterBreak="0">
    <w:nsid w:val="19B02A8B"/>
    <w:multiLevelType w:val="hybridMultilevel"/>
    <w:tmpl w:val="904E723E"/>
    <w:lvl w:ilvl="0" w:tplc="51BE4244">
      <w:start w:val="1"/>
      <w:numFmt w:val="bullet"/>
      <w:lvlText w:val=""/>
      <w:lvlJc w:val="left"/>
      <w:pPr>
        <w:ind w:left="720" w:hanging="360"/>
      </w:pPr>
      <w:rPr>
        <w:rFonts w:ascii="Symbol" w:hAnsi="Symbol" w:hint="default"/>
      </w:rPr>
    </w:lvl>
    <w:lvl w:ilvl="1" w:tplc="AA448BE6" w:tentative="1">
      <w:start w:val="1"/>
      <w:numFmt w:val="bullet"/>
      <w:lvlText w:val="o"/>
      <w:lvlJc w:val="left"/>
      <w:pPr>
        <w:ind w:left="1440" w:hanging="360"/>
      </w:pPr>
      <w:rPr>
        <w:rFonts w:ascii="Courier New" w:hAnsi="Courier New" w:cs="Courier New" w:hint="default"/>
      </w:rPr>
    </w:lvl>
    <w:lvl w:ilvl="2" w:tplc="98FCAB84" w:tentative="1">
      <w:start w:val="1"/>
      <w:numFmt w:val="bullet"/>
      <w:lvlText w:val=""/>
      <w:lvlJc w:val="left"/>
      <w:pPr>
        <w:ind w:left="2160" w:hanging="360"/>
      </w:pPr>
      <w:rPr>
        <w:rFonts w:ascii="Wingdings" w:hAnsi="Wingdings" w:hint="default"/>
      </w:rPr>
    </w:lvl>
    <w:lvl w:ilvl="3" w:tplc="976E04AA" w:tentative="1">
      <w:start w:val="1"/>
      <w:numFmt w:val="bullet"/>
      <w:lvlText w:val=""/>
      <w:lvlJc w:val="left"/>
      <w:pPr>
        <w:ind w:left="2880" w:hanging="360"/>
      </w:pPr>
      <w:rPr>
        <w:rFonts w:ascii="Symbol" w:hAnsi="Symbol" w:hint="default"/>
      </w:rPr>
    </w:lvl>
    <w:lvl w:ilvl="4" w:tplc="2836FC46" w:tentative="1">
      <w:start w:val="1"/>
      <w:numFmt w:val="bullet"/>
      <w:lvlText w:val="o"/>
      <w:lvlJc w:val="left"/>
      <w:pPr>
        <w:ind w:left="3600" w:hanging="360"/>
      </w:pPr>
      <w:rPr>
        <w:rFonts w:ascii="Courier New" w:hAnsi="Courier New" w:cs="Courier New" w:hint="default"/>
      </w:rPr>
    </w:lvl>
    <w:lvl w:ilvl="5" w:tplc="9EBE5080" w:tentative="1">
      <w:start w:val="1"/>
      <w:numFmt w:val="bullet"/>
      <w:lvlText w:val=""/>
      <w:lvlJc w:val="left"/>
      <w:pPr>
        <w:ind w:left="4320" w:hanging="360"/>
      </w:pPr>
      <w:rPr>
        <w:rFonts w:ascii="Wingdings" w:hAnsi="Wingdings" w:hint="default"/>
      </w:rPr>
    </w:lvl>
    <w:lvl w:ilvl="6" w:tplc="B3B25390" w:tentative="1">
      <w:start w:val="1"/>
      <w:numFmt w:val="bullet"/>
      <w:lvlText w:val=""/>
      <w:lvlJc w:val="left"/>
      <w:pPr>
        <w:ind w:left="5040" w:hanging="360"/>
      </w:pPr>
      <w:rPr>
        <w:rFonts w:ascii="Symbol" w:hAnsi="Symbol" w:hint="default"/>
      </w:rPr>
    </w:lvl>
    <w:lvl w:ilvl="7" w:tplc="15722F8A" w:tentative="1">
      <w:start w:val="1"/>
      <w:numFmt w:val="bullet"/>
      <w:lvlText w:val="o"/>
      <w:lvlJc w:val="left"/>
      <w:pPr>
        <w:ind w:left="5760" w:hanging="360"/>
      </w:pPr>
      <w:rPr>
        <w:rFonts w:ascii="Courier New" w:hAnsi="Courier New" w:cs="Courier New" w:hint="default"/>
      </w:rPr>
    </w:lvl>
    <w:lvl w:ilvl="8" w:tplc="3F52AA08" w:tentative="1">
      <w:start w:val="1"/>
      <w:numFmt w:val="bullet"/>
      <w:lvlText w:val=""/>
      <w:lvlJc w:val="left"/>
      <w:pPr>
        <w:ind w:left="6480" w:hanging="360"/>
      </w:pPr>
      <w:rPr>
        <w:rFonts w:ascii="Wingdings" w:hAnsi="Wingdings" w:hint="default"/>
      </w:rPr>
    </w:lvl>
  </w:abstractNum>
  <w:abstractNum w:abstractNumId="2" w15:restartNumberingAfterBreak="0">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38044061"/>
    <w:multiLevelType w:val="hybridMultilevel"/>
    <w:tmpl w:val="C5F85BC8"/>
    <w:lvl w:ilvl="0" w:tplc="EC0E7D94">
      <w:numFmt w:val="bullet"/>
      <w:lvlText w:val="•"/>
      <w:lvlJc w:val="left"/>
      <w:pPr>
        <w:ind w:left="720" w:hanging="360"/>
      </w:pPr>
      <w:rPr>
        <w:rFonts w:ascii="Times New Roman" w:eastAsia="Times New Roman" w:hAnsi="Times New Roman" w:cs="Times New Roman" w:hint="default"/>
      </w:rPr>
    </w:lvl>
    <w:lvl w:ilvl="1" w:tplc="049C37B6" w:tentative="1">
      <w:start w:val="1"/>
      <w:numFmt w:val="bullet"/>
      <w:lvlText w:val="o"/>
      <w:lvlJc w:val="left"/>
      <w:pPr>
        <w:ind w:left="1440" w:hanging="360"/>
      </w:pPr>
      <w:rPr>
        <w:rFonts w:ascii="Courier New" w:hAnsi="Courier New" w:cs="Courier New" w:hint="default"/>
      </w:rPr>
    </w:lvl>
    <w:lvl w:ilvl="2" w:tplc="9402B362" w:tentative="1">
      <w:start w:val="1"/>
      <w:numFmt w:val="bullet"/>
      <w:lvlText w:val=""/>
      <w:lvlJc w:val="left"/>
      <w:pPr>
        <w:ind w:left="2160" w:hanging="360"/>
      </w:pPr>
      <w:rPr>
        <w:rFonts w:ascii="Wingdings" w:hAnsi="Wingdings" w:hint="default"/>
      </w:rPr>
    </w:lvl>
    <w:lvl w:ilvl="3" w:tplc="5D505272" w:tentative="1">
      <w:start w:val="1"/>
      <w:numFmt w:val="bullet"/>
      <w:lvlText w:val=""/>
      <w:lvlJc w:val="left"/>
      <w:pPr>
        <w:ind w:left="2880" w:hanging="360"/>
      </w:pPr>
      <w:rPr>
        <w:rFonts w:ascii="Symbol" w:hAnsi="Symbol" w:hint="default"/>
      </w:rPr>
    </w:lvl>
    <w:lvl w:ilvl="4" w:tplc="3FBEA6E2" w:tentative="1">
      <w:start w:val="1"/>
      <w:numFmt w:val="bullet"/>
      <w:lvlText w:val="o"/>
      <w:lvlJc w:val="left"/>
      <w:pPr>
        <w:ind w:left="3600" w:hanging="360"/>
      </w:pPr>
      <w:rPr>
        <w:rFonts w:ascii="Courier New" w:hAnsi="Courier New" w:cs="Courier New" w:hint="default"/>
      </w:rPr>
    </w:lvl>
    <w:lvl w:ilvl="5" w:tplc="C35426AC" w:tentative="1">
      <w:start w:val="1"/>
      <w:numFmt w:val="bullet"/>
      <w:lvlText w:val=""/>
      <w:lvlJc w:val="left"/>
      <w:pPr>
        <w:ind w:left="4320" w:hanging="360"/>
      </w:pPr>
      <w:rPr>
        <w:rFonts w:ascii="Wingdings" w:hAnsi="Wingdings" w:hint="default"/>
      </w:rPr>
    </w:lvl>
    <w:lvl w:ilvl="6" w:tplc="14B0F6C2" w:tentative="1">
      <w:start w:val="1"/>
      <w:numFmt w:val="bullet"/>
      <w:lvlText w:val=""/>
      <w:lvlJc w:val="left"/>
      <w:pPr>
        <w:ind w:left="5040" w:hanging="360"/>
      </w:pPr>
      <w:rPr>
        <w:rFonts w:ascii="Symbol" w:hAnsi="Symbol" w:hint="default"/>
      </w:rPr>
    </w:lvl>
    <w:lvl w:ilvl="7" w:tplc="1BA87C92" w:tentative="1">
      <w:start w:val="1"/>
      <w:numFmt w:val="bullet"/>
      <w:lvlText w:val="o"/>
      <w:lvlJc w:val="left"/>
      <w:pPr>
        <w:ind w:left="5760" w:hanging="360"/>
      </w:pPr>
      <w:rPr>
        <w:rFonts w:ascii="Courier New" w:hAnsi="Courier New" w:cs="Courier New" w:hint="default"/>
      </w:rPr>
    </w:lvl>
    <w:lvl w:ilvl="8" w:tplc="4D24D80A" w:tentative="1">
      <w:start w:val="1"/>
      <w:numFmt w:val="bullet"/>
      <w:lvlText w:val=""/>
      <w:lvlJc w:val="left"/>
      <w:pPr>
        <w:ind w:left="6480" w:hanging="360"/>
      </w:pPr>
      <w:rPr>
        <w:rFonts w:ascii="Wingdings" w:hAnsi="Wingdings" w:hint="default"/>
      </w:rPr>
    </w:lvl>
  </w:abstractNum>
  <w:abstractNum w:abstractNumId="4" w15:restartNumberingAfterBreak="0">
    <w:nsid w:val="435A0FFF"/>
    <w:multiLevelType w:val="hybridMultilevel"/>
    <w:tmpl w:val="982E8B04"/>
    <w:lvl w:ilvl="0" w:tplc="68E0E9BC">
      <w:start w:val="1"/>
      <w:numFmt w:val="bullet"/>
      <w:lvlText w:val=""/>
      <w:lvlJc w:val="left"/>
      <w:pPr>
        <w:ind w:left="720" w:hanging="360"/>
      </w:pPr>
      <w:rPr>
        <w:rFonts w:ascii="Symbol" w:hAnsi="Symbol" w:hint="default"/>
      </w:rPr>
    </w:lvl>
    <w:lvl w:ilvl="1" w:tplc="75CE0594" w:tentative="1">
      <w:start w:val="1"/>
      <w:numFmt w:val="bullet"/>
      <w:lvlText w:val="o"/>
      <w:lvlJc w:val="left"/>
      <w:pPr>
        <w:ind w:left="1440" w:hanging="360"/>
      </w:pPr>
      <w:rPr>
        <w:rFonts w:ascii="Courier New" w:hAnsi="Courier New" w:cs="Courier New" w:hint="default"/>
      </w:rPr>
    </w:lvl>
    <w:lvl w:ilvl="2" w:tplc="6B60E46A" w:tentative="1">
      <w:start w:val="1"/>
      <w:numFmt w:val="bullet"/>
      <w:lvlText w:val=""/>
      <w:lvlJc w:val="left"/>
      <w:pPr>
        <w:ind w:left="2160" w:hanging="360"/>
      </w:pPr>
      <w:rPr>
        <w:rFonts w:ascii="Wingdings" w:hAnsi="Wingdings" w:hint="default"/>
      </w:rPr>
    </w:lvl>
    <w:lvl w:ilvl="3" w:tplc="3B905528" w:tentative="1">
      <w:start w:val="1"/>
      <w:numFmt w:val="bullet"/>
      <w:lvlText w:val=""/>
      <w:lvlJc w:val="left"/>
      <w:pPr>
        <w:ind w:left="2880" w:hanging="360"/>
      </w:pPr>
      <w:rPr>
        <w:rFonts w:ascii="Symbol" w:hAnsi="Symbol" w:hint="default"/>
      </w:rPr>
    </w:lvl>
    <w:lvl w:ilvl="4" w:tplc="42285CCE" w:tentative="1">
      <w:start w:val="1"/>
      <w:numFmt w:val="bullet"/>
      <w:lvlText w:val="o"/>
      <w:lvlJc w:val="left"/>
      <w:pPr>
        <w:ind w:left="3600" w:hanging="360"/>
      </w:pPr>
      <w:rPr>
        <w:rFonts w:ascii="Courier New" w:hAnsi="Courier New" w:cs="Courier New" w:hint="default"/>
      </w:rPr>
    </w:lvl>
    <w:lvl w:ilvl="5" w:tplc="BA9C96B6" w:tentative="1">
      <w:start w:val="1"/>
      <w:numFmt w:val="bullet"/>
      <w:lvlText w:val=""/>
      <w:lvlJc w:val="left"/>
      <w:pPr>
        <w:ind w:left="4320" w:hanging="360"/>
      </w:pPr>
      <w:rPr>
        <w:rFonts w:ascii="Wingdings" w:hAnsi="Wingdings" w:hint="default"/>
      </w:rPr>
    </w:lvl>
    <w:lvl w:ilvl="6" w:tplc="579A22E2" w:tentative="1">
      <w:start w:val="1"/>
      <w:numFmt w:val="bullet"/>
      <w:lvlText w:val=""/>
      <w:lvlJc w:val="left"/>
      <w:pPr>
        <w:ind w:left="5040" w:hanging="360"/>
      </w:pPr>
      <w:rPr>
        <w:rFonts w:ascii="Symbol" w:hAnsi="Symbol" w:hint="default"/>
      </w:rPr>
    </w:lvl>
    <w:lvl w:ilvl="7" w:tplc="967698FE" w:tentative="1">
      <w:start w:val="1"/>
      <w:numFmt w:val="bullet"/>
      <w:lvlText w:val="o"/>
      <w:lvlJc w:val="left"/>
      <w:pPr>
        <w:ind w:left="5760" w:hanging="360"/>
      </w:pPr>
      <w:rPr>
        <w:rFonts w:ascii="Courier New" w:hAnsi="Courier New" w:cs="Courier New" w:hint="default"/>
      </w:rPr>
    </w:lvl>
    <w:lvl w:ilvl="8" w:tplc="DBDC1D16" w:tentative="1">
      <w:start w:val="1"/>
      <w:numFmt w:val="bullet"/>
      <w:lvlText w:val=""/>
      <w:lvlJc w:val="left"/>
      <w:pPr>
        <w:ind w:left="6480" w:hanging="360"/>
      </w:pPr>
      <w:rPr>
        <w:rFonts w:ascii="Wingdings" w:hAnsi="Wingdings" w:hint="default"/>
      </w:rPr>
    </w:lvl>
  </w:abstractNum>
  <w:abstractNum w:abstractNumId="5" w15:restartNumberingAfterBreak="0">
    <w:nsid w:val="4804059B"/>
    <w:multiLevelType w:val="hybridMultilevel"/>
    <w:tmpl w:val="C1A6B9A4"/>
    <w:lvl w:ilvl="0" w:tplc="A4027AF4">
      <w:start w:val="1"/>
      <w:numFmt w:val="upperLetter"/>
      <w:pStyle w:val="LegalRecitals"/>
      <w:lvlText w:val="%1."/>
      <w:lvlJc w:val="left"/>
      <w:pPr>
        <w:ind w:left="720" w:hanging="360"/>
      </w:pPr>
      <w:rPr>
        <w:rFonts w:ascii="Arial" w:hAnsi="Arial" w:cs="Times New Roman" w:hint="default"/>
        <w:b w:val="0"/>
        <w:i w:val="0"/>
        <w:sz w:val="22"/>
      </w:rPr>
    </w:lvl>
    <w:lvl w:ilvl="1" w:tplc="4E72D532">
      <w:start w:val="1"/>
      <w:numFmt w:val="lowerLetter"/>
      <w:lvlText w:val="%2."/>
      <w:lvlJc w:val="left"/>
      <w:pPr>
        <w:ind w:left="1440" w:hanging="360"/>
      </w:pPr>
    </w:lvl>
    <w:lvl w:ilvl="2" w:tplc="98523126">
      <w:start w:val="1"/>
      <w:numFmt w:val="lowerRoman"/>
      <w:lvlText w:val="%3."/>
      <w:lvlJc w:val="right"/>
      <w:pPr>
        <w:ind w:left="2160" w:hanging="180"/>
      </w:pPr>
    </w:lvl>
    <w:lvl w:ilvl="3" w:tplc="F3521FEA">
      <w:start w:val="1"/>
      <w:numFmt w:val="decimal"/>
      <w:lvlText w:val="%4."/>
      <w:lvlJc w:val="left"/>
      <w:pPr>
        <w:ind w:left="2880" w:hanging="360"/>
      </w:pPr>
    </w:lvl>
    <w:lvl w:ilvl="4" w:tplc="CDE4398C">
      <w:start w:val="1"/>
      <w:numFmt w:val="lowerLetter"/>
      <w:lvlText w:val="%5."/>
      <w:lvlJc w:val="left"/>
      <w:pPr>
        <w:ind w:left="3600" w:hanging="360"/>
      </w:pPr>
    </w:lvl>
    <w:lvl w:ilvl="5" w:tplc="1DB29438">
      <w:start w:val="1"/>
      <w:numFmt w:val="lowerRoman"/>
      <w:lvlText w:val="%6."/>
      <w:lvlJc w:val="right"/>
      <w:pPr>
        <w:ind w:left="4320" w:hanging="180"/>
      </w:pPr>
    </w:lvl>
    <w:lvl w:ilvl="6" w:tplc="BAAAC500">
      <w:start w:val="1"/>
      <w:numFmt w:val="decimal"/>
      <w:lvlText w:val="%7."/>
      <w:lvlJc w:val="left"/>
      <w:pPr>
        <w:ind w:left="5040" w:hanging="360"/>
      </w:pPr>
    </w:lvl>
    <w:lvl w:ilvl="7" w:tplc="3B4067E6">
      <w:start w:val="1"/>
      <w:numFmt w:val="lowerLetter"/>
      <w:lvlText w:val="%8."/>
      <w:lvlJc w:val="left"/>
      <w:pPr>
        <w:ind w:left="5760" w:hanging="360"/>
      </w:pPr>
    </w:lvl>
    <w:lvl w:ilvl="8" w:tplc="3FD8BD40">
      <w:start w:val="1"/>
      <w:numFmt w:val="lowerRoman"/>
      <w:lvlText w:val="%9."/>
      <w:lvlJc w:val="right"/>
      <w:pPr>
        <w:ind w:left="6480" w:hanging="180"/>
      </w:pPr>
    </w:lvl>
  </w:abstractNum>
  <w:abstractNum w:abstractNumId="6" w15:restartNumberingAfterBreak="0">
    <w:nsid w:val="5F4A744C"/>
    <w:multiLevelType w:val="hybridMultilevel"/>
    <w:tmpl w:val="50C611B2"/>
    <w:lvl w:ilvl="0" w:tplc="B55CFD22">
      <w:start w:val="1"/>
      <w:numFmt w:val="decimal"/>
      <w:lvlText w:val="%1."/>
      <w:lvlJc w:val="left"/>
      <w:pPr>
        <w:ind w:left="1080" w:hanging="720"/>
      </w:pPr>
      <w:rPr>
        <w:rFonts w:hint="default"/>
      </w:rPr>
    </w:lvl>
    <w:lvl w:ilvl="1" w:tplc="9E64F0B0">
      <w:start w:val="1"/>
      <w:numFmt w:val="lowerLetter"/>
      <w:lvlText w:val="%2."/>
      <w:lvlJc w:val="left"/>
      <w:pPr>
        <w:ind w:left="1440" w:hanging="360"/>
      </w:pPr>
    </w:lvl>
    <w:lvl w:ilvl="2" w:tplc="1F4ACC48" w:tentative="1">
      <w:start w:val="1"/>
      <w:numFmt w:val="lowerRoman"/>
      <w:lvlText w:val="%3."/>
      <w:lvlJc w:val="right"/>
      <w:pPr>
        <w:ind w:left="2160" w:hanging="180"/>
      </w:pPr>
    </w:lvl>
    <w:lvl w:ilvl="3" w:tplc="5E4E2AC2" w:tentative="1">
      <w:start w:val="1"/>
      <w:numFmt w:val="decimal"/>
      <w:lvlText w:val="%4."/>
      <w:lvlJc w:val="left"/>
      <w:pPr>
        <w:ind w:left="2880" w:hanging="360"/>
      </w:pPr>
    </w:lvl>
    <w:lvl w:ilvl="4" w:tplc="B044C44A" w:tentative="1">
      <w:start w:val="1"/>
      <w:numFmt w:val="lowerLetter"/>
      <w:lvlText w:val="%5."/>
      <w:lvlJc w:val="left"/>
      <w:pPr>
        <w:ind w:left="3600" w:hanging="360"/>
      </w:pPr>
    </w:lvl>
    <w:lvl w:ilvl="5" w:tplc="C0284882" w:tentative="1">
      <w:start w:val="1"/>
      <w:numFmt w:val="lowerRoman"/>
      <w:lvlText w:val="%6."/>
      <w:lvlJc w:val="right"/>
      <w:pPr>
        <w:ind w:left="4320" w:hanging="180"/>
      </w:pPr>
    </w:lvl>
    <w:lvl w:ilvl="6" w:tplc="226E2D40" w:tentative="1">
      <w:start w:val="1"/>
      <w:numFmt w:val="decimal"/>
      <w:lvlText w:val="%7."/>
      <w:lvlJc w:val="left"/>
      <w:pPr>
        <w:ind w:left="5040" w:hanging="360"/>
      </w:pPr>
    </w:lvl>
    <w:lvl w:ilvl="7" w:tplc="7AF80CD0" w:tentative="1">
      <w:start w:val="1"/>
      <w:numFmt w:val="lowerLetter"/>
      <w:lvlText w:val="%8."/>
      <w:lvlJc w:val="left"/>
      <w:pPr>
        <w:ind w:left="5760" w:hanging="360"/>
      </w:pPr>
    </w:lvl>
    <w:lvl w:ilvl="8" w:tplc="DFBA7AA0" w:tentative="1">
      <w:start w:val="1"/>
      <w:numFmt w:val="lowerRoman"/>
      <w:lvlText w:val="%9."/>
      <w:lvlJc w:val="right"/>
      <w:pPr>
        <w:ind w:left="6480" w:hanging="180"/>
      </w:pPr>
    </w:lvl>
  </w:abstractNum>
  <w:abstractNum w:abstractNumId="7" w15:restartNumberingAfterBreak="0">
    <w:nsid w:val="60183C0A"/>
    <w:multiLevelType w:val="hybridMultilevel"/>
    <w:tmpl w:val="07129C3A"/>
    <w:lvl w:ilvl="0" w:tplc="79183024">
      <w:start w:val="1"/>
      <w:numFmt w:val="bullet"/>
      <w:lvlText w:val=""/>
      <w:lvlJc w:val="left"/>
      <w:pPr>
        <w:ind w:left="720" w:hanging="360"/>
      </w:pPr>
      <w:rPr>
        <w:rFonts w:ascii="Symbol" w:hAnsi="Symbol" w:hint="default"/>
      </w:rPr>
    </w:lvl>
    <w:lvl w:ilvl="1" w:tplc="1A44E9F0" w:tentative="1">
      <w:start w:val="1"/>
      <w:numFmt w:val="bullet"/>
      <w:lvlText w:val="o"/>
      <w:lvlJc w:val="left"/>
      <w:pPr>
        <w:ind w:left="1440" w:hanging="360"/>
      </w:pPr>
      <w:rPr>
        <w:rFonts w:ascii="Courier New" w:hAnsi="Courier New" w:cs="Courier New" w:hint="default"/>
      </w:rPr>
    </w:lvl>
    <w:lvl w:ilvl="2" w:tplc="385A4ACA" w:tentative="1">
      <w:start w:val="1"/>
      <w:numFmt w:val="bullet"/>
      <w:lvlText w:val=""/>
      <w:lvlJc w:val="left"/>
      <w:pPr>
        <w:ind w:left="2160" w:hanging="360"/>
      </w:pPr>
      <w:rPr>
        <w:rFonts w:ascii="Wingdings" w:hAnsi="Wingdings" w:hint="default"/>
      </w:rPr>
    </w:lvl>
    <w:lvl w:ilvl="3" w:tplc="856E6998" w:tentative="1">
      <w:start w:val="1"/>
      <w:numFmt w:val="bullet"/>
      <w:lvlText w:val=""/>
      <w:lvlJc w:val="left"/>
      <w:pPr>
        <w:ind w:left="2880" w:hanging="360"/>
      </w:pPr>
      <w:rPr>
        <w:rFonts w:ascii="Symbol" w:hAnsi="Symbol" w:hint="default"/>
      </w:rPr>
    </w:lvl>
    <w:lvl w:ilvl="4" w:tplc="7BDE5A88" w:tentative="1">
      <w:start w:val="1"/>
      <w:numFmt w:val="bullet"/>
      <w:lvlText w:val="o"/>
      <w:lvlJc w:val="left"/>
      <w:pPr>
        <w:ind w:left="3600" w:hanging="360"/>
      </w:pPr>
      <w:rPr>
        <w:rFonts w:ascii="Courier New" w:hAnsi="Courier New" w:cs="Courier New" w:hint="default"/>
      </w:rPr>
    </w:lvl>
    <w:lvl w:ilvl="5" w:tplc="8582473E" w:tentative="1">
      <w:start w:val="1"/>
      <w:numFmt w:val="bullet"/>
      <w:lvlText w:val=""/>
      <w:lvlJc w:val="left"/>
      <w:pPr>
        <w:ind w:left="4320" w:hanging="360"/>
      </w:pPr>
      <w:rPr>
        <w:rFonts w:ascii="Wingdings" w:hAnsi="Wingdings" w:hint="default"/>
      </w:rPr>
    </w:lvl>
    <w:lvl w:ilvl="6" w:tplc="88800546" w:tentative="1">
      <w:start w:val="1"/>
      <w:numFmt w:val="bullet"/>
      <w:lvlText w:val=""/>
      <w:lvlJc w:val="left"/>
      <w:pPr>
        <w:ind w:left="5040" w:hanging="360"/>
      </w:pPr>
      <w:rPr>
        <w:rFonts w:ascii="Symbol" w:hAnsi="Symbol" w:hint="default"/>
      </w:rPr>
    </w:lvl>
    <w:lvl w:ilvl="7" w:tplc="AB74334E" w:tentative="1">
      <w:start w:val="1"/>
      <w:numFmt w:val="bullet"/>
      <w:lvlText w:val="o"/>
      <w:lvlJc w:val="left"/>
      <w:pPr>
        <w:ind w:left="5760" w:hanging="360"/>
      </w:pPr>
      <w:rPr>
        <w:rFonts w:ascii="Courier New" w:hAnsi="Courier New" w:cs="Courier New" w:hint="default"/>
      </w:rPr>
    </w:lvl>
    <w:lvl w:ilvl="8" w:tplc="A9E8D546" w:tentative="1">
      <w:start w:val="1"/>
      <w:numFmt w:val="bullet"/>
      <w:lvlText w:val=""/>
      <w:lvlJc w:val="left"/>
      <w:pPr>
        <w:ind w:left="6480" w:hanging="360"/>
      </w:pPr>
      <w:rPr>
        <w:rFonts w:ascii="Wingdings" w:hAnsi="Wingdings" w:hint="default"/>
      </w:rPr>
    </w:lvl>
  </w:abstractNum>
  <w:abstractNum w:abstractNumId="8" w15:restartNumberingAfterBreak="0">
    <w:nsid w:val="681C3F59"/>
    <w:multiLevelType w:val="multilevel"/>
    <w:tmpl w:val="5D40F60C"/>
    <w:lvl w:ilvl="0">
      <w:start w:val="1"/>
      <w:numFmt w:val="decimal"/>
      <w:pStyle w:val="LegalClauseLevel1"/>
      <w:lvlText w:val="%1."/>
      <w:lvlJc w:val="left"/>
      <w:pPr>
        <w:tabs>
          <w:tab w:val="num" w:pos="851"/>
        </w:tabs>
        <w:ind w:left="851" w:hanging="851"/>
      </w:pPr>
      <w:rPr>
        <w:b/>
        <w:sz w:val="28"/>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pStyle w:val="LegalClauseLevel3"/>
      <w:lvlText w:val="(%3)"/>
      <w:lvlJc w:val="left"/>
      <w:pPr>
        <w:tabs>
          <w:tab w:val="num" w:pos="1418"/>
        </w:tabs>
        <w:ind w:left="1418" w:hanging="567"/>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specVanish w:val="0"/>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DE69F1"/>
    <w:multiLevelType w:val="multilevel"/>
    <w:tmpl w:val="2E0E3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0D7319D"/>
    <w:multiLevelType w:val="hybridMultilevel"/>
    <w:tmpl w:val="1EAE6126"/>
    <w:lvl w:ilvl="0" w:tplc="0BCAAD56">
      <w:start w:val="1"/>
      <w:numFmt w:val="bullet"/>
      <w:lvlText w:val=""/>
      <w:lvlJc w:val="left"/>
      <w:pPr>
        <w:ind w:left="720" w:hanging="360"/>
      </w:pPr>
      <w:rPr>
        <w:rFonts w:ascii="Symbol" w:hAnsi="Symbol" w:hint="default"/>
      </w:rPr>
    </w:lvl>
    <w:lvl w:ilvl="1" w:tplc="49965AEC">
      <w:start w:val="1"/>
      <w:numFmt w:val="bullet"/>
      <w:lvlText w:val="o"/>
      <w:lvlJc w:val="left"/>
      <w:pPr>
        <w:ind w:left="1440" w:hanging="360"/>
      </w:pPr>
      <w:rPr>
        <w:rFonts w:ascii="Courier New" w:hAnsi="Courier New" w:cs="Courier New" w:hint="default"/>
      </w:rPr>
    </w:lvl>
    <w:lvl w:ilvl="2" w:tplc="7D5E1000">
      <w:start w:val="1"/>
      <w:numFmt w:val="bullet"/>
      <w:lvlText w:val=""/>
      <w:lvlJc w:val="left"/>
      <w:pPr>
        <w:ind w:left="2160" w:hanging="360"/>
      </w:pPr>
      <w:rPr>
        <w:rFonts w:ascii="Wingdings" w:hAnsi="Wingdings" w:hint="default"/>
      </w:rPr>
    </w:lvl>
    <w:lvl w:ilvl="3" w:tplc="4EB87A70">
      <w:start w:val="1"/>
      <w:numFmt w:val="bullet"/>
      <w:lvlText w:val=""/>
      <w:lvlJc w:val="left"/>
      <w:pPr>
        <w:ind w:left="2880" w:hanging="360"/>
      </w:pPr>
      <w:rPr>
        <w:rFonts w:ascii="Symbol" w:hAnsi="Symbol" w:hint="default"/>
      </w:rPr>
    </w:lvl>
    <w:lvl w:ilvl="4" w:tplc="97FE6E76">
      <w:start w:val="1"/>
      <w:numFmt w:val="bullet"/>
      <w:lvlText w:val="o"/>
      <w:lvlJc w:val="left"/>
      <w:pPr>
        <w:ind w:left="3600" w:hanging="360"/>
      </w:pPr>
      <w:rPr>
        <w:rFonts w:ascii="Courier New" w:hAnsi="Courier New" w:cs="Courier New" w:hint="default"/>
      </w:rPr>
    </w:lvl>
    <w:lvl w:ilvl="5" w:tplc="46F0CE2A">
      <w:start w:val="1"/>
      <w:numFmt w:val="bullet"/>
      <w:lvlText w:val=""/>
      <w:lvlJc w:val="left"/>
      <w:pPr>
        <w:ind w:left="4320" w:hanging="360"/>
      </w:pPr>
      <w:rPr>
        <w:rFonts w:ascii="Wingdings" w:hAnsi="Wingdings" w:hint="default"/>
      </w:rPr>
    </w:lvl>
    <w:lvl w:ilvl="6" w:tplc="B46AECD6">
      <w:start w:val="1"/>
      <w:numFmt w:val="bullet"/>
      <w:lvlText w:val=""/>
      <w:lvlJc w:val="left"/>
      <w:pPr>
        <w:ind w:left="5040" w:hanging="360"/>
      </w:pPr>
      <w:rPr>
        <w:rFonts w:ascii="Symbol" w:hAnsi="Symbol" w:hint="default"/>
      </w:rPr>
    </w:lvl>
    <w:lvl w:ilvl="7" w:tplc="7786F5FE">
      <w:start w:val="1"/>
      <w:numFmt w:val="bullet"/>
      <w:lvlText w:val="o"/>
      <w:lvlJc w:val="left"/>
      <w:pPr>
        <w:ind w:left="5760" w:hanging="360"/>
      </w:pPr>
      <w:rPr>
        <w:rFonts w:ascii="Courier New" w:hAnsi="Courier New" w:cs="Courier New" w:hint="default"/>
      </w:rPr>
    </w:lvl>
    <w:lvl w:ilvl="8" w:tplc="CFA20292">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2"/>
  </w:num>
  <w:num w:numId="5">
    <w:abstractNumId w:val="1"/>
  </w:num>
  <w:num w:numId="6">
    <w:abstractNumId w:val="7"/>
  </w:num>
  <w:num w:numId="7">
    <w:abstractNumId w:val="4"/>
  </w:num>
  <w:num w:numId="8">
    <w:abstractNumId w:val="3"/>
  </w:num>
  <w:num w:numId="9">
    <w:abstractNumId w:val="2"/>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06"/>
    <w:rsid w:val="00003B1C"/>
    <w:rsid w:val="00007B8F"/>
    <w:rsid w:val="00010BE6"/>
    <w:rsid w:val="00017DCD"/>
    <w:rsid w:val="0002088D"/>
    <w:rsid w:val="0004012D"/>
    <w:rsid w:val="000572E5"/>
    <w:rsid w:val="0006403B"/>
    <w:rsid w:val="00072301"/>
    <w:rsid w:val="0008217D"/>
    <w:rsid w:val="00087B1B"/>
    <w:rsid w:val="00095A20"/>
    <w:rsid w:val="000A2333"/>
    <w:rsid w:val="000B20CB"/>
    <w:rsid w:val="000F1AC2"/>
    <w:rsid w:val="001363D8"/>
    <w:rsid w:val="00151365"/>
    <w:rsid w:val="00156594"/>
    <w:rsid w:val="00164327"/>
    <w:rsid w:val="001903C6"/>
    <w:rsid w:val="00192F8D"/>
    <w:rsid w:val="00194EFC"/>
    <w:rsid w:val="001F7F68"/>
    <w:rsid w:val="0022337E"/>
    <w:rsid w:val="00263F58"/>
    <w:rsid w:val="00265186"/>
    <w:rsid w:val="00266702"/>
    <w:rsid w:val="002A1DC8"/>
    <w:rsid w:val="002A70AD"/>
    <w:rsid w:val="002C1CD9"/>
    <w:rsid w:val="002E52BF"/>
    <w:rsid w:val="0035088D"/>
    <w:rsid w:val="0035092E"/>
    <w:rsid w:val="00353E9A"/>
    <w:rsid w:val="00357A4C"/>
    <w:rsid w:val="00390E1E"/>
    <w:rsid w:val="003A3EFD"/>
    <w:rsid w:val="003B3DCE"/>
    <w:rsid w:val="003B6DCB"/>
    <w:rsid w:val="003C3214"/>
    <w:rsid w:val="003D0E5A"/>
    <w:rsid w:val="003D7CC5"/>
    <w:rsid w:val="00431AF3"/>
    <w:rsid w:val="0047052B"/>
    <w:rsid w:val="005009F7"/>
    <w:rsid w:val="00501FC8"/>
    <w:rsid w:val="0054642B"/>
    <w:rsid w:val="00552153"/>
    <w:rsid w:val="005573FF"/>
    <w:rsid w:val="005C54B8"/>
    <w:rsid w:val="005D06C6"/>
    <w:rsid w:val="00633F77"/>
    <w:rsid w:val="00666C28"/>
    <w:rsid w:val="00680771"/>
    <w:rsid w:val="00680F6D"/>
    <w:rsid w:val="006F1EAE"/>
    <w:rsid w:val="00703BB6"/>
    <w:rsid w:val="00714B6A"/>
    <w:rsid w:val="0072787F"/>
    <w:rsid w:val="007443BE"/>
    <w:rsid w:val="00776008"/>
    <w:rsid w:val="007837BE"/>
    <w:rsid w:val="00795138"/>
    <w:rsid w:val="007B2CBF"/>
    <w:rsid w:val="007E021B"/>
    <w:rsid w:val="007F4029"/>
    <w:rsid w:val="0083613D"/>
    <w:rsid w:val="00874147"/>
    <w:rsid w:val="008B74FB"/>
    <w:rsid w:val="008B7FDC"/>
    <w:rsid w:val="008D1957"/>
    <w:rsid w:val="008D58F5"/>
    <w:rsid w:val="008F29B3"/>
    <w:rsid w:val="00937008"/>
    <w:rsid w:val="00967BBB"/>
    <w:rsid w:val="00976D0C"/>
    <w:rsid w:val="009A4B6F"/>
    <w:rsid w:val="009B7079"/>
    <w:rsid w:val="009B768C"/>
    <w:rsid w:val="009E41D5"/>
    <w:rsid w:val="00A339F2"/>
    <w:rsid w:val="00A34D37"/>
    <w:rsid w:val="00A8525D"/>
    <w:rsid w:val="00A86352"/>
    <w:rsid w:val="00AD044A"/>
    <w:rsid w:val="00AD58E9"/>
    <w:rsid w:val="00B55AE7"/>
    <w:rsid w:val="00B770A3"/>
    <w:rsid w:val="00B92A6F"/>
    <w:rsid w:val="00BC133F"/>
    <w:rsid w:val="00BD32E8"/>
    <w:rsid w:val="00C20E68"/>
    <w:rsid w:val="00C3258F"/>
    <w:rsid w:val="00C72722"/>
    <w:rsid w:val="00C74191"/>
    <w:rsid w:val="00C832B8"/>
    <w:rsid w:val="00C87E6D"/>
    <w:rsid w:val="00C9757B"/>
    <w:rsid w:val="00CB19F2"/>
    <w:rsid w:val="00CC3902"/>
    <w:rsid w:val="00CD0A69"/>
    <w:rsid w:val="00CF45F6"/>
    <w:rsid w:val="00D05AA2"/>
    <w:rsid w:val="00D51379"/>
    <w:rsid w:val="00D65094"/>
    <w:rsid w:val="00D74C06"/>
    <w:rsid w:val="00DE1324"/>
    <w:rsid w:val="00DF664C"/>
    <w:rsid w:val="00E025BC"/>
    <w:rsid w:val="00E16433"/>
    <w:rsid w:val="00E22550"/>
    <w:rsid w:val="00E25457"/>
    <w:rsid w:val="00E667F3"/>
    <w:rsid w:val="00E81237"/>
    <w:rsid w:val="00EB016B"/>
    <w:rsid w:val="00EB5AC0"/>
    <w:rsid w:val="00EB7266"/>
    <w:rsid w:val="00ED30E3"/>
    <w:rsid w:val="00ED5BF9"/>
    <w:rsid w:val="00F175FA"/>
    <w:rsid w:val="00F2135F"/>
    <w:rsid w:val="00F25C0E"/>
    <w:rsid w:val="00F42FF7"/>
    <w:rsid w:val="00F43E34"/>
    <w:rsid w:val="00F556CF"/>
    <w:rsid w:val="00F5592F"/>
    <w:rsid w:val="00F60163"/>
    <w:rsid w:val="00FD1AAA"/>
    <w:rsid w:val="00FD2E4E"/>
    <w:rsid w:val="00FF5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70D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4A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4A69"/>
    <w:pPr>
      <w:keepNext/>
      <w:spacing w:after="200" w:line="276" w:lineRule="auto"/>
      <w:outlineLvl w:val="0"/>
    </w:pPr>
    <w:rPr>
      <w:rFonts w:ascii="Arial" w:eastAsia="Calibri" w:hAnsi="Arial" w:cs="Arial"/>
      <w:b/>
      <w:caps/>
      <w:sz w:val="22"/>
      <w:szCs w:val="22"/>
    </w:rPr>
  </w:style>
  <w:style w:type="paragraph" w:styleId="Heading2">
    <w:name w:val="heading 2"/>
    <w:basedOn w:val="Normal"/>
    <w:next w:val="Normal"/>
    <w:link w:val="Heading2Char"/>
    <w:uiPriority w:val="9"/>
    <w:qFormat/>
    <w:rsid w:val="00844A69"/>
    <w:pPr>
      <w:keepNext/>
      <w:spacing w:after="200" w:line="276" w:lineRule="auto"/>
      <w:outlineLvl w:val="1"/>
    </w:pPr>
    <w:rPr>
      <w:rFonts w:ascii="Arial" w:eastAsia="Calibri" w:hAnsi="Arial" w:cs="Arial"/>
      <w:b/>
      <w:sz w:val="22"/>
      <w:szCs w:val="22"/>
    </w:rPr>
  </w:style>
  <w:style w:type="paragraph" w:styleId="Heading3">
    <w:name w:val="heading 3"/>
    <w:basedOn w:val="Normal"/>
    <w:next w:val="Normal"/>
    <w:link w:val="Heading3Char"/>
    <w:uiPriority w:val="9"/>
    <w:semiHidden/>
    <w:unhideWhenUsed/>
    <w:qFormat/>
    <w:rsid w:val="00D25BF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A69"/>
    <w:rPr>
      <w:rFonts w:ascii="Arial" w:eastAsia="Calibri" w:hAnsi="Arial" w:cs="Arial"/>
      <w:b/>
      <w:caps/>
    </w:rPr>
  </w:style>
  <w:style w:type="character" w:customStyle="1" w:styleId="Heading2Char">
    <w:name w:val="Heading 2 Char"/>
    <w:basedOn w:val="DefaultParagraphFont"/>
    <w:link w:val="Heading2"/>
    <w:uiPriority w:val="9"/>
    <w:rsid w:val="00844A69"/>
    <w:rPr>
      <w:rFonts w:ascii="Arial" w:eastAsia="Calibri" w:hAnsi="Arial" w:cs="Arial"/>
      <w:b/>
    </w:rPr>
  </w:style>
  <w:style w:type="character" w:customStyle="1" w:styleId="Heading3Char">
    <w:name w:val="Heading 3 Char"/>
    <w:basedOn w:val="DefaultParagraphFont"/>
    <w:link w:val="Heading3"/>
    <w:uiPriority w:val="9"/>
    <w:semiHidden/>
    <w:rsid w:val="00D25BF1"/>
    <w:rPr>
      <w:rFonts w:asciiTheme="majorHAnsi" w:eastAsiaTheme="majorEastAsia" w:hAnsiTheme="majorHAnsi" w:cstheme="majorBidi"/>
      <w:color w:val="1F4D78" w:themeColor="accent1" w:themeShade="7F"/>
      <w:sz w:val="24"/>
      <w:szCs w:val="24"/>
    </w:rPr>
  </w:style>
  <w:style w:type="paragraph" w:customStyle="1" w:styleId="Default">
    <w:name w:val="Default"/>
    <w:rsid w:val="00623BDD"/>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qFormat/>
    <w:rsid w:val="008007C6"/>
    <w:pPr>
      <w:numPr>
        <w:numId w:val="3"/>
      </w:numPr>
      <w:spacing w:after="200" w:line="276" w:lineRule="auto"/>
    </w:pPr>
    <w:rPr>
      <w:rFonts w:ascii="Arial" w:eastAsiaTheme="minorHAnsi" w:hAnsi="Arial" w:cstheme="minorBidi"/>
      <w:sz w:val="22"/>
      <w:szCs w:val="22"/>
    </w:rPr>
  </w:style>
  <w:style w:type="paragraph" w:styleId="ListBullet2">
    <w:name w:val="List Bullet 2"/>
    <w:basedOn w:val="Normal"/>
    <w:uiPriority w:val="99"/>
    <w:unhideWhenUsed/>
    <w:rsid w:val="008007C6"/>
    <w:pPr>
      <w:numPr>
        <w:ilvl w:val="1"/>
        <w:numId w:val="3"/>
      </w:numPr>
      <w:spacing w:after="200" w:line="276" w:lineRule="auto"/>
    </w:pPr>
    <w:rPr>
      <w:rFonts w:ascii="Arial" w:eastAsiaTheme="minorHAnsi" w:hAnsi="Arial" w:cstheme="minorBidi"/>
      <w:sz w:val="22"/>
      <w:szCs w:val="22"/>
    </w:rPr>
  </w:style>
  <w:style w:type="paragraph" w:styleId="ListBullet3">
    <w:name w:val="List Bullet 3"/>
    <w:basedOn w:val="Normal"/>
    <w:uiPriority w:val="99"/>
    <w:unhideWhenUsed/>
    <w:rsid w:val="008007C6"/>
    <w:pPr>
      <w:numPr>
        <w:ilvl w:val="2"/>
        <w:numId w:val="3"/>
      </w:numPr>
      <w:spacing w:after="200" w:line="276" w:lineRule="auto"/>
    </w:pPr>
    <w:rPr>
      <w:rFonts w:ascii="Arial" w:eastAsiaTheme="minorHAnsi" w:hAnsi="Arial" w:cstheme="minorBidi"/>
      <w:sz w:val="22"/>
      <w:szCs w:val="22"/>
    </w:rPr>
  </w:style>
  <w:style w:type="paragraph" w:styleId="ListBullet4">
    <w:name w:val="List Bullet 4"/>
    <w:basedOn w:val="Normal"/>
    <w:uiPriority w:val="99"/>
    <w:unhideWhenUsed/>
    <w:rsid w:val="008007C6"/>
    <w:pPr>
      <w:numPr>
        <w:ilvl w:val="3"/>
        <w:numId w:val="3"/>
      </w:numPr>
      <w:spacing w:after="200" w:line="276" w:lineRule="auto"/>
    </w:pPr>
    <w:rPr>
      <w:rFonts w:ascii="Arial" w:eastAsiaTheme="minorHAnsi" w:hAnsi="Arial" w:cstheme="minorBidi"/>
      <w:sz w:val="22"/>
      <w:szCs w:val="22"/>
    </w:rPr>
  </w:style>
  <w:style w:type="paragraph" w:styleId="ListBullet5">
    <w:name w:val="List Bullet 5"/>
    <w:basedOn w:val="Normal"/>
    <w:uiPriority w:val="99"/>
    <w:unhideWhenUsed/>
    <w:rsid w:val="008007C6"/>
    <w:pPr>
      <w:numPr>
        <w:ilvl w:val="4"/>
        <w:numId w:val="3"/>
      </w:numPr>
      <w:spacing w:after="200" w:line="276" w:lineRule="auto"/>
    </w:pPr>
    <w:rPr>
      <w:rFonts w:ascii="Arial" w:eastAsiaTheme="minorHAnsi" w:hAnsi="Arial" w:cstheme="minorBidi"/>
      <w:sz w:val="22"/>
      <w:szCs w:val="22"/>
    </w:rPr>
  </w:style>
  <w:style w:type="character" w:styleId="CommentReference">
    <w:name w:val="annotation reference"/>
    <w:basedOn w:val="DefaultParagraphFont"/>
    <w:uiPriority w:val="99"/>
    <w:semiHidden/>
    <w:unhideWhenUsed/>
    <w:rsid w:val="00641B88"/>
    <w:rPr>
      <w:sz w:val="16"/>
      <w:szCs w:val="16"/>
    </w:rPr>
  </w:style>
  <w:style w:type="paragraph" w:styleId="CommentText">
    <w:name w:val="annotation text"/>
    <w:basedOn w:val="Normal"/>
    <w:link w:val="CommentTextChar"/>
    <w:uiPriority w:val="99"/>
    <w:semiHidden/>
    <w:unhideWhenUsed/>
    <w:rsid w:val="00641B88"/>
    <w:rPr>
      <w:sz w:val="20"/>
      <w:szCs w:val="20"/>
    </w:rPr>
  </w:style>
  <w:style w:type="character" w:customStyle="1" w:styleId="CommentTextChar">
    <w:name w:val="Comment Text Char"/>
    <w:basedOn w:val="DefaultParagraphFont"/>
    <w:link w:val="CommentText"/>
    <w:uiPriority w:val="99"/>
    <w:semiHidden/>
    <w:rsid w:val="00641B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1B88"/>
    <w:rPr>
      <w:b/>
      <w:bCs/>
    </w:rPr>
  </w:style>
  <w:style w:type="character" w:customStyle="1" w:styleId="CommentSubjectChar">
    <w:name w:val="Comment Subject Char"/>
    <w:basedOn w:val="CommentTextChar"/>
    <w:link w:val="CommentSubject"/>
    <w:uiPriority w:val="99"/>
    <w:semiHidden/>
    <w:rsid w:val="00641B8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1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B88"/>
    <w:rPr>
      <w:rFonts w:ascii="Segoe UI" w:eastAsia="Times New Roman" w:hAnsi="Segoe UI" w:cs="Segoe UI"/>
      <w:sz w:val="18"/>
      <w:szCs w:val="18"/>
    </w:rPr>
  </w:style>
  <w:style w:type="paragraph" w:styleId="ListParagraph">
    <w:name w:val="List Paragraph"/>
    <w:basedOn w:val="Normal"/>
    <w:uiPriority w:val="34"/>
    <w:qFormat/>
    <w:rsid w:val="00E21E8F"/>
    <w:pPr>
      <w:ind w:left="720"/>
      <w:contextualSpacing/>
    </w:pPr>
  </w:style>
  <w:style w:type="paragraph" w:styleId="Header">
    <w:name w:val="header"/>
    <w:basedOn w:val="Normal"/>
    <w:link w:val="HeaderChar"/>
    <w:uiPriority w:val="99"/>
    <w:unhideWhenUsed/>
    <w:rsid w:val="00331D6D"/>
    <w:pPr>
      <w:tabs>
        <w:tab w:val="center" w:pos="4680"/>
        <w:tab w:val="right" w:pos="9360"/>
      </w:tabs>
    </w:pPr>
  </w:style>
  <w:style w:type="character" w:customStyle="1" w:styleId="HeaderChar">
    <w:name w:val="Header Char"/>
    <w:basedOn w:val="DefaultParagraphFont"/>
    <w:link w:val="Header"/>
    <w:uiPriority w:val="99"/>
    <w:rsid w:val="00331D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1D6D"/>
    <w:pPr>
      <w:tabs>
        <w:tab w:val="center" w:pos="4680"/>
        <w:tab w:val="right" w:pos="9360"/>
      </w:tabs>
    </w:pPr>
  </w:style>
  <w:style w:type="character" w:customStyle="1" w:styleId="FooterChar">
    <w:name w:val="Footer Char"/>
    <w:basedOn w:val="DefaultParagraphFont"/>
    <w:link w:val="Footer"/>
    <w:uiPriority w:val="99"/>
    <w:rsid w:val="00331D6D"/>
    <w:rPr>
      <w:rFonts w:ascii="Times New Roman" w:eastAsia="Times New Roman" w:hAnsi="Times New Roman" w:cs="Times New Roman"/>
      <w:sz w:val="24"/>
      <w:szCs w:val="24"/>
    </w:rPr>
  </w:style>
  <w:style w:type="paragraph" w:customStyle="1" w:styleId="LegalClauseLevel1">
    <w:name w:val="Legal Clause Level 1"/>
    <w:basedOn w:val="Normal"/>
    <w:rsid w:val="00CB373B"/>
    <w:pPr>
      <w:keepNext/>
      <w:numPr>
        <w:numId w:val="11"/>
      </w:numPr>
      <w:spacing w:before="240" w:after="120"/>
      <w:ind w:left="720" w:firstLine="0"/>
    </w:pPr>
    <w:rPr>
      <w:rFonts w:ascii="Arial" w:eastAsiaTheme="minorHAnsi" w:hAnsi="Arial" w:cs="Arial"/>
      <w:b/>
      <w:bCs/>
      <w:sz w:val="32"/>
      <w:szCs w:val="32"/>
      <w:lang w:eastAsia="zh-CN"/>
    </w:rPr>
  </w:style>
  <w:style w:type="paragraph" w:customStyle="1" w:styleId="LegalClauseLevel2">
    <w:name w:val="Legal Clause Level 2"/>
    <w:basedOn w:val="Normal"/>
    <w:rsid w:val="00CB373B"/>
    <w:pPr>
      <w:keepNext/>
      <w:numPr>
        <w:ilvl w:val="1"/>
        <w:numId w:val="11"/>
      </w:numPr>
      <w:spacing w:before="120" w:after="120"/>
      <w:ind w:left="720" w:firstLine="0"/>
    </w:pPr>
    <w:rPr>
      <w:rFonts w:ascii="Arial" w:eastAsiaTheme="minorHAnsi" w:hAnsi="Arial" w:cs="Arial"/>
      <w:b/>
      <w:bCs/>
      <w:lang w:eastAsia="zh-CN"/>
    </w:rPr>
  </w:style>
  <w:style w:type="paragraph" w:customStyle="1" w:styleId="LegalClauseLevel3">
    <w:name w:val="Legal Clause Level 3"/>
    <w:basedOn w:val="Normal"/>
    <w:rsid w:val="00CB373B"/>
    <w:pPr>
      <w:numPr>
        <w:ilvl w:val="2"/>
        <w:numId w:val="11"/>
      </w:numPr>
      <w:spacing w:before="120" w:after="120"/>
      <w:ind w:left="720" w:firstLine="0"/>
    </w:pPr>
    <w:rPr>
      <w:rFonts w:ascii="Arial" w:eastAsiaTheme="minorHAnsi" w:hAnsi="Arial" w:cs="Arial"/>
      <w:sz w:val="22"/>
      <w:szCs w:val="22"/>
      <w:lang w:eastAsia="zh-CN"/>
    </w:rPr>
  </w:style>
  <w:style w:type="paragraph" w:customStyle="1" w:styleId="LegalClauseLevel4">
    <w:name w:val="Legal Clause Level 4"/>
    <w:basedOn w:val="Normal"/>
    <w:rsid w:val="00CB373B"/>
    <w:pPr>
      <w:numPr>
        <w:ilvl w:val="3"/>
        <w:numId w:val="11"/>
      </w:numPr>
      <w:spacing w:before="120" w:after="120"/>
      <w:ind w:left="720" w:firstLine="0"/>
    </w:pPr>
    <w:rPr>
      <w:rFonts w:ascii="Arial" w:eastAsiaTheme="minorHAnsi" w:hAnsi="Arial" w:cs="Arial"/>
      <w:sz w:val="22"/>
      <w:szCs w:val="22"/>
      <w:lang w:eastAsia="zh-CN"/>
    </w:rPr>
  </w:style>
  <w:style w:type="paragraph" w:customStyle="1" w:styleId="LegalClauseLevel5">
    <w:name w:val="Legal Clause Level 5"/>
    <w:basedOn w:val="Normal"/>
    <w:rsid w:val="00CB373B"/>
    <w:pPr>
      <w:numPr>
        <w:ilvl w:val="4"/>
        <w:numId w:val="11"/>
      </w:numPr>
      <w:spacing w:before="120" w:after="120"/>
      <w:ind w:left="720" w:firstLine="0"/>
    </w:pPr>
    <w:rPr>
      <w:rFonts w:ascii="Arial" w:eastAsiaTheme="minorHAnsi" w:hAnsi="Arial" w:cs="Arial"/>
      <w:sz w:val="22"/>
      <w:szCs w:val="22"/>
      <w:lang w:eastAsia="zh-CN"/>
    </w:rPr>
  </w:style>
  <w:style w:type="paragraph" w:customStyle="1" w:styleId="LegalRecitals">
    <w:name w:val="Legal Recitals"/>
    <w:basedOn w:val="Normal"/>
    <w:rsid w:val="00CB373B"/>
    <w:pPr>
      <w:numPr>
        <w:numId w:val="12"/>
      </w:numPr>
      <w:spacing w:before="120" w:after="120"/>
      <w:ind w:left="851" w:hanging="851"/>
    </w:pPr>
    <w:rPr>
      <w:rFonts w:ascii="Arial" w:eastAsiaTheme="minorHAnsi" w:hAnsi="Arial" w:cs="Arial"/>
      <w:sz w:val="22"/>
      <w:szCs w:val="22"/>
      <w:lang w:eastAsia="zh-CN"/>
    </w:rPr>
  </w:style>
  <w:style w:type="character" w:styleId="Hyperlink">
    <w:name w:val="Hyperlink"/>
    <w:basedOn w:val="DefaultParagraphFont"/>
    <w:uiPriority w:val="99"/>
    <w:unhideWhenUsed/>
    <w:rsid w:val="00192D4F"/>
    <w:rPr>
      <w:strike w:val="0"/>
      <w:dstrike w:val="0"/>
      <w:color w:val="0072BC"/>
      <w:u w:val="none"/>
      <w:effect w:val="none"/>
    </w:rPr>
  </w:style>
  <w:style w:type="character" w:styleId="FollowedHyperlink">
    <w:name w:val="FollowedHyperlink"/>
    <w:basedOn w:val="DefaultParagraphFont"/>
    <w:uiPriority w:val="99"/>
    <w:semiHidden/>
    <w:unhideWhenUsed/>
    <w:rsid w:val="00D35031"/>
    <w:rPr>
      <w:color w:val="954F72" w:themeColor="followedHyperlink"/>
      <w:u w:val="single"/>
    </w:rPr>
  </w:style>
  <w:style w:type="table" w:styleId="TableGrid">
    <w:name w:val="Table Grid"/>
    <w:basedOn w:val="TableNormal"/>
    <w:uiPriority w:val="59"/>
    <w:rsid w:val="009E41D5"/>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NormalWeb">
    <w:name w:val="Normal (Web)"/>
    <w:basedOn w:val="Normal"/>
    <w:uiPriority w:val="99"/>
    <w:unhideWhenUsed/>
    <w:rsid w:val="009E41D5"/>
    <w:pPr>
      <w:spacing w:after="180"/>
      <w:textAlignment w:val="baseline"/>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9697">
      <w:bodyDiv w:val="1"/>
      <w:marLeft w:val="0"/>
      <w:marRight w:val="0"/>
      <w:marTop w:val="0"/>
      <w:marBottom w:val="0"/>
      <w:divBdr>
        <w:top w:val="none" w:sz="0" w:space="0" w:color="auto"/>
        <w:left w:val="none" w:sz="0" w:space="0" w:color="auto"/>
        <w:bottom w:val="none" w:sz="0" w:space="0" w:color="auto"/>
        <w:right w:val="none" w:sz="0" w:space="0" w:color="auto"/>
      </w:divBdr>
    </w:div>
    <w:div w:id="245774063">
      <w:bodyDiv w:val="1"/>
      <w:marLeft w:val="0"/>
      <w:marRight w:val="0"/>
      <w:marTop w:val="0"/>
      <w:marBottom w:val="0"/>
      <w:divBdr>
        <w:top w:val="none" w:sz="0" w:space="0" w:color="auto"/>
        <w:left w:val="none" w:sz="0" w:space="0" w:color="auto"/>
        <w:bottom w:val="none" w:sz="0" w:space="0" w:color="auto"/>
        <w:right w:val="none" w:sz="0" w:space="0" w:color="auto"/>
      </w:divBdr>
    </w:div>
    <w:div w:id="293366370">
      <w:bodyDiv w:val="1"/>
      <w:marLeft w:val="0"/>
      <w:marRight w:val="0"/>
      <w:marTop w:val="0"/>
      <w:marBottom w:val="0"/>
      <w:divBdr>
        <w:top w:val="none" w:sz="0" w:space="0" w:color="auto"/>
        <w:left w:val="none" w:sz="0" w:space="0" w:color="auto"/>
        <w:bottom w:val="none" w:sz="0" w:space="0" w:color="auto"/>
        <w:right w:val="none" w:sz="0" w:space="0" w:color="auto"/>
      </w:divBdr>
    </w:div>
    <w:div w:id="542788095">
      <w:bodyDiv w:val="1"/>
      <w:marLeft w:val="0"/>
      <w:marRight w:val="0"/>
      <w:marTop w:val="0"/>
      <w:marBottom w:val="0"/>
      <w:divBdr>
        <w:top w:val="none" w:sz="0" w:space="0" w:color="auto"/>
        <w:left w:val="none" w:sz="0" w:space="0" w:color="auto"/>
        <w:bottom w:val="none" w:sz="0" w:space="0" w:color="auto"/>
        <w:right w:val="none" w:sz="0" w:space="0" w:color="auto"/>
      </w:divBdr>
    </w:div>
    <w:div w:id="572812392">
      <w:bodyDiv w:val="1"/>
      <w:marLeft w:val="0"/>
      <w:marRight w:val="0"/>
      <w:marTop w:val="0"/>
      <w:marBottom w:val="0"/>
      <w:divBdr>
        <w:top w:val="none" w:sz="0" w:space="0" w:color="auto"/>
        <w:left w:val="none" w:sz="0" w:space="0" w:color="auto"/>
        <w:bottom w:val="none" w:sz="0" w:space="0" w:color="auto"/>
        <w:right w:val="none" w:sz="0" w:space="0" w:color="auto"/>
      </w:divBdr>
    </w:div>
    <w:div w:id="760373000">
      <w:bodyDiv w:val="1"/>
      <w:marLeft w:val="0"/>
      <w:marRight w:val="0"/>
      <w:marTop w:val="0"/>
      <w:marBottom w:val="0"/>
      <w:divBdr>
        <w:top w:val="none" w:sz="0" w:space="0" w:color="auto"/>
        <w:left w:val="none" w:sz="0" w:space="0" w:color="auto"/>
        <w:bottom w:val="none" w:sz="0" w:space="0" w:color="auto"/>
        <w:right w:val="none" w:sz="0" w:space="0" w:color="auto"/>
      </w:divBdr>
    </w:div>
    <w:div w:id="1153838935">
      <w:bodyDiv w:val="1"/>
      <w:marLeft w:val="0"/>
      <w:marRight w:val="0"/>
      <w:marTop w:val="0"/>
      <w:marBottom w:val="0"/>
      <w:divBdr>
        <w:top w:val="none" w:sz="0" w:space="0" w:color="auto"/>
        <w:left w:val="none" w:sz="0" w:space="0" w:color="auto"/>
        <w:bottom w:val="none" w:sz="0" w:space="0" w:color="auto"/>
        <w:right w:val="none" w:sz="0" w:space="0" w:color="auto"/>
      </w:divBdr>
    </w:div>
    <w:div w:id="1919247220">
      <w:bodyDiv w:val="1"/>
      <w:marLeft w:val="0"/>
      <w:marRight w:val="0"/>
      <w:marTop w:val="0"/>
      <w:marBottom w:val="0"/>
      <w:divBdr>
        <w:top w:val="none" w:sz="0" w:space="0" w:color="auto"/>
        <w:left w:val="none" w:sz="0" w:space="0" w:color="auto"/>
        <w:bottom w:val="none" w:sz="0" w:space="0" w:color="auto"/>
        <w:right w:val="none" w:sz="0" w:space="0" w:color="auto"/>
      </w:divBdr>
    </w:div>
    <w:div w:id="20046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329C294FBF0438E5982FF4547111B" ma:contentTypeVersion="13" ma:contentTypeDescription="Create a new document." ma:contentTypeScope="" ma:versionID="8059f64976b3c199974d42ea87bbd034">
  <xsd:schema xmlns:xsd="http://www.w3.org/2001/XMLSchema" xmlns:xs="http://www.w3.org/2001/XMLSchema" xmlns:p="http://schemas.microsoft.com/office/2006/metadata/properties" xmlns:ns3="7a780211-40da-463b-9070-9cb515f5a0ff" xmlns:ns4="c2bade49-953a-4989-804b-b4c697a86ccc" targetNamespace="http://schemas.microsoft.com/office/2006/metadata/properties" ma:root="true" ma:fieldsID="c541a16d57be3633fbff5707a608d232" ns3:_="" ns4:_="">
    <xsd:import namespace="7a780211-40da-463b-9070-9cb515f5a0ff"/>
    <xsd:import namespace="c2bade49-953a-4989-804b-b4c697a86c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80211-40da-463b-9070-9cb515f5a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ade49-953a-4989-804b-b4c697a86c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CA37B-CFE6-4B74-9FE1-326440A487F1}">
  <ds:schemaRefs>
    <ds:schemaRef ds:uri="http://schemas.microsoft.com/sharepoint/v3/contenttype/forms"/>
  </ds:schemaRefs>
</ds:datastoreItem>
</file>

<file path=customXml/itemProps2.xml><?xml version="1.0" encoding="utf-8"?>
<ds:datastoreItem xmlns:ds="http://schemas.openxmlformats.org/officeDocument/2006/customXml" ds:itemID="{7683A064-F93C-4BB4-8C23-7311BBC2F0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bade49-953a-4989-804b-b4c697a86ccc"/>
    <ds:schemaRef ds:uri="7a780211-40da-463b-9070-9cb515f5a0ff"/>
    <ds:schemaRef ds:uri="http://www.w3.org/XML/1998/namespace"/>
    <ds:schemaRef ds:uri="http://purl.org/dc/dcmitype/"/>
  </ds:schemaRefs>
</ds:datastoreItem>
</file>

<file path=customXml/itemProps3.xml><?xml version="1.0" encoding="utf-8"?>
<ds:datastoreItem xmlns:ds="http://schemas.openxmlformats.org/officeDocument/2006/customXml" ds:itemID="{6301A3B6-0858-4865-B04E-0326063A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80211-40da-463b-9070-9cb515f5a0ff"/>
    <ds:schemaRef ds:uri="c2bade49-953a-4989-804b-b4c697a86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039821-AFBB-418E-A121-0679B622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3DCF08CE.dotm</Template>
  <TotalTime>0</TotalTime>
  <Pages>11</Pages>
  <Words>3384</Words>
  <Characters>20068</Characters>
  <Application>Microsoft Office Word</Application>
  <DocSecurity>0</DocSecurity>
  <Lines>955</Lines>
  <Paragraphs>289</Paragraphs>
  <ScaleCrop>false</ScaleCrop>
  <HeadingPairs>
    <vt:vector size="2" baseType="variant">
      <vt:variant>
        <vt:lpstr>Title</vt:lpstr>
      </vt:variant>
      <vt:variant>
        <vt:i4>1</vt:i4>
      </vt:variant>
    </vt:vector>
  </HeadingPairs>
  <TitlesOfParts>
    <vt:vector size="1" baseType="lpstr">
      <vt:lpstr>Government-response to Senate Inquiry - 180507 - protection of rock art of the Burrup Peninsula</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Government-response to Senate Inquiry - 180507 - protection of rock art of the Burrup Peninsula</dc:title>
  <dc:subject/>
  <dc:creator/>
  <cp:lastModifiedBy/>
  <cp:revision>1</cp:revision>
  <dcterms:created xsi:type="dcterms:W3CDTF">2020-06-25T04:37:00Z</dcterms:created>
  <dcterms:modified xsi:type="dcterms:W3CDTF">2020-06-25T04:37:00Z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0x010100C33329C294FBF0438E5982FF4547111B</vt:lpwstr>
  </property>
  <property fmtid="{D5CDD505-2E9C-101B-9397-08002B2CF9AE}" pid="3" name="RecordPoint_ActiveItemUniqueId">
    <vt:lpwstr>{6be426c8-7022-43b4-80a1-0ab4f1cdcfae}</vt:lpwstr>
  </property>
  <property fmtid="{D5CDD505-2E9C-101B-9397-08002B2CF9AE}" pid="4" name="RecordPoint_WorkflowType">
    <vt:lpwstr>ActiveSubmitStub</vt:lpwstr>
  </property>
  <property fmtid="{D5CDD505-2E9C-101B-9397-08002B2CF9AE}" pid="5" name="RecordPoint_ActiveItemSiteId">
    <vt:lpwstr>{8003c3b3-d20c-4e9a-bee9-0e2243d810ee}</vt:lpwstr>
  </property>
  <property fmtid="{D5CDD505-2E9C-101B-9397-08002B2CF9AE}" pid="6" name="RecordPoint_ActiveItemListId">
    <vt:lpwstr>{7d82ce6b-5264-42e2-93cc-7f0245a6c023}</vt:lpwstr>
  </property>
  <property fmtid="{D5CDD505-2E9C-101B-9397-08002B2CF9AE}" pid="7" name="RecordPoint_ActiveItemWebId">
    <vt:lpwstr>{fc5f6266-41b8-4c8d-a1a1-2c080a479d3e}</vt:lpwstr>
  </property>
</Properties>
</file>