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475E" w14:textId="77777777" w:rsidR="00440AA5" w:rsidRPr="00642728" w:rsidRDefault="0054357B" w:rsidP="00440AA5">
      <w:pPr>
        <w:spacing w:before="360"/>
        <w:ind w:right="95"/>
        <w:jc w:val="center"/>
      </w:pPr>
      <w:r w:rsidRPr="00642728">
        <w:rPr>
          <w:caps/>
          <w:noProof/>
          <w:lang w:eastAsia="en-AU"/>
        </w:rPr>
        <w:drawing>
          <wp:inline distT="0" distB="0" distL="0" distR="0" wp14:anchorId="7EB4865F" wp14:editId="6E93E252">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69719"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5263A9E7" w14:textId="35A28FEA" w:rsidR="000C4C85" w:rsidRPr="001C0A32" w:rsidRDefault="0054357B" w:rsidP="000C4C85">
      <w:pPr>
        <w:spacing w:before="360"/>
        <w:jc w:val="center"/>
        <w:rPr>
          <w:sz w:val="32"/>
          <w:szCs w:val="32"/>
        </w:rPr>
      </w:pPr>
      <w:r w:rsidRPr="001C0A32">
        <w:rPr>
          <w:sz w:val="32"/>
          <w:szCs w:val="32"/>
        </w:rPr>
        <w:t>Australian Government response to the</w:t>
      </w:r>
      <w:r w:rsidR="001C0A32" w:rsidRPr="001C0A32">
        <w:rPr>
          <w:sz w:val="32"/>
          <w:szCs w:val="32"/>
        </w:rPr>
        <w:t xml:space="preserve"> Senate</w:t>
      </w:r>
      <w:r w:rsidR="001C0A32" w:rsidRPr="001C0A32">
        <w:rPr>
          <w:sz w:val="32"/>
          <w:szCs w:val="32"/>
        </w:rPr>
        <w:br/>
      </w:r>
      <w:r w:rsidRPr="001C0A32">
        <w:rPr>
          <w:sz w:val="32"/>
          <w:szCs w:val="32"/>
        </w:rPr>
        <w:t>Environment and Communications Legislation</w:t>
      </w:r>
      <w:r w:rsidR="001C0A32" w:rsidRPr="001C0A32">
        <w:rPr>
          <w:sz w:val="32"/>
          <w:szCs w:val="32"/>
        </w:rPr>
        <w:br/>
      </w:r>
      <w:r w:rsidRPr="001C0A32">
        <w:rPr>
          <w:sz w:val="32"/>
          <w:szCs w:val="32"/>
        </w:rPr>
        <w:t>Committee</w:t>
      </w:r>
      <w:r w:rsidRPr="001C0A32">
        <w:rPr>
          <w:rFonts w:asciiTheme="minorHAnsi" w:hAnsiTheme="minorHAnsi" w:cstheme="minorHAnsi"/>
          <w:sz w:val="32"/>
          <w:szCs w:val="32"/>
        </w:rPr>
        <w:t xml:space="preserve"> </w:t>
      </w:r>
      <w:r w:rsidRPr="001C0A32">
        <w:rPr>
          <w:sz w:val="32"/>
          <w:szCs w:val="32"/>
        </w:rPr>
        <w:t>report:</w:t>
      </w:r>
    </w:p>
    <w:p w14:paraId="5479EB11" w14:textId="3877DEAC" w:rsidR="000C4C85" w:rsidRPr="001C0A32" w:rsidRDefault="0054357B" w:rsidP="000C4C85">
      <w:pPr>
        <w:spacing w:before="360"/>
        <w:jc w:val="center"/>
        <w:rPr>
          <w:sz w:val="32"/>
          <w:szCs w:val="32"/>
        </w:rPr>
      </w:pPr>
      <w:r w:rsidRPr="001C0A32">
        <w:rPr>
          <w:sz w:val="32"/>
          <w:szCs w:val="32"/>
        </w:rPr>
        <w:t xml:space="preserve">Environment Protection and Biodiversity Conservation </w:t>
      </w:r>
      <w:r w:rsidR="001C0A32" w:rsidRPr="001C0A32">
        <w:rPr>
          <w:sz w:val="32"/>
          <w:szCs w:val="32"/>
        </w:rPr>
        <w:br/>
      </w:r>
      <w:r w:rsidRPr="001C0A32">
        <w:rPr>
          <w:sz w:val="32"/>
          <w:szCs w:val="32"/>
        </w:rPr>
        <w:t xml:space="preserve">Amendment (Regional Forest Agreements) Bill 2020 </w:t>
      </w:r>
    </w:p>
    <w:p w14:paraId="643BD772" w14:textId="77777777" w:rsidR="000C4C85" w:rsidRDefault="000C4C85" w:rsidP="000C4C85">
      <w:pPr>
        <w:spacing w:before="360"/>
        <w:jc w:val="center"/>
        <w:rPr>
          <w:rFonts w:asciiTheme="minorHAnsi" w:hAnsiTheme="minorHAnsi" w:cstheme="minorHAnsi"/>
          <w:bCs/>
        </w:rPr>
      </w:pPr>
    </w:p>
    <w:p w14:paraId="7C2619A6" w14:textId="77777777" w:rsidR="00BE5E16" w:rsidRDefault="00BE5E16" w:rsidP="000C4C85">
      <w:pPr>
        <w:spacing w:before="360"/>
        <w:jc w:val="center"/>
        <w:rPr>
          <w:rFonts w:asciiTheme="minorHAnsi" w:hAnsiTheme="minorHAnsi" w:cstheme="minorHAnsi"/>
          <w:bCs/>
        </w:rPr>
      </w:pPr>
    </w:p>
    <w:p w14:paraId="787C6EEB" w14:textId="77777777" w:rsidR="00BE5E16" w:rsidRDefault="00BE5E16" w:rsidP="000C4C85">
      <w:pPr>
        <w:spacing w:before="360"/>
        <w:jc w:val="center"/>
        <w:rPr>
          <w:rFonts w:asciiTheme="minorHAnsi" w:hAnsiTheme="minorHAnsi" w:cstheme="minorHAnsi"/>
          <w:bCs/>
        </w:rPr>
      </w:pPr>
    </w:p>
    <w:p w14:paraId="2A468E58" w14:textId="77777777" w:rsidR="00BE5E16" w:rsidRDefault="00BE5E16" w:rsidP="000C4C85">
      <w:pPr>
        <w:spacing w:before="360"/>
        <w:jc w:val="center"/>
        <w:rPr>
          <w:rFonts w:asciiTheme="minorHAnsi" w:hAnsiTheme="minorHAnsi" w:cstheme="minorHAnsi"/>
          <w:bCs/>
        </w:rPr>
      </w:pPr>
    </w:p>
    <w:p w14:paraId="08D4152A" w14:textId="77777777" w:rsidR="00BE5E16" w:rsidRDefault="00BE5E16" w:rsidP="000C4C85">
      <w:pPr>
        <w:spacing w:before="360"/>
        <w:jc w:val="center"/>
        <w:rPr>
          <w:rFonts w:asciiTheme="minorHAnsi" w:hAnsiTheme="minorHAnsi" w:cstheme="minorHAnsi"/>
          <w:bCs/>
        </w:rPr>
      </w:pPr>
    </w:p>
    <w:p w14:paraId="6DCED7BA" w14:textId="77777777" w:rsidR="00BE5E16" w:rsidRDefault="00BE5E16" w:rsidP="000C4C85">
      <w:pPr>
        <w:spacing w:before="360"/>
        <w:jc w:val="center"/>
        <w:rPr>
          <w:rFonts w:asciiTheme="minorHAnsi" w:hAnsiTheme="minorHAnsi" w:cstheme="minorHAnsi"/>
          <w:bCs/>
        </w:rPr>
      </w:pPr>
    </w:p>
    <w:p w14:paraId="5EA416A9" w14:textId="77777777" w:rsidR="00BE5E16" w:rsidRDefault="00BE5E16" w:rsidP="000C4C85">
      <w:pPr>
        <w:spacing w:before="360"/>
        <w:jc w:val="center"/>
        <w:rPr>
          <w:rFonts w:asciiTheme="minorHAnsi" w:hAnsiTheme="minorHAnsi" w:cstheme="minorHAnsi"/>
          <w:bCs/>
        </w:rPr>
      </w:pPr>
    </w:p>
    <w:p w14:paraId="7F8A5068" w14:textId="77777777" w:rsidR="00BE5E16" w:rsidRDefault="00BE5E16" w:rsidP="000C4C85">
      <w:pPr>
        <w:spacing w:before="360"/>
        <w:jc w:val="center"/>
        <w:rPr>
          <w:rFonts w:asciiTheme="minorHAnsi" w:hAnsiTheme="minorHAnsi" w:cstheme="minorHAnsi"/>
          <w:bCs/>
        </w:rPr>
      </w:pPr>
    </w:p>
    <w:p w14:paraId="210E40E2" w14:textId="77777777" w:rsidR="00BE5E16" w:rsidRDefault="00BE5E16" w:rsidP="000C4C85">
      <w:pPr>
        <w:spacing w:before="360"/>
        <w:jc w:val="center"/>
        <w:rPr>
          <w:rFonts w:asciiTheme="minorHAnsi" w:hAnsiTheme="minorHAnsi" w:cstheme="minorHAnsi"/>
          <w:bCs/>
        </w:rPr>
      </w:pPr>
    </w:p>
    <w:p w14:paraId="202BD39C" w14:textId="77777777" w:rsidR="00BE5E16" w:rsidRDefault="00BE5E16" w:rsidP="000C4C85">
      <w:pPr>
        <w:spacing w:before="360"/>
        <w:jc w:val="center"/>
        <w:rPr>
          <w:rFonts w:asciiTheme="minorHAnsi" w:hAnsiTheme="minorHAnsi" w:cstheme="minorHAnsi"/>
          <w:bCs/>
        </w:rPr>
      </w:pPr>
    </w:p>
    <w:p w14:paraId="5E6C1A6C" w14:textId="77777777" w:rsidR="00BE5E16" w:rsidRDefault="00BE5E16" w:rsidP="000C4C85">
      <w:pPr>
        <w:spacing w:before="360"/>
        <w:jc w:val="center"/>
        <w:rPr>
          <w:rFonts w:asciiTheme="minorHAnsi" w:hAnsiTheme="minorHAnsi" w:cstheme="minorHAnsi"/>
          <w:bCs/>
        </w:rPr>
      </w:pPr>
    </w:p>
    <w:p w14:paraId="1C0FD90F" w14:textId="77777777" w:rsidR="00BE5E16" w:rsidRDefault="00BE5E16" w:rsidP="000C4C85">
      <w:pPr>
        <w:spacing w:before="360"/>
        <w:jc w:val="center"/>
        <w:rPr>
          <w:rFonts w:asciiTheme="minorHAnsi" w:hAnsiTheme="minorHAnsi" w:cstheme="minorHAnsi"/>
          <w:bCs/>
        </w:rPr>
      </w:pPr>
    </w:p>
    <w:p w14:paraId="4FF664B1" w14:textId="77777777" w:rsidR="00421374" w:rsidRDefault="00421374" w:rsidP="000C4C85">
      <w:pPr>
        <w:spacing w:before="360"/>
        <w:jc w:val="center"/>
        <w:rPr>
          <w:rFonts w:asciiTheme="minorHAnsi" w:hAnsiTheme="minorHAnsi" w:cstheme="minorHAnsi"/>
          <w:bCs/>
        </w:rPr>
      </w:pPr>
    </w:p>
    <w:p w14:paraId="66C51C4F" w14:textId="4B5002B0" w:rsidR="00440AA5" w:rsidRPr="000C4C85" w:rsidRDefault="00BE5E16" w:rsidP="00BE5E16">
      <w:pPr>
        <w:spacing w:before="360"/>
        <w:jc w:val="right"/>
        <w:rPr>
          <w:sz w:val="32"/>
          <w:szCs w:val="32"/>
        </w:rPr>
      </w:pPr>
      <w:r>
        <w:rPr>
          <w:caps/>
          <w:sz w:val="28"/>
          <w:szCs w:val="28"/>
        </w:rPr>
        <w:lastRenderedPageBreak/>
        <w:t>MAY</w:t>
      </w:r>
      <w:r w:rsidR="0054357B" w:rsidRPr="00642728">
        <w:rPr>
          <w:caps/>
          <w:sz w:val="28"/>
          <w:szCs w:val="28"/>
        </w:rPr>
        <w:t> </w:t>
      </w:r>
      <w:r w:rsidR="00D46C97" w:rsidRPr="00642728">
        <w:rPr>
          <w:caps/>
          <w:sz w:val="28"/>
          <w:szCs w:val="28"/>
        </w:rPr>
        <w:t>202</w:t>
      </w:r>
      <w:r w:rsidR="005629B2">
        <w:rPr>
          <w:caps/>
          <w:sz w:val="28"/>
          <w:szCs w:val="28"/>
        </w:rPr>
        <w:t>4</w:t>
      </w:r>
    </w:p>
    <w:p w14:paraId="32DBF21E" w14:textId="77777777" w:rsidR="007705E4" w:rsidRPr="00642728" w:rsidRDefault="007705E4" w:rsidP="007705E4">
      <w:pPr>
        <w:sectPr w:rsidR="007705E4" w:rsidRPr="00642728" w:rsidSect="00440AA5">
          <w:headerReference w:type="default" r:id="rId12"/>
          <w:pgSz w:w="11907" w:h="16840" w:code="9"/>
          <w:pgMar w:top="1134" w:right="1418" w:bottom="1134" w:left="1418" w:header="709" w:footer="709" w:gutter="0"/>
          <w:cols w:space="720"/>
          <w:docGrid w:linePitch="299"/>
        </w:sectPr>
      </w:pPr>
    </w:p>
    <w:p w14:paraId="3AE4468F" w14:textId="77777777" w:rsidR="00C116E3" w:rsidRPr="00642728" w:rsidRDefault="0054357B" w:rsidP="00C116E3">
      <w:pPr>
        <w:pStyle w:val="Heading2"/>
      </w:pPr>
      <w:r w:rsidRPr="00642728">
        <w:lastRenderedPageBreak/>
        <w:t>Introduction</w:t>
      </w:r>
    </w:p>
    <w:p w14:paraId="6273B7BC" w14:textId="0BDD6311" w:rsidR="000C4C85" w:rsidRDefault="0054357B" w:rsidP="000C4C85">
      <w:pPr>
        <w:pStyle w:val="ListNumber"/>
        <w:numPr>
          <w:ilvl w:val="0"/>
          <w:numId w:val="0"/>
        </w:numPr>
        <w:rPr>
          <w:rFonts w:asciiTheme="minorHAnsi" w:hAnsiTheme="minorHAnsi" w:cstheme="minorHAnsi"/>
          <w:b/>
        </w:rPr>
      </w:pPr>
      <w:r w:rsidRPr="00F50D03">
        <w:rPr>
          <w:rFonts w:asciiTheme="minorHAnsi" w:hAnsiTheme="minorHAnsi" w:cstheme="minorHAnsi"/>
          <w:szCs w:val="28"/>
        </w:rPr>
        <w:t xml:space="preserve">On 13 May 2021, the Environment and Communications Legislation Committee </w:t>
      </w:r>
      <w:r w:rsidRPr="00F50D03">
        <w:rPr>
          <w:rFonts w:asciiTheme="minorHAnsi" w:hAnsiTheme="minorHAnsi" w:cstheme="minorHAnsi"/>
        </w:rPr>
        <w:t>(</w:t>
      </w:r>
      <w:r w:rsidRPr="00822599">
        <w:rPr>
          <w:rFonts w:asciiTheme="minorHAnsi" w:hAnsiTheme="minorHAnsi" w:cstheme="minorHAnsi"/>
        </w:rPr>
        <w:t>the Committee</w:t>
      </w:r>
      <w:r w:rsidRPr="00F50D03">
        <w:rPr>
          <w:rFonts w:asciiTheme="minorHAnsi" w:hAnsiTheme="minorHAnsi" w:cstheme="minorHAnsi"/>
        </w:rPr>
        <w:t>)</w:t>
      </w:r>
      <w:r w:rsidRPr="00F50D03">
        <w:rPr>
          <w:rFonts w:asciiTheme="minorHAnsi" w:hAnsiTheme="minorHAnsi" w:cstheme="minorHAnsi"/>
          <w:shd w:val="clear" w:color="auto" w:fill="FFFFFF"/>
          <w:lang w:val="en"/>
        </w:rPr>
        <w:t xml:space="preserve"> </w:t>
      </w:r>
      <w:r w:rsidRPr="00F50D03">
        <w:rPr>
          <w:rFonts w:asciiTheme="minorHAnsi" w:hAnsiTheme="minorHAnsi" w:cstheme="minorHAnsi"/>
          <w:szCs w:val="28"/>
        </w:rPr>
        <w:t xml:space="preserve">provided their report and recommendations on the </w:t>
      </w:r>
      <w:r w:rsidRPr="00F50D03">
        <w:rPr>
          <w:rFonts w:asciiTheme="minorHAnsi" w:hAnsiTheme="minorHAnsi" w:cstheme="minorHAnsi"/>
          <w:bCs/>
        </w:rPr>
        <w:t xml:space="preserve">Environment Protection and Biodiversity Conservation Amendment (Regional Forest Agreements) Bill 2020 </w:t>
      </w:r>
      <w:r w:rsidRPr="00F50D03">
        <w:rPr>
          <w:rFonts w:asciiTheme="minorHAnsi" w:hAnsiTheme="minorHAnsi" w:cstheme="minorHAnsi"/>
        </w:rPr>
        <w:t xml:space="preserve">(the Bill). </w:t>
      </w:r>
      <w:r w:rsidR="002E21CC">
        <w:rPr>
          <w:rFonts w:asciiTheme="minorHAnsi" w:hAnsiTheme="minorHAnsi" w:cstheme="minorHAnsi"/>
        </w:rPr>
        <w:t>The report included dissenting reports and recommendations from the Australian Greens and the Australian Labor Party.</w:t>
      </w:r>
      <w:r w:rsidRPr="00F50D03">
        <w:rPr>
          <w:rFonts w:asciiTheme="minorHAnsi" w:hAnsiTheme="minorHAnsi" w:cstheme="minorHAnsi"/>
          <w:b/>
        </w:rPr>
        <w:t xml:space="preserve"> </w:t>
      </w:r>
    </w:p>
    <w:p w14:paraId="0C5C94B2" w14:textId="55B5BF7F" w:rsidR="000C4C85" w:rsidRPr="00F50D03" w:rsidRDefault="0054357B" w:rsidP="000C4C85">
      <w:pPr>
        <w:pStyle w:val="ListNumber"/>
        <w:numPr>
          <w:ilvl w:val="0"/>
          <w:numId w:val="0"/>
        </w:numPr>
        <w:rPr>
          <w:rFonts w:asciiTheme="minorHAnsi" w:hAnsiTheme="minorHAnsi" w:cstheme="minorHAnsi"/>
        </w:rPr>
      </w:pPr>
      <w:r w:rsidRPr="00F50D03">
        <w:rPr>
          <w:rFonts w:asciiTheme="minorHAnsi" w:hAnsiTheme="minorHAnsi" w:cstheme="minorHAnsi"/>
        </w:rPr>
        <w:t xml:space="preserve">The Bill </w:t>
      </w:r>
      <w:r w:rsidR="00EF056D">
        <w:rPr>
          <w:rFonts w:asciiTheme="minorHAnsi" w:hAnsiTheme="minorHAnsi" w:cstheme="minorHAnsi"/>
        </w:rPr>
        <w:t>wa</w:t>
      </w:r>
      <w:r w:rsidRPr="00F50D03">
        <w:rPr>
          <w:rFonts w:asciiTheme="minorHAnsi" w:hAnsiTheme="minorHAnsi" w:cstheme="minorHAnsi"/>
        </w:rPr>
        <w:t>s a private senator’s bill that was introduced by Senator</w:t>
      </w:r>
      <w:r w:rsidR="002B1772">
        <w:rPr>
          <w:rFonts w:asciiTheme="minorHAnsi" w:hAnsiTheme="minorHAnsi" w:cstheme="minorHAnsi"/>
        </w:rPr>
        <w:t xml:space="preserve"> the Hon Bridget</w:t>
      </w:r>
      <w:r w:rsidRPr="00F50D03">
        <w:rPr>
          <w:rFonts w:asciiTheme="minorHAnsi" w:hAnsiTheme="minorHAnsi" w:cstheme="minorHAnsi"/>
        </w:rPr>
        <w:t xml:space="preserve"> McKenzie on </w:t>
      </w:r>
      <w:r w:rsidRPr="002B1772">
        <w:t>9</w:t>
      </w:r>
      <w:r w:rsidR="002B1772">
        <w:t> </w:t>
      </w:r>
      <w:r w:rsidRPr="002B1772">
        <w:t>December</w:t>
      </w:r>
      <w:r w:rsidR="002B1772">
        <w:t> </w:t>
      </w:r>
      <w:r w:rsidRPr="00F50D03">
        <w:rPr>
          <w:rFonts w:asciiTheme="minorHAnsi" w:hAnsiTheme="minorHAnsi" w:cstheme="minorHAnsi"/>
        </w:rPr>
        <w:t xml:space="preserve">2020. The Bill </w:t>
      </w:r>
      <w:r w:rsidR="00EF056D">
        <w:rPr>
          <w:rFonts w:asciiTheme="minorHAnsi" w:hAnsiTheme="minorHAnsi" w:cstheme="minorHAnsi"/>
        </w:rPr>
        <w:t>sought</w:t>
      </w:r>
      <w:r w:rsidR="00EF056D" w:rsidRPr="00F50D03">
        <w:rPr>
          <w:rFonts w:asciiTheme="minorHAnsi" w:hAnsiTheme="minorHAnsi" w:cstheme="minorHAnsi"/>
        </w:rPr>
        <w:t xml:space="preserve"> </w:t>
      </w:r>
      <w:r w:rsidRPr="00F50D03">
        <w:rPr>
          <w:rFonts w:asciiTheme="minorHAnsi" w:hAnsiTheme="minorHAnsi" w:cstheme="minorHAnsi"/>
        </w:rPr>
        <w:t xml:space="preserve">to amend the </w:t>
      </w:r>
      <w:r w:rsidRPr="006F1CB9">
        <w:rPr>
          <w:rFonts w:asciiTheme="minorHAnsi" w:hAnsiTheme="minorHAnsi" w:cstheme="minorHAnsi"/>
          <w:bCs/>
          <w:i/>
          <w:iCs/>
        </w:rPr>
        <w:t>Environment Protection and Biodiversity</w:t>
      </w:r>
      <w:r w:rsidRPr="006F1CB9">
        <w:rPr>
          <w:rFonts w:asciiTheme="minorHAnsi" w:hAnsiTheme="minorHAnsi" w:cstheme="minorHAnsi"/>
          <w:i/>
          <w:iCs/>
        </w:rPr>
        <w:t xml:space="preserve"> </w:t>
      </w:r>
      <w:r>
        <w:rPr>
          <w:rFonts w:asciiTheme="minorHAnsi" w:hAnsiTheme="minorHAnsi" w:cstheme="minorHAnsi"/>
          <w:i/>
          <w:iCs/>
        </w:rPr>
        <w:t xml:space="preserve">Conservation </w:t>
      </w:r>
      <w:r w:rsidRPr="006F1CB9">
        <w:rPr>
          <w:rFonts w:asciiTheme="minorHAnsi" w:hAnsiTheme="minorHAnsi" w:cstheme="minorHAnsi"/>
          <w:i/>
          <w:iCs/>
        </w:rPr>
        <w:t>Act 1999</w:t>
      </w:r>
      <w:r w:rsidRPr="00F50D03">
        <w:rPr>
          <w:rFonts w:asciiTheme="minorHAnsi" w:hAnsiTheme="minorHAnsi" w:cstheme="minorHAnsi"/>
        </w:rPr>
        <w:t xml:space="preserve"> </w:t>
      </w:r>
      <w:r>
        <w:rPr>
          <w:rFonts w:asciiTheme="minorHAnsi" w:hAnsiTheme="minorHAnsi" w:cstheme="minorHAnsi"/>
        </w:rPr>
        <w:t xml:space="preserve">(EPBC Act) </w:t>
      </w:r>
      <w:r w:rsidRPr="00F50D03">
        <w:rPr>
          <w:rFonts w:asciiTheme="minorHAnsi" w:hAnsiTheme="minorHAnsi" w:cstheme="minorHAnsi"/>
        </w:rPr>
        <w:t xml:space="preserve">and the </w:t>
      </w:r>
      <w:r w:rsidRPr="00F50D03">
        <w:rPr>
          <w:rFonts w:asciiTheme="minorHAnsi" w:hAnsiTheme="minorHAnsi" w:cstheme="minorHAnsi"/>
          <w:i/>
          <w:iCs/>
        </w:rPr>
        <w:t>Regional Forest Agreements Act 2002</w:t>
      </w:r>
      <w:r w:rsidRPr="00F50D03">
        <w:rPr>
          <w:rFonts w:asciiTheme="minorHAnsi" w:hAnsiTheme="minorHAnsi" w:cstheme="minorHAnsi"/>
        </w:rPr>
        <w:t xml:space="preserve"> (</w:t>
      </w:r>
      <w:r w:rsidRPr="00822599">
        <w:rPr>
          <w:rFonts w:asciiTheme="minorHAnsi" w:hAnsiTheme="minorHAnsi" w:cstheme="minorHAnsi"/>
        </w:rPr>
        <w:t>RFA Act</w:t>
      </w:r>
      <w:r w:rsidRPr="00F50D03">
        <w:rPr>
          <w:rFonts w:asciiTheme="minorHAnsi" w:hAnsiTheme="minorHAnsi" w:cstheme="minorHAnsi"/>
        </w:rPr>
        <w:t xml:space="preserve">) to provide that all forestry operations that are within a Regional Forest Agreement (RFA) </w:t>
      </w:r>
      <w:r w:rsidR="00822599">
        <w:rPr>
          <w:rFonts w:asciiTheme="minorHAnsi" w:hAnsiTheme="minorHAnsi" w:cstheme="minorHAnsi"/>
        </w:rPr>
        <w:t>region</w:t>
      </w:r>
      <w:r w:rsidRPr="00F50D03">
        <w:rPr>
          <w:rFonts w:asciiTheme="minorHAnsi" w:hAnsiTheme="minorHAnsi" w:cstheme="minorHAnsi"/>
        </w:rPr>
        <w:t xml:space="preserve"> are exempt from the requirements for environmental approvals under the EPBC Act. </w:t>
      </w:r>
    </w:p>
    <w:p w14:paraId="56C12BA2" w14:textId="388050F7" w:rsidR="000C4C85" w:rsidRDefault="0054357B" w:rsidP="000C4C85">
      <w:pPr>
        <w:pStyle w:val="ListNumber"/>
        <w:numPr>
          <w:ilvl w:val="0"/>
          <w:numId w:val="0"/>
        </w:numPr>
        <w:rPr>
          <w:rFonts w:asciiTheme="minorHAnsi" w:hAnsiTheme="minorHAnsi" w:cstheme="minorHAnsi"/>
        </w:rPr>
      </w:pPr>
      <w:r w:rsidRPr="00F50D03">
        <w:rPr>
          <w:rFonts w:asciiTheme="minorHAnsi" w:hAnsiTheme="minorHAnsi" w:cstheme="minorHAnsi"/>
        </w:rPr>
        <w:t xml:space="preserve">The Explanatory Memorandum of the Bill </w:t>
      </w:r>
      <w:r w:rsidRPr="00F50D03">
        <w:rPr>
          <w:rFonts w:asciiTheme="minorHAnsi" w:hAnsiTheme="minorHAnsi" w:cstheme="minorHAnsi"/>
          <w:color w:val="000000"/>
        </w:rPr>
        <w:t>state</w:t>
      </w:r>
      <w:r w:rsidR="00EF056D">
        <w:rPr>
          <w:rFonts w:asciiTheme="minorHAnsi" w:hAnsiTheme="minorHAnsi" w:cstheme="minorHAnsi"/>
          <w:color w:val="000000"/>
        </w:rPr>
        <w:t>d</w:t>
      </w:r>
      <w:r w:rsidRPr="00F50D03">
        <w:rPr>
          <w:rFonts w:asciiTheme="minorHAnsi" w:hAnsiTheme="minorHAnsi" w:cstheme="minorHAnsi"/>
          <w:color w:val="000000"/>
        </w:rPr>
        <w:t xml:space="preserve"> that the ‘Bill will affirm and clarify the Commonwealth’s intent regarding RFAs to make it explicitly clear that forestry operations in a </w:t>
      </w:r>
      <w:r w:rsidRPr="00F50D03">
        <w:rPr>
          <w:rFonts w:asciiTheme="minorHAnsi" w:hAnsiTheme="minorHAnsi" w:cstheme="minorHAnsi"/>
        </w:rPr>
        <w:t xml:space="preserve">RFA </w:t>
      </w:r>
      <w:r w:rsidRPr="00F50D03">
        <w:rPr>
          <w:rFonts w:asciiTheme="minorHAnsi" w:hAnsiTheme="minorHAnsi" w:cstheme="minorHAnsi"/>
          <w:color w:val="000000"/>
        </w:rPr>
        <w:t xml:space="preserve">region are exempt from Part 3 of the </w:t>
      </w:r>
      <w:r w:rsidRPr="00F50D03">
        <w:rPr>
          <w:rFonts w:asciiTheme="minorHAnsi" w:hAnsiTheme="minorHAnsi" w:cstheme="minorHAnsi"/>
        </w:rPr>
        <w:t>EPBC Act</w:t>
      </w:r>
      <w:r w:rsidRPr="00F50D03">
        <w:rPr>
          <w:rFonts w:asciiTheme="minorHAnsi" w:hAnsiTheme="minorHAnsi" w:cstheme="minorHAnsi"/>
          <w:color w:val="000000"/>
        </w:rPr>
        <w:t>, and that compliance matters are to be dealt with through the state regulatory framework’</w:t>
      </w:r>
      <w:r w:rsidRPr="00F50D03">
        <w:rPr>
          <w:rFonts w:asciiTheme="minorHAnsi" w:hAnsiTheme="minorHAnsi" w:cstheme="minorHAnsi"/>
        </w:rPr>
        <w:t xml:space="preserve">. </w:t>
      </w:r>
    </w:p>
    <w:p w14:paraId="4BB3BDD1" w14:textId="77777777" w:rsidR="000C4C85" w:rsidRPr="00D00D0D" w:rsidRDefault="0054357B" w:rsidP="002D3500">
      <w:pPr>
        <w:pStyle w:val="Heading3"/>
      </w:pPr>
      <w:r w:rsidRPr="00D00D0D">
        <w:t xml:space="preserve">Friends of </w:t>
      </w:r>
      <w:proofErr w:type="spellStart"/>
      <w:r w:rsidRPr="00D00D0D">
        <w:t>Leaderbeater</w:t>
      </w:r>
      <w:proofErr w:type="spellEnd"/>
      <w:r w:rsidRPr="00D00D0D">
        <w:t>’ Possum Inc Litigation History</w:t>
      </w:r>
    </w:p>
    <w:p w14:paraId="4985DE35" w14:textId="7F699696" w:rsidR="000C4C85" w:rsidRPr="00DC4202" w:rsidRDefault="0054357B" w:rsidP="00DC4202">
      <w:pPr>
        <w:rPr>
          <w:szCs w:val="28"/>
          <w:lang w:eastAsia="en-AU"/>
        </w:rPr>
      </w:pPr>
      <w:r w:rsidRPr="00DC4202">
        <w:rPr>
          <w:szCs w:val="28"/>
          <w:lang w:eastAsia="en-AU"/>
        </w:rPr>
        <w:t xml:space="preserve">The Bill was introduced in response to the decision of the Federal Court in </w:t>
      </w:r>
      <w:r w:rsidRPr="00DC4202">
        <w:rPr>
          <w:i/>
          <w:iCs/>
          <w:szCs w:val="28"/>
          <w:lang w:eastAsia="en-AU"/>
        </w:rPr>
        <w:t>Friends of Leadbeater’s Possum Inc v VicForests (No 4)</w:t>
      </w:r>
      <w:r w:rsidR="00DC6392">
        <w:rPr>
          <w:i/>
          <w:iCs/>
          <w:szCs w:val="28"/>
          <w:lang w:eastAsia="en-AU"/>
        </w:rPr>
        <w:t xml:space="preserve"> </w:t>
      </w:r>
      <w:r w:rsidR="00DC6392" w:rsidRPr="004313A9">
        <w:rPr>
          <w:szCs w:val="28"/>
          <w:lang w:eastAsia="en-AU"/>
        </w:rPr>
        <w:t>that certain</w:t>
      </w:r>
      <w:r w:rsidR="00DC6392">
        <w:rPr>
          <w:szCs w:val="28"/>
          <w:lang w:eastAsia="en-AU"/>
        </w:rPr>
        <w:t xml:space="preserve"> VicForests forestry operations were not conducted</w:t>
      </w:r>
      <w:r w:rsidR="00DC6392">
        <w:rPr>
          <w:i/>
          <w:iCs/>
          <w:szCs w:val="28"/>
          <w:lang w:eastAsia="en-AU"/>
        </w:rPr>
        <w:t xml:space="preserve"> </w:t>
      </w:r>
      <w:r w:rsidR="00DC6392">
        <w:rPr>
          <w:szCs w:val="28"/>
          <w:lang w:eastAsia="en-AU"/>
        </w:rPr>
        <w:t>“in accordance with” an RFA, and therefore were no longer exempt from provisions in the EPBC Act</w:t>
      </w:r>
      <w:r w:rsidRPr="00DC4202">
        <w:rPr>
          <w:i/>
          <w:iCs/>
          <w:szCs w:val="28"/>
          <w:lang w:eastAsia="en-AU"/>
        </w:rPr>
        <w:t>.</w:t>
      </w:r>
      <w:r w:rsidRPr="00DC4202">
        <w:rPr>
          <w:szCs w:val="28"/>
          <w:lang w:eastAsia="en-AU"/>
        </w:rPr>
        <w:t xml:space="preserve"> VicForests appealed this decision to the Full Federal Court. </w:t>
      </w:r>
    </w:p>
    <w:p w14:paraId="2FAA6495" w14:textId="7179688C" w:rsidR="000C4C85" w:rsidRPr="00DC4202" w:rsidRDefault="00E16792" w:rsidP="00DC4202">
      <w:pPr>
        <w:rPr>
          <w:szCs w:val="28"/>
          <w:lang w:eastAsia="en-AU"/>
        </w:rPr>
      </w:pPr>
      <w:r>
        <w:rPr>
          <w:szCs w:val="28"/>
          <w:lang w:eastAsia="en-AU"/>
        </w:rPr>
        <w:t>T</w:t>
      </w:r>
      <w:r w:rsidR="0054357B" w:rsidRPr="00DC4202">
        <w:rPr>
          <w:szCs w:val="28"/>
          <w:lang w:eastAsia="en-AU"/>
        </w:rPr>
        <w:t xml:space="preserve">he Full Federal Court appeal judgment in </w:t>
      </w:r>
      <w:r w:rsidR="0054357B" w:rsidRPr="00DC4202">
        <w:rPr>
          <w:i/>
          <w:iCs/>
          <w:szCs w:val="28"/>
          <w:lang w:eastAsia="en-AU"/>
        </w:rPr>
        <w:t>VicForests v FOLP</w:t>
      </w:r>
      <w:r w:rsidR="0054357B" w:rsidRPr="00DC4202">
        <w:rPr>
          <w:szCs w:val="28"/>
          <w:lang w:eastAsia="en-AU"/>
        </w:rPr>
        <w:t xml:space="preserve"> was handed down on 10 May 2021. The Full Court unanimously found in favour of VicForests, allowing their appeal and setting aside the substantive orders made by Justice Mortimer on 21 August 2020.</w:t>
      </w:r>
    </w:p>
    <w:p w14:paraId="1CDBDF36" w14:textId="11CD67C1" w:rsidR="000C4C85" w:rsidRDefault="00D26BC6" w:rsidP="004313A9">
      <w:pPr>
        <w:pStyle w:val="Heading3"/>
      </w:pPr>
      <w:r>
        <w:t>Nature Positive Plan</w:t>
      </w:r>
      <w:r w:rsidR="004B0CDF">
        <w:t>: better for the environment, better for business</w:t>
      </w:r>
    </w:p>
    <w:p w14:paraId="74377AE9" w14:textId="601650C3" w:rsidR="00822599" w:rsidRPr="00822599" w:rsidRDefault="00822599" w:rsidP="004313A9">
      <w:r w:rsidRPr="00822599">
        <w:t xml:space="preserve">In October 2020, Professor Graeme Samuel’s Independent Review of the EPBC Act (the Review) was published. </w:t>
      </w:r>
    </w:p>
    <w:p w14:paraId="0F733CB3" w14:textId="77777777" w:rsidR="00822599" w:rsidRPr="00822599" w:rsidRDefault="00822599" w:rsidP="004313A9">
      <w:r w:rsidRPr="00822599">
        <w:t xml:space="preserve">The Review included a recommendation that state forest management systems – which form the basis of the RFAs - be consistent with national environmental </w:t>
      </w:r>
      <w:proofErr w:type="gramStart"/>
      <w:r w:rsidRPr="00822599">
        <w:t>standards, and</w:t>
      </w:r>
      <w:proofErr w:type="gramEnd"/>
      <w:r w:rsidRPr="00822599">
        <w:t xml:space="preserve"> called on the Commonwealth to make this one of the new requirements. The Review also recommended that the EPBC Act be amended to remove existing exemptions applying to forestry within RFA areas. </w:t>
      </w:r>
    </w:p>
    <w:p w14:paraId="4C66614C" w14:textId="2DAEE7CD" w:rsidR="00822599" w:rsidRDefault="00822599" w:rsidP="004313A9">
      <w:r w:rsidRPr="00822599">
        <w:t>The Australian Government responded to the review in December 2022,</w:t>
      </w:r>
      <w:r w:rsidR="004B0CDF">
        <w:t xml:space="preserve"> releasing the </w:t>
      </w:r>
      <w:r w:rsidR="004B0CDF">
        <w:rPr>
          <w:i/>
          <w:iCs/>
        </w:rPr>
        <w:t xml:space="preserve">Nature Positive Plan: Better for the environment, better for business. </w:t>
      </w:r>
      <w:r w:rsidR="00CF5EFA">
        <w:t>In this response</w:t>
      </w:r>
      <w:bookmarkStart w:id="0" w:name="_Hlk142295212"/>
      <w:r w:rsidR="00CF5EFA">
        <w:t xml:space="preserve">, the government agreed to establish </w:t>
      </w:r>
      <w:r w:rsidR="00CF5EFA" w:rsidRPr="00CF5EFA">
        <w:t xml:space="preserve">national environmental standards </w:t>
      </w:r>
      <w:r w:rsidR="00CF5EFA">
        <w:t xml:space="preserve">that </w:t>
      </w:r>
      <w:r w:rsidR="00CF5EFA" w:rsidRPr="00CF5EFA">
        <w:t>will set out the environmental outcomes underpinning environmental law reforms</w:t>
      </w:r>
      <w:r w:rsidR="00CF5EFA">
        <w:t>.</w:t>
      </w:r>
      <w:bookmarkEnd w:id="0"/>
      <w:r w:rsidR="00CF5EFA" w:rsidRPr="00CF5EFA">
        <w:t xml:space="preserve"> </w:t>
      </w:r>
      <w:r w:rsidR="004B0CDF">
        <w:t xml:space="preserve">The government </w:t>
      </w:r>
      <w:r w:rsidRPr="00822599">
        <w:t>committ</w:t>
      </w:r>
      <w:r w:rsidR="004B0CDF">
        <w:t>ed</w:t>
      </w:r>
      <w:r w:rsidRPr="00822599">
        <w:t xml:space="preserve"> to working with stakeholders and RFA states towards applying the new standards to RFAs.</w:t>
      </w:r>
      <w:r w:rsidR="00E81FF2">
        <w:t xml:space="preserve"> </w:t>
      </w:r>
      <w:r w:rsidR="00E81FF2">
        <w:rPr>
          <w:rFonts w:cs="Calibri"/>
        </w:rPr>
        <w:t>This will support the ongoing operation of RFAs in those States that choose to continue native forest harvesting, with stronger environmental protections.</w:t>
      </w:r>
    </w:p>
    <w:p w14:paraId="3A0ECCAC" w14:textId="77777777" w:rsidR="00C116E3" w:rsidRPr="00642728" w:rsidRDefault="0054357B" w:rsidP="00C116E3">
      <w:pPr>
        <w:pStyle w:val="Heading2"/>
        <w:spacing w:after="120"/>
      </w:pPr>
      <w:r w:rsidRPr="00642728">
        <w:t>Response to the recommendations of the report</w:t>
      </w:r>
    </w:p>
    <w:tbl>
      <w:tblPr>
        <w:tblStyle w:val="TableGrid"/>
        <w:tblW w:w="0" w:type="auto"/>
        <w:tblLook w:val="04A0" w:firstRow="1" w:lastRow="0" w:firstColumn="1" w:lastColumn="0" w:noHBand="0" w:noVBand="1"/>
      </w:tblPr>
      <w:tblGrid>
        <w:gridCol w:w="9061"/>
      </w:tblGrid>
      <w:tr w:rsidR="00004993" w14:paraId="67D1FC5E" w14:textId="77777777" w:rsidTr="00AD1194">
        <w:trPr>
          <w:cantSplit/>
        </w:trPr>
        <w:tc>
          <w:tcPr>
            <w:tcW w:w="9061" w:type="dxa"/>
          </w:tcPr>
          <w:p w14:paraId="64CEAE59" w14:textId="77777777" w:rsidR="000C4C85" w:rsidRDefault="0054357B" w:rsidP="00AD1194">
            <w:pPr>
              <w:keepNext/>
              <w:spacing w:after="120"/>
              <w:rPr>
                <w:b/>
                <w:bCs/>
                <w:sz w:val="23"/>
                <w:szCs w:val="23"/>
              </w:rPr>
            </w:pPr>
            <w:r>
              <w:rPr>
                <w:b/>
                <w:bCs/>
                <w:sz w:val="23"/>
                <w:szCs w:val="23"/>
              </w:rPr>
              <w:t>Recommendation 1</w:t>
            </w:r>
          </w:p>
          <w:p w14:paraId="680375FB" w14:textId="77777777" w:rsidR="00C116E3" w:rsidRPr="003B6BCF" w:rsidRDefault="0054357B" w:rsidP="00AD1194">
            <w:pPr>
              <w:keepNext/>
              <w:spacing w:after="120"/>
            </w:pPr>
            <w:r w:rsidRPr="003B6BCF">
              <w:rPr>
                <w:sz w:val="23"/>
                <w:szCs w:val="23"/>
              </w:rPr>
              <w:t>The committee recommends that the Australian Government expedite the necessary changes to the Regional Forest Agreements (RFA) framework to ensure that that the framework delivers operational certainty for the native forestry industry.</w:t>
            </w:r>
          </w:p>
        </w:tc>
      </w:tr>
    </w:tbl>
    <w:p w14:paraId="25DE880B" w14:textId="77777777" w:rsidR="003B6BCF" w:rsidRDefault="005629B2" w:rsidP="00055943">
      <w:r w:rsidRPr="0053206D">
        <w:t xml:space="preserve">The Government </w:t>
      </w:r>
      <w:r w:rsidRPr="003B6BCF">
        <w:rPr>
          <w:b/>
          <w:bCs/>
        </w:rPr>
        <w:t>notes</w:t>
      </w:r>
      <w:r w:rsidRPr="0053206D">
        <w:t xml:space="preserve"> this recommendation. </w:t>
      </w:r>
    </w:p>
    <w:p w14:paraId="5B47EF8D" w14:textId="670780A1" w:rsidR="003D5C5A" w:rsidRPr="0053206D" w:rsidRDefault="005629B2" w:rsidP="00055943">
      <w:r w:rsidRPr="0053206D">
        <w:lastRenderedPageBreak/>
        <w:t>However, given the passage of time since this report was tabled, a substantive Government response is no longer appropriate</w:t>
      </w:r>
      <w:r w:rsidR="001405CC" w:rsidRPr="0053206D">
        <w:t>.</w:t>
      </w:r>
    </w:p>
    <w:p w14:paraId="71BDE0DE" w14:textId="77777777" w:rsidR="00C116E3" w:rsidRPr="00642728" w:rsidRDefault="00C116E3" w:rsidP="00C116E3">
      <w:pPr>
        <w:rPr>
          <w:rFonts w:cs="Calibri"/>
          <w:szCs w:val="22"/>
        </w:rPr>
      </w:pPr>
    </w:p>
    <w:tbl>
      <w:tblPr>
        <w:tblStyle w:val="TableGrid"/>
        <w:tblW w:w="9071" w:type="dxa"/>
        <w:tblLook w:val="04A0" w:firstRow="1" w:lastRow="0" w:firstColumn="1" w:lastColumn="0" w:noHBand="0" w:noVBand="1"/>
      </w:tblPr>
      <w:tblGrid>
        <w:gridCol w:w="9071"/>
      </w:tblGrid>
      <w:tr w:rsidR="00004993" w14:paraId="2AE444AE" w14:textId="77777777" w:rsidTr="00AD1194">
        <w:trPr>
          <w:cantSplit/>
        </w:trPr>
        <w:tc>
          <w:tcPr>
            <w:tcW w:w="9071" w:type="dxa"/>
          </w:tcPr>
          <w:p w14:paraId="1C688D07" w14:textId="77777777" w:rsidR="00C116E3" w:rsidRPr="00055943" w:rsidRDefault="0054357B" w:rsidP="00AD1194">
            <w:pPr>
              <w:keepNext/>
              <w:spacing w:after="120"/>
              <w:rPr>
                <w:b/>
                <w:bCs/>
                <w:sz w:val="23"/>
                <w:szCs w:val="23"/>
              </w:rPr>
            </w:pPr>
            <w:bookmarkStart w:id="1" w:name="_Hlk75533445"/>
            <w:r w:rsidRPr="00055943">
              <w:rPr>
                <w:b/>
                <w:bCs/>
                <w:sz w:val="23"/>
                <w:szCs w:val="23"/>
              </w:rPr>
              <w:t xml:space="preserve">Recommendation 2 </w:t>
            </w:r>
          </w:p>
          <w:p w14:paraId="71F6FA11" w14:textId="77777777" w:rsidR="00C116E3" w:rsidRPr="003B6BCF" w:rsidRDefault="0054357B" w:rsidP="00055943">
            <w:pPr>
              <w:keepNext/>
              <w:spacing w:after="120"/>
              <w:rPr>
                <w:rFonts w:cs="Calibri"/>
                <w:szCs w:val="22"/>
              </w:rPr>
            </w:pPr>
            <w:r w:rsidRPr="003B6BCF">
              <w:rPr>
                <w:sz w:val="23"/>
                <w:szCs w:val="23"/>
              </w:rPr>
              <w:t>The committee recommends that the Australian Government expedite amendments to the Environment Protection and Biodiversity Conservation Act 1999 and the Regional Forest Agreements Act 2002 which introduce a test of judgment—</w:t>
            </w:r>
            <w:proofErr w:type="gramStart"/>
            <w:r w:rsidRPr="003B6BCF">
              <w:rPr>
                <w:sz w:val="23"/>
                <w:szCs w:val="23"/>
              </w:rPr>
              <w:t>similar to</w:t>
            </w:r>
            <w:proofErr w:type="gramEnd"/>
            <w:r w:rsidRPr="003B6BCF">
              <w:rPr>
                <w:sz w:val="23"/>
                <w:szCs w:val="23"/>
              </w:rPr>
              <w:t xml:space="preserve"> the test which applies to company directors under the Corporations Act 2001—in order to appropriately balance environmental protection with the operational realities of the field-based operations of the native forestry industry.</w:t>
            </w:r>
          </w:p>
        </w:tc>
      </w:tr>
    </w:tbl>
    <w:p w14:paraId="0ED44ED2" w14:textId="77777777" w:rsidR="003B6BCF" w:rsidRDefault="005629B2" w:rsidP="00C116E3">
      <w:r w:rsidRPr="0053206D">
        <w:t xml:space="preserve">The Government </w:t>
      </w:r>
      <w:r w:rsidRPr="003B6BCF">
        <w:rPr>
          <w:b/>
          <w:bCs/>
        </w:rPr>
        <w:t>notes</w:t>
      </w:r>
      <w:r w:rsidRPr="0053206D">
        <w:t xml:space="preserve"> this recommendation. </w:t>
      </w:r>
    </w:p>
    <w:p w14:paraId="39DDD353" w14:textId="6515C285" w:rsidR="00C116E3" w:rsidRPr="0053206D" w:rsidRDefault="005629B2" w:rsidP="00C116E3">
      <w:r w:rsidRPr="0053206D">
        <w:t>However, given the passage of time since this report was tabled, a substantive Government response is no longer appropriate.</w:t>
      </w:r>
    </w:p>
    <w:p w14:paraId="113BB297" w14:textId="77777777" w:rsidR="005629B2" w:rsidRPr="00642728" w:rsidRDefault="005629B2" w:rsidP="00C116E3"/>
    <w:tbl>
      <w:tblPr>
        <w:tblStyle w:val="TableGrid"/>
        <w:tblW w:w="9071" w:type="dxa"/>
        <w:tblLook w:val="04A0" w:firstRow="1" w:lastRow="0" w:firstColumn="1" w:lastColumn="0" w:noHBand="0" w:noVBand="1"/>
      </w:tblPr>
      <w:tblGrid>
        <w:gridCol w:w="9071"/>
      </w:tblGrid>
      <w:tr w:rsidR="00004993" w14:paraId="0102F5F5" w14:textId="77777777" w:rsidTr="00AD1194">
        <w:trPr>
          <w:cantSplit/>
        </w:trPr>
        <w:tc>
          <w:tcPr>
            <w:tcW w:w="9071" w:type="dxa"/>
          </w:tcPr>
          <w:p w14:paraId="0E00EBE7" w14:textId="77777777" w:rsidR="00C116E3" w:rsidRPr="00642728" w:rsidRDefault="0054357B" w:rsidP="00AD1194">
            <w:pPr>
              <w:keepNext/>
              <w:spacing w:after="120"/>
              <w:rPr>
                <w:b/>
                <w:bCs/>
              </w:rPr>
            </w:pPr>
            <w:bookmarkStart w:id="2" w:name="_Hlk142292967"/>
            <w:r w:rsidRPr="00642728">
              <w:rPr>
                <w:b/>
                <w:bCs/>
              </w:rPr>
              <w:t>Recommendation </w:t>
            </w:r>
            <w:r w:rsidR="004B61A9">
              <w:rPr>
                <w:b/>
                <w:bCs/>
              </w:rPr>
              <w:t>3</w:t>
            </w:r>
          </w:p>
          <w:p w14:paraId="5466A634" w14:textId="77777777" w:rsidR="00C116E3" w:rsidRPr="003B6BCF" w:rsidRDefault="0054357B" w:rsidP="006E206B">
            <w:pPr>
              <w:keepNext/>
              <w:spacing w:after="120"/>
              <w:rPr>
                <w:rFonts w:cs="Calibri"/>
                <w:szCs w:val="22"/>
              </w:rPr>
            </w:pPr>
            <w:proofErr w:type="gramStart"/>
            <w:r w:rsidRPr="003B6BCF">
              <w:rPr>
                <w:sz w:val="23"/>
                <w:szCs w:val="23"/>
              </w:rPr>
              <w:t>In the event that</w:t>
            </w:r>
            <w:proofErr w:type="gramEnd"/>
            <w:r w:rsidRPr="003B6BCF">
              <w:rPr>
                <w:sz w:val="23"/>
                <w:szCs w:val="23"/>
              </w:rPr>
              <w:t xml:space="preserve"> the Federal Court decision of 10 May 2021—in relation to VicForests’ appeal to the decision in </w:t>
            </w:r>
            <w:r w:rsidRPr="003B6BCF">
              <w:rPr>
                <w:i/>
                <w:iCs/>
                <w:sz w:val="23"/>
                <w:szCs w:val="23"/>
              </w:rPr>
              <w:t xml:space="preserve">Friends of Leadbeater’s Possum Inc v VicForests (No. 4) </w:t>
            </w:r>
            <w:r w:rsidRPr="003B6BCF">
              <w:rPr>
                <w:sz w:val="23"/>
                <w:szCs w:val="23"/>
              </w:rPr>
              <w:t>[2020] FCA 704—is appealed and at that time the Australian Government has not legislated the outcome required by Recommendation 1, the committee recommends that the Senate pass the bill.</w:t>
            </w:r>
          </w:p>
        </w:tc>
      </w:tr>
    </w:tbl>
    <w:bookmarkEnd w:id="2"/>
    <w:bookmarkEnd w:id="1"/>
    <w:p w14:paraId="1FA7EDCE" w14:textId="77777777" w:rsidR="003B6BCF" w:rsidRDefault="005629B2" w:rsidP="005629B2">
      <w:r w:rsidRPr="0099671D">
        <w:t xml:space="preserve">The Government </w:t>
      </w:r>
      <w:r w:rsidRPr="003B6BCF">
        <w:rPr>
          <w:b/>
          <w:bCs/>
        </w:rPr>
        <w:t>notes</w:t>
      </w:r>
      <w:r w:rsidRPr="0099671D">
        <w:t xml:space="preserve"> this recommendation. </w:t>
      </w:r>
    </w:p>
    <w:p w14:paraId="6D7934C5" w14:textId="01E0945A" w:rsidR="005629B2" w:rsidRDefault="005629B2" w:rsidP="005629B2">
      <w:r w:rsidRPr="0099671D">
        <w:t>However, given the passage of time since this report was tabled, a substantive Government response is no longer appropriate.</w:t>
      </w:r>
    </w:p>
    <w:p w14:paraId="3AD48DDC" w14:textId="29FF75AC" w:rsidR="0099671D" w:rsidRDefault="0099671D" w:rsidP="005629B2"/>
    <w:p w14:paraId="4DDC3A77" w14:textId="65C263BD" w:rsidR="00C904A8" w:rsidRDefault="00B12E3E" w:rsidP="00B12E3E">
      <w:pPr>
        <w:pStyle w:val="Heading2"/>
      </w:pPr>
      <w:r>
        <w:t xml:space="preserve">Response to </w:t>
      </w:r>
      <w:r w:rsidR="00C904A8">
        <w:t>Dissenting Recommendations – Australian Greens</w:t>
      </w:r>
    </w:p>
    <w:p w14:paraId="33B65E96" w14:textId="77777777" w:rsidR="00C904A8" w:rsidRDefault="00C904A8" w:rsidP="004B61A9"/>
    <w:tbl>
      <w:tblPr>
        <w:tblStyle w:val="TableGrid"/>
        <w:tblW w:w="9071" w:type="dxa"/>
        <w:tblLook w:val="04A0" w:firstRow="1" w:lastRow="0" w:firstColumn="1" w:lastColumn="0" w:noHBand="0" w:noVBand="1"/>
      </w:tblPr>
      <w:tblGrid>
        <w:gridCol w:w="9071"/>
      </w:tblGrid>
      <w:tr w:rsidR="00C904A8" w14:paraId="184BB74D" w14:textId="77777777" w:rsidTr="00562C39">
        <w:trPr>
          <w:cantSplit/>
        </w:trPr>
        <w:tc>
          <w:tcPr>
            <w:tcW w:w="9071" w:type="dxa"/>
          </w:tcPr>
          <w:p w14:paraId="1030F008" w14:textId="77777777" w:rsidR="00C904A8" w:rsidRPr="00C904A8" w:rsidRDefault="00C904A8" w:rsidP="00C904A8">
            <w:pPr>
              <w:keepNext/>
              <w:spacing w:after="120"/>
              <w:rPr>
                <w:b/>
                <w:bCs/>
              </w:rPr>
            </w:pPr>
            <w:r w:rsidRPr="00C904A8">
              <w:rPr>
                <w:b/>
                <w:bCs/>
              </w:rPr>
              <w:t>Recommendation 1</w:t>
            </w:r>
          </w:p>
          <w:p w14:paraId="011B8862" w14:textId="3485D5C2" w:rsidR="00C904A8" w:rsidRPr="003B6BCF" w:rsidRDefault="00C904A8" w:rsidP="00562C39">
            <w:pPr>
              <w:keepNext/>
              <w:spacing w:after="120"/>
            </w:pPr>
            <w:r w:rsidRPr="003B6BCF">
              <w:t xml:space="preserve">That the bill </w:t>
            </w:r>
            <w:proofErr w:type="gramStart"/>
            <w:r w:rsidRPr="003B6BCF">
              <w:t>not be</w:t>
            </w:r>
            <w:proofErr w:type="gramEnd"/>
            <w:r w:rsidRPr="003B6BCF">
              <w:t xml:space="preserve"> passed.</w:t>
            </w:r>
          </w:p>
        </w:tc>
      </w:tr>
    </w:tbl>
    <w:p w14:paraId="1B6AADB8" w14:textId="77777777" w:rsidR="003B6BCF" w:rsidRDefault="005629B2" w:rsidP="004B61A9">
      <w:r w:rsidRPr="0099671D">
        <w:t xml:space="preserve">The Government </w:t>
      </w:r>
      <w:r w:rsidRPr="003B6BCF">
        <w:rPr>
          <w:b/>
          <w:bCs/>
        </w:rPr>
        <w:t>notes</w:t>
      </w:r>
      <w:r w:rsidRPr="0099671D">
        <w:t xml:space="preserve"> this recommendation. </w:t>
      </w:r>
    </w:p>
    <w:p w14:paraId="1173694B" w14:textId="085AB8A8" w:rsidR="00C904A8" w:rsidRDefault="005629B2" w:rsidP="004B61A9">
      <w:r w:rsidRPr="0099671D">
        <w:t>However, given the passage of time since this report was tabled, a substantive Government response is no longer appropriate.</w:t>
      </w:r>
    </w:p>
    <w:p w14:paraId="397819B2" w14:textId="77777777" w:rsidR="003B6BCF" w:rsidRPr="0099671D" w:rsidRDefault="003B6BCF" w:rsidP="004B61A9"/>
    <w:tbl>
      <w:tblPr>
        <w:tblStyle w:val="TableGrid"/>
        <w:tblW w:w="9071" w:type="dxa"/>
        <w:tblLook w:val="04A0" w:firstRow="1" w:lastRow="0" w:firstColumn="1" w:lastColumn="0" w:noHBand="0" w:noVBand="1"/>
      </w:tblPr>
      <w:tblGrid>
        <w:gridCol w:w="9071"/>
      </w:tblGrid>
      <w:tr w:rsidR="00C904A8" w14:paraId="21DF5C96" w14:textId="77777777" w:rsidTr="00562C39">
        <w:trPr>
          <w:cantSplit/>
        </w:trPr>
        <w:tc>
          <w:tcPr>
            <w:tcW w:w="9071" w:type="dxa"/>
          </w:tcPr>
          <w:p w14:paraId="38A1F420" w14:textId="57CF38C4" w:rsidR="00C904A8" w:rsidRPr="00C904A8" w:rsidRDefault="00C904A8" w:rsidP="00562C39">
            <w:pPr>
              <w:keepNext/>
              <w:spacing w:after="120"/>
              <w:rPr>
                <w:b/>
                <w:bCs/>
              </w:rPr>
            </w:pPr>
            <w:r w:rsidRPr="00C904A8">
              <w:rPr>
                <w:b/>
                <w:bCs/>
              </w:rPr>
              <w:t xml:space="preserve">Recommendation </w:t>
            </w:r>
            <w:r>
              <w:rPr>
                <w:b/>
                <w:bCs/>
              </w:rPr>
              <w:t>2</w:t>
            </w:r>
          </w:p>
          <w:p w14:paraId="381F3FCD" w14:textId="79DE5DD1" w:rsidR="00C904A8" w:rsidRPr="003B6BCF" w:rsidRDefault="00C904A8" w:rsidP="00562C39">
            <w:pPr>
              <w:keepNext/>
              <w:spacing w:after="120"/>
            </w:pPr>
            <w:r w:rsidRPr="003B6BCF">
              <w:t>That the Australian Government implement the recommendation of the Independent Review of the EPBC Act, to increase the level of environmental protection afforded in Regional Forest Agreements.</w:t>
            </w:r>
          </w:p>
        </w:tc>
      </w:tr>
    </w:tbl>
    <w:p w14:paraId="5239D4B0" w14:textId="77777777" w:rsidR="003B6BCF" w:rsidRDefault="005629B2" w:rsidP="005629B2">
      <w:r w:rsidRPr="0099671D">
        <w:t xml:space="preserve">The Government </w:t>
      </w:r>
      <w:r w:rsidRPr="003B6BCF">
        <w:rPr>
          <w:b/>
          <w:bCs/>
        </w:rPr>
        <w:t>notes</w:t>
      </w:r>
      <w:r w:rsidRPr="0099671D">
        <w:t xml:space="preserve"> this recommendation. </w:t>
      </w:r>
    </w:p>
    <w:p w14:paraId="7BDAD104" w14:textId="66973785" w:rsidR="005629B2" w:rsidRPr="0099671D" w:rsidRDefault="005629B2" w:rsidP="005629B2">
      <w:r w:rsidRPr="0099671D">
        <w:t>However, given the passage of time since this report was tabled, a substantive Government response is no longer appropriate.</w:t>
      </w:r>
    </w:p>
    <w:p w14:paraId="057CB817" w14:textId="77777777" w:rsidR="00C904A8" w:rsidRDefault="00C904A8" w:rsidP="004B61A9"/>
    <w:tbl>
      <w:tblPr>
        <w:tblStyle w:val="TableGrid"/>
        <w:tblW w:w="9071" w:type="dxa"/>
        <w:tblLook w:val="04A0" w:firstRow="1" w:lastRow="0" w:firstColumn="1" w:lastColumn="0" w:noHBand="0" w:noVBand="1"/>
      </w:tblPr>
      <w:tblGrid>
        <w:gridCol w:w="9071"/>
      </w:tblGrid>
      <w:tr w:rsidR="00C904A8" w14:paraId="59A56D2D" w14:textId="77777777" w:rsidTr="00562C39">
        <w:trPr>
          <w:cantSplit/>
        </w:trPr>
        <w:tc>
          <w:tcPr>
            <w:tcW w:w="9071" w:type="dxa"/>
          </w:tcPr>
          <w:p w14:paraId="5743CD58" w14:textId="3311F99C" w:rsidR="00C904A8" w:rsidRPr="00C904A8" w:rsidRDefault="00C904A8" w:rsidP="00562C39">
            <w:pPr>
              <w:keepNext/>
              <w:spacing w:after="120"/>
              <w:rPr>
                <w:b/>
                <w:bCs/>
              </w:rPr>
            </w:pPr>
            <w:r w:rsidRPr="00C904A8">
              <w:rPr>
                <w:b/>
                <w:bCs/>
              </w:rPr>
              <w:lastRenderedPageBreak/>
              <w:t xml:space="preserve">Recommendation </w:t>
            </w:r>
            <w:r>
              <w:rPr>
                <w:b/>
                <w:bCs/>
              </w:rPr>
              <w:t>3</w:t>
            </w:r>
          </w:p>
          <w:p w14:paraId="5F29977D" w14:textId="65123889" w:rsidR="00C904A8" w:rsidRPr="003B6BCF" w:rsidRDefault="00C904A8" w:rsidP="00562C39">
            <w:pPr>
              <w:keepNext/>
              <w:spacing w:after="120"/>
            </w:pPr>
            <w:r w:rsidRPr="003B6BCF">
              <w:t>That the Australian Government abandon attempts to delegate environmental protection to state governments.</w:t>
            </w:r>
          </w:p>
        </w:tc>
      </w:tr>
    </w:tbl>
    <w:p w14:paraId="470696B3" w14:textId="77777777" w:rsidR="003B6BCF" w:rsidRDefault="005629B2" w:rsidP="005629B2">
      <w:r w:rsidRPr="0099671D">
        <w:t xml:space="preserve">The Government </w:t>
      </w:r>
      <w:r w:rsidRPr="003B6BCF">
        <w:rPr>
          <w:b/>
          <w:bCs/>
        </w:rPr>
        <w:t>notes</w:t>
      </w:r>
      <w:r w:rsidRPr="0099671D">
        <w:t xml:space="preserve"> this recommendation. </w:t>
      </w:r>
    </w:p>
    <w:p w14:paraId="5BCF5C6C" w14:textId="4F7E9AD4" w:rsidR="005629B2" w:rsidRPr="0099671D" w:rsidRDefault="005629B2" w:rsidP="005629B2">
      <w:r w:rsidRPr="0099671D">
        <w:t>However, given the passage of time since this report was tabled, a substantive Government response is no longer appropriate.</w:t>
      </w:r>
    </w:p>
    <w:p w14:paraId="03C42D5B" w14:textId="77777777" w:rsidR="00C904A8" w:rsidRDefault="00C904A8" w:rsidP="004B61A9"/>
    <w:tbl>
      <w:tblPr>
        <w:tblStyle w:val="TableGrid"/>
        <w:tblW w:w="9071" w:type="dxa"/>
        <w:tblLook w:val="04A0" w:firstRow="1" w:lastRow="0" w:firstColumn="1" w:lastColumn="0" w:noHBand="0" w:noVBand="1"/>
      </w:tblPr>
      <w:tblGrid>
        <w:gridCol w:w="9071"/>
      </w:tblGrid>
      <w:tr w:rsidR="00C904A8" w14:paraId="7F3E149E" w14:textId="77777777" w:rsidTr="00562C39">
        <w:trPr>
          <w:cantSplit/>
        </w:trPr>
        <w:tc>
          <w:tcPr>
            <w:tcW w:w="9071" w:type="dxa"/>
          </w:tcPr>
          <w:p w14:paraId="47F9E09E" w14:textId="59F29F2C" w:rsidR="00C904A8" w:rsidRPr="00C904A8" w:rsidRDefault="00C904A8" w:rsidP="00562C39">
            <w:pPr>
              <w:keepNext/>
              <w:spacing w:after="120"/>
              <w:rPr>
                <w:b/>
                <w:bCs/>
              </w:rPr>
            </w:pPr>
            <w:r w:rsidRPr="00C904A8">
              <w:rPr>
                <w:b/>
                <w:bCs/>
              </w:rPr>
              <w:t xml:space="preserve">Recommendation </w:t>
            </w:r>
            <w:r>
              <w:rPr>
                <w:b/>
                <w:bCs/>
              </w:rPr>
              <w:t>4</w:t>
            </w:r>
          </w:p>
          <w:p w14:paraId="582ADBC6" w14:textId="1D64325B" w:rsidR="00C904A8" w:rsidRPr="003B6BCF" w:rsidRDefault="00C904A8" w:rsidP="00562C39">
            <w:pPr>
              <w:keepNext/>
              <w:spacing w:after="120"/>
            </w:pPr>
            <w:r w:rsidRPr="003B6BCF">
              <w:t>That the Australian Government take urgent action to end native forest logging, and protect Australia’s precious native forests, and to complete the transition of the wood products industry in Australia to be 100 per cent plantation based.</w:t>
            </w:r>
          </w:p>
        </w:tc>
      </w:tr>
    </w:tbl>
    <w:p w14:paraId="66C73B4B" w14:textId="77777777" w:rsidR="003B6BCF" w:rsidRDefault="005629B2" w:rsidP="005629B2">
      <w:r w:rsidRPr="0099671D">
        <w:t xml:space="preserve">The Government </w:t>
      </w:r>
      <w:r w:rsidRPr="003B6BCF">
        <w:rPr>
          <w:b/>
          <w:bCs/>
        </w:rPr>
        <w:t>notes</w:t>
      </w:r>
      <w:r w:rsidRPr="0099671D">
        <w:t xml:space="preserve"> this recommendation. </w:t>
      </w:r>
    </w:p>
    <w:p w14:paraId="664C501C" w14:textId="62D02924" w:rsidR="005629B2" w:rsidRPr="0099671D" w:rsidRDefault="005629B2" w:rsidP="005629B2">
      <w:r w:rsidRPr="0099671D">
        <w:t>However, given the passage of time since this report was tabled, a substantive Government response is no longer appropriate.</w:t>
      </w:r>
    </w:p>
    <w:p w14:paraId="0E5678C6" w14:textId="27C90833" w:rsidR="00C904A8" w:rsidRDefault="00C904A8" w:rsidP="004B61A9"/>
    <w:sectPr w:rsidR="00C904A8" w:rsidSect="00440AA5">
      <w:pgSz w:w="11907" w:h="16840" w:code="9"/>
      <w:pgMar w:top="1134" w:right="1418"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2EE3" w14:textId="77777777" w:rsidR="009871BA" w:rsidRDefault="009871BA">
      <w:pPr>
        <w:spacing w:before="0"/>
      </w:pPr>
      <w:r>
        <w:separator/>
      </w:r>
    </w:p>
  </w:endnote>
  <w:endnote w:type="continuationSeparator" w:id="0">
    <w:p w14:paraId="37C96F65" w14:textId="77777777" w:rsidR="009871BA" w:rsidRDefault="009871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B948" w14:textId="77777777" w:rsidR="009871BA" w:rsidRDefault="009871BA">
      <w:pPr>
        <w:spacing w:before="0"/>
      </w:pPr>
      <w:r>
        <w:separator/>
      </w:r>
    </w:p>
  </w:footnote>
  <w:footnote w:type="continuationSeparator" w:id="0">
    <w:p w14:paraId="5E122A35" w14:textId="77777777" w:rsidR="009871BA" w:rsidRDefault="009871B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B582" w14:textId="4A6EAD3E" w:rsidR="00EB5BCC" w:rsidRDefault="00EB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3CD9DA"/>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9C46AC8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multilevel"/>
    <w:tmpl w:val="0000000F"/>
    <w:styleLink w:val="RecommendationList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0F"/>
    <w:numStyleLink w:val="RecommendationListBullet1List"/>
  </w:abstractNum>
  <w:abstractNum w:abstractNumId="4" w15:restartNumberingAfterBreak="0">
    <w:nsid w:val="041E1AC5"/>
    <w:multiLevelType w:val="multilevel"/>
    <w:tmpl w:val="7124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A37DC"/>
    <w:multiLevelType w:val="hybridMultilevel"/>
    <w:tmpl w:val="2B443454"/>
    <w:lvl w:ilvl="0" w:tplc="8544FEBA">
      <w:start w:val="1"/>
      <w:numFmt w:val="decimal"/>
      <w:lvlText w:val="%1."/>
      <w:lvlJc w:val="left"/>
      <w:pPr>
        <w:ind w:left="360" w:hanging="360"/>
      </w:pPr>
      <w:rPr>
        <w:rFonts w:hint="default"/>
      </w:rPr>
    </w:lvl>
    <w:lvl w:ilvl="1" w:tplc="D792AE0C">
      <w:start w:val="1"/>
      <w:numFmt w:val="lowerLetter"/>
      <w:lvlText w:val="%2."/>
      <w:lvlJc w:val="left"/>
      <w:pPr>
        <w:ind w:left="1298" w:hanging="360"/>
      </w:pPr>
    </w:lvl>
    <w:lvl w:ilvl="2" w:tplc="733AFB4C" w:tentative="1">
      <w:start w:val="1"/>
      <w:numFmt w:val="lowerRoman"/>
      <w:lvlText w:val="%3."/>
      <w:lvlJc w:val="right"/>
      <w:pPr>
        <w:ind w:left="2018" w:hanging="180"/>
      </w:pPr>
    </w:lvl>
    <w:lvl w:ilvl="3" w:tplc="37447312" w:tentative="1">
      <w:start w:val="1"/>
      <w:numFmt w:val="decimal"/>
      <w:lvlText w:val="%4."/>
      <w:lvlJc w:val="left"/>
      <w:pPr>
        <w:ind w:left="2738" w:hanging="360"/>
      </w:pPr>
    </w:lvl>
    <w:lvl w:ilvl="4" w:tplc="F5D46278" w:tentative="1">
      <w:start w:val="1"/>
      <w:numFmt w:val="lowerLetter"/>
      <w:lvlText w:val="%5."/>
      <w:lvlJc w:val="left"/>
      <w:pPr>
        <w:ind w:left="3458" w:hanging="360"/>
      </w:pPr>
    </w:lvl>
    <w:lvl w:ilvl="5" w:tplc="32C29B3C" w:tentative="1">
      <w:start w:val="1"/>
      <w:numFmt w:val="lowerRoman"/>
      <w:lvlText w:val="%6."/>
      <w:lvlJc w:val="right"/>
      <w:pPr>
        <w:ind w:left="4178" w:hanging="180"/>
      </w:pPr>
    </w:lvl>
    <w:lvl w:ilvl="6" w:tplc="EBD630BE" w:tentative="1">
      <w:start w:val="1"/>
      <w:numFmt w:val="decimal"/>
      <w:lvlText w:val="%7."/>
      <w:lvlJc w:val="left"/>
      <w:pPr>
        <w:ind w:left="4898" w:hanging="360"/>
      </w:pPr>
    </w:lvl>
    <w:lvl w:ilvl="7" w:tplc="542EFEC6" w:tentative="1">
      <w:start w:val="1"/>
      <w:numFmt w:val="lowerLetter"/>
      <w:lvlText w:val="%8."/>
      <w:lvlJc w:val="left"/>
      <w:pPr>
        <w:ind w:left="5618" w:hanging="360"/>
      </w:pPr>
    </w:lvl>
    <w:lvl w:ilvl="8" w:tplc="ABF8E83C" w:tentative="1">
      <w:start w:val="1"/>
      <w:numFmt w:val="lowerRoman"/>
      <w:lvlText w:val="%9."/>
      <w:lvlJc w:val="right"/>
      <w:pPr>
        <w:ind w:left="6338" w:hanging="180"/>
      </w:pPr>
    </w:lvl>
  </w:abstractNum>
  <w:abstractNum w:abstractNumId="6" w15:restartNumberingAfterBreak="0">
    <w:nsid w:val="20BA3C71"/>
    <w:multiLevelType w:val="multilevel"/>
    <w:tmpl w:val="ED7EA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93312"/>
    <w:multiLevelType w:val="multilevel"/>
    <w:tmpl w:val="0ACED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3BA519F"/>
    <w:multiLevelType w:val="hybridMultilevel"/>
    <w:tmpl w:val="F9409196"/>
    <w:lvl w:ilvl="0" w:tplc="4ADE7E24">
      <w:start w:val="1"/>
      <w:numFmt w:val="lowerLetter"/>
      <w:pStyle w:val="Lettered"/>
      <w:lvlText w:val="%1)"/>
      <w:lvlJc w:val="left"/>
      <w:pPr>
        <w:tabs>
          <w:tab w:val="num" w:pos="927"/>
        </w:tabs>
        <w:ind w:left="927" w:hanging="360"/>
      </w:pPr>
      <w:rPr>
        <w:rFonts w:hint="default"/>
      </w:rPr>
    </w:lvl>
    <w:lvl w:ilvl="1" w:tplc="ADF2B186">
      <w:start w:val="1"/>
      <w:numFmt w:val="lowerLetter"/>
      <w:lvlText w:val="%2."/>
      <w:lvlJc w:val="left"/>
      <w:pPr>
        <w:tabs>
          <w:tab w:val="num" w:pos="1647"/>
        </w:tabs>
        <w:ind w:left="1647" w:hanging="360"/>
      </w:pPr>
    </w:lvl>
    <w:lvl w:ilvl="2" w:tplc="CFEC125E" w:tentative="1">
      <w:start w:val="1"/>
      <w:numFmt w:val="lowerRoman"/>
      <w:lvlText w:val="%3."/>
      <w:lvlJc w:val="right"/>
      <w:pPr>
        <w:tabs>
          <w:tab w:val="num" w:pos="2367"/>
        </w:tabs>
        <w:ind w:left="2367" w:hanging="180"/>
      </w:pPr>
    </w:lvl>
    <w:lvl w:ilvl="3" w:tplc="FF64499E" w:tentative="1">
      <w:start w:val="1"/>
      <w:numFmt w:val="decimal"/>
      <w:lvlText w:val="%4."/>
      <w:lvlJc w:val="left"/>
      <w:pPr>
        <w:tabs>
          <w:tab w:val="num" w:pos="3087"/>
        </w:tabs>
        <w:ind w:left="3087" w:hanging="360"/>
      </w:pPr>
    </w:lvl>
    <w:lvl w:ilvl="4" w:tplc="CAE8A132" w:tentative="1">
      <w:start w:val="1"/>
      <w:numFmt w:val="lowerLetter"/>
      <w:lvlText w:val="%5."/>
      <w:lvlJc w:val="left"/>
      <w:pPr>
        <w:tabs>
          <w:tab w:val="num" w:pos="3807"/>
        </w:tabs>
        <w:ind w:left="3807" w:hanging="360"/>
      </w:pPr>
    </w:lvl>
    <w:lvl w:ilvl="5" w:tplc="9ECC8AD0" w:tentative="1">
      <w:start w:val="1"/>
      <w:numFmt w:val="lowerRoman"/>
      <w:lvlText w:val="%6."/>
      <w:lvlJc w:val="right"/>
      <w:pPr>
        <w:tabs>
          <w:tab w:val="num" w:pos="4527"/>
        </w:tabs>
        <w:ind w:left="4527" w:hanging="180"/>
      </w:pPr>
    </w:lvl>
    <w:lvl w:ilvl="6" w:tplc="C2FA8DCC" w:tentative="1">
      <w:start w:val="1"/>
      <w:numFmt w:val="decimal"/>
      <w:lvlText w:val="%7."/>
      <w:lvlJc w:val="left"/>
      <w:pPr>
        <w:tabs>
          <w:tab w:val="num" w:pos="5247"/>
        </w:tabs>
        <w:ind w:left="5247" w:hanging="360"/>
      </w:pPr>
    </w:lvl>
    <w:lvl w:ilvl="7" w:tplc="67709296" w:tentative="1">
      <w:start w:val="1"/>
      <w:numFmt w:val="lowerLetter"/>
      <w:lvlText w:val="%8."/>
      <w:lvlJc w:val="left"/>
      <w:pPr>
        <w:tabs>
          <w:tab w:val="num" w:pos="5967"/>
        </w:tabs>
        <w:ind w:left="5967" w:hanging="360"/>
      </w:pPr>
    </w:lvl>
    <w:lvl w:ilvl="8" w:tplc="1E0AF05C" w:tentative="1">
      <w:start w:val="1"/>
      <w:numFmt w:val="lowerRoman"/>
      <w:lvlText w:val="%9."/>
      <w:lvlJc w:val="right"/>
      <w:pPr>
        <w:tabs>
          <w:tab w:val="num" w:pos="6687"/>
        </w:tabs>
        <w:ind w:left="6687" w:hanging="180"/>
      </w:pPr>
    </w:lvl>
  </w:abstractNum>
  <w:abstractNum w:abstractNumId="9" w15:restartNumberingAfterBreak="0">
    <w:nsid w:val="30B07FE4"/>
    <w:multiLevelType w:val="hybridMultilevel"/>
    <w:tmpl w:val="F4028BCA"/>
    <w:lvl w:ilvl="0" w:tplc="5672AAF6">
      <w:start w:val="1"/>
      <w:numFmt w:val="bullet"/>
      <w:lvlText w:val=""/>
      <w:lvlJc w:val="left"/>
      <w:pPr>
        <w:ind w:left="720" w:hanging="360"/>
      </w:pPr>
      <w:rPr>
        <w:rFonts w:ascii="Symbol" w:hAnsi="Symbol" w:hint="default"/>
      </w:rPr>
    </w:lvl>
    <w:lvl w:ilvl="1" w:tplc="4F60697A">
      <w:start w:val="1"/>
      <w:numFmt w:val="bullet"/>
      <w:lvlText w:val="o"/>
      <w:lvlJc w:val="left"/>
      <w:pPr>
        <w:ind w:left="1440" w:hanging="360"/>
      </w:pPr>
      <w:rPr>
        <w:rFonts w:ascii="Courier New" w:hAnsi="Courier New" w:cs="Courier New" w:hint="default"/>
      </w:rPr>
    </w:lvl>
    <w:lvl w:ilvl="2" w:tplc="D4C40448">
      <w:start w:val="1"/>
      <w:numFmt w:val="bullet"/>
      <w:lvlText w:val=""/>
      <w:lvlJc w:val="left"/>
      <w:pPr>
        <w:ind w:left="2160" w:hanging="360"/>
      </w:pPr>
      <w:rPr>
        <w:rFonts w:ascii="Wingdings" w:hAnsi="Wingdings" w:hint="default"/>
      </w:rPr>
    </w:lvl>
    <w:lvl w:ilvl="3" w:tplc="A99097BA">
      <w:start w:val="1"/>
      <w:numFmt w:val="bullet"/>
      <w:lvlText w:val=""/>
      <w:lvlJc w:val="left"/>
      <w:pPr>
        <w:ind w:left="2880" w:hanging="360"/>
      </w:pPr>
      <w:rPr>
        <w:rFonts w:ascii="Symbol" w:hAnsi="Symbol" w:hint="default"/>
      </w:rPr>
    </w:lvl>
    <w:lvl w:ilvl="4" w:tplc="5E02CF76">
      <w:start w:val="1"/>
      <w:numFmt w:val="bullet"/>
      <w:lvlText w:val="o"/>
      <w:lvlJc w:val="left"/>
      <w:pPr>
        <w:ind w:left="3600" w:hanging="360"/>
      </w:pPr>
      <w:rPr>
        <w:rFonts w:ascii="Courier New" w:hAnsi="Courier New" w:cs="Courier New" w:hint="default"/>
      </w:rPr>
    </w:lvl>
    <w:lvl w:ilvl="5" w:tplc="8662C9F2">
      <w:start w:val="1"/>
      <w:numFmt w:val="bullet"/>
      <w:lvlText w:val=""/>
      <w:lvlJc w:val="left"/>
      <w:pPr>
        <w:ind w:left="4320" w:hanging="360"/>
      </w:pPr>
      <w:rPr>
        <w:rFonts w:ascii="Wingdings" w:hAnsi="Wingdings" w:hint="default"/>
      </w:rPr>
    </w:lvl>
    <w:lvl w:ilvl="6" w:tplc="FDA67698">
      <w:start w:val="1"/>
      <w:numFmt w:val="bullet"/>
      <w:lvlText w:val=""/>
      <w:lvlJc w:val="left"/>
      <w:pPr>
        <w:ind w:left="5040" w:hanging="360"/>
      </w:pPr>
      <w:rPr>
        <w:rFonts w:ascii="Symbol" w:hAnsi="Symbol" w:hint="default"/>
      </w:rPr>
    </w:lvl>
    <w:lvl w:ilvl="7" w:tplc="16AADD56">
      <w:start w:val="1"/>
      <w:numFmt w:val="bullet"/>
      <w:lvlText w:val="o"/>
      <w:lvlJc w:val="left"/>
      <w:pPr>
        <w:ind w:left="5760" w:hanging="360"/>
      </w:pPr>
      <w:rPr>
        <w:rFonts w:ascii="Courier New" w:hAnsi="Courier New" w:cs="Courier New" w:hint="default"/>
      </w:rPr>
    </w:lvl>
    <w:lvl w:ilvl="8" w:tplc="A630F5D4">
      <w:start w:val="1"/>
      <w:numFmt w:val="bullet"/>
      <w:lvlText w:val=""/>
      <w:lvlJc w:val="left"/>
      <w:pPr>
        <w:ind w:left="6480" w:hanging="360"/>
      </w:pPr>
      <w:rPr>
        <w:rFonts w:ascii="Wingdings" w:hAnsi="Wingdings" w:hint="default"/>
      </w:rPr>
    </w:lvl>
  </w:abstractNum>
  <w:abstractNum w:abstractNumId="10" w15:restartNumberingAfterBreak="0">
    <w:nsid w:val="32D01C88"/>
    <w:multiLevelType w:val="hybridMultilevel"/>
    <w:tmpl w:val="980C9C10"/>
    <w:lvl w:ilvl="0" w:tplc="E2DCCC90">
      <w:start w:val="1"/>
      <w:numFmt w:val="bullet"/>
      <w:lvlText w:val=""/>
      <w:lvlJc w:val="left"/>
      <w:pPr>
        <w:ind w:left="720" w:hanging="360"/>
      </w:pPr>
      <w:rPr>
        <w:rFonts w:ascii="Symbol" w:hAnsi="Symbol" w:hint="default"/>
      </w:rPr>
    </w:lvl>
    <w:lvl w:ilvl="1" w:tplc="69BAA5F6">
      <w:start w:val="1"/>
      <w:numFmt w:val="bullet"/>
      <w:lvlText w:val="o"/>
      <w:lvlJc w:val="left"/>
      <w:pPr>
        <w:ind w:left="1440" w:hanging="360"/>
      </w:pPr>
      <w:rPr>
        <w:rFonts w:ascii="Courier New" w:hAnsi="Courier New" w:cs="Courier New" w:hint="default"/>
      </w:rPr>
    </w:lvl>
    <w:lvl w:ilvl="2" w:tplc="7168FAE8">
      <w:start w:val="1"/>
      <w:numFmt w:val="bullet"/>
      <w:lvlText w:val=""/>
      <w:lvlJc w:val="left"/>
      <w:pPr>
        <w:ind w:left="2160" w:hanging="360"/>
      </w:pPr>
      <w:rPr>
        <w:rFonts w:ascii="Wingdings" w:hAnsi="Wingdings" w:hint="default"/>
      </w:rPr>
    </w:lvl>
    <w:lvl w:ilvl="3" w:tplc="1E608D12">
      <w:start w:val="1"/>
      <w:numFmt w:val="bullet"/>
      <w:lvlText w:val=""/>
      <w:lvlJc w:val="left"/>
      <w:pPr>
        <w:ind w:left="2880" w:hanging="360"/>
      </w:pPr>
      <w:rPr>
        <w:rFonts w:ascii="Symbol" w:hAnsi="Symbol" w:hint="default"/>
      </w:rPr>
    </w:lvl>
    <w:lvl w:ilvl="4" w:tplc="7FA2CA5C">
      <w:start w:val="1"/>
      <w:numFmt w:val="bullet"/>
      <w:lvlText w:val="o"/>
      <w:lvlJc w:val="left"/>
      <w:pPr>
        <w:ind w:left="3600" w:hanging="360"/>
      </w:pPr>
      <w:rPr>
        <w:rFonts w:ascii="Courier New" w:hAnsi="Courier New" w:cs="Courier New" w:hint="default"/>
      </w:rPr>
    </w:lvl>
    <w:lvl w:ilvl="5" w:tplc="DB0C1212">
      <w:start w:val="1"/>
      <w:numFmt w:val="bullet"/>
      <w:lvlText w:val=""/>
      <w:lvlJc w:val="left"/>
      <w:pPr>
        <w:ind w:left="4320" w:hanging="360"/>
      </w:pPr>
      <w:rPr>
        <w:rFonts w:ascii="Wingdings" w:hAnsi="Wingdings" w:hint="default"/>
      </w:rPr>
    </w:lvl>
    <w:lvl w:ilvl="6" w:tplc="BE66C45E">
      <w:start w:val="1"/>
      <w:numFmt w:val="bullet"/>
      <w:lvlText w:val=""/>
      <w:lvlJc w:val="left"/>
      <w:pPr>
        <w:ind w:left="5040" w:hanging="360"/>
      </w:pPr>
      <w:rPr>
        <w:rFonts w:ascii="Symbol" w:hAnsi="Symbol" w:hint="default"/>
      </w:rPr>
    </w:lvl>
    <w:lvl w:ilvl="7" w:tplc="CA385FD8">
      <w:start w:val="1"/>
      <w:numFmt w:val="bullet"/>
      <w:lvlText w:val="o"/>
      <w:lvlJc w:val="left"/>
      <w:pPr>
        <w:ind w:left="5760" w:hanging="360"/>
      </w:pPr>
      <w:rPr>
        <w:rFonts w:ascii="Courier New" w:hAnsi="Courier New" w:cs="Courier New" w:hint="default"/>
      </w:rPr>
    </w:lvl>
    <w:lvl w:ilvl="8" w:tplc="70085EC6">
      <w:start w:val="1"/>
      <w:numFmt w:val="bullet"/>
      <w:lvlText w:val=""/>
      <w:lvlJc w:val="left"/>
      <w:pPr>
        <w:ind w:left="6480" w:hanging="360"/>
      </w:pPr>
      <w:rPr>
        <w:rFonts w:ascii="Wingdings" w:hAnsi="Wingdings" w:hint="default"/>
      </w:rPr>
    </w:lvl>
  </w:abstractNum>
  <w:abstractNum w:abstractNumId="11" w15:restartNumberingAfterBreak="0">
    <w:nsid w:val="386C3D54"/>
    <w:multiLevelType w:val="hybridMultilevel"/>
    <w:tmpl w:val="0D4ECAAE"/>
    <w:lvl w:ilvl="0" w:tplc="0B02C698">
      <w:start w:val="1"/>
      <w:numFmt w:val="lowerLetter"/>
      <w:lvlText w:val="%1)"/>
      <w:lvlJc w:val="left"/>
      <w:pPr>
        <w:tabs>
          <w:tab w:val="num" w:pos="927"/>
        </w:tabs>
        <w:ind w:left="927" w:hanging="360"/>
      </w:pPr>
      <w:rPr>
        <w:rFonts w:hint="default"/>
      </w:rPr>
    </w:lvl>
    <w:lvl w:ilvl="1" w:tplc="3F2848D0" w:tentative="1">
      <w:start w:val="1"/>
      <w:numFmt w:val="lowerLetter"/>
      <w:lvlText w:val="%2."/>
      <w:lvlJc w:val="left"/>
      <w:pPr>
        <w:tabs>
          <w:tab w:val="num" w:pos="1647"/>
        </w:tabs>
        <w:ind w:left="1647" w:hanging="360"/>
      </w:pPr>
    </w:lvl>
    <w:lvl w:ilvl="2" w:tplc="DE1A309E" w:tentative="1">
      <w:start w:val="1"/>
      <w:numFmt w:val="lowerRoman"/>
      <w:lvlText w:val="%3."/>
      <w:lvlJc w:val="right"/>
      <w:pPr>
        <w:tabs>
          <w:tab w:val="num" w:pos="2367"/>
        </w:tabs>
        <w:ind w:left="2367" w:hanging="180"/>
      </w:pPr>
    </w:lvl>
    <w:lvl w:ilvl="3" w:tplc="7E389DF8" w:tentative="1">
      <w:start w:val="1"/>
      <w:numFmt w:val="decimal"/>
      <w:lvlText w:val="%4."/>
      <w:lvlJc w:val="left"/>
      <w:pPr>
        <w:tabs>
          <w:tab w:val="num" w:pos="3087"/>
        </w:tabs>
        <w:ind w:left="3087" w:hanging="360"/>
      </w:pPr>
    </w:lvl>
    <w:lvl w:ilvl="4" w:tplc="B4DE1DD8" w:tentative="1">
      <w:start w:val="1"/>
      <w:numFmt w:val="lowerLetter"/>
      <w:lvlText w:val="%5."/>
      <w:lvlJc w:val="left"/>
      <w:pPr>
        <w:tabs>
          <w:tab w:val="num" w:pos="3807"/>
        </w:tabs>
        <w:ind w:left="3807" w:hanging="360"/>
      </w:pPr>
    </w:lvl>
    <w:lvl w:ilvl="5" w:tplc="40509EBE" w:tentative="1">
      <w:start w:val="1"/>
      <w:numFmt w:val="lowerRoman"/>
      <w:lvlText w:val="%6."/>
      <w:lvlJc w:val="right"/>
      <w:pPr>
        <w:tabs>
          <w:tab w:val="num" w:pos="4527"/>
        </w:tabs>
        <w:ind w:left="4527" w:hanging="180"/>
      </w:pPr>
    </w:lvl>
    <w:lvl w:ilvl="6" w:tplc="6BEA5A8C" w:tentative="1">
      <w:start w:val="1"/>
      <w:numFmt w:val="decimal"/>
      <w:lvlText w:val="%7."/>
      <w:lvlJc w:val="left"/>
      <w:pPr>
        <w:tabs>
          <w:tab w:val="num" w:pos="5247"/>
        </w:tabs>
        <w:ind w:left="5247" w:hanging="360"/>
      </w:pPr>
    </w:lvl>
    <w:lvl w:ilvl="7" w:tplc="37705660" w:tentative="1">
      <w:start w:val="1"/>
      <w:numFmt w:val="lowerLetter"/>
      <w:lvlText w:val="%8."/>
      <w:lvlJc w:val="left"/>
      <w:pPr>
        <w:tabs>
          <w:tab w:val="num" w:pos="5967"/>
        </w:tabs>
        <w:ind w:left="5967" w:hanging="360"/>
      </w:pPr>
    </w:lvl>
    <w:lvl w:ilvl="8" w:tplc="17A0B294" w:tentative="1">
      <w:start w:val="1"/>
      <w:numFmt w:val="lowerRoman"/>
      <w:lvlText w:val="%9."/>
      <w:lvlJc w:val="right"/>
      <w:pPr>
        <w:tabs>
          <w:tab w:val="num" w:pos="6687"/>
        </w:tabs>
        <w:ind w:left="6687" w:hanging="180"/>
      </w:pPr>
    </w:lvl>
  </w:abstractNum>
  <w:abstractNum w:abstractNumId="12" w15:restartNumberingAfterBreak="0">
    <w:nsid w:val="42476832"/>
    <w:multiLevelType w:val="hybridMultilevel"/>
    <w:tmpl w:val="98EC0DAC"/>
    <w:lvl w:ilvl="0" w:tplc="A14A11BA">
      <w:start w:val="1"/>
      <w:numFmt w:val="lowerRoman"/>
      <w:lvlText w:val="%1."/>
      <w:lvlJc w:val="left"/>
      <w:pPr>
        <w:ind w:left="729" w:hanging="360"/>
      </w:pPr>
      <w:rPr>
        <w:rFonts w:hint="default"/>
        <w:sz w:val="22"/>
      </w:rPr>
    </w:lvl>
    <w:lvl w:ilvl="1" w:tplc="4CEC64F0" w:tentative="1">
      <w:start w:val="1"/>
      <w:numFmt w:val="lowerLetter"/>
      <w:lvlText w:val="%2."/>
      <w:lvlJc w:val="left"/>
      <w:pPr>
        <w:ind w:left="1646" w:hanging="360"/>
      </w:pPr>
    </w:lvl>
    <w:lvl w:ilvl="2" w:tplc="DA765B60" w:tentative="1">
      <w:start w:val="1"/>
      <w:numFmt w:val="lowerRoman"/>
      <w:lvlText w:val="%3."/>
      <w:lvlJc w:val="right"/>
      <w:pPr>
        <w:ind w:left="2366" w:hanging="180"/>
      </w:pPr>
    </w:lvl>
    <w:lvl w:ilvl="3" w:tplc="D332CA96" w:tentative="1">
      <w:start w:val="1"/>
      <w:numFmt w:val="decimal"/>
      <w:lvlText w:val="%4."/>
      <w:lvlJc w:val="left"/>
      <w:pPr>
        <w:ind w:left="3086" w:hanging="360"/>
      </w:pPr>
    </w:lvl>
    <w:lvl w:ilvl="4" w:tplc="7E305C5A" w:tentative="1">
      <w:start w:val="1"/>
      <w:numFmt w:val="lowerLetter"/>
      <w:lvlText w:val="%5."/>
      <w:lvlJc w:val="left"/>
      <w:pPr>
        <w:ind w:left="3806" w:hanging="360"/>
      </w:pPr>
    </w:lvl>
    <w:lvl w:ilvl="5" w:tplc="3DA8BC70" w:tentative="1">
      <w:start w:val="1"/>
      <w:numFmt w:val="lowerRoman"/>
      <w:lvlText w:val="%6."/>
      <w:lvlJc w:val="right"/>
      <w:pPr>
        <w:ind w:left="4526" w:hanging="180"/>
      </w:pPr>
    </w:lvl>
    <w:lvl w:ilvl="6" w:tplc="8B96788E" w:tentative="1">
      <w:start w:val="1"/>
      <w:numFmt w:val="decimal"/>
      <w:lvlText w:val="%7."/>
      <w:lvlJc w:val="left"/>
      <w:pPr>
        <w:ind w:left="5246" w:hanging="360"/>
      </w:pPr>
    </w:lvl>
    <w:lvl w:ilvl="7" w:tplc="7AAC8022" w:tentative="1">
      <w:start w:val="1"/>
      <w:numFmt w:val="lowerLetter"/>
      <w:lvlText w:val="%8."/>
      <w:lvlJc w:val="left"/>
      <w:pPr>
        <w:ind w:left="5966" w:hanging="360"/>
      </w:pPr>
    </w:lvl>
    <w:lvl w:ilvl="8" w:tplc="0A825CE2" w:tentative="1">
      <w:start w:val="1"/>
      <w:numFmt w:val="lowerRoman"/>
      <w:lvlText w:val="%9."/>
      <w:lvlJc w:val="right"/>
      <w:pPr>
        <w:ind w:left="6686" w:hanging="180"/>
      </w:pPr>
    </w:lvl>
  </w:abstractNum>
  <w:abstractNum w:abstractNumId="13" w15:restartNumberingAfterBreak="0">
    <w:nsid w:val="485A606A"/>
    <w:multiLevelType w:val="multilevel"/>
    <w:tmpl w:val="F7F6545A"/>
    <w:lvl w:ilvl="0">
      <w:start w:val="1"/>
      <w:numFmt w:val="decimal"/>
      <w:lvlText w:val="%1."/>
      <w:lvlJc w:val="left"/>
      <w:pPr>
        <w:ind w:left="360" w:hanging="360"/>
      </w:pPr>
      <w:rPr>
        <w:rFonts w:ascii="Calibri" w:hAnsi="Calibri" w:hint="default"/>
        <w:sz w:val="22"/>
        <w:szCs w:val="22"/>
      </w:rPr>
    </w:lvl>
    <w:lvl w:ilvl="1">
      <w:start w:val="1"/>
      <w:numFmt w:val="upperRoman"/>
      <w:lvlText w:val="%2."/>
      <w:lvlJc w:val="right"/>
      <w:pPr>
        <w:ind w:left="795"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4891249D"/>
    <w:multiLevelType w:val="multilevel"/>
    <w:tmpl w:val="AFC466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E195326"/>
    <w:multiLevelType w:val="multilevel"/>
    <w:tmpl w:val="399EEF9E"/>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191CBF"/>
    <w:multiLevelType w:val="hybridMultilevel"/>
    <w:tmpl w:val="E91EEBDC"/>
    <w:lvl w:ilvl="0" w:tplc="319EDB76">
      <w:start w:val="1"/>
      <w:numFmt w:val="bullet"/>
      <w:lvlText w:val=""/>
      <w:lvlJc w:val="left"/>
      <w:pPr>
        <w:ind w:left="1287" w:hanging="360"/>
      </w:pPr>
      <w:rPr>
        <w:rFonts w:ascii="Symbol" w:hAnsi="Symbol" w:hint="default"/>
      </w:rPr>
    </w:lvl>
    <w:lvl w:ilvl="1" w:tplc="C6902266" w:tentative="1">
      <w:start w:val="1"/>
      <w:numFmt w:val="bullet"/>
      <w:lvlText w:val="o"/>
      <w:lvlJc w:val="left"/>
      <w:pPr>
        <w:ind w:left="2007" w:hanging="360"/>
      </w:pPr>
      <w:rPr>
        <w:rFonts w:ascii="Courier New" w:hAnsi="Courier New" w:cs="Courier New" w:hint="default"/>
      </w:rPr>
    </w:lvl>
    <w:lvl w:ilvl="2" w:tplc="265E4268" w:tentative="1">
      <w:start w:val="1"/>
      <w:numFmt w:val="bullet"/>
      <w:lvlText w:val=""/>
      <w:lvlJc w:val="left"/>
      <w:pPr>
        <w:ind w:left="2727" w:hanging="360"/>
      </w:pPr>
      <w:rPr>
        <w:rFonts w:ascii="Wingdings" w:hAnsi="Wingdings" w:hint="default"/>
      </w:rPr>
    </w:lvl>
    <w:lvl w:ilvl="3" w:tplc="0500468C" w:tentative="1">
      <w:start w:val="1"/>
      <w:numFmt w:val="bullet"/>
      <w:lvlText w:val=""/>
      <w:lvlJc w:val="left"/>
      <w:pPr>
        <w:ind w:left="3447" w:hanging="360"/>
      </w:pPr>
      <w:rPr>
        <w:rFonts w:ascii="Symbol" w:hAnsi="Symbol" w:hint="default"/>
      </w:rPr>
    </w:lvl>
    <w:lvl w:ilvl="4" w:tplc="D810888A" w:tentative="1">
      <w:start w:val="1"/>
      <w:numFmt w:val="bullet"/>
      <w:lvlText w:val="o"/>
      <w:lvlJc w:val="left"/>
      <w:pPr>
        <w:ind w:left="4167" w:hanging="360"/>
      </w:pPr>
      <w:rPr>
        <w:rFonts w:ascii="Courier New" w:hAnsi="Courier New" w:cs="Courier New" w:hint="default"/>
      </w:rPr>
    </w:lvl>
    <w:lvl w:ilvl="5" w:tplc="B7F820B6" w:tentative="1">
      <w:start w:val="1"/>
      <w:numFmt w:val="bullet"/>
      <w:lvlText w:val=""/>
      <w:lvlJc w:val="left"/>
      <w:pPr>
        <w:ind w:left="4887" w:hanging="360"/>
      </w:pPr>
      <w:rPr>
        <w:rFonts w:ascii="Wingdings" w:hAnsi="Wingdings" w:hint="default"/>
      </w:rPr>
    </w:lvl>
    <w:lvl w:ilvl="6" w:tplc="6E94A4F4" w:tentative="1">
      <w:start w:val="1"/>
      <w:numFmt w:val="bullet"/>
      <w:lvlText w:val=""/>
      <w:lvlJc w:val="left"/>
      <w:pPr>
        <w:ind w:left="5607" w:hanging="360"/>
      </w:pPr>
      <w:rPr>
        <w:rFonts w:ascii="Symbol" w:hAnsi="Symbol" w:hint="default"/>
      </w:rPr>
    </w:lvl>
    <w:lvl w:ilvl="7" w:tplc="92D439AE" w:tentative="1">
      <w:start w:val="1"/>
      <w:numFmt w:val="bullet"/>
      <w:lvlText w:val="o"/>
      <w:lvlJc w:val="left"/>
      <w:pPr>
        <w:ind w:left="6327" w:hanging="360"/>
      </w:pPr>
      <w:rPr>
        <w:rFonts w:ascii="Courier New" w:hAnsi="Courier New" w:cs="Courier New" w:hint="default"/>
      </w:rPr>
    </w:lvl>
    <w:lvl w:ilvl="8" w:tplc="2570B1DA" w:tentative="1">
      <w:start w:val="1"/>
      <w:numFmt w:val="bullet"/>
      <w:lvlText w:val=""/>
      <w:lvlJc w:val="left"/>
      <w:pPr>
        <w:ind w:left="7047" w:hanging="360"/>
      </w:pPr>
      <w:rPr>
        <w:rFonts w:ascii="Wingdings" w:hAnsi="Wingdings" w:hint="default"/>
      </w:rPr>
    </w:lvl>
  </w:abstractNum>
  <w:abstractNum w:abstractNumId="17" w15:restartNumberingAfterBreak="0">
    <w:nsid w:val="5B922C01"/>
    <w:multiLevelType w:val="multilevel"/>
    <w:tmpl w:val="BD2861EC"/>
    <w:lvl w:ilvl="0">
      <w:start w:val="1"/>
      <w:numFmt w:val="decimal"/>
      <w:lvlText w:val="%1."/>
      <w:lvlJc w:val="left"/>
      <w:pPr>
        <w:ind w:left="360" w:hanging="360"/>
      </w:pPr>
      <w:rPr>
        <w:rFonts w:ascii="Calibri" w:hAnsi="Calibri" w:hint="default"/>
        <w:sz w:val="22"/>
        <w:szCs w:val="22"/>
      </w:rPr>
    </w:lvl>
    <w:lvl w:ilvl="1">
      <w:start w:val="1"/>
      <w:numFmt w:val="lowerRoman"/>
      <w:lvlText w:val="%2."/>
      <w:lvlJc w:val="left"/>
      <w:pPr>
        <w:ind w:left="795"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5B953409"/>
    <w:multiLevelType w:val="hybridMultilevel"/>
    <w:tmpl w:val="10388580"/>
    <w:lvl w:ilvl="0" w:tplc="D84A0EBE">
      <w:start w:val="1"/>
      <w:numFmt w:val="bullet"/>
      <w:lvlText w:val="o"/>
      <w:lvlJc w:val="left"/>
      <w:pPr>
        <w:ind w:left="643" w:hanging="360"/>
      </w:pPr>
      <w:rPr>
        <w:rFonts w:ascii="Courier New" w:hAnsi="Courier New" w:cs="Courier New" w:hint="default"/>
      </w:rPr>
    </w:lvl>
    <w:lvl w:ilvl="1" w:tplc="02B2AE86" w:tentative="1">
      <w:start w:val="1"/>
      <w:numFmt w:val="bullet"/>
      <w:lvlText w:val="o"/>
      <w:lvlJc w:val="left"/>
      <w:pPr>
        <w:ind w:left="1363" w:hanging="360"/>
      </w:pPr>
      <w:rPr>
        <w:rFonts w:ascii="Courier New" w:hAnsi="Courier New" w:cs="Courier New" w:hint="default"/>
      </w:rPr>
    </w:lvl>
    <w:lvl w:ilvl="2" w:tplc="FEEAEA2A" w:tentative="1">
      <w:start w:val="1"/>
      <w:numFmt w:val="bullet"/>
      <w:lvlText w:val=""/>
      <w:lvlJc w:val="left"/>
      <w:pPr>
        <w:ind w:left="2083" w:hanging="360"/>
      </w:pPr>
      <w:rPr>
        <w:rFonts w:ascii="Wingdings" w:hAnsi="Wingdings" w:hint="default"/>
      </w:rPr>
    </w:lvl>
    <w:lvl w:ilvl="3" w:tplc="D944B692" w:tentative="1">
      <w:start w:val="1"/>
      <w:numFmt w:val="bullet"/>
      <w:lvlText w:val=""/>
      <w:lvlJc w:val="left"/>
      <w:pPr>
        <w:ind w:left="2803" w:hanging="360"/>
      </w:pPr>
      <w:rPr>
        <w:rFonts w:ascii="Symbol" w:hAnsi="Symbol" w:hint="default"/>
      </w:rPr>
    </w:lvl>
    <w:lvl w:ilvl="4" w:tplc="AC9423D4" w:tentative="1">
      <w:start w:val="1"/>
      <w:numFmt w:val="bullet"/>
      <w:lvlText w:val="o"/>
      <w:lvlJc w:val="left"/>
      <w:pPr>
        <w:ind w:left="3523" w:hanging="360"/>
      </w:pPr>
      <w:rPr>
        <w:rFonts w:ascii="Courier New" w:hAnsi="Courier New" w:cs="Courier New" w:hint="default"/>
      </w:rPr>
    </w:lvl>
    <w:lvl w:ilvl="5" w:tplc="F0D6CF94" w:tentative="1">
      <w:start w:val="1"/>
      <w:numFmt w:val="bullet"/>
      <w:lvlText w:val=""/>
      <w:lvlJc w:val="left"/>
      <w:pPr>
        <w:ind w:left="4243" w:hanging="360"/>
      </w:pPr>
      <w:rPr>
        <w:rFonts w:ascii="Wingdings" w:hAnsi="Wingdings" w:hint="default"/>
      </w:rPr>
    </w:lvl>
    <w:lvl w:ilvl="6" w:tplc="D7FA2F34" w:tentative="1">
      <w:start w:val="1"/>
      <w:numFmt w:val="bullet"/>
      <w:lvlText w:val=""/>
      <w:lvlJc w:val="left"/>
      <w:pPr>
        <w:ind w:left="4963" w:hanging="360"/>
      </w:pPr>
      <w:rPr>
        <w:rFonts w:ascii="Symbol" w:hAnsi="Symbol" w:hint="default"/>
      </w:rPr>
    </w:lvl>
    <w:lvl w:ilvl="7" w:tplc="54C6BC2E" w:tentative="1">
      <w:start w:val="1"/>
      <w:numFmt w:val="bullet"/>
      <w:lvlText w:val="o"/>
      <w:lvlJc w:val="left"/>
      <w:pPr>
        <w:ind w:left="5683" w:hanging="360"/>
      </w:pPr>
      <w:rPr>
        <w:rFonts w:ascii="Courier New" w:hAnsi="Courier New" w:cs="Courier New" w:hint="default"/>
      </w:rPr>
    </w:lvl>
    <w:lvl w:ilvl="8" w:tplc="C4881E4C" w:tentative="1">
      <w:start w:val="1"/>
      <w:numFmt w:val="bullet"/>
      <w:lvlText w:val=""/>
      <w:lvlJc w:val="left"/>
      <w:pPr>
        <w:ind w:left="6403" w:hanging="360"/>
      </w:pPr>
      <w:rPr>
        <w:rFonts w:ascii="Wingdings" w:hAnsi="Wingdings" w:hint="default"/>
      </w:rPr>
    </w:lvl>
  </w:abstractNum>
  <w:abstractNum w:abstractNumId="19" w15:restartNumberingAfterBreak="0">
    <w:nsid w:val="65456429"/>
    <w:multiLevelType w:val="multilevel"/>
    <w:tmpl w:val="042EA6DA"/>
    <w:lvl w:ilvl="0">
      <w:start w:val="1"/>
      <w:numFmt w:val="decimal"/>
      <w:pStyle w:val="ListNumber"/>
      <w:lvlText w:val="%1."/>
      <w:lvlJc w:val="left"/>
      <w:pPr>
        <w:ind w:left="360" w:hanging="360"/>
      </w:pPr>
      <w:rPr>
        <w:rFonts w:ascii="Calibri" w:hAnsi="Calibri" w:hint="default"/>
        <w:sz w:val="22"/>
        <w:szCs w:val="22"/>
      </w:rPr>
    </w:lvl>
    <w:lvl w:ilvl="1">
      <w:start w:val="1"/>
      <w:numFmt w:val="lowerLetter"/>
      <w:pStyle w:val="ListNumber2"/>
      <w:lvlText w:val="%2."/>
      <w:lvlJc w:val="left"/>
      <w:pPr>
        <w:ind w:left="795"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CC76F4C"/>
    <w:multiLevelType w:val="hybridMultilevel"/>
    <w:tmpl w:val="EB86127A"/>
    <w:lvl w:ilvl="0" w:tplc="73B66F48">
      <w:start w:val="1"/>
      <w:numFmt w:val="lowerRoman"/>
      <w:lvlText w:val="%1."/>
      <w:lvlJc w:val="right"/>
      <w:pPr>
        <w:ind w:left="1287" w:hanging="360"/>
      </w:pPr>
    </w:lvl>
    <w:lvl w:ilvl="1" w:tplc="97CE395E" w:tentative="1">
      <w:start w:val="1"/>
      <w:numFmt w:val="lowerLetter"/>
      <w:lvlText w:val="%2."/>
      <w:lvlJc w:val="left"/>
      <w:pPr>
        <w:ind w:left="2007" w:hanging="360"/>
      </w:pPr>
    </w:lvl>
    <w:lvl w:ilvl="2" w:tplc="5D8A05FA" w:tentative="1">
      <w:start w:val="1"/>
      <w:numFmt w:val="lowerRoman"/>
      <w:lvlText w:val="%3."/>
      <w:lvlJc w:val="right"/>
      <w:pPr>
        <w:ind w:left="2727" w:hanging="180"/>
      </w:pPr>
    </w:lvl>
    <w:lvl w:ilvl="3" w:tplc="959C2AC8" w:tentative="1">
      <w:start w:val="1"/>
      <w:numFmt w:val="decimal"/>
      <w:lvlText w:val="%4."/>
      <w:lvlJc w:val="left"/>
      <w:pPr>
        <w:ind w:left="3447" w:hanging="360"/>
      </w:pPr>
    </w:lvl>
    <w:lvl w:ilvl="4" w:tplc="91F62666" w:tentative="1">
      <w:start w:val="1"/>
      <w:numFmt w:val="lowerLetter"/>
      <w:lvlText w:val="%5."/>
      <w:lvlJc w:val="left"/>
      <w:pPr>
        <w:ind w:left="4167" w:hanging="360"/>
      </w:pPr>
    </w:lvl>
    <w:lvl w:ilvl="5" w:tplc="8D94D4B0" w:tentative="1">
      <w:start w:val="1"/>
      <w:numFmt w:val="lowerRoman"/>
      <w:lvlText w:val="%6."/>
      <w:lvlJc w:val="right"/>
      <w:pPr>
        <w:ind w:left="4887" w:hanging="180"/>
      </w:pPr>
    </w:lvl>
    <w:lvl w:ilvl="6" w:tplc="10EEB674" w:tentative="1">
      <w:start w:val="1"/>
      <w:numFmt w:val="decimal"/>
      <w:lvlText w:val="%7."/>
      <w:lvlJc w:val="left"/>
      <w:pPr>
        <w:ind w:left="5607" w:hanging="360"/>
      </w:pPr>
    </w:lvl>
    <w:lvl w:ilvl="7" w:tplc="F25AE85E" w:tentative="1">
      <w:start w:val="1"/>
      <w:numFmt w:val="lowerLetter"/>
      <w:lvlText w:val="%8."/>
      <w:lvlJc w:val="left"/>
      <w:pPr>
        <w:ind w:left="6327" w:hanging="360"/>
      </w:pPr>
    </w:lvl>
    <w:lvl w:ilvl="8" w:tplc="FC2E2156" w:tentative="1">
      <w:start w:val="1"/>
      <w:numFmt w:val="lowerRoman"/>
      <w:lvlText w:val="%9."/>
      <w:lvlJc w:val="right"/>
      <w:pPr>
        <w:ind w:left="7047" w:hanging="180"/>
      </w:pPr>
    </w:lvl>
  </w:abstractNum>
  <w:abstractNum w:abstractNumId="21" w15:restartNumberingAfterBreak="0">
    <w:nsid w:val="78F04FBB"/>
    <w:multiLevelType w:val="hybridMultilevel"/>
    <w:tmpl w:val="AD1EF4B8"/>
    <w:lvl w:ilvl="0" w:tplc="27704F1E">
      <w:start w:val="1"/>
      <w:numFmt w:val="decimal"/>
      <w:lvlText w:val="%1)"/>
      <w:lvlJc w:val="left"/>
      <w:pPr>
        <w:ind w:left="720" w:hanging="360"/>
      </w:pPr>
    </w:lvl>
    <w:lvl w:ilvl="1" w:tplc="88720FC0" w:tentative="1">
      <w:start w:val="1"/>
      <w:numFmt w:val="lowerLetter"/>
      <w:lvlText w:val="%2."/>
      <w:lvlJc w:val="left"/>
      <w:pPr>
        <w:ind w:left="1440" w:hanging="360"/>
      </w:pPr>
    </w:lvl>
    <w:lvl w:ilvl="2" w:tplc="A6CEB980" w:tentative="1">
      <w:start w:val="1"/>
      <w:numFmt w:val="lowerRoman"/>
      <w:lvlText w:val="%3."/>
      <w:lvlJc w:val="right"/>
      <w:pPr>
        <w:ind w:left="2160" w:hanging="180"/>
      </w:pPr>
    </w:lvl>
    <w:lvl w:ilvl="3" w:tplc="ECFE68B2" w:tentative="1">
      <w:start w:val="1"/>
      <w:numFmt w:val="decimal"/>
      <w:lvlText w:val="%4."/>
      <w:lvlJc w:val="left"/>
      <w:pPr>
        <w:ind w:left="2880" w:hanging="360"/>
      </w:pPr>
    </w:lvl>
    <w:lvl w:ilvl="4" w:tplc="E724E786" w:tentative="1">
      <w:start w:val="1"/>
      <w:numFmt w:val="lowerLetter"/>
      <w:lvlText w:val="%5."/>
      <w:lvlJc w:val="left"/>
      <w:pPr>
        <w:ind w:left="3600" w:hanging="360"/>
      </w:pPr>
    </w:lvl>
    <w:lvl w:ilvl="5" w:tplc="A392B702" w:tentative="1">
      <w:start w:val="1"/>
      <w:numFmt w:val="lowerRoman"/>
      <w:lvlText w:val="%6."/>
      <w:lvlJc w:val="right"/>
      <w:pPr>
        <w:ind w:left="4320" w:hanging="180"/>
      </w:pPr>
    </w:lvl>
    <w:lvl w:ilvl="6" w:tplc="3E6ACE8A" w:tentative="1">
      <w:start w:val="1"/>
      <w:numFmt w:val="decimal"/>
      <w:lvlText w:val="%7."/>
      <w:lvlJc w:val="left"/>
      <w:pPr>
        <w:ind w:left="5040" w:hanging="360"/>
      </w:pPr>
    </w:lvl>
    <w:lvl w:ilvl="7" w:tplc="FBEC2E88" w:tentative="1">
      <w:start w:val="1"/>
      <w:numFmt w:val="lowerLetter"/>
      <w:lvlText w:val="%8."/>
      <w:lvlJc w:val="left"/>
      <w:pPr>
        <w:ind w:left="5760" w:hanging="360"/>
      </w:pPr>
    </w:lvl>
    <w:lvl w:ilvl="8" w:tplc="924867E4" w:tentative="1">
      <w:start w:val="1"/>
      <w:numFmt w:val="lowerRoman"/>
      <w:lvlText w:val="%9."/>
      <w:lvlJc w:val="right"/>
      <w:pPr>
        <w:ind w:left="6480" w:hanging="180"/>
      </w:pPr>
    </w:lvl>
  </w:abstractNum>
  <w:abstractNum w:abstractNumId="22" w15:restartNumberingAfterBreak="0">
    <w:nsid w:val="7B217B1C"/>
    <w:multiLevelType w:val="hybridMultilevel"/>
    <w:tmpl w:val="560A3362"/>
    <w:lvl w:ilvl="0" w:tplc="D08AD8E4">
      <w:start w:val="1"/>
      <w:numFmt w:val="bullet"/>
      <w:lvlText w:val=""/>
      <w:lvlJc w:val="left"/>
      <w:pPr>
        <w:ind w:left="720" w:hanging="360"/>
      </w:pPr>
      <w:rPr>
        <w:rFonts w:ascii="Symbol" w:hAnsi="Symbol" w:hint="default"/>
      </w:rPr>
    </w:lvl>
    <w:lvl w:ilvl="1" w:tplc="58E48E78" w:tentative="1">
      <w:start w:val="1"/>
      <w:numFmt w:val="bullet"/>
      <w:lvlText w:val="o"/>
      <w:lvlJc w:val="left"/>
      <w:pPr>
        <w:ind w:left="1440" w:hanging="360"/>
      </w:pPr>
      <w:rPr>
        <w:rFonts w:ascii="Courier New" w:hAnsi="Courier New" w:cs="Courier New" w:hint="default"/>
      </w:rPr>
    </w:lvl>
    <w:lvl w:ilvl="2" w:tplc="377287F4" w:tentative="1">
      <w:start w:val="1"/>
      <w:numFmt w:val="bullet"/>
      <w:lvlText w:val=""/>
      <w:lvlJc w:val="left"/>
      <w:pPr>
        <w:ind w:left="2160" w:hanging="360"/>
      </w:pPr>
      <w:rPr>
        <w:rFonts w:ascii="Wingdings" w:hAnsi="Wingdings" w:hint="default"/>
      </w:rPr>
    </w:lvl>
    <w:lvl w:ilvl="3" w:tplc="2856C604" w:tentative="1">
      <w:start w:val="1"/>
      <w:numFmt w:val="bullet"/>
      <w:lvlText w:val=""/>
      <w:lvlJc w:val="left"/>
      <w:pPr>
        <w:ind w:left="2880" w:hanging="360"/>
      </w:pPr>
      <w:rPr>
        <w:rFonts w:ascii="Symbol" w:hAnsi="Symbol" w:hint="default"/>
      </w:rPr>
    </w:lvl>
    <w:lvl w:ilvl="4" w:tplc="1BFA88B6" w:tentative="1">
      <w:start w:val="1"/>
      <w:numFmt w:val="bullet"/>
      <w:lvlText w:val="o"/>
      <w:lvlJc w:val="left"/>
      <w:pPr>
        <w:ind w:left="3600" w:hanging="360"/>
      </w:pPr>
      <w:rPr>
        <w:rFonts w:ascii="Courier New" w:hAnsi="Courier New" w:cs="Courier New" w:hint="default"/>
      </w:rPr>
    </w:lvl>
    <w:lvl w:ilvl="5" w:tplc="365CC888" w:tentative="1">
      <w:start w:val="1"/>
      <w:numFmt w:val="bullet"/>
      <w:lvlText w:val=""/>
      <w:lvlJc w:val="left"/>
      <w:pPr>
        <w:ind w:left="4320" w:hanging="360"/>
      </w:pPr>
      <w:rPr>
        <w:rFonts w:ascii="Wingdings" w:hAnsi="Wingdings" w:hint="default"/>
      </w:rPr>
    </w:lvl>
    <w:lvl w:ilvl="6" w:tplc="AB546510" w:tentative="1">
      <w:start w:val="1"/>
      <w:numFmt w:val="bullet"/>
      <w:lvlText w:val=""/>
      <w:lvlJc w:val="left"/>
      <w:pPr>
        <w:ind w:left="5040" w:hanging="360"/>
      </w:pPr>
      <w:rPr>
        <w:rFonts w:ascii="Symbol" w:hAnsi="Symbol" w:hint="default"/>
      </w:rPr>
    </w:lvl>
    <w:lvl w:ilvl="7" w:tplc="9D0A08A0" w:tentative="1">
      <w:start w:val="1"/>
      <w:numFmt w:val="bullet"/>
      <w:lvlText w:val="o"/>
      <w:lvlJc w:val="left"/>
      <w:pPr>
        <w:ind w:left="5760" w:hanging="360"/>
      </w:pPr>
      <w:rPr>
        <w:rFonts w:ascii="Courier New" w:hAnsi="Courier New" w:cs="Courier New" w:hint="default"/>
      </w:rPr>
    </w:lvl>
    <w:lvl w:ilvl="8" w:tplc="3FF04A44" w:tentative="1">
      <w:start w:val="1"/>
      <w:numFmt w:val="bullet"/>
      <w:lvlText w:val=""/>
      <w:lvlJc w:val="left"/>
      <w:pPr>
        <w:ind w:left="6480" w:hanging="360"/>
      </w:pPr>
      <w:rPr>
        <w:rFonts w:ascii="Wingdings" w:hAnsi="Wingdings" w:hint="default"/>
      </w:rPr>
    </w:lvl>
  </w:abstractNum>
  <w:abstractNum w:abstractNumId="23" w15:restartNumberingAfterBreak="0">
    <w:nsid w:val="7D5D1C2F"/>
    <w:multiLevelType w:val="singleLevel"/>
    <w:tmpl w:val="A6B4B11C"/>
    <w:lvl w:ilvl="0">
      <w:start w:val="1"/>
      <w:numFmt w:val="bullet"/>
      <w:lvlText w:val="­"/>
      <w:lvlJc w:val="left"/>
      <w:pPr>
        <w:tabs>
          <w:tab w:val="num" w:pos="1134"/>
        </w:tabs>
        <w:ind w:left="1134" w:hanging="567"/>
      </w:pPr>
      <w:rPr>
        <w:rFonts w:ascii="Courier New" w:hAnsi="Courier New" w:hint="default"/>
      </w:rPr>
    </w:lvl>
  </w:abstractNum>
  <w:num w:numId="1" w16cid:durableId="1512835907">
    <w:abstractNumId w:val="5"/>
  </w:num>
  <w:num w:numId="2" w16cid:durableId="1051734027">
    <w:abstractNumId w:val="8"/>
  </w:num>
  <w:num w:numId="3" w16cid:durableId="1013532745">
    <w:abstractNumId w:val="21"/>
  </w:num>
  <w:num w:numId="4" w16cid:durableId="629014823">
    <w:abstractNumId w:val="1"/>
  </w:num>
  <w:num w:numId="5" w16cid:durableId="751506614">
    <w:abstractNumId w:val="0"/>
  </w:num>
  <w:num w:numId="6" w16cid:durableId="2073120028">
    <w:abstractNumId w:val="19"/>
  </w:num>
  <w:num w:numId="7" w16cid:durableId="290600484">
    <w:abstractNumId w:val="23"/>
  </w:num>
  <w:num w:numId="8" w16cid:durableId="1787042199">
    <w:abstractNumId w:val="22"/>
  </w:num>
  <w:num w:numId="9" w16cid:durableId="612634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5673413">
    <w:abstractNumId w:val="15"/>
  </w:num>
  <w:num w:numId="11" w16cid:durableId="744425071">
    <w:abstractNumId w:val="16"/>
  </w:num>
  <w:num w:numId="12" w16cid:durableId="368534844">
    <w:abstractNumId w:val="12"/>
  </w:num>
  <w:num w:numId="13" w16cid:durableId="835850200">
    <w:abstractNumId w:val="12"/>
    <w:lvlOverride w:ilvl="0">
      <w:startOverride w:val="1"/>
    </w:lvlOverride>
  </w:num>
  <w:num w:numId="14" w16cid:durableId="787941633">
    <w:abstractNumId w:val="7"/>
  </w:num>
  <w:num w:numId="15" w16cid:durableId="995956272">
    <w:abstractNumId w:val="14"/>
  </w:num>
  <w:num w:numId="16" w16cid:durableId="855314247">
    <w:abstractNumId w:val="5"/>
    <w:lvlOverride w:ilvl="0">
      <w:startOverride w:val="1"/>
    </w:lvlOverride>
  </w:num>
  <w:num w:numId="17" w16cid:durableId="1574659577">
    <w:abstractNumId w:val="11"/>
  </w:num>
  <w:num w:numId="18" w16cid:durableId="997197859">
    <w:abstractNumId w:val="20"/>
  </w:num>
  <w:num w:numId="19" w16cid:durableId="1706251400">
    <w:abstractNumId w:val="2"/>
  </w:num>
  <w:num w:numId="20" w16cid:durableId="1896744306">
    <w:abstractNumId w:val="3"/>
  </w:num>
  <w:num w:numId="21" w16cid:durableId="2031443495">
    <w:abstractNumId w:val="6"/>
  </w:num>
  <w:num w:numId="22" w16cid:durableId="51274498">
    <w:abstractNumId w:val="18"/>
  </w:num>
  <w:num w:numId="23" w16cid:durableId="994529536">
    <w:abstractNumId w:val="13"/>
  </w:num>
  <w:num w:numId="24" w16cid:durableId="1891264411">
    <w:abstractNumId w:val="17"/>
  </w:num>
  <w:num w:numId="25" w16cid:durableId="1973750887">
    <w:abstractNumId w:val="10"/>
  </w:num>
  <w:num w:numId="26" w16cid:durableId="1404596836">
    <w:abstractNumId w:val="4"/>
  </w:num>
  <w:num w:numId="27" w16cid:durableId="119291820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85"/>
    <w:rsid w:val="00000B57"/>
    <w:rsid w:val="000018BC"/>
    <w:rsid w:val="00003A62"/>
    <w:rsid w:val="00004993"/>
    <w:rsid w:val="00016928"/>
    <w:rsid w:val="00017EAF"/>
    <w:rsid w:val="00021A4F"/>
    <w:rsid w:val="000229BF"/>
    <w:rsid w:val="0002783C"/>
    <w:rsid w:val="00034418"/>
    <w:rsid w:val="00037A2A"/>
    <w:rsid w:val="00041D35"/>
    <w:rsid w:val="000432D3"/>
    <w:rsid w:val="00044363"/>
    <w:rsid w:val="00046607"/>
    <w:rsid w:val="000474AA"/>
    <w:rsid w:val="00054BC9"/>
    <w:rsid w:val="00055363"/>
    <w:rsid w:val="00055943"/>
    <w:rsid w:val="00063045"/>
    <w:rsid w:val="000633F0"/>
    <w:rsid w:val="00073EEF"/>
    <w:rsid w:val="00075943"/>
    <w:rsid w:val="0008063D"/>
    <w:rsid w:val="000910E8"/>
    <w:rsid w:val="00094502"/>
    <w:rsid w:val="00094C89"/>
    <w:rsid w:val="000A13A6"/>
    <w:rsid w:val="000A17A9"/>
    <w:rsid w:val="000A5F54"/>
    <w:rsid w:val="000B02B8"/>
    <w:rsid w:val="000B134C"/>
    <w:rsid w:val="000B281A"/>
    <w:rsid w:val="000B2DF6"/>
    <w:rsid w:val="000C0CC5"/>
    <w:rsid w:val="000C13C5"/>
    <w:rsid w:val="000C4C85"/>
    <w:rsid w:val="000C71DD"/>
    <w:rsid w:val="000D282F"/>
    <w:rsid w:val="000D5497"/>
    <w:rsid w:val="000D750B"/>
    <w:rsid w:val="000D7663"/>
    <w:rsid w:val="000E0C5F"/>
    <w:rsid w:val="000E1AB8"/>
    <w:rsid w:val="000E3B7F"/>
    <w:rsid w:val="000F34B5"/>
    <w:rsid w:val="000F7739"/>
    <w:rsid w:val="00104586"/>
    <w:rsid w:val="00105DF1"/>
    <w:rsid w:val="001159E6"/>
    <w:rsid w:val="00116ED3"/>
    <w:rsid w:val="00121D6F"/>
    <w:rsid w:val="00124C8C"/>
    <w:rsid w:val="00130B22"/>
    <w:rsid w:val="001364E3"/>
    <w:rsid w:val="00137C23"/>
    <w:rsid w:val="001405CC"/>
    <w:rsid w:val="00144D77"/>
    <w:rsid w:val="00145652"/>
    <w:rsid w:val="00150EA1"/>
    <w:rsid w:val="00151D13"/>
    <w:rsid w:val="00154265"/>
    <w:rsid w:val="00155197"/>
    <w:rsid w:val="0016211C"/>
    <w:rsid w:val="0016767B"/>
    <w:rsid w:val="00173205"/>
    <w:rsid w:val="0017696D"/>
    <w:rsid w:val="00181799"/>
    <w:rsid w:val="00181CF3"/>
    <w:rsid w:val="00183607"/>
    <w:rsid w:val="0018716E"/>
    <w:rsid w:val="0019339F"/>
    <w:rsid w:val="001935C3"/>
    <w:rsid w:val="001942C6"/>
    <w:rsid w:val="001954D6"/>
    <w:rsid w:val="00197A27"/>
    <w:rsid w:val="001A3952"/>
    <w:rsid w:val="001A4CF2"/>
    <w:rsid w:val="001B6C0A"/>
    <w:rsid w:val="001B6E1B"/>
    <w:rsid w:val="001C0A32"/>
    <w:rsid w:val="001C666B"/>
    <w:rsid w:val="001C7FFA"/>
    <w:rsid w:val="001D6EBF"/>
    <w:rsid w:val="001E0DC4"/>
    <w:rsid w:val="001E3C1F"/>
    <w:rsid w:val="001E40B7"/>
    <w:rsid w:val="001E44D6"/>
    <w:rsid w:val="001F410F"/>
    <w:rsid w:val="001F440E"/>
    <w:rsid w:val="001F5196"/>
    <w:rsid w:val="001F54C2"/>
    <w:rsid w:val="001F6155"/>
    <w:rsid w:val="002079F6"/>
    <w:rsid w:val="002122CF"/>
    <w:rsid w:val="00215E74"/>
    <w:rsid w:val="00221E77"/>
    <w:rsid w:val="0022203F"/>
    <w:rsid w:val="00224004"/>
    <w:rsid w:val="0022625C"/>
    <w:rsid w:val="002301B4"/>
    <w:rsid w:val="00232442"/>
    <w:rsid w:val="00235784"/>
    <w:rsid w:val="002422E4"/>
    <w:rsid w:val="002462D3"/>
    <w:rsid w:val="002464EC"/>
    <w:rsid w:val="00246B7E"/>
    <w:rsid w:val="00251E2D"/>
    <w:rsid w:val="002522BB"/>
    <w:rsid w:val="00257163"/>
    <w:rsid w:val="0026170C"/>
    <w:rsid w:val="00261BD5"/>
    <w:rsid w:val="002665E4"/>
    <w:rsid w:val="002804AE"/>
    <w:rsid w:val="00280B54"/>
    <w:rsid w:val="00281ED9"/>
    <w:rsid w:val="00282A2D"/>
    <w:rsid w:val="00284078"/>
    <w:rsid w:val="002873E0"/>
    <w:rsid w:val="00295FE8"/>
    <w:rsid w:val="002964A9"/>
    <w:rsid w:val="002A27B6"/>
    <w:rsid w:val="002A3D77"/>
    <w:rsid w:val="002A3EE3"/>
    <w:rsid w:val="002A5BDD"/>
    <w:rsid w:val="002A791A"/>
    <w:rsid w:val="002B1772"/>
    <w:rsid w:val="002C4181"/>
    <w:rsid w:val="002D1CDF"/>
    <w:rsid w:val="002D3500"/>
    <w:rsid w:val="002D55FB"/>
    <w:rsid w:val="002D687E"/>
    <w:rsid w:val="002E21CC"/>
    <w:rsid w:val="00307589"/>
    <w:rsid w:val="00307E28"/>
    <w:rsid w:val="003111B1"/>
    <w:rsid w:val="00311415"/>
    <w:rsid w:val="00312314"/>
    <w:rsid w:val="003131CE"/>
    <w:rsid w:val="00314915"/>
    <w:rsid w:val="00327AA0"/>
    <w:rsid w:val="00332B96"/>
    <w:rsid w:val="00350AEF"/>
    <w:rsid w:val="003611C8"/>
    <w:rsid w:val="00364F94"/>
    <w:rsid w:val="0036696D"/>
    <w:rsid w:val="00371B1B"/>
    <w:rsid w:val="003749DF"/>
    <w:rsid w:val="003807C0"/>
    <w:rsid w:val="00385A0B"/>
    <w:rsid w:val="00393FB5"/>
    <w:rsid w:val="00395B20"/>
    <w:rsid w:val="0039763B"/>
    <w:rsid w:val="003A2684"/>
    <w:rsid w:val="003A67B7"/>
    <w:rsid w:val="003A77C0"/>
    <w:rsid w:val="003B0AD3"/>
    <w:rsid w:val="003B1287"/>
    <w:rsid w:val="003B6BCF"/>
    <w:rsid w:val="003C0AE7"/>
    <w:rsid w:val="003C0EF1"/>
    <w:rsid w:val="003C1116"/>
    <w:rsid w:val="003C37B7"/>
    <w:rsid w:val="003C6195"/>
    <w:rsid w:val="003D2B75"/>
    <w:rsid w:val="003D3CFB"/>
    <w:rsid w:val="003D5C5A"/>
    <w:rsid w:val="003E0938"/>
    <w:rsid w:val="003E1996"/>
    <w:rsid w:val="003E2835"/>
    <w:rsid w:val="003E2B56"/>
    <w:rsid w:val="003E5D82"/>
    <w:rsid w:val="003E7894"/>
    <w:rsid w:val="003F00E4"/>
    <w:rsid w:val="003F0B02"/>
    <w:rsid w:val="003F1891"/>
    <w:rsid w:val="004057AA"/>
    <w:rsid w:val="00406C3A"/>
    <w:rsid w:val="004107CB"/>
    <w:rsid w:val="00413C34"/>
    <w:rsid w:val="0041400D"/>
    <w:rsid w:val="0041685F"/>
    <w:rsid w:val="00417CBB"/>
    <w:rsid w:val="00420C8B"/>
    <w:rsid w:val="00421374"/>
    <w:rsid w:val="00421718"/>
    <w:rsid w:val="004266F7"/>
    <w:rsid w:val="004308C1"/>
    <w:rsid w:val="004313A9"/>
    <w:rsid w:val="00437797"/>
    <w:rsid w:val="00440AA5"/>
    <w:rsid w:val="0044266A"/>
    <w:rsid w:val="0045263B"/>
    <w:rsid w:val="00457D37"/>
    <w:rsid w:val="00462098"/>
    <w:rsid w:val="004647B5"/>
    <w:rsid w:val="00467246"/>
    <w:rsid w:val="00472088"/>
    <w:rsid w:val="0047765C"/>
    <w:rsid w:val="0047773E"/>
    <w:rsid w:val="004778D9"/>
    <w:rsid w:val="00477A15"/>
    <w:rsid w:val="00481E89"/>
    <w:rsid w:val="00482F03"/>
    <w:rsid w:val="00485E11"/>
    <w:rsid w:val="004916DC"/>
    <w:rsid w:val="00493255"/>
    <w:rsid w:val="00494921"/>
    <w:rsid w:val="00494EF9"/>
    <w:rsid w:val="00495D13"/>
    <w:rsid w:val="004A1836"/>
    <w:rsid w:val="004A3477"/>
    <w:rsid w:val="004B06A0"/>
    <w:rsid w:val="004B0CDF"/>
    <w:rsid w:val="004B43E2"/>
    <w:rsid w:val="004B5320"/>
    <w:rsid w:val="004B61A9"/>
    <w:rsid w:val="004C2B66"/>
    <w:rsid w:val="004C2BBF"/>
    <w:rsid w:val="004D32C6"/>
    <w:rsid w:val="004D34AA"/>
    <w:rsid w:val="004D771C"/>
    <w:rsid w:val="004E239E"/>
    <w:rsid w:val="004E41B7"/>
    <w:rsid w:val="004F7395"/>
    <w:rsid w:val="0050073E"/>
    <w:rsid w:val="00500FE3"/>
    <w:rsid w:val="005013E5"/>
    <w:rsid w:val="00504230"/>
    <w:rsid w:val="00505A11"/>
    <w:rsid w:val="005117AF"/>
    <w:rsid w:val="005140BB"/>
    <w:rsid w:val="00521C36"/>
    <w:rsid w:val="00521D50"/>
    <w:rsid w:val="00523B09"/>
    <w:rsid w:val="00525A35"/>
    <w:rsid w:val="00525DB0"/>
    <w:rsid w:val="005305B6"/>
    <w:rsid w:val="00530C59"/>
    <w:rsid w:val="0053206D"/>
    <w:rsid w:val="00537D33"/>
    <w:rsid w:val="00542A4B"/>
    <w:rsid w:val="0054357B"/>
    <w:rsid w:val="00545F53"/>
    <w:rsid w:val="00546BC8"/>
    <w:rsid w:val="00552B2B"/>
    <w:rsid w:val="00557128"/>
    <w:rsid w:val="005619A9"/>
    <w:rsid w:val="005629B2"/>
    <w:rsid w:val="00564423"/>
    <w:rsid w:val="00570458"/>
    <w:rsid w:val="005707F3"/>
    <w:rsid w:val="00570F4C"/>
    <w:rsid w:val="00571E02"/>
    <w:rsid w:val="0057386B"/>
    <w:rsid w:val="00580707"/>
    <w:rsid w:val="00580AD6"/>
    <w:rsid w:val="00581C8D"/>
    <w:rsid w:val="00583F7D"/>
    <w:rsid w:val="00586087"/>
    <w:rsid w:val="00587FCB"/>
    <w:rsid w:val="00594ACB"/>
    <w:rsid w:val="00595D38"/>
    <w:rsid w:val="00595DDB"/>
    <w:rsid w:val="005A2AE8"/>
    <w:rsid w:val="005A2C79"/>
    <w:rsid w:val="005B0CAB"/>
    <w:rsid w:val="005B0E35"/>
    <w:rsid w:val="005B5F0E"/>
    <w:rsid w:val="005C09CA"/>
    <w:rsid w:val="005C14F9"/>
    <w:rsid w:val="005C1758"/>
    <w:rsid w:val="005C609B"/>
    <w:rsid w:val="005D18B1"/>
    <w:rsid w:val="005D62AD"/>
    <w:rsid w:val="005D7123"/>
    <w:rsid w:val="005E19D0"/>
    <w:rsid w:val="005E4B9B"/>
    <w:rsid w:val="005E7AC9"/>
    <w:rsid w:val="005F0BBF"/>
    <w:rsid w:val="005F34E0"/>
    <w:rsid w:val="00602029"/>
    <w:rsid w:val="0060216C"/>
    <w:rsid w:val="006060CE"/>
    <w:rsid w:val="00611F27"/>
    <w:rsid w:val="0061782C"/>
    <w:rsid w:val="00621F4A"/>
    <w:rsid w:val="00623121"/>
    <w:rsid w:val="006303B9"/>
    <w:rsid w:val="00636F43"/>
    <w:rsid w:val="00642728"/>
    <w:rsid w:val="006427EA"/>
    <w:rsid w:val="006433E9"/>
    <w:rsid w:val="00646D35"/>
    <w:rsid w:val="00647C5D"/>
    <w:rsid w:val="0065129D"/>
    <w:rsid w:val="00653BFB"/>
    <w:rsid w:val="00654D7F"/>
    <w:rsid w:val="00663C05"/>
    <w:rsid w:val="00664BBC"/>
    <w:rsid w:val="006658C8"/>
    <w:rsid w:val="0067190D"/>
    <w:rsid w:val="00672B76"/>
    <w:rsid w:val="00674A98"/>
    <w:rsid w:val="00687A63"/>
    <w:rsid w:val="00695101"/>
    <w:rsid w:val="006A0662"/>
    <w:rsid w:val="006A3A1F"/>
    <w:rsid w:val="006A4694"/>
    <w:rsid w:val="006B2F9D"/>
    <w:rsid w:val="006B339D"/>
    <w:rsid w:val="006B7C4A"/>
    <w:rsid w:val="006C2111"/>
    <w:rsid w:val="006C24E1"/>
    <w:rsid w:val="006C7EEA"/>
    <w:rsid w:val="006D6AE7"/>
    <w:rsid w:val="006E206B"/>
    <w:rsid w:val="006E2C28"/>
    <w:rsid w:val="006F0E22"/>
    <w:rsid w:val="006F1772"/>
    <w:rsid w:val="006F1CB9"/>
    <w:rsid w:val="006F3717"/>
    <w:rsid w:val="006F3AFD"/>
    <w:rsid w:val="006F7410"/>
    <w:rsid w:val="007014A7"/>
    <w:rsid w:val="00701672"/>
    <w:rsid w:val="00701A36"/>
    <w:rsid w:val="00703139"/>
    <w:rsid w:val="00705216"/>
    <w:rsid w:val="00705A4F"/>
    <w:rsid w:val="0072197F"/>
    <w:rsid w:val="00726DDB"/>
    <w:rsid w:val="00730E92"/>
    <w:rsid w:val="00732FDB"/>
    <w:rsid w:val="0073623C"/>
    <w:rsid w:val="00741014"/>
    <w:rsid w:val="007422AF"/>
    <w:rsid w:val="00747658"/>
    <w:rsid w:val="007476F8"/>
    <w:rsid w:val="00751052"/>
    <w:rsid w:val="00751440"/>
    <w:rsid w:val="00752D68"/>
    <w:rsid w:val="007542AB"/>
    <w:rsid w:val="00754E08"/>
    <w:rsid w:val="00756B9B"/>
    <w:rsid w:val="00763CCA"/>
    <w:rsid w:val="00763F17"/>
    <w:rsid w:val="007658E7"/>
    <w:rsid w:val="00767030"/>
    <w:rsid w:val="007670A5"/>
    <w:rsid w:val="007705E4"/>
    <w:rsid w:val="00772575"/>
    <w:rsid w:val="00774E12"/>
    <w:rsid w:val="00776735"/>
    <w:rsid w:val="00782318"/>
    <w:rsid w:val="007823D7"/>
    <w:rsid w:val="00786785"/>
    <w:rsid w:val="00792C28"/>
    <w:rsid w:val="00795CB1"/>
    <w:rsid w:val="007A6911"/>
    <w:rsid w:val="007B031B"/>
    <w:rsid w:val="007B1590"/>
    <w:rsid w:val="007B1840"/>
    <w:rsid w:val="007B54E7"/>
    <w:rsid w:val="007B5AC3"/>
    <w:rsid w:val="007C0DEB"/>
    <w:rsid w:val="007C0DF9"/>
    <w:rsid w:val="007C5917"/>
    <w:rsid w:val="007D0886"/>
    <w:rsid w:val="007D1311"/>
    <w:rsid w:val="007D334A"/>
    <w:rsid w:val="007D33D7"/>
    <w:rsid w:val="007E18B2"/>
    <w:rsid w:val="007E679E"/>
    <w:rsid w:val="007F0964"/>
    <w:rsid w:val="007F6122"/>
    <w:rsid w:val="008032DF"/>
    <w:rsid w:val="00804336"/>
    <w:rsid w:val="008109FF"/>
    <w:rsid w:val="00817C37"/>
    <w:rsid w:val="00820AA6"/>
    <w:rsid w:val="00822599"/>
    <w:rsid w:val="00831863"/>
    <w:rsid w:val="00834517"/>
    <w:rsid w:val="00835B94"/>
    <w:rsid w:val="00840C04"/>
    <w:rsid w:val="00843587"/>
    <w:rsid w:val="00851AEC"/>
    <w:rsid w:val="0085304A"/>
    <w:rsid w:val="008530DD"/>
    <w:rsid w:val="00860B95"/>
    <w:rsid w:val="00863BC8"/>
    <w:rsid w:val="00870CA6"/>
    <w:rsid w:val="00882CD0"/>
    <w:rsid w:val="00883E0C"/>
    <w:rsid w:val="00885363"/>
    <w:rsid w:val="00890F50"/>
    <w:rsid w:val="008914C1"/>
    <w:rsid w:val="00891D59"/>
    <w:rsid w:val="008929AD"/>
    <w:rsid w:val="00896ECE"/>
    <w:rsid w:val="008A013B"/>
    <w:rsid w:val="008A08ED"/>
    <w:rsid w:val="008A226C"/>
    <w:rsid w:val="008A4CF4"/>
    <w:rsid w:val="008C1122"/>
    <w:rsid w:val="008C3CB5"/>
    <w:rsid w:val="008D72BC"/>
    <w:rsid w:val="008E0100"/>
    <w:rsid w:val="008E1D99"/>
    <w:rsid w:val="008F32D5"/>
    <w:rsid w:val="008F3B4B"/>
    <w:rsid w:val="008F4BC5"/>
    <w:rsid w:val="008F762B"/>
    <w:rsid w:val="00901172"/>
    <w:rsid w:val="00901783"/>
    <w:rsid w:val="009028D6"/>
    <w:rsid w:val="00905AAC"/>
    <w:rsid w:val="0090791C"/>
    <w:rsid w:val="00907E8D"/>
    <w:rsid w:val="00913D20"/>
    <w:rsid w:val="00914E1E"/>
    <w:rsid w:val="009200A9"/>
    <w:rsid w:val="00920617"/>
    <w:rsid w:val="00920B5F"/>
    <w:rsid w:val="009245A3"/>
    <w:rsid w:val="00934C83"/>
    <w:rsid w:val="00936F90"/>
    <w:rsid w:val="009375FC"/>
    <w:rsid w:val="00941BDF"/>
    <w:rsid w:val="00944653"/>
    <w:rsid w:val="00944B43"/>
    <w:rsid w:val="009504AF"/>
    <w:rsid w:val="00950C61"/>
    <w:rsid w:val="00951FF7"/>
    <w:rsid w:val="00952E29"/>
    <w:rsid w:val="00953598"/>
    <w:rsid w:val="00953B98"/>
    <w:rsid w:val="00955EB5"/>
    <w:rsid w:val="00957B6C"/>
    <w:rsid w:val="009665E5"/>
    <w:rsid w:val="00967785"/>
    <w:rsid w:val="00970ABE"/>
    <w:rsid w:val="00972642"/>
    <w:rsid w:val="0097624B"/>
    <w:rsid w:val="00977139"/>
    <w:rsid w:val="00983F1B"/>
    <w:rsid w:val="00984A79"/>
    <w:rsid w:val="009871BA"/>
    <w:rsid w:val="00987D07"/>
    <w:rsid w:val="0099307F"/>
    <w:rsid w:val="009944A6"/>
    <w:rsid w:val="0099671D"/>
    <w:rsid w:val="00996DA2"/>
    <w:rsid w:val="009A4D2C"/>
    <w:rsid w:val="009A7C5E"/>
    <w:rsid w:val="009B1ED8"/>
    <w:rsid w:val="009B729C"/>
    <w:rsid w:val="009C313F"/>
    <w:rsid w:val="009C6BA3"/>
    <w:rsid w:val="009D1A0A"/>
    <w:rsid w:val="009D42CE"/>
    <w:rsid w:val="009D4720"/>
    <w:rsid w:val="009D67BF"/>
    <w:rsid w:val="009E3278"/>
    <w:rsid w:val="009F5C6E"/>
    <w:rsid w:val="00A01709"/>
    <w:rsid w:val="00A02358"/>
    <w:rsid w:val="00A049B5"/>
    <w:rsid w:val="00A0685D"/>
    <w:rsid w:val="00A06B86"/>
    <w:rsid w:val="00A15E2A"/>
    <w:rsid w:val="00A214D6"/>
    <w:rsid w:val="00A304B8"/>
    <w:rsid w:val="00A328C6"/>
    <w:rsid w:val="00A350EB"/>
    <w:rsid w:val="00A3574D"/>
    <w:rsid w:val="00A35D18"/>
    <w:rsid w:val="00A37382"/>
    <w:rsid w:val="00A42A16"/>
    <w:rsid w:val="00A53354"/>
    <w:rsid w:val="00A617DA"/>
    <w:rsid w:val="00A63572"/>
    <w:rsid w:val="00A73455"/>
    <w:rsid w:val="00A739E3"/>
    <w:rsid w:val="00A7793A"/>
    <w:rsid w:val="00A81A6D"/>
    <w:rsid w:val="00A81C34"/>
    <w:rsid w:val="00A81E0E"/>
    <w:rsid w:val="00A84942"/>
    <w:rsid w:val="00A8626F"/>
    <w:rsid w:val="00A86E3B"/>
    <w:rsid w:val="00A86F5B"/>
    <w:rsid w:val="00A90107"/>
    <w:rsid w:val="00A94577"/>
    <w:rsid w:val="00A951A4"/>
    <w:rsid w:val="00A95BD4"/>
    <w:rsid w:val="00AA5821"/>
    <w:rsid w:val="00AA67A9"/>
    <w:rsid w:val="00AA68CC"/>
    <w:rsid w:val="00AA760A"/>
    <w:rsid w:val="00AB28C2"/>
    <w:rsid w:val="00AB4648"/>
    <w:rsid w:val="00AB69BB"/>
    <w:rsid w:val="00AB7880"/>
    <w:rsid w:val="00AC13FE"/>
    <w:rsid w:val="00AC27B7"/>
    <w:rsid w:val="00AC696F"/>
    <w:rsid w:val="00AD1194"/>
    <w:rsid w:val="00AD4304"/>
    <w:rsid w:val="00AE0C87"/>
    <w:rsid w:val="00AE26B7"/>
    <w:rsid w:val="00AE44EB"/>
    <w:rsid w:val="00AE644F"/>
    <w:rsid w:val="00AE674B"/>
    <w:rsid w:val="00AF634E"/>
    <w:rsid w:val="00B00BF3"/>
    <w:rsid w:val="00B0221E"/>
    <w:rsid w:val="00B0617A"/>
    <w:rsid w:val="00B108C6"/>
    <w:rsid w:val="00B12E3E"/>
    <w:rsid w:val="00B177DD"/>
    <w:rsid w:val="00B20355"/>
    <w:rsid w:val="00B21E86"/>
    <w:rsid w:val="00B25BAF"/>
    <w:rsid w:val="00B314C7"/>
    <w:rsid w:val="00B338B0"/>
    <w:rsid w:val="00B349A9"/>
    <w:rsid w:val="00B34A27"/>
    <w:rsid w:val="00B34C9F"/>
    <w:rsid w:val="00B44FF6"/>
    <w:rsid w:val="00B45673"/>
    <w:rsid w:val="00B51A88"/>
    <w:rsid w:val="00B52C61"/>
    <w:rsid w:val="00B55AE7"/>
    <w:rsid w:val="00B57612"/>
    <w:rsid w:val="00B617C8"/>
    <w:rsid w:val="00B64396"/>
    <w:rsid w:val="00B7018C"/>
    <w:rsid w:val="00B73252"/>
    <w:rsid w:val="00B73C4A"/>
    <w:rsid w:val="00B80791"/>
    <w:rsid w:val="00B85141"/>
    <w:rsid w:val="00B855AF"/>
    <w:rsid w:val="00B8591F"/>
    <w:rsid w:val="00B86CDC"/>
    <w:rsid w:val="00B924B5"/>
    <w:rsid w:val="00BA2C88"/>
    <w:rsid w:val="00BA3191"/>
    <w:rsid w:val="00BA4A68"/>
    <w:rsid w:val="00BA64D4"/>
    <w:rsid w:val="00BA6A82"/>
    <w:rsid w:val="00BB0BB2"/>
    <w:rsid w:val="00BB1680"/>
    <w:rsid w:val="00BB35D5"/>
    <w:rsid w:val="00BB6217"/>
    <w:rsid w:val="00BD0F8B"/>
    <w:rsid w:val="00BD62BC"/>
    <w:rsid w:val="00BE0FFE"/>
    <w:rsid w:val="00BE3957"/>
    <w:rsid w:val="00BE3B08"/>
    <w:rsid w:val="00BE4923"/>
    <w:rsid w:val="00BE5E16"/>
    <w:rsid w:val="00BE6CB4"/>
    <w:rsid w:val="00BE6E23"/>
    <w:rsid w:val="00BE7A1E"/>
    <w:rsid w:val="00BF6FCB"/>
    <w:rsid w:val="00C04252"/>
    <w:rsid w:val="00C04720"/>
    <w:rsid w:val="00C06DAF"/>
    <w:rsid w:val="00C073DF"/>
    <w:rsid w:val="00C078D0"/>
    <w:rsid w:val="00C116E3"/>
    <w:rsid w:val="00C2147F"/>
    <w:rsid w:val="00C22875"/>
    <w:rsid w:val="00C26C60"/>
    <w:rsid w:val="00C30500"/>
    <w:rsid w:val="00C31A15"/>
    <w:rsid w:val="00C3622E"/>
    <w:rsid w:val="00C4704B"/>
    <w:rsid w:val="00C5170C"/>
    <w:rsid w:val="00C5366B"/>
    <w:rsid w:val="00C5703F"/>
    <w:rsid w:val="00C62651"/>
    <w:rsid w:val="00C64066"/>
    <w:rsid w:val="00C67B42"/>
    <w:rsid w:val="00C7086A"/>
    <w:rsid w:val="00C72A70"/>
    <w:rsid w:val="00C72C96"/>
    <w:rsid w:val="00C7574C"/>
    <w:rsid w:val="00C855B0"/>
    <w:rsid w:val="00C870BB"/>
    <w:rsid w:val="00C904A8"/>
    <w:rsid w:val="00C926D0"/>
    <w:rsid w:val="00C9293C"/>
    <w:rsid w:val="00C9752B"/>
    <w:rsid w:val="00CA06BF"/>
    <w:rsid w:val="00CA0F7C"/>
    <w:rsid w:val="00CA1124"/>
    <w:rsid w:val="00CA5419"/>
    <w:rsid w:val="00CB1192"/>
    <w:rsid w:val="00CB1671"/>
    <w:rsid w:val="00CB198E"/>
    <w:rsid w:val="00CB49B5"/>
    <w:rsid w:val="00CC40FB"/>
    <w:rsid w:val="00CC72A1"/>
    <w:rsid w:val="00CC7AA1"/>
    <w:rsid w:val="00CD2F03"/>
    <w:rsid w:val="00CD66F6"/>
    <w:rsid w:val="00CD6942"/>
    <w:rsid w:val="00CE11C7"/>
    <w:rsid w:val="00CE3C1D"/>
    <w:rsid w:val="00CE3D2F"/>
    <w:rsid w:val="00CE5EC2"/>
    <w:rsid w:val="00CF2E73"/>
    <w:rsid w:val="00CF5DB6"/>
    <w:rsid w:val="00CF5EFA"/>
    <w:rsid w:val="00D00D0D"/>
    <w:rsid w:val="00D02260"/>
    <w:rsid w:val="00D034A7"/>
    <w:rsid w:val="00D04970"/>
    <w:rsid w:val="00D152A1"/>
    <w:rsid w:val="00D1631B"/>
    <w:rsid w:val="00D166EE"/>
    <w:rsid w:val="00D16C1A"/>
    <w:rsid w:val="00D2308A"/>
    <w:rsid w:val="00D2328B"/>
    <w:rsid w:val="00D26723"/>
    <w:rsid w:val="00D26BC6"/>
    <w:rsid w:val="00D27483"/>
    <w:rsid w:val="00D34C74"/>
    <w:rsid w:val="00D36BD3"/>
    <w:rsid w:val="00D4084D"/>
    <w:rsid w:val="00D408B6"/>
    <w:rsid w:val="00D415CF"/>
    <w:rsid w:val="00D433B2"/>
    <w:rsid w:val="00D46C97"/>
    <w:rsid w:val="00D478FF"/>
    <w:rsid w:val="00D55ED8"/>
    <w:rsid w:val="00D62444"/>
    <w:rsid w:val="00D62CCA"/>
    <w:rsid w:val="00D62CE9"/>
    <w:rsid w:val="00D63D1F"/>
    <w:rsid w:val="00D67614"/>
    <w:rsid w:val="00D803D5"/>
    <w:rsid w:val="00D81A21"/>
    <w:rsid w:val="00D835EE"/>
    <w:rsid w:val="00D84011"/>
    <w:rsid w:val="00D92313"/>
    <w:rsid w:val="00D9346E"/>
    <w:rsid w:val="00DA0B04"/>
    <w:rsid w:val="00DA3DD7"/>
    <w:rsid w:val="00DA4E2D"/>
    <w:rsid w:val="00DA6AE3"/>
    <w:rsid w:val="00DC4202"/>
    <w:rsid w:val="00DC6392"/>
    <w:rsid w:val="00DC6951"/>
    <w:rsid w:val="00DE029E"/>
    <w:rsid w:val="00DE0B24"/>
    <w:rsid w:val="00DE56ED"/>
    <w:rsid w:val="00DE7EE7"/>
    <w:rsid w:val="00DF2B3A"/>
    <w:rsid w:val="00DF3C24"/>
    <w:rsid w:val="00DF6658"/>
    <w:rsid w:val="00E0426A"/>
    <w:rsid w:val="00E05176"/>
    <w:rsid w:val="00E052A7"/>
    <w:rsid w:val="00E07E3E"/>
    <w:rsid w:val="00E10B56"/>
    <w:rsid w:val="00E11C66"/>
    <w:rsid w:val="00E14895"/>
    <w:rsid w:val="00E157E1"/>
    <w:rsid w:val="00E162C6"/>
    <w:rsid w:val="00E16792"/>
    <w:rsid w:val="00E24295"/>
    <w:rsid w:val="00E2468D"/>
    <w:rsid w:val="00E357C6"/>
    <w:rsid w:val="00E40D70"/>
    <w:rsid w:val="00E44826"/>
    <w:rsid w:val="00E45101"/>
    <w:rsid w:val="00E513F2"/>
    <w:rsid w:val="00E6155F"/>
    <w:rsid w:val="00E7600A"/>
    <w:rsid w:val="00E81FF2"/>
    <w:rsid w:val="00E90B2D"/>
    <w:rsid w:val="00E91DE8"/>
    <w:rsid w:val="00E92FBF"/>
    <w:rsid w:val="00EB027A"/>
    <w:rsid w:val="00EB251F"/>
    <w:rsid w:val="00EB25E4"/>
    <w:rsid w:val="00EB4877"/>
    <w:rsid w:val="00EB5BCC"/>
    <w:rsid w:val="00EB61BA"/>
    <w:rsid w:val="00ED1FC4"/>
    <w:rsid w:val="00ED636E"/>
    <w:rsid w:val="00ED69D8"/>
    <w:rsid w:val="00EE2805"/>
    <w:rsid w:val="00EE3305"/>
    <w:rsid w:val="00EE3F73"/>
    <w:rsid w:val="00EF051A"/>
    <w:rsid w:val="00EF056D"/>
    <w:rsid w:val="00EF6B3F"/>
    <w:rsid w:val="00F0621D"/>
    <w:rsid w:val="00F13E1D"/>
    <w:rsid w:val="00F1660D"/>
    <w:rsid w:val="00F2023C"/>
    <w:rsid w:val="00F22E51"/>
    <w:rsid w:val="00F24F50"/>
    <w:rsid w:val="00F37207"/>
    <w:rsid w:val="00F3725A"/>
    <w:rsid w:val="00F4283E"/>
    <w:rsid w:val="00F50D03"/>
    <w:rsid w:val="00F50EFE"/>
    <w:rsid w:val="00F532A9"/>
    <w:rsid w:val="00F556B1"/>
    <w:rsid w:val="00F57381"/>
    <w:rsid w:val="00F615BA"/>
    <w:rsid w:val="00F62016"/>
    <w:rsid w:val="00F632FE"/>
    <w:rsid w:val="00F67E49"/>
    <w:rsid w:val="00F701EA"/>
    <w:rsid w:val="00F7115C"/>
    <w:rsid w:val="00F746B4"/>
    <w:rsid w:val="00F74C72"/>
    <w:rsid w:val="00F839D8"/>
    <w:rsid w:val="00F87DA6"/>
    <w:rsid w:val="00F917BC"/>
    <w:rsid w:val="00F953A6"/>
    <w:rsid w:val="00F978CC"/>
    <w:rsid w:val="00FA28AD"/>
    <w:rsid w:val="00FA2F06"/>
    <w:rsid w:val="00FA38DE"/>
    <w:rsid w:val="00FB0C0D"/>
    <w:rsid w:val="00FC0983"/>
    <w:rsid w:val="00FC2D6A"/>
    <w:rsid w:val="00FC6DAD"/>
    <w:rsid w:val="00FC79CB"/>
    <w:rsid w:val="00FD01DE"/>
    <w:rsid w:val="00FD06BC"/>
    <w:rsid w:val="00FD1AE7"/>
    <w:rsid w:val="00FD5A2B"/>
    <w:rsid w:val="00FD7DB6"/>
    <w:rsid w:val="00FE5C95"/>
    <w:rsid w:val="00FF3E26"/>
    <w:rsid w:val="00FF4F38"/>
    <w:rsid w:val="00FF64B1"/>
    <w:rsid w:val="00FF666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2FF0CB3"/>
  <w15:docId w15:val="{C539DBE2-3973-402E-A628-92A2BEF9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ACB"/>
    <w:pPr>
      <w:spacing w:before="120"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AE26B7"/>
    <w:pPr>
      <w:keepNext/>
      <w:spacing w:before="240"/>
      <w:outlineLvl w:val="0"/>
    </w:pPr>
    <w:rPr>
      <w:b/>
    </w:rPr>
  </w:style>
  <w:style w:type="paragraph" w:styleId="Heading2">
    <w:name w:val="heading 2"/>
    <w:basedOn w:val="Heading1"/>
    <w:next w:val="Normal"/>
    <w:link w:val="Heading2Char"/>
    <w:qFormat/>
    <w:rsid w:val="00AE26B7"/>
    <w:pPr>
      <w:outlineLvl w:val="1"/>
    </w:pPr>
    <w:rPr>
      <w:rFonts w:cs="Arial"/>
      <w:bCs/>
      <w:iCs/>
      <w:sz w:val="24"/>
      <w:szCs w:val="28"/>
    </w:rPr>
  </w:style>
  <w:style w:type="paragraph" w:styleId="Heading3">
    <w:name w:val="heading 3"/>
    <w:basedOn w:val="Heading1"/>
    <w:next w:val="Normal"/>
    <w:link w:val="Heading3Char"/>
    <w:qFormat/>
    <w:rsid w:val="00967785"/>
    <w:pPr>
      <w:outlineLvl w:val="2"/>
    </w:pPr>
    <w:rPr>
      <w:rFonts w:cs="Arial"/>
      <w:bCs/>
      <w:i/>
      <w:szCs w:val="26"/>
    </w:rPr>
  </w:style>
  <w:style w:type="paragraph" w:styleId="Heading4">
    <w:name w:val="heading 4"/>
    <w:basedOn w:val="Normal"/>
    <w:next w:val="Normal"/>
    <w:link w:val="Heading4Char"/>
    <w:uiPriority w:val="9"/>
    <w:semiHidden/>
    <w:unhideWhenUsed/>
    <w:rsid w:val="006303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26B7"/>
    <w:rPr>
      <w:rFonts w:ascii="Calibri" w:eastAsia="Times New Roman" w:hAnsi="Calibri" w:cs="Times New Roman"/>
      <w:b/>
      <w:szCs w:val="20"/>
    </w:rPr>
  </w:style>
  <w:style w:type="character" w:customStyle="1" w:styleId="Heading2Char">
    <w:name w:val="Heading 2 Char"/>
    <w:basedOn w:val="DefaultParagraphFont"/>
    <w:link w:val="Heading2"/>
    <w:rsid w:val="00AE26B7"/>
    <w:rPr>
      <w:rFonts w:ascii="Calibri" w:eastAsia="Times New Roman" w:hAnsi="Calibri" w:cs="Arial"/>
      <w:b/>
      <w:bCs/>
      <w:iCs/>
      <w:sz w:val="24"/>
      <w:szCs w:val="28"/>
    </w:rPr>
  </w:style>
  <w:style w:type="character" w:customStyle="1" w:styleId="Heading3Char">
    <w:name w:val="Heading 3 Char"/>
    <w:basedOn w:val="DefaultParagraphFont"/>
    <w:link w:val="Heading3"/>
    <w:rsid w:val="00967785"/>
    <w:rPr>
      <w:rFonts w:ascii="Times New Roman" w:eastAsia="Times New Roman" w:hAnsi="Times New Roman" w:cs="Arial"/>
      <w:b/>
      <w:bCs/>
      <w:i/>
      <w:sz w:val="24"/>
      <w:szCs w:val="26"/>
    </w:rPr>
  </w:style>
  <w:style w:type="paragraph" w:customStyle="1" w:styleId="Lettered">
    <w:name w:val="Lettered"/>
    <w:basedOn w:val="Normal"/>
    <w:rsid w:val="00967785"/>
    <w:pPr>
      <w:numPr>
        <w:numId w:val="2"/>
      </w:numPr>
    </w:pPr>
  </w:style>
  <w:style w:type="character" w:customStyle="1" w:styleId="UnresolvedMention1">
    <w:name w:val="Unresolved Mention1"/>
    <w:basedOn w:val="DefaultParagraphFont"/>
    <w:uiPriority w:val="99"/>
    <w:semiHidden/>
    <w:unhideWhenUsed/>
    <w:rsid w:val="00054BC9"/>
    <w:rPr>
      <w:color w:val="605E5C"/>
      <w:shd w:val="clear" w:color="auto" w:fill="E1DFDD"/>
    </w:rPr>
  </w:style>
  <w:style w:type="paragraph" w:styleId="Header">
    <w:name w:val="header"/>
    <w:basedOn w:val="Normal"/>
    <w:link w:val="HeaderChar"/>
    <w:uiPriority w:val="99"/>
    <w:rsid w:val="00967785"/>
    <w:pPr>
      <w:spacing w:before="0" w:after="120"/>
      <w:jc w:val="center"/>
    </w:pPr>
  </w:style>
  <w:style w:type="character" w:customStyle="1" w:styleId="HeaderChar">
    <w:name w:val="Header Char"/>
    <w:basedOn w:val="DefaultParagraphFont"/>
    <w:link w:val="Header"/>
    <w:uiPriority w:val="99"/>
    <w:rsid w:val="009677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5170C"/>
    <w:pPr>
      <w:jc w:val="center"/>
    </w:pPr>
  </w:style>
  <w:style w:type="character" w:customStyle="1" w:styleId="FooterChar">
    <w:name w:val="Footer Char"/>
    <w:basedOn w:val="DefaultParagraphFont"/>
    <w:link w:val="Footer"/>
    <w:uiPriority w:val="99"/>
    <w:rsid w:val="00C5170C"/>
    <w:rPr>
      <w:rFonts w:ascii="Calibri" w:eastAsia="Times New Roman" w:hAnsi="Calibri" w:cs="Times New Roman"/>
      <w:szCs w:val="20"/>
    </w:rPr>
  </w:style>
  <w:style w:type="character" w:styleId="CommentReference">
    <w:name w:val="annotation reference"/>
    <w:basedOn w:val="DefaultParagraphFont"/>
    <w:uiPriority w:val="99"/>
    <w:semiHidden/>
    <w:unhideWhenUsed/>
    <w:rsid w:val="00D55ED8"/>
    <w:rPr>
      <w:sz w:val="16"/>
      <w:szCs w:val="16"/>
    </w:rPr>
  </w:style>
  <w:style w:type="paragraph" w:styleId="CommentSubject">
    <w:name w:val="annotation subject"/>
    <w:basedOn w:val="Normal"/>
    <w:next w:val="Normal"/>
    <w:link w:val="CommentSubjectChar"/>
    <w:uiPriority w:val="99"/>
    <w:semiHidden/>
    <w:unhideWhenUsed/>
    <w:rsid w:val="000E3B7F"/>
    <w:rPr>
      <w:b/>
      <w:bCs/>
      <w:sz w:val="20"/>
    </w:rPr>
  </w:style>
  <w:style w:type="character" w:customStyle="1" w:styleId="CommentSubjectChar">
    <w:name w:val="Comment Subject Char"/>
    <w:basedOn w:val="DefaultParagraphFont"/>
    <w:link w:val="CommentSubject"/>
    <w:uiPriority w:val="99"/>
    <w:semiHidden/>
    <w:rsid w:val="000E3B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ED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ED8"/>
    <w:rPr>
      <w:rFonts w:ascii="Tahoma" w:eastAsia="Times New Roman" w:hAnsi="Tahoma" w:cs="Tahoma"/>
      <w:sz w:val="16"/>
      <w:szCs w:val="16"/>
    </w:rPr>
  </w:style>
  <w:style w:type="table" w:styleId="TableGrid">
    <w:name w:val="Table Grid"/>
    <w:basedOn w:val="TableNormal"/>
    <w:rsid w:val="00287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55AE7"/>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E3B7F"/>
    <w:rPr>
      <w:color w:val="0000FF" w:themeColor="hyperlink"/>
      <w:u w:val="none"/>
    </w:rPr>
  </w:style>
  <w:style w:type="character" w:customStyle="1" w:styleId="Heading4Char">
    <w:name w:val="Heading 4 Char"/>
    <w:basedOn w:val="DefaultParagraphFont"/>
    <w:link w:val="Heading4"/>
    <w:uiPriority w:val="9"/>
    <w:semiHidden/>
    <w:rsid w:val="006303B9"/>
    <w:rPr>
      <w:rFonts w:asciiTheme="majorHAnsi" w:eastAsiaTheme="majorEastAsia" w:hAnsiTheme="majorHAnsi" w:cstheme="majorBidi"/>
      <w:i/>
      <w:iCs/>
      <w:color w:val="365F91" w:themeColor="accent1" w:themeShade="BF"/>
      <w:szCs w:val="20"/>
    </w:rPr>
  </w:style>
  <w:style w:type="paragraph" w:customStyle="1" w:styleId="Heading">
    <w:name w:val="Heading"/>
    <w:basedOn w:val="Normal"/>
    <w:rsid w:val="00C9293C"/>
    <w:pPr>
      <w:keepNext/>
      <w:spacing w:before="360"/>
    </w:pPr>
    <w:rPr>
      <w:b/>
    </w:rPr>
  </w:style>
  <w:style w:type="paragraph" w:styleId="ListBullet">
    <w:name w:val="List Bullet"/>
    <w:basedOn w:val="Normal"/>
    <w:uiPriority w:val="99"/>
    <w:unhideWhenUsed/>
    <w:rsid w:val="00137C23"/>
    <w:pPr>
      <w:numPr>
        <w:numId w:val="4"/>
      </w:numPr>
      <w:tabs>
        <w:tab w:val="clear" w:pos="360"/>
      </w:tabs>
      <w:ind w:left="369" w:hanging="369"/>
      <w:contextualSpacing/>
    </w:pPr>
  </w:style>
  <w:style w:type="paragraph" w:styleId="ListBullet2">
    <w:name w:val="List Bullet 2"/>
    <w:basedOn w:val="Normal"/>
    <w:uiPriority w:val="99"/>
    <w:unhideWhenUsed/>
    <w:rsid w:val="00137C23"/>
    <w:pPr>
      <w:numPr>
        <w:numId w:val="5"/>
      </w:numPr>
      <w:contextualSpacing/>
    </w:pPr>
  </w:style>
  <w:style w:type="paragraph" w:styleId="ListNumber">
    <w:name w:val="List Number"/>
    <w:basedOn w:val="Normal"/>
    <w:uiPriority w:val="99"/>
    <w:rsid w:val="00000B57"/>
    <w:pPr>
      <w:numPr>
        <w:numId w:val="6"/>
      </w:numPr>
      <w:ind w:left="369" w:hanging="369"/>
    </w:pPr>
    <w:rPr>
      <w:rFonts w:eastAsia="Calibri"/>
      <w:szCs w:val="22"/>
    </w:rPr>
  </w:style>
  <w:style w:type="paragraph" w:styleId="ListNumber2">
    <w:name w:val="List Number 2"/>
    <w:basedOn w:val="Normal"/>
    <w:uiPriority w:val="99"/>
    <w:rsid w:val="00000B57"/>
    <w:pPr>
      <w:numPr>
        <w:ilvl w:val="1"/>
        <w:numId w:val="6"/>
      </w:numPr>
      <w:ind w:left="738"/>
    </w:pPr>
    <w:rPr>
      <w:rFonts w:eastAsia="Calibri"/>
      <w:szCs w:val="22"/>
    </w:rPr>
  </w:style>
  <w:style w:type="paragraph" w:customStyle="1" w:styleId="Default">
    <w:name w:val="Default"/>
    <w:rsid w:val="0047208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83F1B"/>
    <w:pPr>
      <w:spacing w:before="0" w:after="150"/>
      <w:textAlignment w:val="baseline"/>
    </w:pPr>
    <w:rPr>
      <w:rFonts w:ascii="Times New Roman" w:hAnsi="Times New Roman"/>
      <w:sz w:val="29"/>
      <w:szCs w:val="29"/>
      <w:lang w:eastAsia="en-AU"/>
    </w:rPr>
  </w:style>
  <w:style w:type="character" w:styleId="FollowedHyperlink">
    <w:name w:val="FollowedHyperlink"/>
    <w:basedOn w:val="DefaultParagraphFont"/>
    <w:uiPriority w:val="99"/>
    <w:semiHidden/>
    <w:unhideWhenUsed/>
    <w:rsid w:val="000E3B7F"/>
    <w:rPr>
      <w:color w:val="800080" w:themeColor="followedHyperlink"/>
      <w:u w:val="none"/>
    </w:rPr>
  </w:style>
  <w:style w:type="paragraph" w:styleId="FootnoteText">
    <w:name w:val="footnote text"/>
    <w:basedOn w:val="Normal"/>
    <w:link w:val="FootnoteTextChar"/>
    <w:uiPriority w:val="99"/>
    <w:semiHidden/>
    <w:unhideWhenUsed/>
    <w:rsid w:val="00ED636E"/>
    <w:rPr>
      <w:sz w:val="20"/>
    </w:rPr>
  </w:style>
  <w:style w:type="character" w:customStyle="1" w:styleId="FootnoteTextChar">
    <w:name w:val="Footnote Text Char"/>
    <w:basedOn w:val="DefaultParagraphFont"/>
    <w:link w:val="FootnoteText"/>
    <w:uiPriority w:val="99"/>
    <w:semiHidden/>
    <w:rsid w:val="00ED636E"/>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ED636E"/>
    <w:rPr>
      <w:vertAlign w:val="superscript"/>
    </w:rPr>
  </w:style>
  <w:style w:type="numbering" w:customStyle="1" w:styleId="RecommendationListBullet1List">
    <w:name w:val="Recommendation List Bullet 1 List"/>
    <w:rsid w:val="00137C23"/>
    <w:pPr>
      <w:numPr>
        <w:numId w:val="19"/>
      </w:numPr>
    </w:pPr>
  </w:style>
  <w:style w:type="paragraph" w:styleId="CommentText">
    <w:name w:val="annotation text"/>
    <w:basedOn w:val="Normal"/>
    <w:link w:val="CommentTextChar"/>
    <w:uiPriority w:val="99"/>
    <w:unhideWhenUsed/>
    <w:rsid w:val="00B34A27"/>
    <w:rPr>
      <w:sz w:val="20"/>
    </w:rPr>
  </w:style>
  <w:style w:type="character" w:customStyle="1" w:styleId="CommentTextChar">
    <w:name w:val="Comment Text Char"/>
    <w:basedOn w:val="DefaultParagraphFont"/>
    <w:link w:val="CommentText"/>
    <w:uiPriority w:val="99"/>
    <w:rsid w:val="00B34A27"/>
    <w:rPr>
      <w:rFonts w:ascii="Calibri" w:eastAsia="Times New Roman" w:hAnsi="Calibri" w:cs="Times New Roman"/>
      <w:sz w:val="20"/>
      <w:szCs w:val="20"/>
    </w:rPr>
  </w:style>
  <w:style w:type="character" w:customStyle="1" w:styleId="ListParagraphChar">
    <w:name w:val="List Paragraph Char"/>
    <w:aliases w:val="Bulletr List Paragraph Char,CAB - List Bullet Char,FooterText Char,L Char,List Bullet Cab Char,List Paragraph1 Char,List Paragraph11 Char,List Paragraph2 Char,List Paragraph21 Char,Listeafsnit1 Char,NFP GP Bulleted List Char,列 Char"/>
    <w:basedOn w:val="DefaultParagraphFont"/>
    <w:link w:val="ListParagraph"/>
    <w:uiPriority w:val="34"/>
    <w:qFormat/>
    <w:locked/>
    <w:rsid w:val="00F532A9"/>
    <w:rPr>
      <w:rFonts w:ascii="Calibri" w:hAnsi="Calibri" w:cs="Calibri"/>
    </w:rPr>
  </w:style>
  <w:style w:type="paragraph" w:styleId="ListParagraph">
    <w:name w:val="List Paragraph"/>
    <w:aliases w:val="Bulletr List Paragraph,CAB - List Bullet,FooterText,L,List Bullet Cab,List Paragraph1,List Paragraph11,List Paragraph2,List Paragraph21,Listeafsnit1,NFP GP Bulleted List,Paragraphe de liste1,Recommendation,bullet point list,numbered,列"/>
    <w:basedOn w:val="Normal"/>
    <w:link w:val="ListParagraphChar"/>
    <w:uiPriority w:val="34"/>
    <w:qFormat/>
    <w:rsid w:val="00F532A9"/>
    <w:pPr>
      <w:spacing w:before="0"/>
      <w:ind w:left="720"/>
    </w:pPr>
    <w:rPr>
      <w:rFonts w:eastAsiaTheme="minorHAnsi" w:cs="Calibri"/>
      <w:szCs w:val="22"/>
    </w:rPr>
  </w:style>
  <w:style w:type="character" w:styleId="Strong">
    <w:name w:val="Strong"/>
    <w:basedOn w:val="DefaultParagraphFont"/>
    <w:uiPriority w:val="22"/>
    <w:rsid w:val="00017EAF"/>
    <w:rPr>
      <w:b/>
      <w:bCs/>
    </w:rPr>
  </w:style>
  <w:style w:type="paragraph" w:styleId="Revision">
    <w:name w:val="Revision"/>
    <w:hidden/>
    <w:uiPriority w:val="99"/>
    <w:semiHidden/>
    <w:rsid w:val="001935C3"/>
    <w:pPr>
      <w:spacing w:after="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23A70F0-ED25-4587-9E53-8CA03505C6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9A9DCAF32334A41AF11D6950AF4AC1F" ma:contentTypeVersion="" ma:contentTypeDescription="PDMS Document Site Content Type" ma:contentTypeScope="" ma:versionID="06a78740478c4b8eb203857acf20c78a">
  <xsd:schema xmlns:xsd="http://www.w3.org/2001/XMLSchema" xmlns:xs="http://www.w3.org/2001/XMLSchema" xmlns:p="http://schemas.microsoft.com/office/2006/metadata/properties" xmlns:ns2="023A70F0-ED25-4587-9E53-8CA03505C69E" targetNamespace="http://schemas.microsoft.com/office/2006/metadata/properties" ma:root="true" ma:fieldsID="056f3b82e87efb0eab91f88f8d1fe605" ns2:_="">
    <xsd:import namespace="023A70F0-ED25-4587-9E53-8CA03505C69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70F0-ED25-4587-9E53-8CA03505C69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1A629-1207-494C-8BE0-D0F6C08BC8BE}">
  <ds:schemaRefs>
    <ds:schemaRef ds:uri="http://schemas.openxmlformats.org/officeDocument/2006/bibliography"/>
  </ds:schemaRefs>
</ds:datastoreItem>
</file>

<file path=customXml/itemProps2.xml><?xml version="1.0" encoding="utf-8"?>
<ds:datastoreItem xmlns:ds="http://schemas.openxmlformats.org/officeDocument/2006/customXml" ds:itemID="{9B91EF80-F50B-4BB9-89E5-C41D7A2F3DDF}">
  <ds:schemaRefs>
    <ds:schemaRef ds:uri="http://schemas.microsoft.com/sharepoint/v3/contenttype/forms"/>
  </ds:schemaRefs>
</ds:datastoreItem>
</file>

<file path=customXml/itemProps3.xml><?xml version="1.0" encoding="utf-8"?>
<ds:datastoreItem xmlns:ds="http://schemas.openxmlformats.org/officeDocument/2006/customXml" ds:itemID="{3FAA42C1-0B60-4DC6-BC5F-72BA0D071F56}">
  <ds:schemaRefs>
    <ds:schemaRef ds:uri="http://schemas.microsoft.com/office/2006/metadata/properties"/>
    <ds:schemaRef ds:uri="http://schemas.microsoft.com/office/infopath/2007/PartnerControls"/>
    <ds:schemaRef ds:uri="023A70F0-ED25-4587-9E53-8CA03505C69E"/>
  </ds:schemaRefs>
</ds:datastoreItem>
</file>

<file path=customXml/itemProps4.xml><?xml version="1.0" encoding="utf-8"?>
<ds:datastoreItem xmlns:ds="http://schemas.openxmlformats.org/officeDocument/2006/customXml" ds:itemID="{02067177-7D54-4949-B781-345B4A20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70F0-ED25-4587-9E53-8CA03505C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Bursle, Guy</dc:creator>
  <cp:lastModifiedBy>Nicholson, Tony</cp:lastModifiedBy>
  <cp:revision>8</cp:revision>
  <cp:lastPrinted>1899-12-31T13:00:00Z</cp:lastPrinted>
  <dcterms:created xsi:type="dcterms:W3CDTF">2024-05-14T02:53:00Z</dcterms:created>
  <dcterms:modified xsi:type="dcterms:W3CDTF">2024-05-14T03:07:00Z</dcterms:modified>
</cp:coreProperties>
</file>