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D41DE" w14:textId="77777777" w:rsidR="00CE4A64" w:rsidRPr="008E62ED" w:rsidRDefault="008D58F5" w:rsidP="00CE4A64">
      <w:pPr>
        <w:jc w:val="right"/>
      </w:pPr>
    </w:p>
    <w:p w14:paraId="670D41DF" w14:textId="77777777" w:rsidR="00CE4A64" w:rsidRPr="008E62ED" w:rsidRDefault="00D74C06" w:rsidP="00CE4A64">
      <w:pPr>
        <w:spacing w:before="360"/>
        <w:jc w:val="center"/>
      </w:pPr>
      <w:r w:rsidRPr="008E62ED">
        <w:rPr>
          <w:caps/>
          <w:noProof/>
          <w:lang w:eastAsia="en-AU"/>
        </w:rPr>
        <w:drawing>
          <wp:inline distT="0" distB="0" distL="0" distR="0" wp14:anchorId="670D4232" wp14:editId="670D4233">
            <wp:extent cx="2468880" cy="1371600"/>
            <wp:effectExtent l="0" t="0" r="762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8880" cy="1371600"/>
                    </a:xfrm>
                    <a:prstGeom prst="rect">
                      <a:avLst/>
                    </a:prstGeom>
                    <a:noFill/>
                    <a:ln>
                      <a:noFill/>
                    </a:ln>
                  </pic:spPr>
                </pic:pic>
              </a:graphicData>
            </a:graphic>
          </wp:inline>
        </w:drawing>
      </w:r>
    </w:p>
    <w:p w14:paraId="12BE027D" w14:textId="77777777" w:rsidR="00151365" w:rsidRDefault="00151365" w:rsidP="00CE4A64">
      <w:pPr>
        <w:spacing w:before="360"/>
        <w:jc w:val="center"/>
        <w:rPr>
          <w:sz w:val="36"/>
          <w:szCs w:val="36"/>
        </w:rPr>
      </w:pPr>
    </w:p>
    <w:p w14:paraId="670D41E1" w14:textId="7A5A9B33" w:rsidR="00CE4A64" w:rsidRPr="008E62ED" w:rsidRDefault="00D74C06" w:rsidP="00CE4A64">
      <w:pPr>
        <w:spacing w:before="360"/>
        <w:jc w:val="center"/>
        <w:rPr>
          <w:sz w:val="36"/>
          <w:szCs w:val="36"/>
        </w:rPr>
      </w:pPr>
      <w:bookmarkStart w:id="0" w:name="_GoBack"/>
      <w:r w:rsidRPr="008E62ED">
        <w:rPr>
          <w:sz w:val="36"/>
          <w:szCs w:val="36"/>
        </w:rPr>
        <w:t xml:space="preserve">Australian Government response to the </w:t>
      </w:r>
      <w:r w:rsidRPr="008E62ED">
        <w:rPr>
          <w:sz w:val="36"/>
          <w:szCs w:val="36"/>
        </w:rPr>
        <w:br/>
      </w:r>
      <w:r>
        <w:rPr>
          <w:sz w:val="36"/>
          <w:szCs w:val="36"/>
        </w:rPr>
        <w:t xml:space="preserve">Senate </w:t>
      </w:r>
      <w:r w:rsidR="00D05AA2" w:rsidRPr="00D05AA2">
        <w:rPr>
          <w:sz w:val="36"/>
          <w:szCs w:val="36"/>
          <w:lang w:val="en"/>
        </w:rPr>
        <w:t xml:space="preserve">Environment and Communications References Committee </w:t>
      </w:r>
      <w:r w:rsidR="00007B8F">
        <w:rPr>
          <w:sz w:val="36"/>
          <w:szCs w:val="36"/>
        </w:rPr>
        <w:t>Inquiry</w:t>
      </w:r>
      <w:r w:rsidRPr="008E62ED">
        <w:rPr>
          <w:sz w:val="36"/>
          <w:szCs w:val="36"/>
        </w:rPr>
        <w:t>:</w:t>
      </w:r>
    </w:p>
    <w:p w14:paraId="670D41E2" w14:textId="77777777" w:rsidR="00A44188" w:rsidRPr="008E62ED" w:rsidRDefault="00D74C06" w:rsidP="00A44188">
      <w:pPr>
        <w:spacing w:before="240"/>
        <w:jc w:val="center"/>
        <w:rPr>
          <w:sz w:val="36"/>
          <w:szCs w:val="36"/>
        </w:rPr>
      </w:pPr>
      <w:r w:rsidRPr="008E62ED">
        <w:rPr>
          <w:sz w:val="36"/>
          <w:szCs w:val="36"/>
        </w:rPr>
        <w:t>Responses to, and lessons learnt from, the January and February 2016 bushfires in remote Tasmanian Wilderness</w:t>
      </w:r>
    </w:p>
    <w:bookmarkEnd w:id="0"/>
    <w:p w14:paraId="670D41E3" w14:textId="77777777" w:rsidR="00A44188" w:rsidRDefault="008D58F5" w:rsidP="00A44188">
      <w:pPr>
        <w:spacing w:before="240"/>
        <w:jc w:val="center"/>
        <w:rPr>
          <w:sz w:val="36"/>
          <w:szCs w:val="36"/>
        </w:rPr>
      </w:pPr>
    </w:p>
    <w:p w14:paraId="64BEDC50" w14:textId="24D7967C" w:rsidR="00095A20" w:rsidRDefault="00095A20" w:rsidP="00A44188">
      <w:pPr>
        <w:spacing w:before="240"/>
        <w:jc w:val="center"/>
        <w:rPr>
          <w:sz w:val="36"/>
          <w:szCs w:val="36"/>
        </w:rPr>
      </w:pPr>
    </w:p>
    <w:p w14:paraId="6E17DF1F" w14:textId="77777777" w:rsidR="00095A20" w:rsidRDefault="00095A20" w:rsidP="00A44188">
      <w:pPr>
        <w:spacing w:before="240"/>
        <w:jc w:val="center"/>
        <w:rPr>
          <w:sz w:val="36"/>
          <w:szCs w:val="36"/>
        </w:rPr>
      </w:pPr>
    </w:p>
    <w:p w14:paraId="3814E03C" w14:textId="77777777" w:rsidR="00095A20" w:rsidRDefault="00095A20" w:rsidP="00A44188">
      <w:pPr>
        <w:spacing w:before="240"/>
        <w:jc w:val="center"/>
        <w:rPr>
          <w:sz w:val="36"/>
          <w:szCs w:val="36"/>
        </w:rPr>
      </w:pPr>
    </w:p>
    <w:p w14:paraId="3D45F2CA" w14:textId="77777777" w:rsidR="00095A20" w:rsidRDefault="00095A20" w:rsidP="00A44188">
      <w:pPr>
        <w:spacing w:before="240"/>
        <w:jc w:val="center"/>
        <w:rPr>
          <w:sz w:val="36"/>
          <w:szCs w:val="36"/>
        </w:rPr>
      </w:pPr>
    </w:p>
    <w:p w14:paraId="1101B945" w14:textId="77777777" w:rsidR="00095A20" w:rsidRDefault="00095A20" w:rsidP="00A44188">
      <w:pPr>
        <w:spacing w:before="240"/>
        <w:jc w:val="center"/>
        <w:rPr>
          <w:sz w:val="36"/>
          <w:szCs w:val="36"/>
        </w:rPr>
      </w:pPr>
    </w:p>
    <w:p w14:paraId="3240349B" w14:textId="77777777" w:rsidR="00095A20" w:rsidRDefault="00095A20" w:rsidP="00A44188">
      <w:pPr>
        <w:spacing w:before="240"/>
        <w:jc w:val="center"/>
        <w:rPr>
          <w:sz w:val="36"/>
          <w:szCs w:val="36"/>
        </w:rPr>
      </w:pPr>
    </w:p>
    <w:p w14:paraId="0F1B307F" w14:textId="77777777" w:rsidR="00095A20" w:rsidRDefault="00095A20" w:rsidP="00A44188">
      <w:pPr>
        <w:spacing w:before="240"/>
        <w:jc w:val="center"/>
        <w:rPr>
          <w:sz w:val="36"/>
          <w:szCs w:val="36"/>
        </w:rPr>
      </w:pPr>
    </w:p>
    <w:p w14:paraId="3576AEED" w14:textId="77777777" w:rsidR="00095A20" w:rsidRDefault="00095A20" w:rsidP="00A44188">
      <w:pPr>
        <w:spacing w:before="240"/>
        <w:jc w:val="center"/>
        <w:rPr>
          <w:sz w:val="36"/>
          <w:szCs w:val="36"/>
        </w:rPr>
      </w:pPr>
    </w:p>
    <w:p w14:paraId="1C3A5CAD" w14:textId="77777777" w:rsidR="00095A20" w:rsidRDefault="00095A20" w:rsidP="00A44188">
      <w:pPr>
        <w:spacing w:before="240"/>
        <w:jc w:val="center"/>
        <w:rPr>
          <w:sz w:val="36"/>
          <w:szCs w:val="36"/>
        </w:rPr>
      </w:pPr>
    </w:p>
    <w:p w14:paraId="6A33D2B1" w14:textId="0F8AFD1A" w:rsidR="00095A20" w:rsidRDefault="00095A20" w:rsidP="00A44188">
      <w:pPr>
        <w:spacing w:before="240"/>
        <w:jc w:val="center"/>
        <w:rPr>
          <w:sz w:val="36"/>
          <w:szCs w:val="36"/>
        </w:rPr>
      </w:pPr>
      <w:r>
        <w:rPr>
          <w:sz w:val="36"/>
          <w:szCs w:val="36"/>
        </w:rPr>
        <w:t>September 2017</w:t>
      </w:r>
    </w:p>
    <w:p w14:paraId="670D41E5" w14:textId="77777777" w:rsidR="00D012DE" w:rsidRPr="008E62ED" w:rsidRDefault="00D74C06">
      <w:pPr>
        <w:spacing w:after="160" w:line="259" w:lineRule="auto"/>
        <w:rPr>
          <w:sz w:val="28"/>
          <w:szCs w:val="28"/>
          <w:highlight w:val="yellow"/>
        </w:rPr>
      </w:pPr>
      <w:r w:rsidRPr="008E62ED">
        <w:rPr>
          <w:sz w:val="28"/>
          <w:szCs w:val="28"/>
          <w:highlight w:val="yellow"/>
        </w:rPr>
        <w:br w:type="page"/>
      </w:r>
    </w:p>
    <w:p w14:paraId="670D41E9" w14:textId="77777777" w:rsidR="00844A69" w:rsidRPr="008E62ED" w:rsidRDefault="00D74C06" w:rsidP="008E62ED">
      <w:pPr>
        <w:pStyle w:val="Heading2"/>
        <w:rPr>
          <w:rFonts w:ascii="Times New Roman" w:hAnsi="Times New Roman" w:cs="Times New Roman"/>
          <w:sz w:val="24"/>
          <w:szCs w:val="24"/>
        </w:rPr>
      </w:pPr>
      <w:r w:rsidRPr="008E62ED">
        <w:rPr>
          <w:rFonts w:ascii="Times New Roman" w:hAnsi="Times New Roman" w:cs="Times New Roman"/>
          <w:sz w:val="24"/>
          <w:szCs w:val="24"/>
        </w:rPr>
        <w:lastRenderedPageBreak/>
        <w:t>Introduction</w:t>
      </w:r>
    </w:p>
    <w:p w14:paraId="670D41EA" w14:textId="77777777" w:rsidR="00B8444A" w:rsidRDefault="00D74C06" w:rsidP="00331D6D">
      <w:pPr>
        <w:spacing w:before="100" w:beforeAutospacing="1" w:after="100" w:afterAutospacing="1"/>
      </w:pPr>
      <w:r w:rsidRPr="00331D6D">
        <w:t xml:space="preserve">On 17 March 2016 the Senate referred the following matter to the Senate </w:t>
      </w:r>
      <w:r>
        <w:t xml:space="preserve">Standing Committee on </w:t>
      </w:r>
      <w:r w:rsidRPr="00331D6D">
        <w:t>Environment and Communications for inquiry and report</w:t>
      </w:r>
      <w:r>
        <w:t>:</w:t>
      </w:r>
    </w:p>
    <w:p w14:paraId="670D41EB" w14:textId="77777777" w:rsidR="00B8444A" w:rsidRDefault="00D74C06" w:rsidP="00B8444A">
      <w:pPr>
        <w:spacing w:before="240" w:after="240"/>
      </w:pPr>
      <w:r>
        <w:t>The response to, and lessons learnt from, recent fires in remote Tasmanian wilderness affecting the Tasmanian Wilderness World Heritage Area, with particular reference to:</w:t>
      </w:r>
    </w:p>
    <w:p w14:paraId="670D41EC" w14:textId="77777777" w:rsidR="00CB4E38" w:rsidRPr="00331D6D" w:rsidRDefault="00D74C06" w:rsidP="00B8444A">
      <w:pPr>
        <w:numPr>
          <w:ilvl w:val="0"/>
          <w:numId w:val="2"/>
        </w:numPr>
        <w:spacing w:before="100" w:beforeAutospacing="1" w:after="100" w:afterAutospacing="1"/>
      </w:pPr>
      <w:r w:rsidRPr="00331D6D">
        <w:t>the impact of global warming o</w:t>
      </w:r>
      <w:r>
        <w:t>n fire frequency and magnitude;</w:t>
      </w:r>
    </w:p>
    <w:p w14:paraId="670D41ED" w14:textId="77777777" w:rsidR="00CB4E38" w:rsidRPr="00331D6D" w:rsidRDefault="00D74C06" w:rsidP="00CB4E38">
      <w:pPr>
        <w:numPr>
          <w:ilvl w:val="0"/>
          <w:numId w:val="2"/>
        </w:numPr>
        <w:spacing w:before="100" w:beforeAutospacing="1" w:after="100" w:afterAutospacing="1"/>
      </w:pPr>
      <w:r w:rsidRPr="00331D6D">
        <w:t xml:space="preserve">the availability and provisions of financial, human and mechanical resources; </w:t>
      </w:r>
    </w:p>
    <w:p w14:paraId="670D41EE" w14:textId="77777777" w:rsidR="00CB4E38" w:rsidRPr="008E62ED" w:rsidRDefault="00D74C06" w:rsidP="00CB4E38">
      <w:pPr>
        <w:numPr>
          <w:ilvl w:val="0"/>
          <w:numId w:val="2"/>
        </w:numPr>
        <w:spacing w:before="100" w:beforeAutospacing="1" w:after="100" w:afterAutospacing="1"/>
      </w:pPr>
      <w:r w:rsidRPr="008E62ED">
        <w:t xml:space="preserve">the adequacy of fire assessment and modelling capacity; </w:t>
      </w:r>
    </w:p>
    <w:p w14:paraId="670D41EF" w14:textId="77777777" w:rsidR="00CB4E38" w:rsidRPr="008E62ED" w:rsidRDefault="00D74C06" w:rsidP="00CB4E38">
      <w:pPr>
        <w:numPr>
          <w:ilvl w:val="0"/>
          <w:numId w:val="2"/>
        </w:numPr>
        <w:spacing w:before="100" w:beforeAutospacing="1" w:after="100" w:afterAutospacing="1"/>
      </w:pPr>
      <w:r w:rsidRPr="008E62ED">
        <w:t xml:space="preserve">Australia’s obligations as State Party to the World Heritage Convention; </w:t>
      </w:r>
    </w:p>
    <w:p w14:paraId="670D41F0" w14:textId="77777777" w:rsidR="00CB4E38" w:rsidRPr="008E62ED" w:rsidRDefault="00D74C06" w:rsidP="00CB4E38">
      <w:pPr>
        <w:numPr>
          <w:ilvl w:val="0"/>
          <w:numId w:val="2"/>
        </w:numPr>
        <w:spacing w:before="100" w:beforeAutospacing="1" w:after="100" w:afterAutospacing="1"/>
      </w:pPr>
      <w:r w:rsidRPr="008E62ED">
        <w:t xml:space="preserve">world best practice in remote area fire management; and </w:t>
      </w:r>
    </w:p>
    <w:p w14:paraId="670D41F1" w14:textId="77777777" w:rsidR="00CB4E38" w:rsidRPr="00B8444A" w:rsidRDefault="00D74C06" w:rsidP="00B8444A">
      <w:pPr>
        <w:numPr>
          <w:ilvl w:val="0"/>
          <w:numId w:val="2"/>
        </w:numPr>
        <w:spacing w:before="100" w:beforeAutospacing="1" w:after="100" w:afterAutospacing="1"/>
      </w:pPr>
      <w:proofErr w:type="gramStart"/>
      <w:r w:rsidRPr="00B8444A">
        <w:t>any</w:t>
      </w:r>
      <w:proofErr w:type="gramEnd"/>
      <w:r w:rsidRPr="00B8444A">
        <w:t xml:space="preserve"> related matter. </w:t>
      </w:r>
    </w:p>
    <w:p w14:paraId="670D41F2" w14:textId="77777777" w:rsidR="000278BB" w:rsidRPr="008E62ED" w:rsidRDefault="00D74C06" w:rsidP="008E62ED">
      <w:pPr>
        <w:pStyle w:val="ListBullet"/>
        <w:numPr>
          <w:ilvl w:val="0"/>
          <w:numId w:val="0"/>
        </w:numPr>
        <w:rPr>
          <w:rFonts w:ascii="Times New Roman" w:hAnsi="Times New Roman" w:cs="Times New Roman"/>
          <w:sz w:val="24"/>
          <w:szCs w:val="24"/>
        </w:rPr>
      </w:pPr>
      <w:r w:rsidRPr="008E62ED">
        <w:rPr>
          <w:rFonts w:ascii="Times New Roman" w:hAnsi="Times New Roman" w:cs="Times New Roman"/>
          <w:sz w:val="24"/>
          <w:szCs w:val="24"/>
        </w:rPr>
        <w:t>On 8 December 2016 the Senate Inquiry tabled its report into the Tasmanian Wilderness World Heritage Area which included six recommendations.</w:t>
      </w:r>
    </w:p>
    <w:p w14:paraId="670D41F3" w14:textId="77777777" w:rsidR="000278BB" w:rsidRDefault="00D74C06" w:rsidP="008E62ED">
      <w:pPr>
        <w:pStyle w:val="ListBullet"/>
        <w:numPr>
          <w:ilvl w:val="0"/>
          <w:numId w:val="0"/>
        </w:numPr>
        <w:rPr>
          <w:rFonts w:ascii="Times New Roman" w:hAnsi="Times New Roman" w:cs="Times New Roman"/>
          <w:sz w:val="24"/>
          <w:szCs w:val="24"/>
        </w:rPr>
      </w:pPr>
      <w:r w:rsidRPr="008E62ED">
        <w:rPr>
          <w:rFonts w:ascii="Times New Roman" w:hAnsi="Times New Roman" w:cs="Times New Roman"/>
          <w:sz w:val="24"/>
          <w:szCs w:val="24"/>
        </w:rPr>
        <w:t>The Australian Government welcomes the opportunity to respond to this report.</w:t>
      </w:r>
    </w:p>
    <w:p w14:paraId="670D41F4" w14:textId="77777777" w:rsidR="00985FC2" w:rsidRPr="008E62ED" w:rsidRDefault="00D74C06" w:rsidP="008E62ED">
      <w:pPr>
        <w:pStyle w:val="Heading2"/>
        <w:rPr>
          <w:rFonts w:ascii="Times New Roman" w:hAnsi="Times New Roman" w:cs="Times New Roman"/>
          <w:sz w:val="24"/>
          <w:szCs w:val="24"/>
        </w:rPr>
      </w:pPr>
      <w:r w:rsidRPr="008E62ED">
        <w:rPr>
          <w:rFonts w:ascii="Times New Roman" w:hAnsi="Times New Roman" w:cs="Times New Roman"/>
          <w:sz w:val="24"/>
          <w:szCs w:val="24"/>
        </w:rPr>
        <w:t>Responses to recommendations</w:t>
      </w:r>
    </w:p>
    <w:p w14:paraId="670D41F5" w14:textId="77777777" w:rsidR="00985FC2" w:rsidRPr="003A5252" w:rsidRDefault="00D74C06" w:rsidP="00D4453F">
      <w:pPr>
        <w:pStyle w:val="Heading2"/>
        <w:rPr>
          <w:rFonts w:ascii="Times New Roman" w:hAnsi="Times New Roman" w:cs="Times New Roman"/>
          <w:sz w:val="24"/>
          <w:szCs w:val="24"/>
          <w:u w:val="single"/>
        </w:rPr>
      </w:pPr>
      <w:r w:rsidRPr="003A5252">
        <w:rPr>
          <w:rFonts w:ascii="Times New Roman" w:hAnsi="Times New Roman" w:cs="Times New Roman"/>
          <w:sz w:val="24"/>
          <w:szCs w:val="24"/>
          <w:u w:val="single"/>
        </w:rPr>
        <w:t>Recommendation 1</w:t>
      </w:r>
    </w:p>
    <w:p w14:paraId="670D41F6" w14:textId="77777777" w:rsidR="00004B4D" w:rsidRPr="008E62ED" w:rsidRDefault="00D74C06" w:rsidP="00A160D4">
      <w:pPr>
        <w:spacing w:after="120"/>
      </w:pPr>
      <w:r w:rsidRPr="008E62ED">
        <w:t xml:space="preserve">The committee recommends that the Australian Government: </w:t>
      </w:r>
    </w:p>
    <w:p w14:paraId="670D41F7" w14:textId="77777777" w:rsidR="00004B4D" w:rsidRPr="00331D6D" w:rsidRDefault="00D74C06" w:rsidP="00E21E8F">
      <w:pPr>
        <w:pStyle w:val="ListParagraph"/>
        <w:numPr>
          <w:ilvl w:val="0"/>
          <w:numId w:val="8"/>
        </w:numPr>
        <w:spacing w:before="120" w:after="120"/>
        <w:ind w:left="714" w:hanging="357"/>
        <w:contextualSpacing w:val="0"/>
      </w:pPr>
      <w:r w:rsidRPr="00331D6D">
        <w:t xml:space="preserve">recognise that climate change has increased fire conditions in south-eastern Australia and the risk to natural and cultural values in the Tasmanian Wilderness World Heritage Area; and </w:t>
      </w:r>
    </w:p>
    <w:p w14:paraId="670D41F8" w14:textId="77777777" w:rsidR="00623BDD" w:rsidRPr="00DB2029" w:rsidRDefault="00D74C06" w:rsidP="00E21E8F">
      <w:pPr>
        <w:pStyle w:val="ListParagraph"/>
        <w:numPr>
          <w:ilvl w:val="0"/>
          <w:numId w:val="8"/>
        </w:numPr>
        <w:spacing w:before="120" w:after="120"/>
        <w:ind w:left="714" w:hanging="357"/>
      </w:pPr>
      <w:proofErr w:type="gramStart"/>
      <w:r w:rsidRPr="008E62ED">
        <w:t>report</w:t>
      </w:r>
      <w:proofErr w:type="gramEnd"/>
      <w:r w:rsidRPr="008E62ED">
        <w:t xml:space="preserve"> annually </w:t>
      </w:r>
      <w:r w:rsidRPr="00DB2029">
        <w:t>to the World Heritage Committee on the state of conservation in the Tasmanian Wilderness World Heritage Area.</w:t>
      </w:r>
    </w:p>
    <w:p w14:paraId="670D41F9" w14:textId="77777777" w:rsidR="00D012DE" w:rsidRPr="00DB2029" w:rsidRDefault="00D74C06" w:rsidP="00641B88">
      <w:pPr>
        <w:pStyle w:val="Heading2"/>
        <w:rPr>
          <w:rFonts w:ascii="Times New Roman" w:hAnsi="Times New Roman" w:cs="Times New Roman"/>
          <w:sz w:val="24"/>
          <w:szCs w:val="24"/>
        </w:rPr>
      </w:pPr>
      <w:r w:rsidRPr="00DB2029">
        <w:rPr>
          <w:rFonts w:ascii="Times New Roman" w:hAnsi="Times New Roman" w:cs="Times New Roman"/>
          <w:sz w:val="24"/>
          <w:szCs w:val="24"/>
        </w:rPr>
        <w:t xml:space="preserve">Government Response: </w:t>
      </w:r>
      <w:r w:rsidRPr="00BB377C">
        <w:rPr>
          <w:rFonts w:ascii="Times New Roman" w:hAnsi="Times New Roman" w:cs="Times New Roman"/>
          <w:sz w:val="24"/>
          <w:szCs w:val="24"/>
        </w:rPr>
        <w:t>Agreed in part</w:t>
      </w:r>
    </w:p>
    <w:p w14:paraId="670D41FA" w14:textId="77777777" w:rsidR="008007C6" w:rsidRPr="008E62ED" w:rsidRDefault="00D74C06" w:rsidP="00641B88">
      <w:pPr>
        <w:pStyle w:val="ListBullet"/>
        <w:numPr>
          <w:ilvl w:val="0"/>
          <w:numId w:val="0"/>
        </w:numPr>
        <w:rPr>
          <w:rFonts w:ascii="Times New Roman" w:hAnsi="Times New Roman" w:cs="Times New Roman"/>
          <w:sz w:val="24"/>
          <w:szCs w:val="24"/>
        </w:rPr>
      </w:pPr>
      <w:r w:rsidRPr="00BB377C">
        <w:rPr>
          <w:rFonts w:ascii="Times New Roman" w:hAnsi="Times New Roman" w:cs="Times New Roman"/>
          <w:sz w:val="24"/>
          <w:szCs w:val="24"/>
        </w:rPr>
        <w:t>The Australian Government recognises the potential impacts of climate change, including the risk of fire, to the natural and cultural values in the Tasmanian Wilderness World Heritage Area (Tasmanian Wilderness).</w:t>
      </w:r>
    </w:p>
    <w:p w14:paraId="670D41FB" w14:textId="77777777" w:rsidR="000C3BB8" w:rsidRDefault="00D74C06" w:rsidP="00CC7047">
      <w:pPr>
        <w:pStyle w:val="ListBullet"/>
        <w:numPr>
          <w:ilvl w:val="0"/>
          <w:numId w:val="0"/>
        </w:numPr>
        <w:rPr>
          <w:rFonts w:ascii="Times New Roman" w:hAnsi="Times New Roman" w:cs="Times New Roman"/>
          <w:sz w:val="24"/>
          <w:szCs w:val="24"/>
        </w:rPr>
      </w:pPr>
      <w:r w:rsidRPr="008E62ED">
        <w:rPr>
          <w:rFonts w:ascii="Times New Roman" w:hAnsi="Times New Roman" w:cs="Times New Roman"/>
          <w:sz w:val="24"/>
          <w:szCs w:val="24"/>
        </w:rPr>
        <w:t xml:space="preserve">The Australian Government does not support annual reporting to the World Heritage Committee. </w:t>
      </w:r>
      <w:r>
        <w:rPr>
          <w:rFonts w:ascii="Times New Roman" w:hAnsi="Times New Roman" w:cs="Times New Roman"/>
          <w:sz w:val="24"/>
          <w:szCs w:val="24"/>
        </w:rPr>
        <w:t>State Parties to the World Heritage Convention are invited to submit to the World Heritage Committee periodic reports on the application of the Convention, including updated information about the state of conservation of the World Heritage properties located on their territories. Since the World Heritage Committee introduced periodic reporting in 2000, Australia has submitted periodic reports on all of its World Heritage properties, including the Tasmanian Wilderness, in 2002 and 2011.</w:t>
      </w:r>
    </w:p>
    <w:p w14:paraId="670D41FC" w14:textId="77777777" w:rsidR="00491F26" w:rsidRDefault="00D74C06" w:rsidP="00491F26">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Australia also provides quarterly notification reports to the World Heritage Centre of proposed developments within or outside of the Tasmanian Wilderness that may impact its Outstanding Universal Value.</w:t>
      </w:r>
    </w:p>
    <w:p w14:paraId="670D41FD" w14:textId="77777777" w:rsidR="008E62ED" w:rsidRDefault="00D74C06" w:rsidP="00CC7047">
      <w:pPr>
        <w:pStyle w:val="ListBullet"/>
        <w:numPr>
          <w:ilvl w:val="0"/>
          <w:numId w:val="0"/>
        </w:numPr>
        <w:rPr>
          <w:rFonts w:ascii="Times New Roman" w:hAnsi="Times New Roman" w:cs="Times New Roman"/>
          <w:sz w:val="24"/>
          <w:szCs w:val="24"/>
        </w:rPr>
      </w:pPr>
      <w:r w:rsidRPr="008E62ED">
        <w:rPr>
          <w:rFonts w:ascii="Times New Roman" w:hAnsi="Times New Roman" w:cs="Times New Roman"/>
          <w:sz w:val="24"/>
          <w:szCs w:val="24"/>
        </w:rPr>
        <w:lastRenderedPageBreak/>
        <w:t xml:space="preserve">The Australian Government reports on the state of conservation of World Heritage properties when the World Heritage Committee requests </w:t>
      </w:r>
      <w:r>
        <w:rPr>
          <w:rFonts w:ascii="Times New Roman" w:hAnsi="Times New Roman" w:cs="Times New Roman"/>
          <w:sz w:val="24"/>
          <w:szCs w:val="24"/>
        </w:rPr>
        <w:t>the Government</w:t>
      </w:r>
      <w:r w:rsidRPr="008E62ED">
        <w:rPr>
          <w:rFonts w:ascii="Times New Roman" w:hAnsi="Times New Roman" w:cs="Times New Roman"/>
          <w:sz w:val="24"/>
          <w:szCs w:val="24"/>
        </w:rPr>
        <w:t xml:space="preserve"> to do so </w:t>
      </w:r>
      <w:r>
        <w:rPr>
          <w:rFonts w:ascii="Times New Roman" w:hAnsi="Times New Roman" w:cs="Times New Roman"/>
          <w:sz w:val="24"/>
          <w:szCs w:val="24"/>
        </w:rPr>
        <w:t xml:space="preserve">(that is only </w:t>
      </w:r>
      <w:r w:rsidRPr="008E62ED">
        <w:rPr>
          <w:rFonts w:ascii="Times New Roman" w:hAnsi="Times New Roman" w:cs="Times New Roman"/>
          <w:sz w:val="24"/>
          <w:szCs w:val="24"/>
        </w:rPr>
        <w:t>when the</w:t>
      </w:r>
      <w:r>
        <w:rPr>
          <w:rFonts w:ascii="Times New Roman" w:hAnsi="Times New Roman" w:cs="Times New Roman"/>
          <w:sz w:val="24"/>
          <w:szCs w:val="24"/>
        </w:rPr>
        <w:t xml:space="preserve"> Committee has serious </w:t>
      </w:r>
      <w:r w:rsidRPr="008E62ED">
        <w:rPr>
          <w:rFonts w:ascii="Times New Roman" w:hAnsi="Times New Roman" w:cs="Times New Roman"/>
          <w:sz w:val="24"/>
          <w:szCs w:val="24"/>
        </w:rPr>
        <w:t xml:space="preserve">concerns about the state of </w:t>
      </w:r>
      <w:r>
        <w:rPr>
          <w:rFonts w:ascii="Times New Roman" w:hAnsi="Times New Roman" w:cs="Times New Roman"/>
          <w:sz w:val="24"/>
          <w:szCs w:val="24"/>
        </w:rPr>
        <w:t>conservation of a particular</w:t>
      </w:r>
      <w:r w:rsidRPr="008E62ED">
        <w:rPr>
          <w:rFonts w:ascii="Times New Roman" w:hAnsi="Times New Roman" w:cs="Times New Roman"/>
          <w:sz w:val="24"/>
          <w:szCs w:val="24"/>
        </w:rPr>
        <w:t xml:space="preserve"> property</w:t>
      </w:r>
      <w:r>
        <w:rPr>
          <w:rFonts w:ascii="Times New Roman" w:hAnsi="Times New Roman" w:cs="Times New Roman"/>
          <w:sz w:val="24"/>
          <w:szCs w:val="24"/>
        </w:rPr>
        <w:t>)</w:t>
      </w:r>
      <w:r w:rsidRPr="008E62ED">
        <w:rPr>
          <w:rFonts w:ascii="Times New Roman" w:hAnsi="Times New Roman" w:cs="Times New Roman"/>
          <w:sz w:val="24"/>
          <w:szCs w:val="24"/>
        </w:rPr>
        <w:t>.</w:t>
      </w:r>
    </w:p>
    <w:p w14:paraId="670D41FE" w14:textId="77777777" w:rsidR="002B7001" w:rsidRPr="003A5252" w:rsidRDefault="00D74C06" w:rsidP="001717DF">
      <w:pPr>
        <w:pStyle w:val="Heading2"/>
        <w:rPr>
          <w:rFonts w:ascii="Times New Roman" w:hAnsi="Times New Roman" w:cs="Times New Roman"/>
          <w:sz w:val="24"/>
          <w:szCs w:val="24"/>
          <w:u w:val="single"/>
        </w:rPr>
      </w:pPr>
      <w:r w:rsidRPr="003A5252">
        <w:rPr>
          <w:rFonts w:ascii="Times New Roman" w:hAnsi="Times New Roman" w:cs="Times New Roman"/>
          <w:sz w:val="24"/>
          <w:szCs w:val="24"/>
          <w:u w:val="single"/>
        </w:rPr>
        <w:t>Recommendation 2</w:t>
      </w:r>
    </w:p>
    <w:p w14:paraId="670D41FF" w14:textId="77777777" w:rsidR="00623BDD" w:rsidRPr="00E21E8F" w:rsidRDefault="00D74C06" w:rsidP="00A160D4">
      <w:pPr>
        <w:spacing w:after="120"/>
      </w:pPr>
      <w:r w:rsidRPr="00E21E8F">
        <w:t>The committee recommends that the Australian Government, in cooperation</w:t>
      </w:r>
      <w:r>
        <w:t xml:space="preserve"> with the Tasmanian Government:</w:t>
      </w:r>
    </w:p>
    <w:p w14:paraId="670D4200" w14:textId="77777777" w:rsidR="00623BDD" w:rsidRPr="00E21E8F" w:rsidRDefault="00D74C06" w:rsidP="00E21E8F">
      <w:pPr>
        <w:pStyle w:val="ListParagraph"/>
        <w:numPr>
          <w:ilvl w:val="0"/>
          <w:numId w:val="8"/>
        </w:numPr>
        <w:spacing w:before="120" w:after="120"/>
        <w:ind w:left="714" w:hanging="357"/>
        <w:contextualSpacing w:val="0"/>
      </w:pPr>
      <w:r w:rsidRPr="00E21E8F">
        <w:t xml:space="preserve">recognise the need to identify the ecological and biodiversity impacts of fire on fire sensitive vegetation communities, organic soils and endemic fauna species in the Tasmanian Wilderness World Heritage Area; and </w:t>
      </w:r>
    </w:p>
    <w:p w14:paraId="670D4201" w14:textId="77777777" w:rsidR="00623BDD" w:rsidRPr="00331D6D" w:rsidRDefault="00D74C06" w:rsidP="00E21E8F">
      <w:pPr>
        <w:pStyle w:val="ListParagraph"/>
        <w:numPr>
          <w:ilvl w:val="0"/>
          <w:numId w:val="8"/>
        </w:numPr>
        <w:spacing w:before="120" w:after="120"/>
        <w:ind w:left="714" w:hanging="357"/>
      </w:pPr>
      <w:proofErr w:type="gramStart"/>
      <w:r w:rsidRPr="00331D6D">
        <w:t>allocate</w:t>
      </w:r>
      <w:proofErr w:type="gramEnd"/>
      <w:r w:rsidRPr="00331D6D">
        <w:t xml:space="preserve"> long-term funding to the Commonwealth Scientific and Industrial Research Organisation and/or the Tasmanian Government to assist with the development of fire assessment and modelling specifically suited to the Tasmanian Wilderness World Heritage Area.</w:t>
      </w:r>
    </w:p>
    <w:p w14:paraId="670D4202" w14:textId="77777777" w:rsidR="002B7001" w:rsidRPr="003A5252" w:rsidRDefault="00D74C06" w:rsidP="002B7001">
      <w:pPr>
        <w:pStyle w:val="Heading2"/>
        <w:rPr>
          <w:rFonts w:ascii="Times New Roman" w:hAnsi="Times New Roman" w:cs="Times New Roman"/>
          <w:sz w:val="24"/>
          <w:szCs w:val="24"/>
        </w:rPr>
      </w:pPr>
      <w:r w:rsidRPr="003A5252">
        <w:rPr>
          <w:rFonts w:ascii="Times New Roman" w:hAnsi="Times New Roman" w:cs="Times New Roman"/>
          <w:sz w:val="24"/>
          <w:szCs w:val="24"/>
        </w:rPr>
        <w:t>Government Response: Agreed</w:t>
      </w:r>
    </w:p>
    <w:p w14:paraId="670D4203" w14:textId="77777777" w:rsidR="003A5252" w:rsidRPr="008E62ED" w:rsidRDefault="00D74C06" w:rsidP="003A5252">
      <w:pPr>
        <w:pStyle w:val="ListBullet"/>
        <w:numPr>
          <w:ilvl w:val="0"/>
          <w:numId w:val="0"/>
        </w:numPr>
        <w:rPr>
          <w:rFonts w:ascii="Times New Roman" w:hAnsi="Times New Roman" w:cs="Times New Roman"/>
          <w:sz w:val="24"/>
          <w:szCs w:val="24"/>
        </w:rPr>
      </w:pPr>
      <w:r w:rsidRPr="00CC4861">
        <w:rPr>
          <w:rFonts w:ascii="Times New Roman" w:hAnsi="Times New Roman" w:cs="Times New Roman"/>
          <w:sz w:val="24"/>
          <w:szCs w:val="24"/>
        </w:rPr>
        <w:t>The Australian Government</w:t>
      </w:r>
      <w:r w:rsidRPr="008E62ED">
        <w:rPr>
          <w:rFonts w:ascii="Times New Roman" w:hAnsi="Times New Roman" w:cs="Times New Roman"/>
          <w:sz w:val="24"/>
          <w:szCs w:val="24"/>
        </w:rPr>
        <w:t xml:space="preserve"> supports the Tasmanian Government’s management of the Tasmanian Wilderness through an annual payment of $3.4 million, which is more than matched by the Tasmanian Government.</w:t>
      </w:r>
      <w:r>
        <w:rPr>
          <w:rFonts w:ascii="Times New Roman" w:hAnsi="Times New Roman" w:cs="Times New Roman"/>
          <w:sz w:val="24"/>
          <w:szCs w:val="24"/>
        </w:rPr>
        <w:t xml:space="preserve"> A</w:t>
      </w:r>
      <w:r w:rsidRPr="008E62ED">
        <w:rPr>
          <w:rFonts w:ascii="Times New Roman" w:hAnsi="Times New Roman" w:cs="Times New Roman"/>
          <w:sz w:val="24"/>
          <w:szCs w:val="24"/>
        </w:rPr>
        <w:t>n additional $10.2 million over four years from 2014-15</w:t>
      </w:r>
      <w:r>
        <w:rPr>
          <w:rFonts w:ascii="Times New Roman" w:hAnsi="Times New Roman" w:cs="Times New Roman"/>
          <w:sz w:val="24"/>
          <w:szCs w:val="24"/>
        </w:rPr>
        <w:t xml:space="preserve"> was provided </w:t>
      </w:r>
      <w:r w:rsidRPr="008E62ED">
        <w:rPr>
          <w:rFonts w:ascii="Times New Roman" w:hAnsi="Times New Roman" w:cs="Times New Roman"/>
          <w:sz w:val="24"/>
          <w:szCs w:val="24"/>
        </w:rPr>
        <w:t xml:space="preserve">to support Tasmania’s additional and ongoing management responsibilities </w:t>
      </w:r>
      <w:r>
        <w:rPr>
          <w:rFonts w:ascii="Times New Roman" w:hAnsi="Times New Roman" w:cs="Times New Roman"/>
          <w:sz w:val="24"/>
          <w:szCs w:val="24"/>
        </w:rPr>
        <w:t>for</w:t>
      </w:r>
      <w:r w:rsidRPr="008E62ED">
        <w:rPr>
          <w:rFonts w:ascii="Times New Roman" w:hAnsi="Times New Roman" w:cs="Times New Roman"/>
          <w:sz w:val="24"/>
          <w:szCs w:val="24"/>
        </w:rPr>
        <w:t xml:space="preserve"> the 172,000 hectares added in 2013.</w:t>
      </w:r>
    </w:p>
    <w:p w14:paraId="670D4204" w14:textId="77777777" w:rsidR="00B63E39" w:rsidRPr="008E62ED" w:rsidRDefault="00D74C06" w:rsidP="006F4E1B">
      <w:pPr>
        <w:pStyle w:val="ListBullet"/>
        <w:numPr>
          <w:ilvl w:val="0"/>
          <w:numId w:val="0"/>
        </w:numPr>
        <w:rPr>
          <w:rFonts w:ascii="Times New Roman" w:hAnsi="Times New Roman" w:cs="Times New Roman"/>
          <w:sz w:val="24"/>
          <w:szCs w:val="24"/>
        </w:rPr>
      </w:pPr>
      <w:r w:rsidRPr="008E62ED">
        <w:rPr>
          <w:rFonts w:ascii="Times New Roman" w:hAnsi="Times New Roman" w:cs="Times New Roman"/>
          <w:sz w:val="24"/>
          <w:szCs w:val="24"/>
        </w:rPr>
        <w:t>The funding supports work on</w:t>
      </w:r>
      <w:r>
        <w:rPr>
          <w:rFonts w:ascii="Times New Roman" w:hAnsi="Times New Roman" w:cs="Times New Roman"/>
          <w:sz w:val="24"/>
          <w:szCs w:val="24"/>
        </w:rPr>
        <w:t xml:space="preserve"> </w:t>
      </w:r>
      <w:r w:rsidRPr="003A5252">
        <w:rPr>
          <w:rFonts w:ascii="Times New Roman" w:hAnsi="Times New Roman" w:cs="Times New Roman"/>
          <w:sz w:val="24"/>
          <w:szCs w:val="24"/>
        </w:rPr>
        <w:t>identifying the ecological and biodiversity impacts of fire on fire sensitive vegetation communities, organic soils and endemic fauna species in the Tasmanian Wilderness</w:t>
      </w:r>
      <w:r>
        <w:rPr>
          <w:rFonts w:ascii="Times New Roman" w:hAnsi="Times New Roman" w:cs="Times New Roman"/>
          <w:sz w:val="24"/>
          <w:szCs w:val="24"/>
        </w:rPr>
        <w:t>. Examples of projects supported by this funding include:</w:t>
      </w:r>
    </w:p>
    <w:p w14:paraId="670D4205" w14:textId="77777777" w:rsidR="00B63E39" w:rsidRPr="008E62ED" w:rsidRDefault="00D74C06" w:rsidP="00B63E39">
      <w:pPr>
        <w:pStyle w:val="ListBullet2"/>
        <w:rPr>
          <w:rFonts w:ascii="Times New Roman" w:hAnsi="Times New Roman" w:cs="Times New Roman"/>
          <w:sz w:val="24"/>
          <w:szCs w:val="24"/>
        </w:rPr>
      </w:pPr>
      <w:r w:rsidRPr="008E62ED">
        <w:rPr>
          <w:rFonts w:ascii="Times New Roman" w:hAnsi="Times New Roman" w:cs="Times New Roman"/>
          <w:sz w:val="24"/>
          <w:szCs w:val="24"/>
        </w:rPr>
        <w:t>identifying and researching the impacts of bushfire on fire sensitive and resistant vegetation types and wildlife</w:t>
      </w:r>
    </w:p>
    <w:p w14:paraId="670D4206" w14:textId="77777777" w:rsidR="00CC4861" w:rsidRPr="008E62ED" w:rsidRDefault="00D74C06" w:rsidP="00CC4861">
      <w:pPr>
        <w:pStyle w:val="ListBullet2"/>
        <w:rPr>
          <w:rFonts w:ascii="Times New Roman" w:hAnsi="Times New Roman" w:cs="Times New Roman"/>
          <w:sz w:val="24"/>
          <w:szCs w:val="24"/>
        </w:rPr>
      </w:pPr>
      <w:r w:rsidRPr="008E62ED">
        <w:rPr>
          <w:rFonts w:ascii="Times New Roman" w:hAnsi="Times New Roman" w:cs="Times New Roman"/>
          <w:sz w:val="24"/>
          <w:szCs w:val="24"/>
        </w:rPr>
        <w:t>identifying and understanding the impacts of bushfire on soils</w:t>
      </w:r>
    </w:p>
    <w:p w14:paraId="670D4207" w14:textId="77777777" w:rsidR="00B63E39" w:rsidRPr="00F63494" w:rsidRDefault="00D74C06" w:rsidP="00B63E39">
      <w:pPr>
        <w:pStyle w:val="ListBullet2"/>
        <w:rPr>
          <w:rFonts w:ascii="Times New Roman" w:hAnsi="Times New Roman" w:cs="Times New Roman"/>
          <w:sz w:val="24"/>
          <w:szCs w:val="24"/>
        </w:rPr>
      </w:pPr>
      <w:proofErr w:type="gramStart"/>
      <w:r>
        <w:rPr>
          <w:rFonts w:ascii="Times New Roman" w:hAnsi="Times New Roman" w:cs="Times New Roman"/>
          <w:sz w:val="24"/>
          <w:szCs w:val="24"/>
        </w:rPr>
        <w:t>determining</w:t>
      </w:r>
      <w:proofErr w:type="gramEnd"/>
      <w:r>
        <w:rPr>
          <w:rFonts w:ascii="Times New Roman" w:hAnsi="Times New Roman" w:cs="Times New Roman"/>
          <w:sz w:val="24"/>
          <w:szCs w:val="24"/>
        </w:rPr>
        <w:t xml:space="preserve"> </w:t>
      </w:r>
      <w:r w:rsidRPr="008E62ED">
        <w:rPr>
          <w:rFonts w:ascii="Times New Roman" w:hAnsi="Times New Roman" w:cs="Times New Roman"/>
          <w:sz w:val="24"/>
          <w:szCs w:val="24"/>
        </w:rPr>
        <w:t xml:space="preserve">fire </w:t>
      </w:r>
      <w:r w:rsidRPr="00F63494">
        <w:rPr>
          <w:rFonts w:ascii="Times New Roman" w:hAnsi="Times New Roman" w:cs="Times New Roman"/>
          <w:sz w:val="24"/>
          <w:szCs w:val="24"/>
        </w:rPr>
        <w:t>management practices to reduce risks to World Heritage values including on fire sensitive vegetation and habitat for the orange-bellied parrot.</w:t>
      </w:r>
    </w:p>
    <w:p w14:paraId="670D4208" w14:textId="77777777" w:rsidR="00B63E39" w:rsidRPr="00F63494" w:rsidRDefault="00D74C06" w:rsidP="006F4E1B">
      <w:pPr>
        <w:pStyle w:val="ListBullet"/>
        <w:numPr>
          <w:ilvl w:val="0"/>
          <w:numId w:val="0"/>
        </w:numPr>
        <w:rPr>
          <w:rFonts w:ascii="Times New Roman" w:hAnsi="Times New Roman" w:cs="Times New Roman"/>
          <w:sz w:val="24"/>
          <w:szCs w:val="24"/>
        </w:rPr>
      </w:pPr>
      <w:r w:rsidRPr="00BB377C">
        <w:rPr>
          <w:rFonts w:ascii="Times New Roman" w:hAnsi="Times New Roman" w:cs="Times New Roman"/>
          <w:sz w:val="24"/>
          <w:szCs w:val="24"/>
        </w:rPr>
        <w:t xml:space="preserve">The CSIRO is recognised as a world leader in fire behaviour research. CSIRO provides expert advice on bushfire management and modelling, and disaster management software to a wide range of governments, agencies and the public across Australia. The </w:t>
      </w:r>
      <w:r>
        <w:rPr>
          <w:rFonts w:ascii="Times New Roman" w:hAnsi="Times New Roman" w:cs="Times New Roman"/>
          <w:sz w:val="24"/>
          <w:szCs w:val="24"/>
        </w:rPr>
        <w:t xml:space="preserve">Australian </w:t>
      </w:r>
      <w:r w:rsidRPr="00BB377C">
        <w:rPr>
          <w:rFonts w:ascii="Times New Roman" w:hAnsi="Times New Roman" w:cs="Times New Roman"/>
          <w:sz w:val="24"/>
          <w:szCs w:val="24"/>
        </w:rPr>
        <w:t xml:space="preserve">Government’s support for CSIRO is significant and the </w:t>
      </w:r>
      <w:r>
        <w:rPr>
          <w:rFonts w:ascii="Times New Roman" w:hAnsi="Times New Roman" w:cs="Times New Roman"/>
          <w:sz w:val="24"/>
          <w:szCs w:val="24"/>
        </w:rPr>
        <w:t>g</w:t>
      </w:r>
      <w:r w:rsidRPr="00BB377C">
        <w:rPr>
          <w:rFonts w:ascii="Times New Roman" w:hAnsi="Times New Roman" w:cs="Times New Roman"/>
          <w:sz w:val="24"/>
          <w:szCs w:val="24"/>
        </w:rPr>
        <w:t>overnment is committed to growing this funding. CSIRO is receiving $1.352 billion this financial year and this will increase to $1.452 billion by 2019-20</w:t>
      </w:r>
      <w:r>
        <w:rPr>
          <w:rFonts w:ascii="Times New Roman" w:hAnsi="Times New Roman" w:cs="Times New Roman"/>
          <w:sz w:val="24"/>
          <w:szCs w:val="24"/>
        </w:rPr>
        <w:t>.</w:t>
      </w:r>
      <w:r w:rsidRPr="00F63494">
        <w:rPr>
          <w:rFonts w:ascii="Times New Roman" w:hAnsi="Times New Roman" w:cs="Times New Roman"/>
          <w:sz w:val="24"/>
          <w:szCs w:val="24"/>
        </w:rPr>
        <w:t xml:space="preserve"> </w:t>
      </w:r>
      <w:r w:rsidRPr="00BB377C">
        <w:rPr>
          <w:rFonts w:ascii="Times New Roman" w:hAnsi="Times New Roman" w:cs="Times New Roman"/>
          <w:sz w:val="24"/>
          <w:szCs w:val="24"/>
        </w:rPr>
        <w:t xml:space="preserve">This </w:t>
      </w:r>
      <w:r>
        <w:rPr>
          <w:rFonts w:ascii="Times New Roman" w:hAnsi="Times New Roman" w:cs="Times New Roman"/>
          <w:sz w:val="24"/>
          <w:szCs w:val="24"/>
        </w:rPr>
        <w:t xml:space="preserve">funding </w:t>
      </w:r>
      <w:r w:rsidRPr="00BB377C">
        <w:rPr>
          <w:rFonts w:ascii="Times New Roman" w:hAnsi="Times New Roman" w:cs="Times New Roman"/>
          <w:sz w:val="24"/>
          <w:szCs w:val="24"/>
        </w:rPr>
        <w:t>supports research directed at improving our understanding of climate change impacts, landscape adaptation and bushfire management. CSIRO actively reviews its research portfolio ensuring that its research efforts are aligned to its strategic priorities.</w:t>
      </w:r>
    </w:p>
    <w:p w14:paraId="670D4209" w14:textId="77777777" w:rsidR="002B7001" w:rsidRPr="003A5252" w:rsidRDefault="00D74C06" w:rsidP="00015D22">
      <w:pPr>
        <w:pStyle w:val="Heading2"/>
        <w:rPr>
          <w:rFonts w:ascii="Times New Roman" w:hAnsi="Times New Roman" w:cs="Times New Roman"/>
          <w:sz w:val="24"/>
          <w:szCs w:val="24"/>
          <w:u w:val="single"/>
        </w:rPr>
      </w:pPr>
      <w:r w:rsidRPr="003A5252">
        <w:rPr>
          <w:rFonts w:ascii="Times New Roman" w:hAnsi="Times New Roman" w:cs="Times New Roman"/>
          <w:sz w:val="24"/>
          <w:szCs w:val="24"/>
          <w:u w:val="single"/>
        </w:rPr>
        <w:lastRenderedPageBreak/>
        <w:t>Recommendation 3</w:t>
      </w:r>
    </w:p>
    <w:p w14:paraId="670D420A" w14:textId="77777777" w:rsidR="00623BDD" w:rsidRPr="00E21E8F" w:rsidRDefault="00D74C06" w:rsidP="004902E7">
      <w:pPr>
        <w:spacing w:after="120"/>
      </w:pPr>
      <w:r w:rsidRPr="00E21E8F">
        <w:t>The committee recommends that the Australian Government, in conjunction with state and territory governments, investigate a national remote area firefighting capability, to support Australian fire agencies.</w:t>
      </w:r>
    </w:p>
    <w:p w14:paraId="670D420B" w14:textId="77777777" w:rsidR="00B63E39" w:rsidRPr="00136A9D" w:rsidRDefault="00D74C06" w:rsidP="00894E57">
      <w:pPr>
        <w:pStyle w:val="Heading2"/>
        <w:rPr>
          <w:rFonts w:ascii="Times New Roman" w:hAnsi="Times New Roman" w:cs="Times New Roman"/>
          <w:sz w:val="24"/>
          <w:szCs w:val="24"/>
        </w:rPr>
      </w:pPr>
      <w:r w:rsidRPr="00136A9D">
        <w:rPr>
          <w:rFonts w:ascii="Times New Roman" w:hAnsi="Times New Roman" w:cs="Times New Roman"/>
          <w:sz w:val="24"/>
          <w:szCs w:val="24"/>
        </w:rPr>
        <w:t>Government Response: Not agreed</w:t>
      </w:r>
    </w:p>
    <w:p w14:paraId="670D420C" w14:textId="77777777" w:rsidR="00136A9D" w:rsidRPr="00136A9D" w:rsidRDefault="00D74C06" w:rsidP="00136A9D">
      <w:pPr>
        <w:pStyle w:val="ListBullet"/>
        <w:numPr>
          <w:ilvl w:val="0"/>
          <w:numId w:val="0"/>
        </w:numPr>
        <w:rPr>
          <w:rFonts w:ascii="Times New Roman" w:hAnsi="Times New Roman" w:cs="Times New Roman"/>
          <w:sz w:val="24"/>
          <w:szCs w:val="24"/>
        </w:rPr>
      </w:pPr>
      <w:r w:rsidRPr="00136A9D">
        <w:rPr>
          <w:rFonts w:ascii="Times New Roman" w:hAnsi="Times New Roman" w:cs="Times New Roman"/>
          <w:sz w:val="24"/>
          <w:szCs w:val="24"/>
        </w:rPr>
        <w:t>The Australian Government does not support this recommendation, noting that bushfire response is a matter for each state and territory. National coordination of interstate firefighting assistance to a jurisdiction, including remote area firefighting capability, is already enabled through the Arrangement for Interstate Assistance, a nationally agreed framework for the provision of assistance between state and territory emergency management agencies.</w:t>
      </w:r>
    </w:p>
    <w:p w14:paraId="670D420D" w14:textId="77777777" w:rsidR="00136A9D" w:rsidRPr="00136A9D" w:rsidRDefault="00D74C06" w:rsidP="00136A9D">
      <w:pPr>
        <w:pStyle w:val="ListBullet"/>
        <w:numPr>
          <w:ilvl w:val="0"/>
          <w:numId w:val="0"/>
        </w:numPr>
        <w:rPr>
          <w:rFonts w:ascii="Times New Roman" w:hAnsi="Times New Roman" w:cs="Times New Roman"/>
          <w:sz w:val="24"/>
          <w:szCs w:val="24"/>
        </w:rPr>
      </w:pPr>
      <w:r w:rsidRPr="00136A9D">
        <w:rPr>
          <w:rFonts w:ascii="Times New Roman" w:hAnsi="Times New Roman" w:cs="Times New Roman"/>
          <w:sz w:val="24"/>
          <w:szCs w:val="24"/>
        </w:rPr>
        <w:t xml:space="preserve">The Arrangement is appropriately </w:t>
      </w:r>
      <w:proofErr w:type="spellStart"/>
      <w:r w:rsidRPr="00136A9D">
        <w:rPr>
          <w:rFonts w:ascii="Times New Roman" w:hAnsi="Times New Roman" w:cs="Times New Roman"/>
          <w:sz w:val="24"/>
          <w:szCs w:val="24"/>
        </w:rPr>
        <w:t>auspiced</w:t>
      </w:r>
      <w:proofErr w:type="spellEnd"/>
      <w:r w:rsidRPr="00136A9D">
        <w:rPr>
          <w:rFonts w:ascii="Times New Roman" w:hAnsi="Times New Roman" w:cs="Times New Roman"/>
          <w:sz w:val="24"/>
          <w:szCs w:val="24"/>
        </w:rPr>
        <w:t xml:space="preserve"> by the National Resource Sharing Centre of the Australasian Fire and Emergency Services Authorities Council (AFAC) and is supported by the Australian Government.</w:t>
      </w:r>
      <w:r>
        <w:rPr>
          <w:rFonts w:ascii="Times New Roman" w:hAnsi="Times New Roman" w:cs="Times New Roman"/>
          <w:sz w:val="24"/>
          <w:szCs w:val="24"/>
        </w:rPr>
        <w:t xml:space="preserve"> </w:t>
      </w:r>
      <w:r w:rsidRPr="00136A9D">
        <w:rPr>
          <w:rFonts w:ascii="Times New Roman" w:hAnsi="Times New Roman" w:cs="Times New Roman"/>
          <w:sz w:val="24"/>
          <w:szCs w:val="24"/>
        </w:rPr>
        <w:t>A key enabler of the Arrangement is the rapid convening of the Commissioners and Chief Officers Strategic Committee (CCOSC) of AFAC which is co-chaired by the Director General of Emergency Management Australia, a senior official in the Australian Government Attorney-General’s Department.</w:t>
      </w:r>
    </w:p>
    <w:p w14:paraId="670D420E" w14:textId="77777777" w:rsidR="00136A9D" w:rsidRPr="00136A9D" w:rsidRDefault="00D74C06" w:rsidP="00136A9D">
      <w:pPr>
        <w:pStyle w:val="ListBullet"/>
        <w:numPr>
          <w:ilvl w:val="0"/>
          <w:numId w:val="0"/>
        </w:numPr>
        <w:rPr>
          <w:rFonts w:ascii="Times New Roman" w:hAnsi="Times New Roman" w:cs="Times New Roman"/>
          <w:sz w:val="24"/>
          <w:szCs w:val="24"/>
        </w:rPr>
      </w:pPr>
      <w:r w:rsidRPr="00136A9D">
        <w:rPr>
          <w:rFonts w:ascii="Times New Roman" w:hAnsi="Times New Roman" w:cs="Times New Roman"/>
          <w:sz w:val="24"/>
          <w:szCs w:val="24"/>
        </w:rPr>
        <w:t>During the fires that are the subject of this enquiry, the CCOSC considered requests for assistance to Tasmania in the context of the national fire risk and available resources, and specifically considered remote area firefighting capability. The Arrangement was subsequently used for the deployment of significant interstate resources, including remote area firefighters, to Tasmania.</w:t>
      </w:r>
    </w:p>
    <w:p w14:paraId="670D420F" w14:textId="77777777" w:rsidR="002B7001" w:rsidRPr="00136A9D" w:rsidRDefault="00D74C06" w:rsidP="002B7001">
      <w:pPr>
        <w:pStyle w:val="Heading2"/>
        <w:rPr>
          <w:rFonts w:ascii="Times New Roman" w:hAnsi="Times New Roman" w:cs="Times New Roman"/>
          <w:sz w:val="24"/>
          <w:szCs w:val="24"/>
          <w:u w:val="single"/>
        </w:rPr>
      </w:pPr>
      <w:r w:rsidRPr="00136A9D">
        <w:rPr>
          <w:rFonts w:ascii="Times New Roman" w:hAnsi="Times New Roman" w:cs="Times New Roman"/>
          <w:sz w:val="24"/>
          <w:szCs w:val="24"/>
          <w:u w:val="single"/>
        </w:rPr>
        <w:t>Recommendation 4</w:t>
      </w:r>
    </w:p>
    <w:p w14:paraId="670D4210" w14:textId="77777777" w:rsidR="00623BDD" w:rsidRPr="00136A9D" w:rsidRDefault="00D74C06" w:rsidP="00A160D4">
      <w:pPr>
        <w:spacing w:after="120"/>
      </w:pPr>
      <w:r w:rsidRPr="00136A9D">
        <w:t>The committee recommends that the Australian Government commit to long-term funding for the National Aerial Firefighting Centre of an amount that is at least equal to the government's current contribution, rising in line with the Consumer Price Index.</w:t>
      </w:r>
    </w:p>
    <w:p w14:paraId="670D4211" w14:textId="77777777" w:rsidR="002B7001" w:rsidRPr="00136A9D" w:rsidRDefault="00D74C06" w:rsidP="00E21E8F">
      <w:pPr>
        <w:pStyle w:val="Heading2"/>
        <w:rPr>
          <w:rFonts w:ascii="Times New Roman" w:hAnsi="Times New Roman" w:cs="Times New Roman"/>
          <w:sz w:val="24"/>
          <w:szCs w:val="24"/>
        </w:rPr>
      </w:pPr>
      <w:r w:rsidRPr="00136A9D">
        <w:rPr>
          <w:rFonts w:ascii="Times New Roman" w:hAnsi="Times New Roman" w:cs="Times New Roman"/>
          <w:sz w:val="24"/>
          <w:szCs w:val="24"/>
        </w:rPr>
        <w:t>Government Response: Agreed</w:t>
      </w:r>
    </w:p>
    <w:p w14:paraId="670D4212" w14:textId="77777777" w:rsidR="00B63E39" w:rsidRPr="008E62ED" w:rsidRDefault="00D74C06" w:rsidP="00BC7FED">
      <w:pPr>
        <w:pStyle w:val="ListBullet"/>
        <w:numPr>
          <w:ilvl w:val="0"/>
          <w:numId w:val="0"/>
        </w:numPr>
        <w:rPr>
          <w:rFonts w:ascii="Times New Roman" w:hAnsi="Times New Roman" w:cs="Times New Roman"/>
          <w:sz w:val="24"/>
          <w:szCs w:val="24"/>
        </w:rPr>
      </w:pPr>
      <w:r w:rsidRPr="00136A9D">
        <w:rPr>
          <w:rFonts w:ascii="Times New Roman" w:hAnsi="Times New Roman" w:cs="Times New Roman"/>
          <w:sz w:val="24"/>
          <w:szCs w:val="24"/>
        </w:rPr>
        <w:t>The Australian Government provides $14.8 million each year to the National Aerial Firefighting Centre. Parameter adjustments will continue to be managed through normal Budget processes.</w:t>
      </w:r>
    </w:p>
    <w:p w14:paraId="670D4213" w14:textId="77777777" w:rsidR="002B7001" w:rsidRPr="003A5252" w:rsidRDefault="00D74C06" w:rsidP="00E21E8F">
      <w:pPr>
        <w:spacing w:after="160" w:line="259" w:lineRule="auto"/>
        <w:rPr>
          <w:b/>
          <w:u w:val="single"/>
        </w:rPr>
      </w:pPr>
      <w:r w:rsidRPr="003A5252">
        <w:rPr>
          <w:b/>
          <w:u w:val="single"/>
        </w:rPr>
        <w:t>Recommendation 5</w:t>
      </w:r>
    </w:p>
    <w:p w14:paraId="670D4214" w14:textId="77777777" w:rsidR="00623BDD" w:rsidRPr="00E21E8F" w:rsidRDefault="00D74C06" w:rsidP="00A160D4">
      <w:pPr>
        <w:spacing w:after="120"/>
      </w:pPr>
      <w:r w:rsidRPr="00E21E8F">
        <w:t xml:space="preserve">The committee recommends that the Australian Government recognise the need to enhance protection and conservation efforts in the Tasmanian Wilderness World Heritage Area by allocating increased funding: </w:t>
      </w:r>
    </w:p>
    <w:p w14:paraId="670D4215" w14:textId="77777777" w:rsidR="00623BDD" w:rsidRPr="00E21E8F" w:rsidRDefault="00D74C06" w:rsidP="00E21E8F">
      <w:pPr>
        <w:pStyle w:val="ListParagraph"/>
        <w:numPr>
          <w:ilvl w:val="0"/>
          <w:numId w:val="5"/>
        </w:numPr>
        <w:spacing w:before="120" w:after="120"/>
        <w:ind w:left="714" w:hanging="357"/>
        <w:contextualSpacing w:val="0"/>
      </w:pPr>
      <w:r w:rsidRPr="00E21E8F">
        <w:t xml:space="preserve">to the Parks and Wildlife Service, Tasmania, for appropriate management activities and resources; and </w:t>
      </w:r>
    </w:p>
    <w:p w14:paraId="670D4216" w14:textId="77777777" w:rsidR="00623BDD" w:rsidRPr="00E21E8F" w:rsidRDefault="00D74C06" w:rsidP="00E21E8F">
      <w:pPr>
        <w:pStyle w:val="ListParagraph"/>
        <w:numPr>
          <w:ilvl w:val="0"/>
          <w:numId w:val="5"/>
        </w:numPr>
        <w:spacing w:before="120" w:after="120"/>
        <w:ind w:left="714" w:hanging="357"/>
        <w:contextualSpacing w:val="0"/>
      </w:pPr>
      <w:proofErr w:type="gramStart"/>
      <w:r w:rsidRPr="00E21E8F">
        <w:t>for</w:t>
      </w:r>
      <w:proofErr w:type="gramEnd"/>
      <w:r w:rsidRPr="00E21E8F">
        <w:t xml:space="preserve"> research projects aimed at providing qualitative and quantitative data specific to climate-related and ecological threats to the Tasmanian Wilderness World Heritage Area (such as dry lightning strike).</w:t>
      </w:r>
    </w:p>
    <w:p w14:paraId="670D4217" w14:textId="77777777" w:rsidR="002B7001" w:rsidRPr="003A5252" w:rsidRDefault="00D74C06" w:rsidP="002B7001">
      <w:pPr>
        <w:pStyle w:val="Heading2"/>
        <w:rPr>
          <w:rFonts w:ascii="Times New Roman" w:hAnsi="Times New Roman" w:cs="Times New Roman"/>
          <w:sz w:val="24"/>
          <w:szCs w:val="24"/>
        </w:rPr>
      </w:pPr>
      <w:r w:rsidRPr="003A5252">
        <w:rPr>
          <w:rFonts w:ascii="Times New Roman" w:hAnsi="Times New Roman" w:cs="Times New Roman"/>
          <w:sz w:val="24"/>
          <w:szCs w:val="24"/>
        </w:rPr>
        <w:lastRenderedPageBreak/>
        <w:t>Government Response: Agreed</w:t>
      </w:r>
      <w:r>
        <w:rPr>
          <w:rFonts w:ascii="Times New Roman" w:hAnsi="Times New Roman" w:cs="Times New Roman"/>
          <w:sz w:val="24"/>
          <w:szCs w:val="24"/>
        </w:rPr>
        <w:t xml:space="preserve"> in part</w:t>
      </w:r>
    </w:p>
    <w:p w14:paraId="670D4218" w14:textId="77777777" w:rsidR="001A2326" w:rsidRDefault="00D74C06" w:rsidP="00E21E8F">
      <w:pPr>
        <w:spacing w:after="160" w:line="259" w:lineRule="auto"/>
      </w:pPr>
      <w:r w:rsidRPr="008E62ED">
        <w:t>The Australian Government supports management of the Tasmanian Wilderness World Heritage Area through</w:t>
      </w:r>
      <w:r>
        <w:t>:</w:t>
      </w:r>
    </w:p>
    <w:p w14:paraId="670D4219" w14:textId="77777777" w:rsidR="001A2326" w:rsidRPr="001A2326" w:rsidRDefault="00D74C06" w:rsidP="001A2326">
      <w:pPr>
        <w:pStyle w:val="ListBullet2"/>
        <w:rPr>
          <w:rFonts w:ascii="Times New Roman" w:hAnsi="Times New Roman" w:cs="Times New Roman"/>
          <w:sz w:val="24"/>
          <w:szCs w:val="24"/>
        </w:rPr>
      </w:pPr>
      <w:r w:rsidRPr="001A2326">
        <w:rPr>
          <w:rFonts w:ascii="Times New Roman" w:hAnsi="Times New Roman" w:cs="Times New Roman"/>
          <w:sz w:val="24"/>
          <w:szCs w:val="24"/>
        </w:rPr>
        <w:t xml:space="preserve">an annual payment of $3.4 million </w:t>
      </w:r>
      <w:r>
        <w:rPr>
          <w:rFonts w:ascii="Times New Roman" w:hAnsi="Times New Roman" w:cs="Times New Roman"/>
          <w:sz w:val="24"/>
          <w:szCs w:val="24"/>
        </w:rPr>
        <w:t>a</w:t>
      </w:r>
      <w:r w:rsidRPr="001A2326">
        <w:rPr>
          <w:rFonts w:ascii="Times New Roman" w:hAnsi="Times New Roman" w:cs="Times New Roman"/>
          <w:sz w:val="24"/>
          <w:szCs w:val="24"/>
        </w:rPr>
        <w:t xml:space="preserve"> year</w:t>
      </w:r>
      <w:r>
        <w:rPr>
          <w:rFonts w:ascii="Times New Roman" w:hAnsi="Times New Roman" w:cs="Times New Roman"/>
          <w:sz w:val="24"/>
          <w:szCs w:val="24"/>
        </w:rPr>
        <w:t xml:space="preserve"> to the Tasmanian Government, including to the Tasmanian Parks and Wildlife Service (</w:t>
      </w:r>
      <w:r w:rsidRPr="001A2326">
        <w:rPr>
          <w:rFonts w:ascii="Times New Roman" w:hAnsi="Times New Roman" w:cs="Times New Roman"/>
          <w:sz w:val="24"/>
          <w:szCs w:val="24"/>
        </w:rPr>
        <w:t>which is more than mat</w:t>
      </w:r>
      <w:r>
        <w:rPr>
          <w:rFonts w:ascii="Times New Roman" w:hAnsi="Times New Roman" w:cs="Times New Roman"/>
          <w:sz w:val="24"/>
          <w:szCs w:val="24"/>
        </w:rPr>
        <w:t>ched by the Tasmanian Government)</w:t>
      </w:r>
    </w:p>
    <w:p w14:paraId="670D421A" w14:textId="77777777" w:rsidR="001A2326" w:rsidRPr="001A2326" w:rsidRDefault="00D74C06" w:rsidP="001A2326">
      <w:pPr>
        <w:pStyle w:val="ListBullet2"/>
        <w:rPr>
          <w:rFonts w:ascii="Times New Roman" w:hAnsi="Times New Roman" w:cs="Times New Roman"/>
          <w:sz w:val="24"/>
          <w:szCs w:val="24"/>
        </w:rPr>
      </w:pPr>
      <w:r w:rsidRPr="001A2326">
        <w:rPr>
          <w:rFonts w:ascii="Times New Roman" w:hAnsi="Times New Roman" w:cs="Times New Roman"/>
          <w:sz w:val="24"/>
          <w:szCs w:val="24"/>
        </w:rPr>
        <w:t xml:space="preserve">an additional $10.2 million over four years from 2014-15 </w:t>
      </w:r>
      <w:r>
        <w:rPr>
          <w:rFonts w:ascii="Times New Roman" w:hAnsi="Times New Roman" w:cs="Times New Roman"/>
          <w:sz w:val="24"/>
          <w:szCs w:val="24"/>
        </w:rPr>
        <w:t xml:space="preserve">to the Tasmanian Government, including to the Tasmanian Parks and Wildlife Service, </w:t>
      </w:r>
      <w:r w:rsidRPr="001A2326">
        <w:rPr>
          <w:rFonts w:ascii="Times New Roman" w:hAnsi="Times New Roman" w:cs="Times New Roman"/>
          <w:sz w:val="24"/>
          <w:szCs w:val="24"/>
        </w:rPr>
        <w:t xml:space="preserve">to support </w:t>
      </w:r>
      <w:r>
        <w:rPr>
          <w:rFonts w:ascii="Times New Roman" w:hAnsi="Times New Roman" w:cs="Times New Roman"/>
          <w:sz w:val="24"/>
          <w:szCs w:val="24"/>
        </w:rPr>
        <w:t xml:space="preserve">the </w:t>
      </w:r>
      <w:r w:rsidRPr="001A2326">
        <w:rPr>
          <w:rFonts w:ascii="Times New Roman" w:hAnsi="Times New Roman" w:cs="Times New Roman"/>
          <w:sz w:val="24"/>
          <w:szCs w:val="24"/>
        </w:rPr>
        <w:t xml:space="preserve">additional and ongoing management responsibilities </w:t>
      </w:r>
      <w:r>
        <w:rPr>
          <w:rFonts w:ascii="Times New Roman" w:hAnsi="Times New Roman" w:cs="Times New Roman"/>
          <w:sz w:val="24"/>
          <w:szCs w:val="24"/>
        </w:rPr>
        <w:t>for</w:t>
      </w:r>
      <w:r w:rsidRPr="001A2326">
        <w:rPr>
          <w:rFonts w:ascii="Times New Roman" w:hAnsi="Times New Roman" w:cs="Times New Roman"/>
          <w:sz w:val="24"/>
          <w:szCs w:val="24"/>
        </w:rPr>
        <w:t xml:space="preserve"> the</w:t>
      </w:r>
      <w:r>
        <w:rPr>
          <w:rFonts w:ascii="Times New Roman" w:hAnsi="Times New Roman" w:cs="Times New Roman"/>
          <w:sz w:val="24"/>
          <w:szCs w:val="24"/>
        </w:rPr>
        <w:t xml:space="preserve"> 172,000 hectares added in 2013</w:t>
      </w:r>
    </w:p>
    <w:p w14:paraId="670D421B" w14:textId="77777777" w:rsidR="001A2326" w:rsidRPr="001A2326" w:rsidRDefault="00D74C06" w:rsidP="001A2326">
      <w:pPr>
        <w:pStyle w:val="ListBullet2"/>
        <w:rPr>
          <w:rFonts w:ascii="Times New Roman" w:hAnsi="Times New Roman" w:cs="Times New Roman"/>
          <w:sz w:val="24"/>
          <w:szCs w:val="24"/>
        </w:rPr>
      </w:pPr>
      <w:r w:rsidRPr="001A2326">
        <w:rPr>
          <w:rFonts w:ascii="Times New Roman" w:hAnsi="Times New Roman" w:cs="Times New Roman"/>
          <w:sz w:val="24"/>
          <w:szCs w:val="24"/>
        </w:rPr>
        <w:t>$100,000 from its National Environmental Science Program’s Emerging Priorities Fund to the University of Tasmania</w:t>
      </w:r>
      <w:r>
        <w:rPr>
          <w:rFonts w:ascii="Times New Roman" w:hAnsi="Times New Roman" w:cs="Times New Roman"/>
          <w:sz w:val="24"/>
          <w:szCs w:val="24"/>
        </w:rPr>
        <w:t xml:space="preserve"> </w:t>
      </w:r>
      <w:r w:rsidRPr="001A2326">
        <w:rPr>
          <w:rFonts w:ascii="Times New Roman" w:hAnsi="Times New Roman" w:cs="Times New Roman"/>
          <w:sz w:val="24"/>
          <w:szCs w:val="24"/>
        </w:rPr>
        <w:t xml:space="preserve">to </w:t>
      </w:r>
      <w:r>
        <w:rPr>
          <w:rFonts w:ascii="Times New Roman" w:hAnsi="Times New Roman" w:cs="Times New Roman"/>
          <w:sz w:val="24"/>
          <w:szCs w:val="24"/>
        </w:rPr>
        <w:t xml:space="preserve">invest in projects that will </w:t>
      </w:r>
      <w:r w:rsidRPr="001A2326">
        <w:rPr>
          <w:rFonts w:ascii="Times New Roman" w:hAnsi="Times New Roman" w:cs="Times New Roman"/>
          <w:sz w:val="24"/>
          <w:szCs w:val="24"/>
        </w:rPr>
        <w:t>better protect the Tasmanian Wilderness f</w:t>
      </w:r>
      <w:r>
        <w:rPr>
          <w:rFonts w:ascii="Times New Roman" w:hAnsi="Times New Roman" w:cs="Times New Roman"/>
          <w:sz w:val="24"/>
          <w:szCs w:val="24"/>
        </w:rPr>
        <w:t>rom adverse impacts of wildfire.</w:t>
      </w:r>
    </w:p>
    <w:p w14:paraId="670D421C" w14:textId="77777777" w:rsidR="001A2326" w:rsidRPr="00A759B0" w:rsidRDefault="00D74C06" w:rsidP="00A759B0">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This</w:t>
      </w:r>
      <w:r w:rsidRPr="00A759B0">
        <w:rPr>
          <w:rFonts w:ascii="Times New Roman" w:hAnsi="Times New Roman" w:cs="Times New Roman"/>
          <w:sz w:val="24"/>
          <w:szCs w:val="24"/>
        </w:rPr>
        <w:t xml:space="preserve"> funding supports management and research projects aimed at providing qualitative and quantitative data specific to climate-related and ecological threats to the Tasmanian Wilderness. Examples of projects supported include:</w:t>
      </w:r>
    </w:p>
    <w:p w14:paraId="670D421D" w14:textId="77777777" w:rsidR="00B63E39" w:rsidRPr="008E62ED" w:rsidRDefault="00D74C06" w:rsidP="00B63E39">
      <w:pPr>
        <w:pStyle w:val="ListBullet2"/>
        <w:rPr>
          <w:rFonts w:ascii="Times New Roman" w:hAnsi="Times New Roman" w:cs="Times New Roman"/>
          <w:sz w:val="24"/>
          <w:szCs w:val="24"/>
        </w:rPr>
      </w:pPr>
      <w:r w:rsidRPr="008E62ED">
        <w:rPr>
          <w:rFonts w:ascii="Times New Roman" w:hAnsi="Times New Roman" w:cs="Times New Roman"/>
          <w:sz w:val="24"/>
          <w:szCs w:val="24"/>
        </w:rPr>
        <w:t>planning, on-ground activities, land management, monitoring, rehabilitation and stakeholder engagement, including with Aboriginal communities and the tourism industry</w:t>
      </w:r>
    </w:p>
    <w:p w14:paraId="670D421E" w14:textId="77777777" w:rsidR="00B63E39" w:rsidRPr="008E62ED" w:rsidRDefault="00D74C06" w:rsidP="00B63E39">
      <w:pPr>
        <w:pStyle w:val="ListBullet2"/>
        <w:rPr>
          <w:rFonts w:ascii="Times New Roman" w:hAnsi="Times New Roman" w:cs="Times New Roman"/>
          <w:sz w:val="24"/>
          <w:szCs w:val="24"/>
        </w:rPr>
      </w:pPr>
      <w:r w:rsidRPr="008E62ED">
        <w:rPr>
          <w:rFonts w:ascii="Times New Roman" w:hAnsi="Times New Roman" w:cs="Times New Roman"/>
          <w:sz w:val="24"/>
          <w:szCs w:val="24"/>
        </w:rPr>
        <w:t>research to reduce threats and improve, restore and present the property’s natural and cultural values</w:t>
      </w:r>
    </w:p>
    <w:p w14:paraId="670D421F" w14:textId="77777777" w:rsidR="00B63E39" w:rsidRPr="008E62ED" w:rsidRDefault="00D74C06" w:rsidP="00B63E39">
      <w:pPr>
        <w:pStyle w:val="ListBullet2"/>
        <w:rPr>
          <w:rFonts w:ascii="Times New Roman" w:hAnsi="Times New Roman" w:cs="Times New Roman"/>
          <w:sz w:val="24"/>
          <w:szCs w:val="24"/>
        </w:rPr>
      </w:pPr>
      <w:r w:rsidRPr="008E62ED">
        <w:rPr>
          <w:rFonts w:ascii="Times New Roman" w:hAnsi="Times New Roman" w:cs="Times New Roman"/>
          <w:sz w:val="24"/>
          <w:szCs w:val="24"/>
        </w:rPr>
        <w:t>identification, protection, presentation, monitoring and rehabi</w:t>
      </w:r>
      <w:r>
        <w:rPr>
          <w:rFonts w:ascii="Times New Roman" w:hAnsi="Times New Roman" w:cs="Times New Roman"/>
          <w:sz w:val="24"/>
          <w:szCs w:val="24"/>
        </w:rPr>
        <w:t>litation of Aboriginal heritage</w:t>
      </w:r>
    </w:p>
    <w:p w14:paraId="670D4220" w14:textId="77777777" w:rsidR="00CB373B" w:rsidRPr="00CB373B" w:rsidRDefault="00D74C06" w:rsidP="00CB373B">
      <w:pPr>
        <w:pStyle w:val="ListBullet2"/>
        <w:rPr>
          <w:rFonts w:ascii="Times New Roman" w:hAnsi="Times New Roman" w:cs="Times New Roman"/>
          <w:sz w:val="24"/>
          <w:szCs w:val="24"/>
        </w:rPr>
      </w:pPr>
      <w:r>
        <w:rPr>
          <w:rFonts w:ascii="Times New Roman" w:hAnsi="Times New Roman" w:cs="Times New Roman"/>
          <w:sz w:val="24"/>
          <w:szCs w:val="24"/>
        </w:rPr>
        <w:t>examining</w:t>
      </w:r>
      <w:r w:rsidRPr="00CB373B">
        <w:rPr>
          <w:rFonts w:ascii="Times New Roman" w:hAnsi="Times New Roman" w:cs="Times New Roman"/>
          <w:sz w:val="24"/>
          <w:szCs w:val="24"/>
        </w:rPr>
        <w:t xml:space="preserve"> the impact of climate change on weather-related</w:t>
      </w:r>
      <w:r>
        <w:rPr>
          <w:rFonts w:ascii="Times New Roman" w:hAnsi="Times New Roman" w:cs="Times New Roman"/>
          <w:sz w:val="24"/>
          <w:szCs w:val="24"/>
        </w:rPr>
        <w:t xml:space="preserve"> fire risk factors in the Tasmanian Wilderness</w:t>
      </w:r>
    </w:p>
    <w:p w14:paraId="670D4221" w14:textId="77777777" w:rsidR="00CB373B" w:rsidRPr="00CB373B" w:rsidRDefault="00D74C06" w:rsidP="00CB373B">
      <w:pPr>
        <w:pStyle w:val="ListBullet2"/>
        <w:rPr>
          <w:rFonts w:ascii="Times New Roman" w:hAnsi="Times New Roman" w:cs="Times New Roman"/>
          <w:sz w:val="24"/>
          <w:szCs w:val="24"/>
        </w:rPr>
      </w:pPr>
      <w:r w:rsidRPr="00CB373B">
        <w:rPr>
          <w:rFonts w:ascii="Times New Roman" w:hAnsi="Times New Roman" w:cs="Times New Roman"/>
          <w:sz w:val="24"/>
          <w:szCs w:val="24"/>
        </w:rPr>
        <w:t>updat</w:t>
      </w:r>
      <w:r>
        <w:rPr>
          <w:rFonts w:ascii="Times New Roman" w:hAnsi="Times New Roman" w:cs="Times New Roman"/>
          <w:sz w:val="24"/>
          <w:szCs w:val="24"/>
        </w:rPr>
        <w:t>ing</w:t>
      </w:r>
      <w:r w:rsidRPr="00CB373B">
        <w:rPr>
          <w:rFonts w:ascii="Times New Roman" w:hAnsi="Times New Roman" w:cs="Times New Roman"/>
          <w:sz w:val="24"/>
          <w:szCs w:val="24"/>
        </w:rPr>
        <w:t xml:space="preserve"> the landscape fire regime model currently used by the Tasmanian Parks and Wildlife Service with improved fuel layers and other spatial data, </w:t>
      </w:r>
      <w:r>
        <w:rPr>
          <w:rFonts w:ascii="Times New Roman" w:hAnsi="Times New Roman" w:cs="Times New Roman"/>
          <w:sz w:val="24"/>
          <w:szCs w:val="24"/>
        </w:rPr>
        <w:t xml:space="preserve">including </w:t>
      </w:r>
      <w:r w:rsidRPr="00CB373B">
        <w:rPr>
          <w:rFonts w:ascii="Times New Roman" w:hAnsi="Times New Roman" w:cs="Times New Roman"/>
          <w:sz w:val="24"/>
          <w:szCs w:val="24"/>
        </w:rPr>
        <w:t xml:space="preserve">future climate projections, and expand it to encompass the whole </w:t>
      </w:r>
      <w:r>
        <w:rPr>
          <w:rFonts w:ascii="Times New Roman" w:hAnsi="Times New Roman" w:cs="Times New Roman"/>
          <w:sz w:val="24"/>
          <w:szCs w:val="24"/>
        </w:rPr>
        <w:t>Tasmanian Wilderness</w:t>
      </w:r>
    </w:p>
    <w:p w14:paraId="670D4222" w14:textId="77777777" w:rsidR="00CB373B" w:rsidRPr="00CB373B" w:rsidRDefault="00D74C06" w:rsidP="00CB373B">
      <w:pPr>
        <w:pStyle w:val="ListBullet2"/>
        <w:rPr>
          <w:rFonts w:ascii="Times New Roman" w:hAnsi="Times New Roman" w:cs="Times New Roman"/>
          <w:sz w:val="24"/>
          <w:szCs w:val="24"/>
        </w:rPr>
      </w:pPr>
      <w:proofErr w:type="gramStart"/>
      <w:r w:rsidRPr="00CB373B">
        <w:rPr>
          <w:rFonts w:ascii="Times New Roman" w:hAnsi="Times New Roman" w:cs="Times New Roman"/>
          <w:sz w:val="24"/>
          <w:szCs w:val="24"/>
        </w:rPr>
        <w:t>examin</w:t>
      </w:r>
      <w:r>
        <w:rPr>
          <w:rFonts w:ascii="Times New Roman" w:hAnsi="Times New Roman" w:cs="Times New Roman"/>
          <w:sz w:val="24"/>
          <w:szCs w:val="24"/>
        </w:rPr>
        <w:t>ing</w:t>
      </w:r>
      <w:proofErr w:type="gramEnd"/>
      <w:r w:rsidRPr="00CB373B">
        <w:rPr>
          <w:rFonts w:ascii="Times New Roman" w:hAnsi="Times New Roman" w:cs="Times New Roman"/>
          <w:sz w:val="24"/>
          <w:szCs w:val="24"/>
        </w:rPr>
        <w:t xml:space="preserve"> the appropriate use of fire retardants in the </w:t>
      </w:r>
      <w:r>
        <w:rPr>
          <w:rFonts w:ascii="Times New Roman" w:hAnsi="Times New Roman" w:cs="Times New Roman"/>
          <w:sz w:val="24"/>
          <w:szCs w:val="24"/>
        </w:rPr>
        <w:t>Tasmanian Wilderness</w:t>
      </w:r>
      <w:r w:rsidRPr="00CB373B">
        <w:rPr>
          <w:rFonts w:ascii="Times New Roman" w:hAnsi="Times New Roman" w:cs="Times New Roman"/>
          <w:sz w:val="24"/>
          <w:szCs w:val="24"/>
        </w:rPr>
        <w:t>, including net environmental impact.</w:t>
      </w:r>
    </w:p>
    <w:p w14:paraId="670D4223" w14:textId="77777777" w:rsidR="00C40ABD" w:rsidRDefault="00D74C06">
      <w:pPr>
        <w:spacing w:after="160" w:line="259" w:lineRule="auto"/>
        <w:rPr>
          <w:rFonts w:eastAsia="Calibri"/>
          <w:b/>
          <w:u w:val="single"/>
        </w:rPr>
      </w:pPr>
      <w:r>
        <w:rPr>
          <w:u w:val="single"/>
        </w:rPr>
        <w:br w:type="page"/>
      </w:r>
    </w:p>
    <w:p w14:paraId="670D4224" w14:textId="77777777" w:rsidR="002B7001" w:rsidRPr="003A5252" w:rsidRDefault="00D74C06" w:rsidP="004902E7">
      <w:pPr>
        <w:pStyle w:val="Heading2"/>
        <w:rPr>
          <w:rFonts w:ascii="Times New Roman" w:hAnsi="Times New Roman" w:cs="Times New Roman"/>
          <w:sz w:val="24"/>
          <w:szCs w:val="24"/>
          <w:u w:val="single"/>
        </w:rPr>
      </w:pPr>
      <w:r w:rsidRPr="003A5252">
        <w:rPr>
          <w:rFonts w:ascii="Times New Roman" w:hAnsi="Times New Roman" w:cs="Times New Roman"/>
          <w:sz w:val="24"/>
          <w:szCs w:val="24"/>
          <w:u w:val="single"/>
        </w:rPr>
        <w:lastRenderedPageBreak/>
        <w:t>Recommendation 6</w:t>
      </w:r>
    </w:p>
    <w:p w14:paraId="670D4225" w14:textId="77777777" w:rsidR="00623BDD" w:rsidRPr="00331D6D" w:rsidRDefault="00D74C06" w:rsidP="00A759B0">
      <w:pPr>
        <w:pStyle w:val="ListBullet"/>
        <w:numPr>
          <w:ilvl w:val="0"/>
          <w:numId w:val="0"/>
        </w:numPr>
      </w:pPr>
      <w:r w:rsidRPr="00A759B0">
        <w:rPr>
          <w:rFonts w:ascii="Times New Roman" w:hAnsi="Times New Roman" w:cs="Times New Roman"/>
          <w:sz w:val="24"/>
          <w:szCs w:val="24"/>
        </w:rPr>
        <w:t>The committee recommends that the Australian and Tasmanian Governments:</w:t>
      </w:r>
    </w:p>
    <w:p w14:paraId="670D4226" w14:textId="77777777" w:rsidR="00623BDD" w:rsidRPr="008514C6" w:rsidRDefault="00D74C06" w:rsidP="008514C6">
      <w:pPr>
        <w:pStyle w:val="ListParagraph"/>
        <w:numPr>
          <w:ilvl w:val="0"/>
          <w:numId w:val="5"/>
        </w:numPr>
        <w:spacing w:before="120" w:after="120"/>
        <w:ind w:left="714" w:hanging="357"/>
        <w:contextualSpacing w:val="0"/>
      </w:pPr>
      <w:r w:rsidRPr="008514C6">
        <w:t xml:space="preserve">develop options to increase co-operation to ensure that the Tasmanian Wilderness World Heritage Area is protected and conserved in line with Australia's obligations under the World Heritage Convention; and </w:t>
      </w:r>
    </w:p>
    <w:p w14:paraId="670D4227" w14:textId="77777777" w:rsidR="002B7001" w:rsidRPr="008514C6" w:rsidRDefault="00D74C06" w:rsidP="008514C6">
      <w:pPr>
        <w:pStyle w:val="ListParagraph"/>
        <w:numPr>
          <w:ilvl w:val="0"/>
          <w:numId w:val="5"/>
        </w:numPr>
        <w:spacing w:before="120" w:after="120"/>
        <w:ind w:left="714" w:hanging="357"/>
        <w:contextualSpacing w:val="0"/>
      </w:pPr>
      <w:proofErr w:type="gramStart"/>
      <w:r w:rsidRPr="008514C6">
        <w:t>work</w:t>
      </w:r>
      <w:proofErr w:type="gramEnd"/>
      <w:r w:rsidRPr="008514C6">
        <w:t xml:space="preserve"> together to ensure strong provisions to protect the Tasmanian Wilderness World Heritage Area from bushfire risks are included in the Tasmanian Wilderness World Heritage Area Management Plan.</w:t>
      </w:r>
    </w:p>
    <w:p w14:paraId="670D4228" w14:textId="77777777" w:rsidR="008514C6" w:rsidRPr="00331D6D" w:rsidRDefault="00D74C06" w:rsidP="008514C6">
      <w:pPr>
        <w:pStyle w:val="ListBullet"/>
        <w:numPr>
          <w:ilvl w:val="0"/>
          <w:numId w:val="0"/>
        </w:numPr>
        <w:rPr>
          <w:rFonts w:ascii="Times New Roman" w:hAnsi="Times New Roman" w:cs="Times New Roman"/>
          <w:b/>
          <w:sz w:val="24"/>
          <w:szCs w:val="24"/>
        </w:rPr>
      </w:pPr>
      <w:r w:rsidRPr="00331D6D">
        <w:rPr>
          <w:rFonts w:ascii="Times New Roman" w:hAnsi="Times New Roman" w:cs="Times New Roman"/>
          <w:b/>
          <w:sz w:val="24"/>
          <w:szCs w:val="24"/>
        </w:rPr>
        <w:t xml:space="preserve">Government Response: </w:t>
      </w:r>
      <w:r>
        <w:rPr>
          <w:rFonts w:ascii="Times New Roman" w:hAnsi="Times New Roman" w:cs="Times New Roman"/>
          <w:b/>
          <w:sz w:val="24"/>
          <w:szCs w:val="24"/>
        </w:rPr>
        <w:t>Noted</w:t>
      </w:r>
    </w:p>
    <w:p w14:paraId="670D4229" w14:textId="77777777" w:rsidR="00DB307A" w:rsidRPr="008E62ED" w:rsidRDefault="00D74C06" w:rsidP="008514C6">
      <w:pPr>
        <w:pStyle w:val="ListBullet"/>
        <w:numPr>
          <w:ilvl w:val="0"/>
          <w:numId w:val="0"/>
        </w:numPr>
        <w:rPr>
          <w:rFonts w:ascii="Times New Roman" w:hAnsi="Times New Roman" w:cs="Times New Roman"/>
          <w:sz w:val="24"/>
          <w:szCs w:val="24"/>
        </w:rPr>
      </w:pPr>
      <w:r w:rsidRPr="008E62ED">
        <w:rPr>
          <w:rFonts w:ascii="Times New Roman" w:hAnsi="Times New Roman" w:cs="Times New Roman"/>
          <w:sz w:val="24"/>
          <w:szCs w:val="24"/>
        </w:rPr>
        <w:t>The Australian and Tasmanian governments work collaboratively to ensure that Australia’s obligations under the World Heritage Convention are met. This shared commitment to meeting Australia’s obligations was recognised in the World Heritage Committee’s decision</w:t>
      </w:r>
      <w:r>
        <w:rPr>
          <w:rFonts w:ascii="Times New Roman" w:hAnsi="Times New Roman" w:cs="Times New Roman"/>
          <w:sz w:val="24"/>
          <w:szCs w:val="24"/>
        </w:rPr>
        <w:t xml:space="preserve"> on the Tasmanian Wilderness in 2016</w:t>
      </w:r>
      <w:r w:rsidRPr="008E62ED">
        <w:rPr>
          <w:rFonts w:ascii="Times New Roman" w:hAnsi="Times New Roman" w:cs="Times New Roman"/>
          <w:sz w:val="24"/>
          <w:szCs w:val="24"/>
        </w:rPr>
        <w:t>. The decision commended the commitment of the Australian and Tasmanian governments to rule out all forms of commercial logging and mining in the whole of the property, as well the commitment to implement all of the 20 recommendations made by the 2015 reactive monitoring mission.</w:t>
      </w:r>
    </w:p>
    <w:p w14:paraId="670D422A" w14:textId="77777777" w:rsidR="00DB307A" w:rsidRPr="00331D6D" w:rsidRDefault="00D74C06" w:rsidP="008514C6">
      <w:pPr>
        <w:pStyle w:val="ListBullet"/>
        <w:numPr>
          <w:ilvl w:val="0"/>
          <w:numId w:val="0"/>
        </w:numPr>
        <w:rPr>
          <w:rFonts w:ascii="Times New Roman" w:hAnsi="Times New Roman" w:cs="Times New Roman"/>
          <w:i/>
          <w:sz w:val="24"/>
          <w:szCs w:val="24"/>
        </w:rPr>
      </w:pPr>
      <w:r>
        <w:rPr>
          <w:rFonts w:ascii="Times New Roman" w:hAnsi="Times New Roman" w:cs="Times New Roman"/>
          <w:sz w:val="24"/>
          <w:szCs w:val="24"/>
        </w:rPr>
        <w:t xml:space="preserve">In 2016, the Australian Government worked with the Tasmanian Government and reviewed the draft management plan for the Tasmanian Wilderness to ensure its consistency with the Australian World Heritage Principles included in the </w:t>
      </w:r>
      <w:r>
        <w:rPr>
          <w:rFonts w:ascii="Times New Roman" w:hAnsi="Times New Roman" w:cs="Times New Roman"/>
          <w:i/>
          <w:sz w:val="24"/>
          <w:szCs w:val="24"/>
        </w:rPr>
        <w:t>Environment Protection and Biodiversity Conservation Act 1999.</w:t>
      </w:r>
    </w:p>
    <w:p w14:paraId="670D422B" w14:textId="77777777" w:rsidR="00DB307A" w:rsidRPr="008E62ED" w:rsidRDefault="00D74C06" w:rsidP="00DB307A">
      <w:pPr>
        <w:pStyle w:val="ListBullet"/>
        <w:numPr>
          <w:ilvl w:val="0"/>
          <w:numId w:val="0"/>
        </w:numPr>
        <w:rPr>
          <w:rFonts w:ascii="Times New Roman" w:hAnsi="Times New Roman" w:cs="Times New Roman"/>
          <w:sz w:val="24"/>
          <w:szCs w:val="24"/>
        </w:rPr>
      </w:pPr>
      <w:r w:rsidRPr="008E62ED">
        <w:rPr>
          <w:rFonts w:ascii="Times New Roman" w:hAnsi="Times New Roman" w:cs="Times New Roman"/>
          <w:sz w:val="24"/>
          <w:szCs w:val="24"/>
        </w:rPr>
        <w:t xml:space="preserve">On </w:t>
      </w:r>
      <w:r>
        <w:rPr>
          <w:rFonts w:ascii="Times New Roman" w:hAnsi="Times New Roman" w:cs="Times New Roman"/>
          <w:sz w:val="24"/>
          <w:szCs w:val="24"/>
        </w:rPr>
        <w:t xml:space="preserve">10 December 2016, the </w:t>
      </w:r>
      <w:r w:rsidRPr="008E62ED">
        <w:rPr>
          <w:rFonts w:ascii="Times New Roman" w:hAnsi="Times New Roman" w:cs="Times New Roman"/>
          <w:sz w:val="24"/>
          <w:szCs w:val="24"/>
        </w:rPr>
        <w:t>management plan for the Tasmanian Wilderness World Heritage Area was</w:t>
      </w:r>
      <w:r>
        <w:rPr>
          <w:rFonts w:ascii="Times New Roman" w:hAnsi="Times New Roman" w:cs="Times New Roman"/>
          <w:sz w:val="24"/>
          <w:szCs w:val="24"/>
        </w:rPr>
        <w:t xml:space="preserve"> published. </w:t>
      </w:r>
      <w:r w:rsidRPr="008E62ED">
        <w:rPr>
          <w:rFonts w:ascii="Times New Roman" w:hAnsi="Times New Roman" w:cs="Times New Roman"/>
          <w:sz w:val="24"/>
          <w:szCs w:val="24"/>
        </w:rPr>
        <w:t xml:space="preserve">The </w:t>
      </w:r>
      <w:r>
        <w:rPr>
          <w:rFonts w:ascii="Times New Roman" w:hAnsi="Times New Roman" w:cs="Times New Roman"/>
          <w:sz w:val="24"/>
          <w:szCs w:val="24"/>
        </w:rPr>
        <w:t xml:space="preserve">2016 </w:t>
      </w:r>
      <w:r w:rsidRPr="008E62ED">
        <w:rPr>
          <w:rFonts w:ascii="Times New Roman" w:hAnsi="Times New Roman" w:cs="Times New Roman"/>
          <w:sz w:val="24"/>
          <w:szCs w:val="24"/>
        </w:rPr>
        <w:t>management plan recognises the impact of fire as the greatest challenge for the management of the property. The new management plan takes into account the recommendations of the Australasian Fire and Emergency Service</w:t>
      </w:r>
      <w:r>
        <w:rPr>
          <w:rFonts w:ascii="Times New Roman" w:hAnsi="Times New Roman" w:cs="Times New Roman"/>
          <w:sz w:val="24"/>
          <w:szCs w:val="24"/>
        </w:rPr>
        <w:t xml:space="preserve"> Authorities Council</w:t>
      </w:r>
      <w:r w:rsidRPr="008E62ED">
        <w:rPr>
          <w:rFonts w:ascii="Times New Roman" w:hAnsi="Times New Roman" w:cs="Times New Roman"/>
          <w:sz w:val="24"/>
          <w:szCs w:val="24"/>
        </w:rPr>
        <w:t>’s independent review of 2016 fires by:</w:t>
      </w:r>
    </w:p>
    <w:p w14:paraId="670D422C" w14:textId="77777777" w:rsidR="00DB307A" w:rsidRPr="008E62ED" w:rsidRDefault="00D74C06" w:rsidP="00DB307A">
      <w:pPr>
        <w:pStyle w:val="ListBullet2"/>
        <w:rPr>
          <w:rFonts w:ascii="Times New Roman" w:hAnsi="Times New Roman" w:cs="Times New Roman"/>
          <w:sz w:val="24"/>
          <w:szCs w:val="24"/>
        </w:rPr>
      </w:pPr>
      <w:r w:rsidRPr="008E62ED">
        <w:rPr>
          <w:rFonts w:ascii="Times New Roman" w:hAnsi="Times New Roman" w:cs="Times New Roman"/>
          <w:sz w:val="24"/>
          <w:szCs w:val="24"/>
        </w:rPr>
        <w:t>addressing communication of fire management to key stakeholders</w:t>
      </w:r>
    </w:p>
    <w:p w14:paraId="670D422D" w14:textId="77777777" w:rsidR="00DB307A" w:rsidRPr="008E62ED" w:rsidRDefault="00D74C06" w:rsidP="00DB307A">
      <w:pPr>
        <w:pStyle w:val="ListBullet2"/>
        <w:rPr>
          <w:rFonts w:ascii="Times New Roman" w:hAnsi="Times New Roman" w:cs="Times New Roman"/>
          <w:sz w:val="24"/>
          <w:szCs w:val="24"/>
        </w:rPr>
      </w:pPr>
      <w:proofErr w:type="gramStart"/>
      <w:r w:rsidRPr="008E62ED">
        <w:rPr>
          <w:rFonts w:ascii="Times New Roman" w:hAnsi="Times New Roman" w:cs="Times New Roman"/>
          <w:sz w:val="24"/>
          <w:szCs w:val="24"/>
        </w:rPr>
        <w:t>detailing</w:t>
      </w:r>
      <w:proofErr w:type="gramEnd"/>
      <w:r w:rsidRPr="008E62ED">
        <w:rPr>
          <w:rFonts w:ascii="Times New Roman" w:hAnsi="Times New Roman" w:cs="Times New Roman"/>
          <w:sz w:val="24"/>
          <w:szCs w:val="24"/>
        </w:rPr>
        <w:t xml:space="preserve"> cross tenure fire management arrangements and legislative obligations.</w:t>
      </w:r>
    </w:p>
    <w:p w14:paraId="670D422E" w14:textId="77777777" w:rsidR="00DB307A" w:rsidRPr="008E62ED" w:rsidRDefault="00D74C06" w:rsidP="00DB307A">
      <w:pPr>
        <w:pStyle w:val="ListBullet"/>
        <w:numPr>
          <w:ilvl w:val="0"/>
          <w:numId w:val="0"/>
        </w:numPr>
        <w:rPr>
          <w:rFonts w:ascii="Times New Roman" w:hAnsi="Times New Roman" w:cs="Times New Roman"/>
          <w:sz w:val="24"/>
          <w:szCs w:val="24"/>
        </w:rPr>
      </w:pPr>
      <w:r w:rsidRPr="008E62ED">
        <w:rPr>
          <w:rFonts w:ascii="Times New Roman" w:hAnsi="Times New Roman" w:cs="Times New Roman"/>
          <w:sz w:val="24"/>
          <w:szCs w:val="24"/>
        </w:rPr>
        <w:t xml:space="preserve">The </w:t>
      </w:r>
      <w:r>
        <w:rPr>
          <w:rFonts w:ascii="Times New Roman" w:hAnsi="Times New Roman" w:cs="Times New Roman"/>
          <w:sz w:val="24"/>
          <w:szCs w:val="24"/>
        </w:rPr>
        <w:t>new</w:t>
      </w:r>
      <w:r w:rsidRPr="008E62ED">
        <w:rPr>
          <w:rFonts w:ascii="Times New Roman" w:hAnsi="Times New Roman" w:cs="Times New Roman"/>
          <w:sz w:val="24"/>
          <w:szCs w:val="24"/>
        </w:rPr>
        <w:t xml:space="preserve"> management plan puts in place a range of measures to mitigate the impact of </w:t>
      </w:r>
      <w:r>
        <w:rPr>
          <w:rFonts w:ascii="Times New Roman" w:hAnsi="Times New Roman" w:cs="Times New Roman"/>
          <w:sz w:val="24"/>
          <w:szCs w:val="24"/>
        </w:rPr>
        <w:t>bush</w:t>
      </w:r>
      <w:r w:rsidRPr="008E62ED">
        <w:rPr>
          <w:rFonts w:ascii="Times New Roman" w:hAnsi="Times New Roman" w:cs="Times New Roman"/>
          <w:sz w:val="24"/>
          <w:szCs w:val="24"/>
        </w:rPr>
        <w:t>fire on the property, including through research</w:t>
      </w:r>
      <w:r>
        <w:rPr>
          <w:rFonts w:ascii="Times New Roman" w:hAnsi="Times New Roman" w:cs="Times New Roman"/>
          <w:sz w:val="24"/>
          <w:szCs w:val="24"/>
        </w:rPr>
        <w:t xml:space="preserve"> and </w:t>
      </w:r>
      <w:r w:rsidRPr="008E62ED">
        <w:rPr>
          <w:rFonts w:ascii="Times New Roman" w:hAnsi="Times New Roman" w:cs="Times New Roman"/>
          <w:sz w:val="24"/>
          <w:szCs w:val="24"/>
        </w:rPr>
        <w:t>ecological burning</w:t>
      </w:r>
      <w:r>
        <w:rPr>
          <w:rFonts w:ascii="Times New Roman" w:hAnsi="Times New Roman" w:cs="Times New Roman"/>
          <w:sz w:val="24"/>
          <w:szCs w:val="24"/>
        </w:rPr>
        <w:t>. Fire management in the Tasmanian Wilderness is based upon a well-developed strategic risk-management approach that assesses, identifies, prioritises and manages the risk posed to reserve values.</w:t>
      </w:r>
    </w:p>
    <w:p w14:paraId="670D422F" w14:textId="77777777" w:rsidR="00DB307A" w:rsidRPr="008E62ED" w:rsidRDefault="00D74C06" w:rsidP="00DB307A">
      <w:pPr>
        <w:pStyle w:val="ListBullet"/>
        <w:numPr>
          <w:ilvl w:val="0"/>
          <w:numId w:val="0"/>
        </w:numPr>
        <w:rPr>
          <w:rFonts w:ascii="Times New Roman" w:hAnsi="Times New Roman" w:cs="Times New Roman"/>
          <w:sz w:val="24"/>
          <w:szCs w:val="24"/>
        </w:rPr>
      </w:pPr>
      <w:r w:rsidRPr="008E62ED">
        <w:rPr>
          <w:rFonts w:ascii="Times New Roman" w:hAnsi="Times New Roman" w:cs="Times New Roman"/>
          <w:sz w:val="24"/>
          <w:szCs w:val="24"/>
        </w:rPr>
        <w:t xml:space="preserve">The Tasmanian Government </w:t>
      </w:r>
      <w:r>
        <w:rPr>
          <w:rFonts w:ascii="Times New Roman" w:hAnsi="Times New Roman" w:cs="Times New Roman"/>
          <w:sz w:val="24"/>
          <w:szCs w:val="24"/>
        </w:rPr>
        <w:t>will develop a</w:t>
      </w:r>
      <w:r w:rsidRPr="008E62ED">
        <w:rPr>
          <w:rFonts w:ascii="Times New Roman" w:hAnsi="Times New Roman" w:cs="Times New Roman"/>
          <w:sz w:val="24"/>
          <w:szCs w:val="24"/>
        </w:rPr>
        <w:t xml:space="preserve"> holistic fire plan covering all aspects of fire management </w:t>
      </w:r>
      <w:r>
        <w:rPr>
          <w:rFonts w:ascii="Times New Roman" w:hAnsi="Times New Roman" w:cs="Times New Roman"/>
          <w:sz w:val="24"/>
          <w:szCs w:val="24"/>
        </w:rPr>
        <w:t xml:space="preserve">for the property which </w:t>
      </w:r>
      <w:r w:rsidRPr="008E62ED">
        <w:rPr>
          <w:rFonts w:ascii="Times New Roman" w:hAnsi="Times New Roman" w:cs="Times New Roman"/>
          <w:sz w:val="24"/>
          <w:szCs w:val="24"/>
        </w:rPr>
        <w:t>will:</w:t>
      </w:r>
    </w:p>
    <w:p w14:paraId="670D4230" w14:textId="77777777" w:rsidR="00DB307A" w:rsidRPr="008E62ED" w:rsidRDefault="00D74C06" w:rsidP="00DB307A">
      <w:pPr>
        <w:pStyle w:val="ListBullet2"/>
        <w:rPr>
          <w:rFonts w:ascii="Times New Roman" w:hAnsi="Times New Roman" w:cs="Times New Roman"/>
          <w:sz w:val="24"/>
          <w:szCs w:val="24"/>
        </w:rPr>
      </w:pPr>
      <w:r w:rsidRPr="008E62ED">
        <w:rPr>
          <w:rFonts w:ascii="Times New Roman" w:hAnsi="Times New Roman" w:cs="Times New Roman"/>
          <w:sz w:val="24"/>
          <w:szCs w:val="24"/>
        </w:rPr>
        <w:t>include objectives to guide fire management for the protection and conservation of the property’s Outstanding Universal Value</w:t>
      </w:r>
    </w:p>
    <w:p w14:paraId="670D4231" w14:textId="77777777" w:rsidR="00B63E39" w:rsidRPr="008E62ED" w:rsidRDefault="00D74C06" w:rsidP="00AD788F">
      <w:pPr>
        <w:pStyle w:val="ListBullet2"/>
        <w:rPr>
          <w:rFonts w:ascii="Times New Roman" w:hAnsi="Times New Roman" w:cs="Times New Roman"/>
          <w:sz w:val="24"/>
          <w:szCs w:val="24"/>
        </w:rPr>
      </w:pPr>
      <w:proofErr w:type="gramStart"/>
      <w:r w:rsidRPr="008E62ED">
        <w:rPr>
          <w:rFonts w:ascii="Times New Roman" w:hAnsi="Times New Roman" w:cs="Times New Roman"/>
          <w:sz w:val="24"/>
          <w:szCs w:val="24"/>
        </w:rPr>
        <w:t>provide</w:t>
      </w:r>
      <w:proofErr w:type="gramEnd"/>
      <w:r w:rsidRPr="008E62ED">
        <w:rPr>
          <w:rFonts w:ascii="Times New Roman" w:hAnsi="Times New Roman" w:cs="Times New Roman"/>
          <w:sz w:val="24"/>
          <w:szCs w:val="24"/>
        </w:rPr>
        <w:t xml:space="preserve"> guidance for prioritising the protection of the property’s Outstanding Universal Value over other values or structures</w:t>
      </w:r>
      <w:r>
        <w:rPr>
          <w:rFonts w:ascii="Times New Roman" w:hAnsi="Times New Roman" w:cs="Times New Roman"/>
          <w:sz w:val="24"/>
          <w:szCs w:val="24"/>
        </w:rPr>
        <w:t>.</w:t>
      </w:r>
    </w:p>
    <w:sectPr w:rsidR="00B63E39" w:rsidRPr="008E62ED" w:rsidSect="00793C0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135" w:left="1440" w:header="709" w:footer="6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D4239" w14:textId="77777777" w:rsidR="003D0E5A" w:rsidRDefault="00D74C06">
      <w:r>
        <w:separator/>
      </w:r>
    </w:p>
  </w:endnote>
  <w:endnote w:type="continuationSeparator" w:id="0">
    <w:p w14:paraId="670D423B" w14:textId="77777777" w:rsidR="003D0E5A" w:rsidRDefault="00D7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A34C" w14:textId="77777777" w:rsidR="008D58F5" w:rsidRDefault="008D58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D4234" w14:textId="77777777" w:rsidR="00331D6D" w:rsidRDefault="00D74C06" w:rsidP="00331D6D">
    <w:pPr>
      <w:pStyle w:val="Footer"/>
      <w:jc w:val="center"/>
    </w:pPr>
    <w:r>
      <w:fldChar w:fldCharType="begin"/>
    </w:r>
    <w:r>
      <w:instrText xml:space="preserve"> PAGE  \* Arabic  \* MERGEFORMAT </w:instrText>
    </w:r>
    <w:r>
      <w:fldChar w:fldCharType="separate"/>
    </w:r>
    <w:r w:rsidR="008D58F5">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3B571" w14:textId="77777777" w:rsidR="008D58F5" w:rsidRDefault="008D5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4235" w14:textId="77777777" w:rsidR="003D0E5A" w:rsidRDefault="00D74C06">
      <w:r>
        <w:separator/>
      </w:r>
    </w:p>
  </w:footnote>
  <w:footnote w:type="continuationSeparator" w:id="0">
    <w:p w14:paraId="670D4237" w14:textId="77777777" w:rsidR="003D0E5A" w:rsidRDefault="00D74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731B8" w14:textId="77777777" w:rsidR="008D58F5" w:rsidRDefault="008D58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59DEE" w14:textId="77777777" w:rsidR="008D58F5" w:rsidRDefault="008D58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435A6" w14:textId="77777777" w:rsidR="008D58F5" w:rsidRDefault="008D58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02A8B"/>
    <w:multiLevelType w:val="hybridMultilevel"/>
    <w:tmpl w:val="904E723E"/>
    <w:lvl w:ilvl="0" w:tplc="51BE4244">
      <w:start w:val="1"/>
      <w:numFmt w:val="bullet"/>
      <w:lvlText w:val=""/>
      <w:lvlJc w:val="left"/>
      <w:pPr>
        <w:ind w:left="720" w:hanging="360"/>
      </w:pPr>
      <w:rPr>
        <w:rFonts w:ascii="Symbol" w:hAnsi="Symbol" w:hint="default"/>
      </w:rPr>
    </w:lvl>
    <w:lvl w:ilvl="1" w:tplc="AA448BE6" w:tentative="1">
      <w:start w:val="1"/>
      <w:numFmt w:val="bullet"/>
      <w:lvlText w:val="o"/>
      <w:lvlJc w:val="left"/>
      <w:pPr>
        <w:ind w:left="1440" w:hanging="360"/>
      </w:pPr>
      <w:rPr>
        <w:rFonts w:ascii="Courier New" w:hAnsi="Courier New" w:cs="Courier New" w:hint="default"/>
      </w:rPr>
    </w:lvl>
    <w:lvl w:ilvl="2" w:tplc="98FCAB84" w:tentative="1">
      <w:start w:val="1"/>
      <w:numFmt w:val="bullet"/>
      <w:lvlText w:val=""/>
      <w:lvlJc w:val="left"/>
      <w:pPr>
        <w:ind w:left="2160" w:hanging="360"/>
      </w:pPr>
      <w:rPr>
        <w:rFonts w:ascii="Wingdings" w:hAnsi="Wingdings" w:hint="default"/>
      </w:rPr>
    </w:lvl>
    <w:lvl w:ilvl="3" w:tplc="976E04AA" w:tentative="1">
      <w:start w:val="1"/>
      <w:numFmt w:val="bullet"/>
      <w:lvlText w:val=""/>
      <w:lvlJc w:val="left"/>
      <w:pPr>
        <w:ind w:left="2880" w:hanging="360"/>
      </w:pPr>
      <w:rPr>
        <w:rFonts w:ascii="Symbol" w:hAnsi="Symbol" w:hint="default"/>
      </w:rPr>
    </w:lvl>
    <w:lvl w:ilvl="4" w:tplc="2836FC46" w:tentative="1">
      <w:start w:val="1"/>
      <w:numFmt w:val="bullet"/>
      <w:lvlText w:val="o"/>
      <w:lvlJc w:val="left"/>
      <w:pPr>
        <w:ind w:left="3600" w:hanging="360"/>
      </w:pPr>
      <w:rPr>
        <w:rFonts w:ascii="Courier New" w:hAnsi="Courier New" w:cs="Courier New" w:hint="default"/>
      </w:rPr>
    </w:lvl>
    <w:lvl w:ilvl="5" w:tplc="9EBE5080" w:tentative="1">
      <w:start w:val="1"/>
      <w:numFmt w:val="bullet"/>
      <w:lvlText w:val=""/>
      <w:lvlJc w:val="left"/>
      <w:pPr>
        <w:ind w:left="4320" w:hanging="360"/>
      </w:pPr>
      <w:rPr>
        <w:rFonts w:ascii="Wingdings" w:hAnsi="Wingdings" w:hint="default"/>
      </w:rPr>
    </w:lvl>
    <w:lvl w:ilvl="6" w:tplc="B3B25390" w:tentative="1">
      <w:start w:val="1"/>
      <w:numFmt w:val="bullet"/>
      <w:lvlText w:val=""/>
      <w:lvlJc w:val="left"/>
      <w:pPr>
        <w:ind w:left="5040" w:hanging="360"/>
      </w:pPr>
      <w:rPr>
        <w:rFonts w:ascii="Symbol" w:hAnsi="Symbol" w:hint="default"/>
      </w:rPr>
    </w:lvl>
    <w:lvl w:ilvl="7" w:tplc="15722F8A" w:tentative="1">
      <w:start w:val="1"/>
      <w:numFmt w:val="bullet"/>
      <w:lvlText w:val="o"/>
      <w:lvlJc w:val="left"/>
      <w:pPr>
        <w:ind w:left="5760" w:hanging="360"/>
      </w:pPr>
      <w:rPr>
        <w:rFonts w:ascii="Courier New" w:hAnsi="Courier New" w:cs="Courier New" w:hint="default"/>
      </w:rPr>
    </w:lvl>
    <w:lvl w:ilvl="8" w:tplc="3F52AA08" w:tentative="1">
      <w:start w:val="1"/>
      <w:numFmt w:val="bullet"/>
      <w:lvlText w:val=""/>
      <w:lvlJc w:val="left"/>
      <w:pPr>
        <w:ind w:left="6480" w:hanging="360"/>
      </w:pPr>
      <w:rPr>
        <w:rFonts w:ascii="Wingdings" w:hAnsi="Wingdings" w:hint="default"/>
      </w:rPr>
    </w:lvl>
  </w:abstractNum>
  <w:abstractNum w:abstractNumId="1" w15:restartNumberingAfterBreak="0">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38044061"/>
    <w:multiLevelType w:val="hybridMultilevel"/>
    <w:tmpl w:val="C5F85BC8"/>
    <w:lvl w:ilvl="0" w:tplc="EC0E7D94">
      <w:numFmt w:val="bullet"/>
      <w:lvlText w:val="•"/>
      <w:lvlJc w:val="left"/>
      <w:pPr>
        <w:ind w:left="720" w:hanging="360"/>
      </w:pPr>
      <w:rPr>
        <w:rFonts w:ascii="Times New Roman" w:eastAsia="Times New Roman" w:hAnsi="Times New Roman" w:cs="Times New Roman" w:hint="default"/>
      </w:rPr>
    </w:lvl>
    <w:lvl w:ilvl="1" w:tplc="049C37B6" w:tentative="1">
      <w:start w:val="1"/>
      <w:numFmt w:val="bullet"/>
      <w:lvlText w:val="o"/>
      <w:lvlJc w:val="left"/>
      <w:pPr>
        <w:ind w:left="1440" w:hanging="360"/>
      </w:pPr>
      <w:rPr>
        <w:rFonts w:ascii="Courier New" w:hAnsi="Courier New" w:cs="Courier New" w:hint="default"/>
      </w:rPr>
    </w:lvl>
    <w:lvl w:ilvl="2" w:tplc="9402B362" w:tentative="1">
      <w:start w:val="1"/>
      <w:numFmt w:val="bullet"/>
      <w:lvlText w:val=""/>
      <w:lvlJc w:val="left"/>
      <w:pPr>
        <w:ind w:left="2160" w:hanging="360"/>
      </w:pPr>
      <w:rPr>
        <w:rFonts w:ascii="Wingdings" w:hAnsi="Wingdings" w:hint="default"/>
      </w:rPr>
    </w:lvl>
    <w:lvl w:ilvl="3" w:tplc="5D505272" w:tentative="1">
      <w:start w:val="1"/>
      <w:numFmt w:val="bullet"/>
      <w:lvlText w:val=""/>
      <w:lvlJc w:val="left"/>
      <w:pPr>
        <w:ind w:left="2880" w:hanging="360"/>
      </w:pPr>
      <w:rPr>
        <w:rFonts w:ascii="Symbol" w:hAnsi="Symbol" w:hint="default"/>
      </w:rPr>
    </w:lvl>
    <w:lvl w:ilvl="4" w:tplc="3FBEA6E2" w:tentative="1">
      <w:start w:val="1"/>
      <w:numFmt w:val="bullet"/>
      <w:lvlText w:val="o"/>
      <w:lvlJc w:val="left"/>
      <w:pPr>
        <w:ind w:left="3600" w:hanging="360"/>
      </w:pPr>
      <w:rPr>
        <w:rFonts w:ascii="Courier New" w:hAnsi="Courier New" w:cs="Courier New" w:hint="default"/>
      </w:rPr>
    </w:lvl>
    <w:lvl w:ilvl="5" w:tplc="C35426AC" w:tentative="1">
      <w:start w:val="1"/>
      <w:numFmt w:val="bullet"/>
      <w:lvlText w:val=""/>
      <w:lvlJc w:val="left"/>
      <w:pPr>
        <w:ind w:left="4320" w:hanging="360"/>
      </w:pPr>
      <w:rPr>
        <w:rFonts w:ascii="Wingdings" w:hAnsi="Wingdings" w:hint="default"/>
      </w:rPr>
    </w:lvl>
    <w:lvl w:ilvl="6" w:tplc="14B0F6C2" w:tentative="1">
      <w:start w:val="1"/>
      <w:numFmt w:val="bullet"/>
      <w:lvlText w:val=""/>
      <w:lvlJc w:val="left"/>
      <w:pPr>
        <w:ind w:left="5040" w:hanging="360"/>
      </w:pPr>
      <w:rPr>
        <w:rFonts w:ascii="Symbol" w:hAnsi="Symbol" w:hint="default"/>
      </w:rPr>
    </w:lvl>
    <w:lvl w:ilvl="7" w:tplc="1BA87C92" w:tentative="1">
      <w:start w:val="1"/>
      <w:numFmt w:val="bullet"/>
      <w:lvlText w:val="o"/>
      <w:lvlJc w:val="left"/>
      <w:pPr>
        <w:ind w:left="5760" w:hanging="360"/>
      </w:pPr>
      <w:rPr>
        <w:rFonts w:ascii="Courier New" w:hAnsi="Courier New" w:cs="Courier New" w:hint="default"/>
      </w:rPr>
    </w:lvl>
    <w:lvl w:ilvl="8" w:tplc="4D24D80A" w:tentative="1">
      <w:start w:val="1"/>
      <w:numFmt w:val="bullet"/>
      <w:lvlText w:val=""/>
      <w:lvlJc w:val="left"/>
      <w:pPr>
        <w:ind w:left="6480" w:hanging="360"/>
      </w:pPr>
      <w:rPr>
        <w:rFonts w:ascii="Wingdings" w:hAnsi="Wingdings" w:hint="default"/>
      </w:rPr>
    </w:lvl>
  </w:abstractNum>
  <w:abstractNum w:abstractNumId="3" w15:restartNumberingAfterBreak="0">
    <w:nsid w:val="435A0FFF"/>
    <w:multiLevelType w:val="hybridMultilevel"/>
    <w:tmpl w:val="982E8B04"/>
    <w:lvl w:ilvl="0" w:tplc="68E0E9BC">
      <w:start w:val="1"/>
      <w:numFmt w:val="bullet"/>
      <w:lvlText w:val=""/>
      <w:lvlJc w:val="left"/>
      <w:pPr>
        <w:ind w:left="720" w:hanging="360"/>
      </w:pPr>
      <w:rPr>
        <w:rFonts w:ascii="Symbol" w:hAnsi="Symbol" w:hint="default"/>
      </w:rPr>
    </w:lvl>
    <w:lvl w:ilvl="1" w:tplc="75CE0594" w:tentative="1">
      <w:start w:val="1"/>
      <w:numFmt w:val="bullet"/>
      <w:lvlText w:val="o"/>
      <w:lvlJc w:val="left"/>
      <w:pPr>
        <w:ind w:left="1440" w:hanging="360"/>
      </w:pPr>
      <w:rPr>
        <w:rFonts w:ascii="Courier New" w:hAnsi="Courier New" w:cs="Courier New" w:hint="default"/>
      </w:rPr>
    </w:lvl>
    <w:lvl w:ilvl="2" w:tplc="6B60E46A" w:tentative="1">
      <w:start w:val="1"/>
      <w:numFmt w:val="bullet"/>
      <w:lvlText w:val=""/>
      <w:lvlJc w:val="left"/>
      <w:pPr>
        <w:ind w:left="2160" w:hanging="360"/>
      </w:pPr>
      <w:rPr>
        <w:rFonts w:ascii="Wingdings" w:hAnsi="Wingdings" w:hint="default"/>
      </w:rPr>
    </w:lvl>
    <w:lvl w:ilvl="3" w:tplc="3B905528" w:tentative="1">
      <w:start w:val="1"/>
      <w:numFmt w:val="bullet"/>
      <w:lvlText w:val=""/>
      <w:lvlJc w:val="left"/>
      <w:pPr>
        <w:ind w:left="2880" w:hanging="360"/>
      </w:pPr>
      <w:rPr>
        <w:rFonts w:ascii="Symbol" w:hAnsi="Symbol" w:hint="default"/>
      </w:rPr>
    </w:lvl>
    <w:lvl w:ilvl="4" w:tplc="42285CCE" w:tentative="1">
      <w:start w:val="1"/>
      <w:numFmt w:val="bullet"/>
      <w:lvlText w:val="o"/>
      <w:lvlJc w:val="left"/>
      <w:pPr>
        <w:ind w:left="3600" w:hanging="360"/>
      </w:pPr>
      <w:rPr>
        <w:rFonts w:ascii="Courier New" w:hAnsi="Courier New" w:cs="Courier New" w:hint="default"/>
      </w:rPr>
    </w:lvl>
    <w:lvl w:ilvl="5" w:tplc="BA9C96B6" w:tentative="1">
      <w:start w:val="1"/>
      <w:numFmt w:val="bullet"/>
      <w:lvlText w:val=""/>
      <w:lvlJc w:val="left"/>
      <w:pPr>
        <w:ind w:left="4320" w:hanging="360"/>
      </w:pPr>
      <w:rPr>
        <w:rFonts w:ascii="Wingdings" w:hAnsi="Wingdings" w:hint="default"/>
      </w:rPr>
    </w:lvl>
    <w:lvl w:ilvl="6" w:tplc="579A22E2" w:tentative="1">
      <w:start w:val="1"/>
      <w:numFmt w:val="bullet"/>
      <w:lvlText w:val=""/>
      <w:lvlJc w:val="left"/>
      <w:pPr>
        <w:ind w:left="5040" w:hanging="360"/>
      </w:pPr>
      <w:rPr>
        <w:rFonts w:ascii="Symbol" w:hAnsi="Symbol" w:hint="default"/>
      </w:rPr>
    </w:lvl>
    <w:lvl w:ilvl="7" w:tplc="967698FE" w:tentative="1">
      <w:start w:val="1"/>
      <w:numFmt w:val="bullet"/>
      <w:lvlText w:val="o"/>
      <w:lvlJc w:val="left"/>
      <w:pPr>
        <w:ind w:left="5760" w:hanging="360"/>
      </w:pPr>
      <w:rPr>
        <w:rFonts w:ascii="Courier New" w:hAnsi="Courier New" w:cs="Courier New" w:hint="default"/>
      </w:rPr>
    </w:lvl>
    <w:lvl w:ilvl="8" w:tplc="DBDC1D16" w:tentative="1">
      <w:start w:val="1"/>
      <w:numFmt w:val="bullet"/>
      <w:lvlText w:val=""/>
      <w:lvlJc w:val="left"/>
      <w:pPr>
        <w:ind w:left="6480" w:hanging="360"/>
      </w:pPr>
      <w:rPr>
        <w:rFonts w:ascii="Wingdings" w:hAnsi="Wingdings" w:hint="default"/>
      </w:rPr>
    </w:lvl>
  </w:abstractNum>
  <w:abstractNum w:abstractNumId="4" w15:restartNumberingAfterBreak="0">
    <w:nsid w:val="4804059B"/>
    <w:multiLevelType w:val="hybridMultilevel"/>
    <w:tmpl w:val="C1A6B9A4"/>
    <w:lvl w:ilvl="0" w:tplc="A4027AF4">
      <w:start w:val="1"/>
      <w:numFmt w:val="upperLetter"/>
      <w:pStyle w:val="LegalRecitals"/>
      <w:lvlText w:val="%1."/>
      <w:lvlJc w:val="left"/>
      <w:pPr>
        <w:ind w:left="720" w:hanging="360"/>
      </w:pPr>
      <w:rPr>
        <w:rFonts w:ascii="Arial" w:hAnsi="Arial" w:cs="Times New Roman" w:hint="default"/>
        <w:b w:val="0"/>
        <w:i w:val="0"/>
        <w:sz w:val="22"/>
      </w:rPr>
    </w:lvl>
    <w:lvl w:ilvl="1" w:tplc="4E72D532">
      <w:start w:val="1"/>
      <w:numFmt w:val="lowerLetter"/>
      <w:lvlText w:val="%2."/>
      <w:lvlJc w:val="left"/>
      <w:pPr>
        <w:ind w:left="1440" w:hanging="360"/>
      </w:pPr>
    </w:lvl>
    <w:lvl w:ilvl="2" w:tplc="98523126">
      <w:start w:val="1"/>
      <w:numFmt w:val="lowerRoman"/>
      <w:lvlText w:val="%3."/>
      <w:lvlJc w:val="right"/>
      <w:pPr>
        <w:ind w:left="2160" w:hanging="180"/>
      </w:pPr>
    </w:lvl>
    <w:lvl w:ilvl="3" w:tplc="F3521FEA">
      <w:start w:val="1"/>
      <w:numFmt w:val="decimal"/>
      <w:lvlText w:val="%4."/>
      <w:lvlJc w:val="left"/>
      <w:pPr>
        <w:ind w:left="2880" w:hanging="360"/>
      </w:pPr>
    </w:lvl>
    <w:lvl w:ilvl="4" w:tplc="CDE4398C">
      <w:start w:val="1"/>
      <w:numFmt w:val="lowerLetter"/>
      <w:lvlText w:val="%5."/>
      <w:lvlJc w:val="left"/>
      <w:pPr>
        <w:ind w:left="3600" w:hanging="360"/>
      </w:pPr>
    </w:lvl>
    <w:lvl w:ilvl="5" w:tplc="1DB29438">
      <w:start w:val="1"/>
      <w:numFmt w:val="lowerRoman"/>
      <w:lvlText w:val="%6."/>
      <w:lvlJc w:val="right"/>
      <w:pPr>
        <w:ind w:left="4320" w:hanging="180"/>
      </w:pPr>
    </w:lvl>
    <w:lvl w:ilvl="6" w:tplc="BAAAC500">
      <w:start w:val="1"/>
      <w:numFmt w:val="decimal"/>
      <w:lvlText w:val="%7."/>
      <w:lvlJc w:val="left"/>
      <w:pPr>
        <w:ind w:left="5040" w:hanging="360"/>
      </w:pPr>
    </w:lvl>
    <w:lvl w:ilvl="7" w:tplc="3B4067E6">
      <w:start w:val="1"/>
      <w:numFmt w:val="lowerLetter"/>
      <w:lvlText w:val="%8."/>
      <w:lvlJc w:val="left"/>
      <w:pPr>
        <w:ind w:left="5760" w:hanging="360"/>
      </w:pPr>
    </w:lvl>
    <w:lvl w:ilvl="8" w:tplc="3FD8BD40">
      <w:start w:val="1"/>
      <w:numFmt w:val="lowerRoman"/>
      <w:lvlText w:val="%9."/>
      <w:lvlJc w:val="right"/>
      <w:pPr>
        <w:ind w:left="6480" w:hanging="180"/>
      </w:pPr>
    </w:lvl>
  </w:abstractNum>
  <w:abstractNum w:abstractNumId="5" w15:restartNumberingAfterBreak="0">
    <w:nsid w:val="5F4A744C"/>
    <w:multiLevelType w:val="hybridMultilevel"/>
    <w:tmpl w:val="50C611B2"/>
    <w:lvl w:ilvl="0" w:tplc="B55CFD22">
      <w:start w:val="1"/>
      <w:numFmt w:val="decimal"/>
      <w:lvlText w:val="%1."/>
      <w:lvlJc w:val="left"/>
      <w:pPr>
        <w:ind w:left="1080" w:hanging="720"/>
      </w:pPr>
      <w:rPr>
        <w:rFonts w:hint="default"/>
      </w:rPr>
    </w:lvl>
    <w:lvl w:ilvl="1" w:tplc="9E64F0B0">
      <w:start w:val="1"/>
      <w:numFmt w:val="lowerLetter"/>
      <w:lvlText w:val="%2."/>
      <w:lvlJc w:val="left"/>
      <w:pPr>
        <w:ind w:left="1440" w:hanging="360"/>
      </w:pPr>
    </w:lvl>
    <w:lvl w:ilvl="2" w:tplc="1F4ACC48" w:tentative="1">
      <w:start w:val="1"/>
      <w:numFmt w:val="lowerRoman"/>
      <w:lvlText w:val="%3."/>
      <w:lvlJc w:val="right"/>
      <w:pPr>
        <w:ind w:left="2160" w:hanging="180"/>
      </w:pPr>
    </w:lvl>
    <w:lvl w:ilvl="3" w:tplc="5E4E2AC2" w:tentative="1">
      <w:start w:val="1"/>
      <w:numFmt w:val="decimal"/>
      <w:lvlText w:val="%4."/>
      <w:lvlJc w:val="left"/>
      <w:pPr>
        <w:ind w:left="2880" w:hanging="360"/>
      </w:pPr>
    </w:lvl>
    <w:lvl w:ilvl="4" w:tplc="B044C44A" w:tentative="1">
      <w:start w:val="1"/>
      <w:numFmt w:val="lowerLetter"/>
      <w:lvlText w:val="%5."/>
      <w:lvlJc w:val="left"/>
      <w:pPr>
        <w:ind w:left="3600" w:hanging="360"/>
      </w:pPr>
    </w:lvl>
    <w:lvl w:ilvl="5" w:tplc="C0284882" w:tentative="1">
      <w:start w:val="1"/>
      <w:numFmt w:val="lowerRoman"/>
      <w:lvlText w:val="%6."/>
      <w:lvlJc w:val="right"/>
      <w:pPr>
        <w:ind w:left="4320" w:hanging="180"/>
      </w:pPr>
    </w:lvl>
    <w:lvl w:ilvl="6" w:tplc="226E2D40" w:tentative="1">
      <w:start w:val="1"/>
      <w:numFmt w:val="decimal"/>
      <w:lvlText w:val="%7."/>
      <w:lvlJc w:val="left"/>
      <w:pPr>
        <w:ind w:left="5040" w:hanging="360"/>
      </w:pPr>
    </w:lvl>
    <w:lvl w:ilvl="7" w:tplc="7AF80CD0" w:tentative="1">
      <w:start w:val="1"/>
      <w:numFmt w:val="lowerLetter"/>
      <w:lvlText w:val="%8."/>
      <w:lvlJc w:val="left"/>
      <w:pPr>
        <w:ind w:left="5760" w:hanging="360"/>
      </w:pPr>
    </w:lvl>
    <w:lvl w:ilvl="8" w:tplc="DFBA7AA0" w:tentative="1">
      <w:start w:val="1"/>
      <w:numFmt w:val="lowerRoman"/>
      <w:lvlText w:val="%9."/>
      <w:lvlJc w:val="right"/>
      <w:pPr>
        <w:ind w:left="6480" w:hanging="180"/>
      </w:pPr>
    </w:lvl>
  </w:abstractNum>
  <w:abstractNum w:abstractNumId="6" w15:restartNumberingAfterBreak="0">
    <w:nsid w:val="60183C0A"/>
    <w:multiLevelType w:val="hybridMultilevel"/>
    <w:tmpl w:val="07129C3A"/>
    <w:lvl w:ilvl="0" w:tplc="79183024">
      <w:start w:val="1"/>
      <w:numFmt w:val="bullet"/>
      <w:lvlText w:val=""/>
      <w:lvlJc w:val="left"/>
      <w:pPr>
        <w:ind w:left="720" w:hanging="360"/>
      </w:pPr>
      <w:rPr>
        <w:rFonts w:ascii="Symbol" w:hAnsi="Symbol" w:hint="default"/>
      </w:rPr>
    </w:lvl>
    <w:lvl w:ilvl="1" w:tplc="1A44E9F0" w:tentative="1">
      <w:start w:val="1"/>
      <w:numFmt w:val="bullet"/>
      <w:lvlText w:val="o"/>
      <w:lvlJc w:val="left"/>
      <w:pPr>
        <w:ind w:left="1440" w:hanging="360"/>
      </w:pPr>
      <w:rPr>
        <w:rFonts w:ascii="Courier New" w:hAnsi="Courier New" w:cs="Courier New" w:hint="default"/>
      </w:rPr>
    </w:lvl>
    <w:lvl w:ilvl="2" w:tplc="385A4ACA" w:tentative="1">
      <w:start w:val="1"/>
      <w:numFmt w:val="bullet"/>
      <w:lvlText w:val=""/>
      <w:lvlJc w:val="left"/>
      <w:pPr>
        <w:ind w:left="2160" w:hanging="360"/>
      </w:pPr>
      <w:rPr>
        <w:rFonts w:ascii="Wingdings" w:hAnsi="Wingdings" w:hint="default"/>
      </w:rPr>
    </w:lvl>
    <w:lvl w:ilvl="3" w:tplc="856E6998" w:tentative="1">
      <w:start w:val="1"/>
      <w:numFmt w:val="bullet"/>
      <w:lvlText w:val=""/>
      <w:lvlJc w:val="left"/>
      <w:pPr>
        <w:ind w:left="2880" w:hanging="360"/>
      </w:pPr>
      <w:rPr>
        <w:rFonts w:ascii="Symbol" w:hAnsi="Symbol" w:hint="default"/>
      </w:rPr>
    </w:lvl>
    <w:lvl w:ilvl="4" w:tplc="7BDE5A88" w:tentative="1">
      <w:start w:val="1"/>
      <w:numFmt w:val="bullet"/>
      <w:lvlText w:val="o"/>
      <w:lvlJc w:val="left"/>
      <w:pPr>
        <w:ind w:left="3600" w:hanging="360"/>
      </w:pPr>
      <w:rPr>
        <w:rFonts w:ascii="Courier New" w:hAnsi="Courier New" w:cs="Courier New" w:hint="default"/>
      </w:rPr>
    </w:lvl>
    <w:lvl w:ilvl="5" w:tplc="8582473E" w:tentative="1">
      <w:start w:val="1"/>
      <w:numFmt w:val="bullet"/>
      <w:lvlText w:val=""/>
      <w:lvlJc w:val="left"/>
      <w:pPr>
        <w:ind w:left="4320" w:hanging="360"/>
      </w:pPr>
      <w:rPr>
        <w:rFonts w:ascii="Wingdings" w:hAnsi="Wingdings" w:hint="default"/>
      </w:rPr>
    </w:lvl>
    <w:lvl w:ilvl="6" w:tplc="88800546" w:tentative="1">
      <w:start w:val="1"/>
      <w:numFmt w:val="bullet"/>
      <w:lvlText w:val=""/>
      <w:lvlJc w:val="left"/>
      <w:pPr>
        <w:ind w:left="5040" w:hanging="360"/>
      </w:pPr>
      <w:rPr>
        <w:rFonts w:ascii="Symbol" w:hAnsi="Symbol" w:hint="default"/>
      </w:rPr>
    </w:lvl>
    <w:lvl w:ilvl="7" w:tplc="AB74334E" w:tentative="1">
      <w:start w:val="1"/>
      <w:numFmt w:val="bullet"/>
      <w:lvlText w:val="o"/>
      <w:lvlJc w:val="left"/>
      <w:pPr>
        <w:ind w:left="5760" w:hanging="360"/>
      </w:pPr>
      <w:rPr>
        <w:rFonts w:ascii="Courier New" w:hAnsi="Courier New" w:cs="Courier New" w:hint="default"/>
      </w:rPr>
    </w:lvl>
    <w:lvl w:ilvl="8" w:tplc="A9E8D546" w:tentative="1">
      <w:start w:val="1"/>
      <w:numFmt w:val="bullet"/>
      <w:lvlText w:val=""/>
      <w:lvlJc w:val="left"/>
      <w:pPr>
        <w:ind w:left="6480" w:hanging="360"/>
      </w:pPr>
      <w:rPr>
        <w:rFonts w:ascii="Wingdings" w:hAnsi="Wingdings" w:hint="default"/>
      </w:rPr>
    </w:lvl>
  </w:abstractNum>
  <w:abstractNum w:abstractNumId="7" w15:restartNumberingAfterBreak="0">
    <w:nsid w:val="681C3F59"/>
    <w:multiLevelType w:val="multilevel"/>
    <w:tmpl w:val="5D40F60C"/>
    <w:lvl w:ilvl="0">
      <w:start w:val="1"/>
      <w:numFmt w:val="decimal"/>
      <w:pStyle w:val="LegalClauseLevel1"/>
      <w:lvlText w:val="%1."/>
      <w:lvlJc w:val="left"/>
      <w:pPr>
        <w:tabs>
          <w:tab w:val="num" w:pos="851"/>
        </w:tabs>
        <w:ind w:left="851" w:hanging="851"/>
      </w:pPr>
      <w:rPr>
        <w:b/>
        <w:sz w:val="28"/>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pStyle w:val="LegalClauseLevel3"/>
      <w:lvlText w:val="(%3)"/>
      <w:lvlJc w:val="left"/>
      <w:pPr>
        <w:tabs>
          <w:tab w:val="num" w:pos="1418"/>
        </w:tabs>
        <w:ind w:left="1418" w:hanging="567"/>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specVanish w:val="0"/>
      </w:rPr>
    </w:lvl>
    <w:lvl w:ilvl="3">
      <w:start w:val="1"/>
      <w:numFmt w:val="lowerRoman"/>
      <w:pStyle w:val="Legal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FDE69F1"/>
    <w:multiLevelType w:val="multilevel"/>
    <w:tmpl w:val="2E0E3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8"/>
  </w:num>
  <w:num w:numId="3">
    <w:abstractNumId w:val="1"/>
  </w:num>
  <w:num w:numId="4">
    <w:abstractNumId w:val="1"/>
  </w:num>
  <w:num w:numId="5">
    <w:abstractNumId w:val="0"/>
  </w:num>
  <w:num w:numId="6">
    <w:abstractNumId w:val="6"/>
  </w:num>
  <w:num w:numId="7">
    <w:abstractNumId w:val="3"/>
  </w:num>
  <w:num w:numId="8">
    <w:abstractNumId w:val="2"/>
  </w:num>
  <w:num w:numId="9">
    <w:abstractNumId w:val="1"/>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06"/>
    <w:rsid w:val="00007B8F"/>
    <w:rsid w:val="0008217D"/>
    <w:rsid w:val="00095A20"/>
    <w:rsid w:val="00151365"/>
    <w:rsid w:val="003D0E5A"/>
    <w:rsid w:val="007E021B"/>
    <w:rsid w:val="008D58F5"/>
    <w:rsid w:val="00D05AA2"/>
    <w:rsid w:val="00D74C06"/>
    <w:rsid w:val="00F60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D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A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4A69"/>
    <w:pPr>
      <w:keepNext/>
      <w:spacing w:after="200" w:line="276" w:lineRule="auto"/>
      <w:outlineLvl w:val="0"/>
    </w:pPr>
    <w:rPr>
      <w:rFonts w:ascii="Arial" w:eastAsia="Calibri" w:hAnsi="Arial" w:cs="Arial"/>
      <w:b/>
      <w:caps/>
      <w:sz w:val="22"/>
      <w:szCs w:val="22"/>
    </w:rPr>
  </w:style>
  <w:style w:type="paragraph" w:styleId="Heading2">
    <w:name w:val="heading 2"/>
    <w:basedOn w:val="Normal"/>
    <w:next w:val="Normal"/>
    <w:link w:val="Heading2Char"/>
    <w:uiPriority w:val="9"/>
    <w:qFormat/>
    <w:rsid w:val="00844A69"/>
    <w:pPr>
      <w:keepNext/>
      <w:spacing w:after="200" w:line="276" w:lineRule="auto"/>
      <w:outlineLvl w:val="1"/>
    </w:pPr>
    <w:rPr>
      <w:rFonts w:ascii="Arial" w:eastAsia="Calibri" w:hAnsi="Arial" w:cs="Arial"/>
      <w:b/>
      <w:sz w:val="22"/>
      <w:szCs w:val="22"/>
    </w:rPr>
  </w:style>
  <w:style w:type="paragraph" w:styleId="Heading3">
    <w:name w:val="heading 3"/>
    <w:basedOn w:val="Normal"/>
    <w:next w:val="Normal"/>
    <w:link w:val="Heading3Char"/>
    <w:uiPriority w:val="9"/>
    <w:semiHidden/>
    <w:unhideWhenUsed/>
    <w:qFormat/>
    <w:rsid w:val="00D25BF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A69"/>
    <w:rPr>
      <w:rFonts w:ascii="Arial" w:eastAsia="Calibri" w:hAnsi="Arial" w:cs="Arial"/>
      <w:b/>
      <w:caps/>
    </w:rPr>
  </w:style>
  <w:style w:type="character" w:customStyle="1" w:styleId="Heading2Char">
    <w:name w:val="Heading 2 Char"/>
    <w:basedOn w:val="DefaultParagraphFont"/>
    <w:link w:val="Heading2"/>
    <w:uiPriority w:val="9"/>
    <w:rsid w:val="00844A69"/>
    <w:rPr>
      <w:rFonts w:ascii="Arial" w:eastAsia="Calibri" w:hAnsi="Arial" w:cs="Arial"/>
      <w:b/>
    </w:rPr>
  </w:style>
  <w:style w:type="character" w:customStyle="1" w:styleId="Heading3Char">
    <w:name w:val="Heading 3 Char"/>
    <w:basedOn w:val="DefaultParagraphFont"/>
    <w:link w:val="Heading3"/>
    <w:uiPriority w:val="9"/>
    <w:semiHidden/>
    <w:rsid w:val="00D25BF1"/>
    <w:rPr>
      <w:rFonts w:asciiTheme="majorHAnsi" w:eastAsiaTheme="majorEastAsia" w:hAnsiTheme="majorHAnsi" w:cstheme="majorBidi"/>
      <w:color w:val="1F4D78" w:themeColor="accent1" w:themeShade="7F"/>
      <w:sz w:val="24"/>
      <w:szCs w:val="24"/>
    </w:rPr>
  </w:style>
  <w:style w:type="paragraph" w:customStyle="1" w:styleId="Default">
    <w:name w:val="Default"/>
    <w:rsid w:val="00623BDD"/>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qFormat/>
    <w:rsid w:val="008007C6"/>
    <w:pPr>
      <w:numPr>
        <w:numId w:val="3"/>
      </w:numPr>
      <w:spacing w:after="200" w:line="276" w:lineRule="auto"/>
    </w:pPr>
    <w:rPr>
      <w:rFonts w:ascii="Arial" w:eastAsiaTheme="minorHAnsi" w:hAnsi="Arial" w:cstheme="minorBidi"/>
      <w:sz w:val="22"/>
      <w:szCs w:val="22"/>
    </w:rPr>
  </w:style>
  <w:style w:type="paragraph" w:styleId="ListBullet2">
    <w:name w:val="List Bullet 2"/>
    <w:basedOn w:val="Normal"/>
    <w:uiPriority w:val="99"/>
    <w:unhideWhenUsed/>
    <w:rsid w:val="008007C6"/>
    <w:pPr>
      <w:numPr>
        <w:ilvl w:val="1"/>
        <w:numId w:val="3"/>
      </w:numPr>
      <w:spacing w:after="200" w:line="276" w:lineRule="auto"/>
    </w:pPr>
    <w:rPr>
      <w:rFonts w:ascii="Arial" w:eastAsiaTheme="minorHAnsi" w:hAnsi="Arial" w:cstheme="minorBidi"/>
      <w:sz w:val="22"/>
      <w:szCs w:val="22"/>
    </w:rPr>
  </w:style>
  <w:style w:type="paragraph" w:styleId="ListBullet3">
    <w:name w:val="List Bullet 3"/>
    <w:basedOn w:val="Normal"/>
    <w:uiPriority w:val="99"/>
    <w:unhideWhenUsed/>
    <w:rsid w:val="008007C6"/>
    <w:pPr>
      <w:numPr>
        <w:ilvl w:val="2"/>
        <w:numId w:val="3"/>
      </w:numPr>
      <w:spacing w:after="200" w:line="276" w:lineRule="auto"/>
    </w:pPr>
    <w:rPr>
      <w:rFonts w:ascii="Arial" w:eastAsiaTheme="minorHAnsi" w:hAnsi="Arial" w:cstheme="minorBidi"/>
      <w:sz w:val="22"/>
      <w:szCs w:val="22"/>
    </w:rPr>
  </w:style>
  <w:style w:type="paragraph" w:styleId="ListBullet4">
    <w:name w:val="List Bullet 4"/>
    <w:basedOn w:val="Normal"/>
    <w:uiPriority w:val="99"/>
    <w:unhideWhenUsed/>
    <w:rsid w:val="008007C6"/>
    <w:pPr>
      <w:numPr>
        <w:ilvl w:val="3"/>
        <w:numId w:val="3"/>
      </w:numPr>
      <w:spacing w:after="200" w:line="276" w:lineRule="auto"/>
    </w:pPr>
    <w:rPr>
      <w:rFonts w:ascii="Arial" w:eastAsiaTheme="minorHAnsi" w:hAnsi="Arial" w:cstheme="minorBidi"/>
      <w:sz w:val="22"/>
      <w:szCs w:val="22"/>
    </w:rPr>
  </w:style>
  <w:style w:type="paragraph" w:styleId="ListBullet5">
    <w:name w:val="List Bullet 5"/>
    <w:basedOn w:val="Normal"/>
    <w:uiPriority w:val="99"/>
    <w:unhideWhenUsed/>
    <w:rsid w:val="008007C6"/>
    <w:pPr>
      <w:numPr>
        <w:ilvl w:val="4"/>
        <w:numId w:val="3"/>
      </w:numPr>
      <w:spacing w:after="200" w:line="276" w:lineRule="auto"/>
    </w:pPr>
    <w:rPr>
      <w:rFonts w:ascii="Arial" w:eastAsiaTheme="minorHAnsi" w:hAnsi="Arial" w:cstheme="minorBidi"/>
      <w:sz w:val="22"/>
      <w:szCs w:val="22"/>
    </w:rPr>
  </w:style>
  <w:style w:type="character" w:styleId="CommentReference">
    <w:name w:val="annotation reference"/>
    <w:basedOn w:val="DefaultParagraphFont"/>
    <w:uiPriority w:val="99"/>
    <w:semiHidden/>
    <w:unhideWhenUsed/>
    <w:rsid w:val="00641B88"/>
    <w:rPr>
      <w:sz w:val="16"/>
      <w:szCs w:val="16"/>
    </w:rPr>
  </w:style>
  <w:style w:type="paragraph" w:styleId="CommentText">
    <w:name w:val="annotation text"/>
    <w:basedOn w:val="Normal"/>
    <w:link w:val="CommentTextChar"/>
    <w:uiPriority w:val="99"/>
    <w:semiHidden/>
    <w:unhideWhenUsed/>
    <w:rsid w:val="00641B88"/>
    <w:rPr>
      <w:sz w:val="20"/>
      <w:szCs w:val="20"/>
    </w:rPr>
  </w:style>
  <w:style w:type="character" w:customStyle="1" w:styleId="CommentTextChar">
    <w:name w:val="Comment Text Char"/>
    <w:basedOn w:val="DefaultParagraphFont"/>
    <w:link w:val="CommentText"/>
    <w:uiPriority w:val="99"/>
    <w:semiHidden/>
    <w:rsid w:val="00641B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1B88"/>
    <w:rPr>
      <w:b/>
      <w:bCs/>
    </w:rPr>
  </w:style>
  <w:style w:type="character" w:customStyle="1" w:styleId="CommentSubjectChar">
    <w:name w:val="Comment Subject Char"/>
    <w:basedOn w:val="CommentTextChar"/>
    <w:link w:val="CommentSubject"/>
    <w:uiPriority w:val="99"/>
    <w:semiHidden/>
    <w:rsid w:val="00641B8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B88"/>
    <w:rPr>
      <w:rFonts w:ascii="Segoe UI" w:eastAsia="Times New Roman" w:hAnsi="Segoe UI" w:cs="Segoe UI"/>
      <w:sz w:val="18"/>
      <w:szCs w:val="18"/>
    </w:rPr>
  </w:style>
  <w:style w:type="paragraph" w:styleId="ListParagraph">
    <w:name w:val="List Paragraph"/>
    <w:basedOn w:val="Normal"/>
    <w:uiPriority w:val="34"/>
    <w:qFormat/>
    <w:rsid w:val="00E21E8F"/>
    <w:pPr>
      <w:ind w:left="720"/>
      <w:contextualSpacing/>
    </w:pPr>
  </w:style>
  <w:style w:type="paragraph" w:styleId="Header">
    <w:name w:val="header"/>
    <w:basedOn w:val="Normal"/>
    <w:link w:val="HeaderChar"/>
    <w:uiPriority w:val="99"/>
    <w:unhideWhenUsed/>
    <w:rsid w:val="00331D6D"/>
    <w:pPr>
      <w:tabs>
        <w:tab w:val="center" w:pos="4680"/>
        <w:tab w:val="right" w:pos="9360"/>
      </w:tabs>
    </w:pPr>
  </w:style>
  <w:style w:type="character" w:customStyle="1" w:styleId="HeaderChar">
    <w:name w:val="Header Char"/>
    <w:basedOn w:val="DefaultParagraphFont"/>
    <w:link w:val="Header"/>
    <w:uiPriority w:val="99"/>
    <w:rsid w:val="00331D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1D6D"/>
    <w:pPr>
      <w:tabs>
        <w:tab w:val="center" w:pos="4680"/>
        <w:tab w:val="right" w:pos="9360"/>
      </w:tabs>
    </w:pPr>
  </w:style>
  <w:style w:type="character" w:customStyle="1" w:styleId="FooterChar">
    <w:name w:val="Footer Char"/>
    <w:basedOn w:val="DefaultParagraphFont"/>
    <w:link w:val="Footer"/>
    <w:uiPriority w:val="99"/>
    <w:rsid w:val="00331D6D"/>
    <w:rPr>
      <w:rFonts w:ascii="Times New Roman" w:eastAsia="Times New Roman" w:hAnsi="Times New Roman" w:cs="Times New Roman"/>
      <w:sz w:val="24"/>
      <w:szCs w:val="24"/>
    </w:rPr>
  </w:style>
  <w:style w:type="paragraph" w:customStyle="1" w:styleId="LegalClauseLevel1">
    <w:name w:val="Legal Clause Level 1"/>
    <w:basedOn w:val="Normal"/>
    <w:rsid w:val="00CB373B"/>
    <w:pPr>
      <w:keepNext/>
      <w:numPr>
        <w:numId w:val="11"/>
      </w:numPr>
      <w:spacing w:before="240" w:after="120"/>
      <w:ind w:left="720" w:firstLine="0"/>
    </w:pPr>
    <w:rPr>
      <w:rFonts w:ascii="Arial" w:eastAsiaTheme="minorHAnsi" w:hAnsi="Arial" w:cs="Arial"/>
      <w:b/>
      <w:bCs/>
      <w:sz w:val="32"/>
      <w:szCs w:val="32"/>
      <w:lang w:eastAsia="zh-CN"/>
    </w:rPr>
  </w:style>
  <w:style w:type="paragraph" w:customStyle="1" w:styleId="LegalClauseLevel2">
    <w:name w:val="Legal Clause Level 2"/>
    <w:basedOn w:val="Normal"/>
    <w:rsid w:val="00CB373B"/>
    <w:pPr>
      <w:keepNext/>
      <w:numPr>
        <w:ilvl w:val="1"/>
        <w:numId w:val="11"/>
      </w:numPr>
      <w:spacing w:before="120" w:after="120"/>
      <w:ind w:left="720" w:firstLine="0"/>
    </w:pPr>
    <w:rPr>
      <w:rFonts w:ascii="Arial" w:eastAsiaTheme="minorHAnsi" w:hAnsi="Arial" w:cs="Arial"/>
      <w:b/>
      <w:bCs/>
      <w:lang w:eastAsia="zh-CN"/>
    </w:rPr>
  </w:style>
  <w:style w:type="paragraph" w:customStyle="1" w:styleId="LegalClauseLevel3">
    <w:name w:val="Legal Clause Level 3"/>
    <w:basedOn w:val="Normal"/>
    <w:rsid w:val="00CB373B"/>
    <w:pPr>
      <w:numPr>
        <w:ilvl w:val="2"/>
        <w:numId w:val="11"/>
      </w:numPr>
      <w:spacing w:before="120" w:after="120"/>
      <w:ind w:left="720" w:firstLine="0"/>
    </w:pPr>
    <w:rPr>
      <w:rFonts w:ascii="Arial" w:eastAsiaTheme="minorHAnsi" w:hAnsi="Arial" w:cs="Arial"/>
      <w:sz w:val="22"/>
      <w:szCs w:val="22"/>
      <w:lang w:eastAsia="zh-CN"/>
    </w:rPr>
  </w:style>
  <w:style w:type="paragraph" w:customStyle="1" w:styleId="LegalClauseLevel4">
    <w:name w:val="Legal Clause Level 4"/>
    <w:basedOn w:val="Normal"/>
    <w:rsid w:val="00CB373B"/>
    <w:pPr>
      <w:numPr>
        <w:ilvl w:val="3"/>
        <w:numId w:val="11"/>
      </w:numPr>
      <w:spacing w:before="120" w:after="120"/>
      <w:ind w:left="720" w:firstLine="0"/>
    </w:pPr>
    <w:rPr>
      <w:rFonts w:ascii="Arial" w:eastAsiaTheme="minorHAnsi" w:hAnsi="Arial" w:cs="Arial"/>
      <w:sz w:val="22"/>
      <w:szCs w:val="22"/>
      <w:lang w:eastAsia="zh-CN"/>
    </w:rPr>
  </w:style>
  <w:style w:type="paragraph" w:customStyle="1" w:styleId="LegalClauseLevel5">
    <w:name w:val="Legal Clause Level 5"/>
    <w:basedOn w:val="Normal"/>
    <w:rsid w:val="00CB373B"/>
    <w:pPr>
      <w:numPr>
        <w:ilvl w:val="4"/>
        <w:numId w:val="11"/>
      </w:numPr>
      <w:spacing w:before="120" w:after="120"/>
      <w:ind w:left="720" w:firstLine="0"/>
    </w:pPr>
    <w:rPr>
      <w:rFonts w:ascii="Arial" w:eastAsiaTheme="minorHAnsi" w:hAnsi="Arial" w:cs="Arial"/>
      <w:sz w:val="22"/>
      <w:szCs w:val="22"/>
      <w:lang w:eastAsia="zh-CN"/>
    </w:rPr>
  </w:style>
  <w:style w:type="paragraph" w:customStyle="1" w:styleId="LegalRecitals">
    <w:name w:val="Legal Recitals"/>
    <w:basedOn w:val="Normal"/>
    <w:rsid w:val="00CB373B"/>
    <w:pPr>
      <w:numPr>
        <w:numId w:val="12"/>
      </w:numPr>
      <w:spacing w:before="120" w:after="120"/>
      <w:ind w:left="851" w:hanging="851"/>
    </w:pPr>
    <w:rPr>
      <w:rFonts w:ascii="Arial" w:eastAsiaTheme="minorHAnsi" w:hAnsi="Arial" w:cs="Arial"/>
      <w:sz w:val="22"/>
      <w:szCs w:val="22"/>
      <w:lang w:eastAsia="zh-CN"/>
    </w:rPr>
  </w:style>
  <w:style w:type="character" w:styleId="Hyperlink">
    <w:name w:val="Hyperlink"/>
    <w:basedOn w:val="DefaultParagraphFont"/>
    <w:uiPriority w:val="99"/>
    <w:semiHidden/>
    <w:unhideWhenUsed/>
    <w:rsid w:val="00192D4F"/>
    <w:rPr>
      <w:strike w:val="0"/>
      <w:dstrike w:val="0"/>
      <w:color w:val="0072BC"/>
      <w:u w:val="none"/>
      <w:effect w:val="none"/>
    </w:rPr>
  </w:style>
  <w:style w:type="character" w:styleId="FollowedHyperlink">
    <w:name w:val="FollowedHyperlink"/>
    <w:basedOn w:val="DefaultParagraphFont"/>
    <w:uiPriority w:val="99"/>
    <w:semiHidden/>
    <w:unhideWhenUsed/>
    <w:rsid w:val="00D35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DB80876A.dotm</Template>
  <TotalTime>0</TotalTime>
  <Pages>6</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Environment and Communications References Committee Inquiry: Responses to, and lessons learnt from, the January and February 2016 bushfires in remote Tasmanian Wilderness</dc:title>
  <dc:subject/>
  <dc:creator/>
  <cp:lastModifiedBy/>
  <cp:revision>1</cp:revision>
  <dcterms:created xsi:type="dcterms:W3CDTF">2017-09-12T23:55:00Z</dcterms:created>
  <dcterms:modified xsi:type="dcterms:W3CDTF">2017-09-12T23:55:00Z</dcterms:modified>
</cp:coreProperties>
</file>