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1F739" w14:textId="77777777" w:rsidR="00CD3BB4" w:rsidRPr="00BD56AB" w:rsidRDefault="00CD3BB4" w:rsidP="00CD3BB4">
      <w:pPr>
        <w:spacing w:before="360"/>
        <w:jc w:val="center"/>
        <w:rPr>
          <w:sz w:val="36"/>
          <w:szCs w:val="36"/>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D3BB4" w:rsidRPr="006703EC" w14:paraId="760E9419" w14:textId="77777777" w:rsidTr="00CD3BB4">
        <w:trPr>
          <w:cnfStyle w:val="100000000000" w:firstRow="1" w:lastRow="0" w:firstColumn="0" w:lastColumn="0" w:oddVBand="0" w:evenVBand="0" w:oddHBand="0" w:evenHBand="0" w:firstRowFirstColumn="0" w:firstRowLastColumn="0" w:lastRowFirstColumn="0" w:lastRowLastColumn="0"/>
          <w:trHeight w:val="2334"/>
        </w:trPr>
        <w:tc>
          <w:tcPr>
            <w:tcW w:w="9202" w:type="dxa"/>
          </w:tcPr>
          <w:p w14:paraId="03E62971" w14:textId="77777777" w:rsidR="00CD3BB4" w:rsidRPr="00BD56AB" w:rsidRDefault="00CD3BB4" w:rsidP="00CD3BB4">
            <w:pPr>
              <w:spacing w:before="360"/>
              <w:jc w:val="center"/>
              <w:rPr>
                <w:sz w:val="36"/>
                <w:szCs w:val="36"/>
              </w:rPr>
            </w:pPr>
            <w:r w:rsidRPr="00BD56AB">
              <w:rPr>
                <w:sz w:val="36"/>
                <w:szCs w:val="36"/>
              </w:rPr>
              <w:t xml:space="preserve">Australian Government response to the </w:t>
            </w:r>
            <w:r w:rsidRPr="00BD56AB">
              <w:rPr>
                <w:sz w:val="36"/>
                <w:szCs w:val="36"/>
              </w:rPr>
              <w:br/>
            </w:r>
            <w:r w:rsidR="00530E6C" w:rsidRPr="00BD56AB">
              <w:rPr>
                <w:sz w:val="36"/>
                <w:szCs w:val="36"/>
              </w:rPr>
              <w:t>House of Representatives Standing Committee on the Environment and Energy</w:t>
            </w:r>
            <w:r w:rsidRPr="00BD56AB">
              <w:rPr>
                <w:sz w:val="36"/>
                <w:szCs w:val="36"/>
              </w:rPr>
              <w:t>:</w:t>
            </w:r>
          </w:p>
          <w:p w14:paraId="2FD07E76" w14:textId="77777777" w:rsidR="00CD3BB4" w:rsidRPr="00BD56AB" w:rsidRDefault="00530E6C" w:rsidP="00CD3BB4">
            <w:pPr>
              <w:spacing w:before="240"/>
              <w:jc w:val="center"/>
              <w:rPr>
                <w:sz w:val="36"/>
                <w:szCs w:val="36"/>
              </w:rPr>
            </w:pPr>
            <w:r w:rsidRPr="00BD56AB">
              <w:rPr>
                <w:sz w:val="36"/>
                <w:szCs w:val="36"/>
              </w:rPr>
              <w:t>Report on the inquiry into the management and use of Commonwealth environmental water</w:t>
            </w:r>
          </w:p>
          <w:p w14:paraId="6C90475C" w14:textId="77777777" w:rsidR="00CD3BB4" w:rsidRPr="00BD56AB" w:rsidRDefault="00CD3BB4" w:rsidP="00CD3BB4">
            <w:pPr>
              <w:spacing w:before="360"/>
              <w:rPr>
                <w:sz w:val="36"/>
                <w:szCs w:val="36"/>
              </w:rPr>
            </w:pPr>
            <w:r w:rsidRPr="00BD56AB">
              <w:rPr>
                <w:noProof/>
                <w:sz w:val="36"/>
                <w:szCs w:val="36"/>
                <w:lang w:eastAsia="en-AU"/>
              </w:rPr>
              <w:drawing>
                <wp:anchor distT="0" distB="0" distL="114300" distR="114300" simplePos="0" relativeHeight="251658240" behindDoc="0" locked="0" layoutInCell="1" allowOverlap="1" wp14:anchorId="3E4B4F75" wp14:editId="6A340229">
                  <wp:simplePos x="0" y="0"/>
                  <wp:positionH relativeFrom="column">
                    <wp:posOffset>1561465</wp:posOffset>
                  </wp:positionH>
                  <wp:positionV relativeFrom="page">
                    <wp:posOffset>1905</wp:posOffset>
                  </wp:positionV>
                  <wp:extent cx="2463165" cy="1371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165" cy="1371600"/>
                          </a:xfrm>
                          <a:prstGeom prst="rect">
                            <a:avLst/>
                          </a:prstGeom>
                          <a:noFill/>
                        </pic:spPr>
                      </pic:pic>
                    </a:graphicData>
                  </a:graphic>
                  <wp14:sizeRelH relativeFrom="page">
                    <wp14:pctWidth>0</wp14:pctWidth>
                  </wp14:sizeRelH>
                  <wp14:sizeRelV relativeFrom="page">
                    <wp14:pctHeight>0</wp14:pctHeight>
                  </wp14:sizeRelV>
                </wp:anchor>
              </w:drawing>
            </w:r>
          </w:p>
        </w:tc>
      </w:tr>
    </w:tbl>
    <w:p w14:paraId="285470B4" w14:textId="429172AE" w:rsidR="00CD3BB4" w:rsidRPr="00BD56AB" w:rsidRDefault="00CD3BB4" w:rsidP="00CD3BB4">
      <w:pPr>
        <w:spacing w:before="6840" w:after="120"/>
        <w:jc w:val="right"/>
        <w:rPr>
          <w:caps/>
          <w:sz w:val="28"/>
          <w:szCs w:val="28"/>
        </w:rPr>
      </w:pPr>
      <w:r w:rsidRPr="006E7D6B">
        <w:rPr>
          <w:caps/>
          <w:sz w:val="28"/>
          <w:szCs w:val="28"/>
        </w:rPr>
        <w:t xml:space="preserve"> </w:t>
      </w:r>
      <w:r w:rsidR="00DD3FD4">
        <w:rPr>
          <w:sz w:val="28"/>
          <w:szCs w:val="28"/>
        </w:rPr>
        <w:t>February 2020</w:t>
      </w:r>
      <w:r w:rsidRPr="00BD56AB">
        <w:rPr>
          <w:caps/>
          <w:sz w:val="28"/>
          <w:szCs w:val="28"/>
        </w:rPr>
        <w:br/>
      </w:r>
    </w:p>
    <w:p w14:paraId="715FD12C" w14:textId="49518280" w:rsidR="00CD3BB4" w:rsidRDefault="00CD3BB4" w:rsidP="00EB3B13">
      <w:pPr>
        <w:rPr>
          <w:rFonts w:eastAsia="Calibri"/>
          <w:b/>
          <w:sz w:val="28"/>
          <w:szCs w:val="22"/>
        </w:rPr>
      </w:pPr>
      <w:r w:rsidRPr="00BD56AB">
        <w:rPr>
          <w:rFonts w:eastAsia="Calibri"/>
          <w:b/>
          <w:sz w:val="28"/>
          <w:szCs w:val="22"/>
        </w:rPr>
        <w:lastRenderedPageBreak/>
        <w:t>Introduction</w:t>
      </w:r>
    </w:p>
    <w:p w14:paraId="6BE4F32A" w14:textId="77777777" w:rsidR="00EB3B13" w:rsidRPr="00BD56AB" w:rsidRDefault="00EB3B13" w:rsidP="00EB3B13">
      <w:pPr>
        <w:rPr>
          <w:rFonts w:eastAsia="Calibri"/>
          <w:b/>
          <w:sz w:val="28"/>
          <w:szCs w:val="22"/>
        </w:rPr>
      </w:pPr>
    </w:p>
    <w:p w14:paraId="03E88BA2" w14:textId="77777777" w:rsidR="00C77404" w:rsidRPr="00BD56AB" w:rsidRDefault="00CD3BB4" w:rsidP="00C77404">
      <w:pPr>
        <w:spacing w:after="200" w:line="276" w:lineRule="auto"/>
        <w:rPr>
          <w:rFonts w:eastAsia="Calibri"/>
          <w:sz w:val="22"/>
          <w:szCs w:val="22"/>
        </w:rPr>
      </w:pPr>
      <w:r w:rsidRPr="00BD56AB">
        <w:rPr>
          <w:rFonts w:eastAsia="Calibri"/>
          <w:sz w:val="22"/>
          <w:szCs w:val="22"/>
        </w:rPr>
        <w:t xml:space="preserve">On </w:t>
      </w:r>
      <w:r w:rsidR="00B7148C" w:rsidRPr="00BD56AB">
        <w:rPr>
          <w:rFonts w:eastAsia="Calibri"/>
          <w:sz w:val="22"/>
          <w:szCs w:val="22"/>
        </w:rPr>
        <w:t>28 February</w:t>
      </w:r>
      <w:r w:rsidRPr="00BD56AB">
        <w:rPr>
          <w:rFonts w:eastAsia="Calibri"/>
          <w:sz w:val="22"/>
          <w:szCs w:val="22"/>
        </w:rPr>
        <w:t xml:space="preserve"> 201</w:t>
      </w:r>
      <w:r w:rsidR="00B7148C" w:rsidRPr="00BD56AB">
        <w:rPr>
          <w:rFonts w:eastAsia="Calibri"/>
          <w:sz w:val="22"/>
          <w:szCs w:val="22"/>
        </w:rPr>
        <w:t>8</w:t>
      </w:r>
      <w:r w:rsidRPr="00BD56AB">
        <w:rPr>
          <w:rFonts w:eastAsia="Calibri"/>
          <w:sz w:val="22"/>
          <w:szCs w:val="22"/>
        </w:rPr>
        <w:t xml:space="preserve">, </w:t>
      </w:r>
      <w:r w:rsidR="00C77404" w:rsidRPr="00BD56AB">
        <w:rPr>
          <w:rFonts w:eastAsia="Calibri"/>
          <w:sz w:val="22"/>
          <w:szCs w:val="22"/>
        </w:rPr>
        <w:t xml:space="preserve">the House of Representatives Standing Committee on the Environment and Energy (the Committee) </w:t>
      </w:r>
      <w:r w:rsidR="00B7148C" w:rsidRPr="00BD56AB">
        <w:rPr>
          <w:rFonts w:eastAsia="Calibri"/>
          <w:sz w:val="22"/>
          <w:szCs w:val="22"/>
        </w:rPr>
        <w:t>resolved:</w:t>
      </w:r>
      <w:r w:rsidR="00C77404" w:rsidRPr="00BD56AB">
        <w:rPr>
          <w:rFonts w:eastAsia="Calibri"/>
          <w:sz w:val="22"/>
          <w:szCs w:val="22"/>
        </w:rPr>
        <w:t xml:space="preserve"> </w:t>
      </w:r>
    </w:p>
    <w:p w14:paraId="0B418911" w14:textId="77777777" w:rsidR="00B7148C" w:rsidRPr="00BD56AB" w:rsidRDefault="00B7148C" w:rsidP="009C71B0">
      <w:pPr>
        <w:spacing w:after="200" w:line="276" w:lineRule="auto"/>
        <w:ind w:left="720"/>
        <w:rPr>
          <w:rFonts w:eastAsia="Calibri"/>
          <w:i/>
          <w:sz w:val="22"/>
          <w:szCs w:val="22"/>
        </w:rPr>
      </w:pPr>
      <w:r w:rsidRPr="00BD56AB">
        <w:rPr>
          <w:rFonts w:eastAsia="Calibri"/>
          <w:i/>
          <w:sz w:val="22"/>
          <w:szCs w:val="22"/>
        </w:rPr>
        <w:t>That, pursuant to standing order 215(c), the Committee examine the 2016–17 annual report of the Department of the Environment and Energy. In doing so, the Committee will inquire into and report on the management and use of Commonwealth environmental water, giving particular consideration to the role of the Commonwealth Environmental Water Holder in:</w:t>
      </w:r>
    </w:p>
    <w:p w14:paraId="6C340207" w14:textId="77777777" w:rsidR="00B7148C" w:rsidRPr="00BD56AB" w:rsidRDefault="00B7148C" w:rsidP="009C71B0">
      <w:pPr>
        <w:spacing w:after="200" w:line="276" w:lineRule="auto"/>
        <w:ind w:left="720"/>
        <w:rPr>
          <w:rFonts w:eastAsia="Calibri"/>
          <w:i/>
          <w:sz w:val="22"/>
          <w:szCs w:val="22"/>
        </w:rPr>
      </w:pPr>
      <w:r w:rsidRPr="00BD56AB">
        <w:rPr>
          <w:rFonts w:eastAsia="Calibri"/>
          <w:i/>
          <w:sz w:val="22"/>
          <w:szCs w:val="22"/>
        </w:rPr>
        <w:t>1. maximising the use of environmental water for the protection and</w:t>
      </w:r>
      <w:r w:rsidR="009C71B0" w:rsidRPr="00BD56AB">
        <w:rPr>
          <w:rFonts w:eastAsia="Calibri"/>
          <w:i/>
          <w:sz w:val="22"/>
          <w:szCs w:val="22"/>
        </w:rPr>
        <w:t xml:space="preserve"> </w:t>
      </w:r>
      <w:r w:rsidRPr="00BD56AB">
        <w:rPr>
          <w:rFonts w:eastAsia="Calibri"/>
          <w:i/>
          <w:sz w:val="22"/>
          <w:szCs w:val="22"/>
        </w:rPr>
        <w:t>restoration of environmental assets;</w:t>
      </w:r>
    </w:p>
    <w:p w14:paraId="223EB0DE" w14:textId="77777777" w:rsidR="00B7148C" w:rsidRPr="00BD56AB" w:rsidRDefault="00B7148C" w:rsidP="009C71B0">
      <w:pPr>
        <w:spacing w:after="200" w:line="276" w:lineRule="auto"/>
        <w:ind w:left="720"/>
        <w:rPr>
          <w:rFonts w:eastAsia="Calibri"/>
          <w:i/>
          <w:sz w:val="22"/>
          <w:szCs w:val="22"/>
        </w:rPr>
      </w:pPr>
      <w:r w:rsidRPr="00BD56AB">
        <w:rPr>
          <w:rFonts w:eastAsia="Calibri"/>
          <w:i/>
          <w:sz w:val="22"/>
          <w:szCs w:val="22"/>
        </w:rPr>
        <w:t>2. considering innovative approaches for the use of environmental water;</w:t>
      </w:r>
    </w:p>
    <w:p w14:paraId="5A1404E5" w14:textId="77777777" w:rsidR="00B7148C" w:rsidRPr="00BD56AB" w:rsidRDefault="00B7148C" w:rsidP="009C71B0">
      <w:pPr>
        <w:spacing w:after="200" w:line="276" w:lineRule="auto"/>
        <w:ind w:left="720"/>
        <w:rPr>
          <w:rFonts w:eastAsia="Calibri"/>
          <w:i/>
          <w:sz w:val="22"/>
          <w:szCs w:val="22"/>
        </w:rPr>
      </w:pPr>
      <w:r w:rsidRPr="00BD56AB">
        <w:rPr>
          <w:rFonts w:eastAsia="Calibri"/>
          <w:i/>
          <w:sz w:val="22"/>
          <w:szCs w:val="22"/>
        </w:rPr>
        <w:t xml:space="preserve">3. monitoring and evaluating outcomes of </w:t>
      </w:r>
      <w:r w:rsidR="009C71B0" w:rsidRPr="00BD56AB">
        <w:rPr>
          <w:rFonts w:eastAsia="Calibri"/>
          <w:i/>
          <w:sz w:val="22"/>
          <w:szCs w:val="22"/>
        </w:rPr>
        <w:t xml:space="preserve">the use of environmental water; </w:t>
      </w:r>
      <w:r w:rsidRPr="00BD56AB">
        <w:rPr>
          <w:rFonts w:eastAsia="Calibri"/>
          <w:i/>
          <w:sz w:val="22"/>
          <w:szCs w:val="22"/>
        </w:rPr>
        <w:t>and</w:t>
      </w:r>
    </w:p>
    <w:p w14:paraId="4D0CB3A3" w14:textId="77777777" w:rsidR="00B7148C" w:rsidRPr="00BD56AB" w:rsidRDefault="00B7148C" w:rsidP="009C71B0">
      <w:pPr>
        <w:spacing w:after="200" w:line="276" w:lineRule="auto"/>
        <w:ind w:left="720"/>
        <w:rPr>
          <w:rFonts w:eastAsia="Calibri"/>
          <w:i/>
          <w:sz w:val="22"/>
          <w:szCs w:val="22"/>
        </w:rPr>
      </w:pPr>
      <w:r w:rsidRPr="00BD56AB">
        <w:rPr>
          <w:rFonts w:eastAsia="Calibri"/>
          <w:i/>
          <w:sz w:val="22"/>
          <w:szCs w:val="22"/>
        </w:rPr>
        <w:t>4. options for improving community enga</w:t>
      </w:r>
      <w:r w:rsidR="009C71B0" w:rsidRPr="00BD56AB">
        <w:rPr>
          <w:rFonts w:eastAsia="Calibri"/>
          <w:i/>
          <w:sz w:val="22"/>
          <w:szCs w:val="22"/>
        </w:rPr>
        <w:t xml:space="preserve">gement and awareness of the way </w:t>
      </w:r>
      <w:r w:rsidRPr="00BD56AB">
        <w:rPr>
          <w:rFonts w:eastAsia="Calibri"/>
          <w:i/>
          <w:sz w:val="22"/>
          <w:szCs w:val="22"/>
        </w:rPr>
        <w:t>in which environmental water is managed; and</w:t>
      </w:r>
    </w:p>
    <w:p w14:paraId="7B544403" w14:textId="77777777" w:rsidR="00B7148C" w:rsidRPr="00BD56AB" w:rsidRDefault="00B7148C" w:rsidP="009C71B0">
      <w:pPr>
        <w:spacing w:after="200" w:line="276" w:lineRule="auto"/>
        <w:ind w:left="720"/>
        <w:rPr>
          <w:rFonts w:eastAsia="Calibri"/>
          <w:i/>
          <w:sz w:val="22"/>
          <w:szCs w:val="22"/>
        </w:rPr>
      </w:pPr>
      <w:r w:rsidRPr="00BD56AB">
        <w:rPr>
          <w:rFonts w:eastAsia="Calibri"/>
          <w:i/>
          <w:sz w:val="22"/>
          <w:szCs w:val="22"/>
        </w:rPr>
        <w:t>any other matters of relevance that the committee wishes to consider.</w:t>
      </w:r>
    </w:p>
    <w:p w14:paraId="6AC21216" w14:textId="58DEC038" w:rsidR="00CD3BB4" w:rsidRPr="00BD56AB" w:rsidRDefault="00C77404" w:rsidP="00B7148C">
      <w:pPr>
        <w:spacing w:after="200" w:line="276" w:lineRule="auto"/>
        <w:rPr>
          <w:rFonts w:eastAsia="Calibri"/>
          <w:sz w:val="22"/>
          <w:szCs w:val="22"/>
        </w:rPr>
      </w:pPr>
      <w:r w:rsidRPr="00BD56AB">
        <w:rPr>
          <w:rFonts w:eastAsia="Calibri"/>
          <w:sz w:val="22"/>
          <w:szCs w:val="22"/>
        </w:rPr>
        <w:t xml:space="preserve">On 7 December 2018, the Committee tabled its report </w:t>
      </w:r>
      <w:r w:rsidR="00B9677B">
        <w:rPr>
          <w:lang w:val="en"/>
        </w:rPr>
        <w:t>on the</w:t>
      </w:r>
      <w:r w:rsidRPr="00BD56AB">
        <w:rPr>
          <w:lang w:val="en"/>
        </w:rPr>
        <w:t> </w:t>
      </w:r>
      <w:r w:rsidRPr="00BD56AB">
        <w:rPr>
          <w:rStyle w:val="Emphasis"/>
          <w:lang w:val="en"/>
        </w:rPr>
        <w:t>Inquiry into the management and use of Commonwealth environmental water</w:t>
      </w:r>
      <w:r w:rsidRPr="00BD56AB">
        <w:rPr>
          <w:lang w:val="en"/>
        </w:rPr>
        <w:t>.</w:t>
      </w:r>
    </w:p>
    <w:p w14:paraId="323CBE85" w14:textId="77777777" w:rsidR="00CD3BB4" w:rsidRPr="00BD56AB" w:rsidRDefault="00CD3BB4" w:rsidP="00CD3BB4">
      <w:pPr>
        <w:spacing w:after="200" w:line="276" w:lineRule="auto"/>
        <w:rPr>
          <w:rFonts w:eastAsia="Calibri"/>
          <w:sz w:val="22"/>
          <w:szCs w:val="22"/>
        </w:rPr>
      </w:pPr>
      <w:r w:rsidRPr="00BD56AB">
        <w:rPr>
          <w:rFonts w:eastAsia="Calibri"/>
          <w:sz w:val="22"/>
          <w:szCs w:val="22"/>
        </w:rPr>
        <w:t>The Australian Government has considered the recommendations of the Committee’s report and has provided the responses below.</w:t>
      </w:r>
    </w:p>
    <w:p w14:paraId="5F65B6B4" w14:textId="77777777" w:rsidR="00CD3BB4" w:rsidRPr="00BD56AB" w:rsidRDefault="00CD3BB4" w:rsidP="00CD3BB4">
      <w:pPr>
        <w:rPr>
          <w:rFonts w:eastAsia="Calibri"/>
          <w:sz w:val="32"/>
          <w:szCs w:val="22"/>
        </w:rPr>
      </w:pPr>
      <w:r w:rsidRPr="00BD56AB">
        <w:rPr>
          <w:rFonts w:eastAsia="Calibri"/>
          <w:sz w:val="32"/>
          <w:szCs w:val="22"/>
        </w:rPr>
        <w:br w:type="page"/>
      </w:r>
    </w:p>
    <w:p w14:paraId="5C1EEEAE" w14:textId="77777777" w:rsidR="00DA1CED" w:rsidRPr="00BD56AB" w:rsidRDefault="00DA1CED" w:rsidP="00DA1CED">
      <w:pPr>
        <w:tabs>
          <w:tab w:val="left" w:pos="1935"/>
        </w:tabs>
        <w:spacing w:after="200" w:line="276" w:lineRule="auto"/>
        <w:rPr>
          <w:rFonts w:eastAsia="Calibri"/>
          <w:b/>
          <w:sz w:val="28"/>
          <w:szCs w:val="22"/>
        </w:rPr>
      </w:pPr>
      <w:r w:rsidRPr="00BD56AB">
        <w:rPr>
          <w:rFonts w:eastAsia="Calibri"/>
          <w:b/>
          <w:sz w:val="28"/>
          <w:szCs w:val="22"/>
        </w:rPr>
        <w:lastRenderedPageBreak/>
        <w:t>Response to recommendations</w:t>
      </w:r>
    </w:p>
    <w:tbl>
      <w:tblPr>
        <w:tblStyle w:val="TableGrid"/>
        <w:tblW w:w="0" w:type="auto"/>
        <w:tblLook w:val="04A0" w:firstRow="1" w:lastRow="0" w:firstColumn="1" w:lastColumn="0" w:noHBand="0" w:noVBand="1"/>
      </w:tblPr>
      <w:tblGrid>
        <w:gridCol w:w="9016"/>
      </w:tblGrid>
      <w:tr w:rsidR="00DA1CED" w:rsidRPr="006703EC" w14:paraId="497A5B81" w14:textId="77777777" w:rsidTr="00DA1CED">
        <w:trPr>
          <w:cnfStyle w:val="100000000000" w:firstRow="1" w:lastRow="0" w:firstColumn="0" w:lastColumn="0" w:oddVBand="0" w:evenVBand="0" w:oddHBand="0" w:evenHBand="0" w:firstRowFirstColumn="0" w:firstRowLastColumn="0" w:lastRowFirstColumn="0" w:lastRowLastColumn="0"/>
        </w:trPr>
        <w:tc>
          <w:tcPr>
            <w:tcW w:w="9202" w:type="dxa"/>
          </w:tcPr>
          <w:p w14:paraId="29B77A81" w14:textId="77777777" w:rsidR="00DA1CED" w:rsidRPr="00BD56AB" w:rsidRDefault="00DA1CED" w:rsidP="00DA1CED">
            <w:pPr>
              <w:tabs>
                <w:tab w:val="left" w:pos="1935"/>
              </w:tabs>
              <w:spacing w:after="200" w:line="276" w:lineRule="auto"/>
              <w:rPr>
                <w:rFonts w:eastAsia="Calibri"/>
                <w:b/>
                <w:bCs/>
                <w:lang w:eastAsia="en-AU"/>
              </w:rPr>
            </w:pPr>
            <w:r w:rsidRPr="00BD56AB">
              <w:rPr>
                <w:rFonts w:eastAsia="Calibri"/>
                <w:b/>
                <w:bCs/>
                <w:lang w:eastAsia="en-AU"/>
              </w:rPr>
              <w:t>Recommendation 1</w:t>
            </w:r>
          </w:p>
          <w:p w14:paraId="7EE372E9" w14:textId="77777777" w:rsidR="00DA1CED" w:rsidRPr="00BD56AB" w:rsidRDefault="00DA1CED" w:rsidP="00DA1CED">
            <w:pPr>
              <w:spacing w:after="120"/>
            </w:pPr>
            <w:r w:rsidRPr="00BD56AB">
              <w:t>The Committee recommends that the Commonwealth Environmental Water Holder continue to:</w:t>
            </w:r>
          </w:p>
          <w:p w14:paraId="76BC62DB" w14:textId="77777777" w:rsidR="00DA1CED" w:rsidRPr="00BD56AB" w:rsidRDefault="00DA1CED" w:rsidP="00970405">
            <w:pPr>
              <w:pStyle w:val="ListBullet"/>
              <w:numPr>
                <w:ilvl w:val="0"/>
                <w:numId w:val="7"/>
              </w:numPr>
              <w:spacing w:after="120" w:line="276" w:lineRule="auto"/>
            </w:pPr>
            <w:r w:rsidRPr="00BD56AB">
              <w:t>apply the ‘good neighbour’ policy;</w:t>
            </w:r>
          </w:p>
          <w:p w14:paraId="34296279" w14:textId="77777777" w:rsidR="00DA1CED" w:rsidRPr="00BD56AB" w:rsidRDefault="00DA1CED" w:rsidP="00970405">
            <w:pPr>
              <w:pStyle w:val="ListBullet"/>
              <w:numPr>
                <w:ilvl w:val="0"/>
                <w:numId w:val="7"/>
              </w:numPr>
              <w:spacing w:after="120" w:line="276" w:lineRule="auto"/>
            </w:pPr>
            <w:r w:rsidRPr="00BD56AB">
              <w:t>coordinate with state water managers and other partners to optimise environmental water releases;</w:t>
            </w:r>
          </w:p>
          <w:p w14:paraId="32B379A0" w14:textId="77777777" w:rsidR="00DA1CED" w:rsidRPr="00BD56AB" w:rsidRDefault="00DA1CED" w:rsidP="00970405">
            <w:pPr>
              <w:pStyle w:val="ListBullet"/>
              <w:numPr>
                <w:ilvl w:val="0"/>
                <w:numId w:val="7"/>
              </w:numPr>
              <w:spacing w:after="120" w:line="276" w:lineRule="auto"/>
            </w:pPr>
            <w:r w:rsidRPr="00BD56AB">
              <w:t>provide regular updates on environmental watering activities and outcomes;</w:t>
            </w:r>
          </w:p>
          <w:p w14:paraId="2A4DB569" w14:textId="77777777" w:rsidR="00DA1CED" w:rsidRPr="00BD56AB" w:rsidRDefault="00DA1CED" w:rsidP="00970405">
            <w:pPr>
              <w:pStyle w:val="ListBullet"/>
              <w:numPr>
                <w:ilvl w:val="0"/>
                <w:numId w:val="7"/>
              </w:numPr>
              <w:spacing w:after="120" w:line="276" w:lineRule="auto"/>
            </w:pPr>
            <w:r w:rsidRPr="00BD56AB">
              <w:t>make funds available for non-flow complementary measures and projects, such as pest control and weed eradication;</w:t>
            </w:r>
          </w:p>
          <w:p w14:paraId="02353F29" w14:textId="77777777" w:rsidR="00970405" w:rsidRPr="00BD56AB" w:rsidRDefault="00DA1CED" w:rsidP="00970405">
            <w:pPr>
              <w:pStyle w:val="ListBullet"/>
              <w:numPr>
                <w:ilvl w:val="0"/>
                <w:numId w:val="7"/>
              </w:numPr>
              <w:spacing w:after="120" w:line="276" w:lineRule="auto"/>
            </w:pPr>
            <w:r w:rsidRPr="00BD56AB">
              <w:t>trade water that is excess to environmental requirements; and</w:t>
            </w:r>
          </w:p>
          <w:p w14:paraId="4FC4BC58" w14:textId="77777777" w:rsidR="00DA1CED" w:rsidRPr="00BD56AB" w:rsidRDefault="00DA1CED" w:rsidP="00970405">
            <w:pPr>
              <w:pStyle w:val="ListBullet"/>
              <w:numPr>
                <w:ilvl w:val="0"/>
                <w:numId w:val="7"/>
              </w:numPr>
              <w:spacing w:after="120" w:line="276" w:lineRule="auto"/>
            </w:pPr>
            <w:r w:rsidRPr="00BD56AB">
              <w:t>foster partnerships with the private sector and non-government organisations.</w:t>
            </w:r>
          </w:p>
        </w:tc>
      </w:tr>
    </w:tbl>
    <w:p w14:paraId="7615450B" w14:textId="77777777" w:rsidR="00CD3BB4" w:rsidRPr="00BD56AB" w:rsidRDefault="00CD3BB4" w:rsidP="00DA1CED">
      <w:pPr>
        <w:spacing w:before="240" w:after="200" w:line="276" w:lineRule="auto"/>
        <w:rPr>
          <w:rFonts w:eastAsia="Calibri"/>
          <w:b/>
        </w:rPr>
      </w:pPr>
      <w:r w:rsidRPr="00BD56AB">
        <w:rPr>
          <w:rFonts w:eastAsia="Calibri"/>
          <w:b/>
        </w:rPr>
        <w:t>Response:</w:t>
      </w:r>
    </w:p>
    <w:p w14:paraId="553F9D93" w14:textId="77777777" w:rsidR="00C320A0" w:rsidRDefault="000732B3" w:rsidP="00CD3BB4">
      <w:pPr>
        <w:spacing w:after="200" w:line="276" w:lineRule="auto"/>
        <w:rPr>
          <w:rFonts w:eastAsia="Calibri"/>
          <w:b/>
        </w:rPr>
      </w:pPr>
      <w:r>
        <w:rPr>
          <w:rFonts w:eastAsia="Calibri"/>
          <w:b/>
        </w:rPr>
        <w:t>Agreed</w:t>
      </w:r>
      <w:r w:rsidR="00C320A0">
        <w:rPr>
          <w:rFonts w:eastAsia="Calibri"/>
          <w:b/>
        </w:rPr>
        <w:t>.</w:t>
      </w:r>
    </w:p>
    <w:p w14:paraId="6F6C1506" w14:textId="30A6744C" w:rsidR="00D51AAB" w:rsidRDefault="00C320A0" w:rsidP="00CD3BB4">
      <w:pPr>
        <w:spacing w:after="200" w:line="276" w:lineRule="auto"/>
        <w:rPr>
          <w:rFonts w:eastAsia="Calibri"/>
          <w:b/>
        </w:rPr>
      </w:pPr>
      <w:r>
        <w:rPr>
          <w:rFonts w:eastAsia="Calibri"/>
          <w:b/>
        </w:rPr>
        <w:t>T</w:t>
      </w:r>
      <w:r w:rsidR="00D51AAB">
        <w:rPr>
          <w:rFonts w:eastAsia="Calibri"/>
          <w:b/>
        </w:rPr>
        <w:t>he Commonweal</w:t>
      </w:r>
      <w:r w:rsidR="00A40099">
        <w:rPr>
          <w:rFonts w:eastAsia="Calibri"/>
          <w:b/>
        </w:rPr>
        <w:t>th Environmental Water Holder will continue to undertake these actions and policies.</w:t>
      </w:r>
    </w:p>
    <w:p w14:paraId="7F506C7C" w14:textId="77777777" w:rsidR="00C42FFD" w:rsidRDefault="00B161CF" w:rsidP="00644E4B">
      <w:pPr>
        <w:pStyle w:val="ListBullet"/>
        <w:numPr>
          <w:ilvl w:val="0"/>
          <w:numId w:val="8"/>
        </w:numPr>
        <w:spacing w:after="200" w:line="276" w:lineRule="auto"/>
      </w:pPr>
      <w:r>
        <w:t xml:space="preserve">The </w:t>
      </w:r>
      <w:r w:rsidR="000E5ECD" w:rsidRPr="00BD56AB">
        <w:t>C</w:t>
      </w:r>
      <w:r w:rsidR="000E5ECD">
        <w:t xml:space="preserve">ommonwealth </w:t>
      </w:r>
      <w:r w:rsidR="000E5ECD" w:rsidRPr="00BD56AB">
        <w:t>E</w:t>
      </w:r>
      <w:r w:rsidR="000E5ECD">
        <w:t xml:space="preserve">nvironmental </w:t>
      </w:r>
      <w:r w:rsidR="000E5ECD" w:rsidRPr="00BD56AB">
        <w:t>W</w:t>
      </w:r>
      <w:r w:rsidR="000E5ECD">
        <w:t xml:space="preserve">ater </w:t>
      </w:r>
      <w:r w:rsidR="000E5ECD" w:rsidRPr="00BD56AB">
        <w:t>H</w:t>
      </w:r>
      <w:r w:rsidR="000E5ECD">
        <w:t>older’s (CEWH)</w:t>
      </w:r>
      <w:r>
        <w:t xml:space="preserve"> water entitlements are managed within the same rules and regulations as other entitlements used for non-environmental purposes. To realise the full value of the public investment in the Commonwealth’s water holdings, the CEWH seeks to manage these entitlements to full effect, making use of the allocations, carryover and water supply provided through state law, which are the same as other water entitlement holders are granted. This includes seeking an equitable access to channel capacity for the delivery of water allocation</w:t>
      </w:r>
      <w:r w:rsidR="00C42FFD">
        <w:t xml:space="preserve"> so water can be made available for the environment when it’s needed.</w:t>
      </w:r>
      <w:r>
        <w:t xml:space="preserve"> </w:t>
      </w:r>
    </w:p>
    <w:p w14:paraId="4B5EC3FD" w14:textId="77777777" w:rsidR="00B462BA" w:rsidRDefault="00B161CF" w:rsidP="00C42FFD">
      <w:pPr>
        <w:pStyle w:val="ListBullet"/>
        <w:numPr>
          <w:ilvl w:val="0"/>
          <w:numId w:val="0"/>
        </w:numPr>
        <w:spacing w:after="200" w:line="276" w:lineRule="auto"/>
        <w:ind w:left="360"/>
      </w:pPr>
      <w:r>
        <w:t xml:space="preserve">While the CEWH has a responsibility to maximise the outcomes from the public investment, </w:t>
      </w:r>
      <w:r w:rsidR="00C42FFD">
        <w:t xml:space="preserve">planning and delivery of water for the environment is undertaken having regard to the potential risks that may result from applying environmental water. Measures are taken to minimise the </w:t>
      </w:r>
      <w:r>
        <w:t xml:space="preserve">potential unintended impacts on other water users that may occur as a result of the large scale of operation, </w:t>
      </w:r>
      <w:r w:rsidR="00C42FFD">
        <w:t>which is</w:t>
      </w:r>
      <w:r>
        <w:t xml:space="preserve"> reflected in the intent of the Good Neighbour principle.</w:t>
      </w:r>
      <w:r w:rsidR="00C42FFD">
        <w:t xml:space="preserve"> </w:t>
      </w:r>
    </w:p>
    <w:p w14:paraId="0D918CF7" w14:textId="62F42450" w:rsidR="00DC5D35" w:rsidRDefault="00B7694C" w:rsidP="00B462BA">
      <w:pPr>
        <w:pStyle w:val="ListBullet"/>
        <w:numPr>
          <w:ilvl w:val="0"/>
          <w:numId w:val="0"/>
        </w:numPr>
        <w:spacing w:after="200" w:line="276" w:lineRule="auto"/>
        <w:ind w:left="360"/>
      </w:pPr>
      <w:r w:rsidRPr="00BD56AB">
        <w:t xml:space="preserve">The </w:t>
      </w:r>
      <w:r w:rsidR="000E5ECD">
        <w:t xml:space="preserve">CEWH </w:t>
      </w:r>
      <w:r w:rsidR="00644E4B">
        <w:t xml:space="preserve">will continue to </w:t>
      </w:r>
      <w:r w:rsidR="00B462BA">
        <w:t>consult</w:t>
      </w:r>
      <w:r w:rsidR="00644E4B">
        <w:t xml:space="preserve"> with irrigation group</w:t>
      </w:r>
      <w:r w:rsidR="007765E5">
        <w:t>s, entitlement holders and s</w:t>
      </w:r>
      <w:r w:rsidR="003E2D62">
        <w:t>tate</w:t>
      </w:r>
      <w:r w:rsidR="00644E4B">
        <w:t xml:space="preserve"> agencies responsible for water and river management to address risk</w:t>
      </w:r>
      <w:r w:rsidR="00D61DA2">
        <w:t>s</w:t>
      </w:r>
      <w:r w:rsidR="00B462BA">
        <w:t xml:space="preserve"> of third party impact</w:t>
      </w:r>
      <w:r w:rsidR="00BC102E">
        <w:t>s</w:t>
      </w:r>
      <w:r w:rsidR="00B462BA">
        <w:t xml:space="preserve"> and ensure </w:t>
      </w:r>
      <w:r w:rsidR="0006772F">
        <w:t>environmental</w:t>
      </w:r>
      <w:r w:rsidRPr="00BD56AB">
        <w:t xml:space="preserve"> watering needs</w:t>
      </w:r>
      <w:r w:rsidR="0006772F">
        <w:t xml:space="preserve"> and outcomes</w:t>
      </w:r>
      <w:r w:rsidRPr="00BD56AB">
        <w:t xml:space="preserve"> are met</w:t>
      </w:r>
      <w:r w:rsidR="00B161CF">
        <w:t>.</w:t>
      </w:r>
    </w:p>
    <w:p w14:paraId="23D9A138" w14:textId="77777777" w:rsidR="00CE775E" w:rsidRDefault="00691F29" w:rsidP="006703EC">
      <w:pPr>
        <w:pStyle w:val="ListBullet"/>
        <w:numPr>
          <w:ilvl w:val="0"/>
          <w:numId w:val="8"/>
        </w:numPr>
        <w:spacing w:after="200" w:line="276" w:lineRule="auto"/>
      </w:pPr>
      <w:r>
        <w:t xml:space="preserve">Working with state governments enables the efficient use of environmental water by utilising existing state frameworks and operational arrangements to optimise </w:t>
      </w:r>
      <w:r>
        <w:lastRenderedPageBreak/>
        <w:t xml:space="preserve">environmental releases. </w:t>
      </w:r>
      <w:r w:rsidR="00BD205A" w:rsidRPr="00BD56AB">
        <w:t>The CEWH will continue to coordinate with its delivery partners through</w:t>
      </w:r>
      <w:r w:rsidR="00F00430">
        <w:t xml:space="preserve"> Commonwealth and</w:t>
      </w:r>
      <w:r w:rsidR="00BD205A" w:rsidRPr="00BD56AB">
        <w:t xml:space="preserve"> </w:t>
      </w:r>
      <w:r w:rsidR="00F00430">
        <w:t xml:space="preserve">state-led </w:t>
      </w:r>
      <w:r w:rsidR="00BD205A" w:rsidRPr="00BD56AB">
        <w:t>forums</w:t>
      </w:r>
      <w:r w:rsidR="00024E2E">
        <w:t xml:space="preserve"> to </w:t>
      </w:r>
      <w:r w:rsidR="00263B3D">
        <w:t>bring together environmental water holders,</w:t>
      </w:r>
      <w:r w:rsidR="00F00430">
        <w:t xml:space="preserve"> river operators and other stakeholders</w:t>
      </w:r>
      <w:r w:rsidR="003D178E">
        <w:t xml:space="preserve"> to manage environmental water</w:t>
      </w:r>
      <w:r w:rsidR="00BD205A" w:rsidRPr="00BD56AB">
        <w:t xml:space="preserve">. </w:t>
      </w:r>
      <w:r w:rsidR="005D5705">
        <w:t xml:space="preserve">Coordinating environmental watering between all holders of held water and managers of planned water also maximises </w:t>
      </w:r>
      <w:r w:rsidR="00670BD8">
        <w:t>outcomes,</w:t>
      </w:r>
      <w:r w:rsidR="005D5705">
        <w:t xml:space="preserve"> </w:t>
      </w:r>
      <w:r w:rsidR="00670BD8">
        <w:t>ensures multiple objectives</w:t>
      </w:r>
      <w:r w:rsidR="007765E5">
        <w:t xml:space="preserve"> are met</w:t>
      </w:r>
      <w:r w:rsidR="00670BD8">
        <w:t xml:space="preserve"> and allows for system-wide benefits</w:t>
      </w:r>
      <w:r w:rsidR="005D5705">
        <w:t xml:space="preserve">. </w:t>
      </w:r>
      <w:r w:rsidR="00BD205A" w:rsidRPr="00BD56AB">
        <w:t>Formal partnerships with state government agencies will be renewed (for N</w:t>
      </w:r>
      <w:r w:rsidR="00F00430">
        <w:t xml:space="preserve">ew </w:t>
      </w:r>
      <w:r w:rsidR="00BD205A" w:rsidRPr="00BD56AB">
        <w:t>S</w:t>
      </w:r>
      <w:r w:rsidR="00F00430">
        <w:t xml:space="preserve">outh </w:t>
      </w:r>
      <w:r w:rsidR="00BD205A" w:rsidRPr="00BD56AB">
        <w:t>W</w:t>
      </w:r>
      <w:r w:rsidR="00F00430">
        <w:t>ales</w:t>
      </w:r>
      <w:r w:rsidR="00BD205A" w:rsidRPr="00BD56AB">
        <w:t xml:space="preserve"> and Victoria) or established (for S</w:t>
      </w:r>
      <w:r w:rsidR="00F00430">
        <w:t xml:space="preserve">outh </w:t>
      </w:r>
      <w:r w:rsidR="00BD205A" w:rsidRPr="00BD56AB">
        <w:t>A</w:t>
      </w:r>
      <w:r w:rsidR="00F00430">
        <w:t>ustralia</w:t>
      </w:r>
      <w:r w:rsidR="00BD205A" w:rsidRPr="00BD56AB">
        <w:t>) in the 2019–20 water year.</w:t>
      </w:r>
      <w:r w:rsidR="00AC5F88" w:rsidRPr="00BD56AB">
        <w:t xml:space="preserve"> </w:t>
      </w:r>
    </w:p>
    <w:p w14:paraId="6F0AB1BD" w14:textId="77777777" w:rsidR="00691F29" w:rsidRPr="00BD56AB" w:rsidRDefault="00691F29" w:rsidP="003E2D62">
      <w:pPr>
        <w:pStyle w:val="ListParagraph"/>
        <w:numPr>
          <w:ilvl w:val="0"/>
          <w:numId w:val="8"/>
        </w:numPr>
        <w:spacing w:after="200" w:line="276" w:lineRule="auto"/>
      </w:pPr>
      <w:r w:rsidRPr="00691F29">
        <w:t xml:space="preserve">The CEWH is committed to ensuring information on its watering activities and the outcomes of these activities </w:t>
      </w:r>
      <w:r>
        <w:t>are</w:t>
      </w:r>
      <w:r w:rsidRPr="00691F29">
        <w:t xml:space="preserve"> </w:t>
      </w:r>
      <w:r w:rsidR="001A6350">
        <w:t>made available</w:t>
      </w:r>
      <w:r w:rsidRPr="00691F29">
        <w:t xml:space="preserve"> regularly</w:t>
      </w:r>
      <w:r w:rsidR="00FE33DB">
        <w:t xml:space="preserve">, publicly </w:t>
      </w:r>
      <w:r w:rsidRPr="00691F29">
        <w:t xml:space="preserve">and transparently. Information on the CEWH’s </w:t>
      </w:r>
      <w:r w:rsidR="007765E5">
        <w:t xml:space="preserve">environmental </w:t>
      </w:r>
      <w:r w:rsidRPr="00691F29">
        <w:t xml:space="preserve">watering </w:t>
      </w:r>
      <w:r>
        <w:t>activities</w:t>
      </w:r>
      <w:r w:rsidRPr="00691F29">
        <w:t xml:space="preserve"> and </w:t>
      </w:r>
      <w:r>
        <w:t>outcomes</w:t>
      </w:r>
      <w:r w:rsidR="007765E5">
        <w:t xml:space="preserve"> are</w:t>
      </w:r>
      <w:r>
        <w:t xml:space="preserve"> shown through </w:t>
      </w:r>
      <w:r w:rsidRPr="00691F29">
        <w:t>monitoring</w:t>
      </w:r>
      <w:r>
        <w:t xml:space="preserve"> and research</w:t>
      </w:r>
      <w:r w:rsidR="007765E5">
        <w:t xml:space="preserve"> which is </w:t>
      </w:r>
      <w:r w:rsidRPr="00691F29">
        <w:t>available on the C</w:t>
      </w:r>
      <w:r>
        <w:t>ommonwealth Environmental Water Office’s (C</w:t>
      </w:r>
      <w:r w:rsidRPr="00691F29">
        <w:t>EWO</w:t>
      </w:r>
      <w:r>
        <w:t>)</w:t>
      </w:r>
      <w:r w:rsidRPr="00691F29">
        <w:t xml:space="preserve"> website.</w:t>
      </w:r>
      <w:r>
        <w:t xml:space="preserve"> </w:t>
      </w:r>
      <w:r w:rsidRPr="00BD56AB">
        <w:t>In catchments where Long-Term Intervention Monitoring is undertaken, researchers are in the community speaking to landholders about environmental w</w:t>
      </w:r>
      <w:r w:rsidR="001A6350">
        <w:t>atering and the monitoring</w:t>
      </w:r>
      <w:r w:rsidRPr="00BD56AB">
        <w:t xml:space="preserve"> undertaken</w:t>
      </w:r>
      <w:r w:rsidR="007765E5">
        <w:t>. Q</w:t>
      </w:r>
      <w:r w:rsidRPr="00BD56AB">
        <w:t>uarterly progress reports are</w:t>
      </w:r>
      <w:r w:rsidR="007765E5">
        <w:t xml:space="preserve"> also</w:t>
      </w:r>
      <w:r w:rsidRPr="00BD56AB">
        <w:t xml:space="preserve"> published</w:t>
      </w:r>
      <w:r w:rsidR="007765E5">
        <w:t xml:space="preserve"> that</w:t>
      </w:r>
      <w:r w:rsidRPr="00BD56AB">
        <w:t xml:space="preserve"> detail the environmental watering undertaken in the period.</w:t>
      </w:r>
    </w:p>
    <w:p w14:paraId="08519C0B" w14:textId="77777777" w:rsidR="00970405" w:rsidRPr="00BD56AB" w:rsidRDefault="001A6350" w:rsidP="00DB2056">
      <w:pPr>
        <w:spacing w:after="200" w:line="276" w:lineRule="auto"/>
        <w:ind w:left="360"/>
      </w:pPr>
      <w:r>
        <w:t>A key component of the CEWO are l</w:t>
      </w:r>
      <w:r w:rsidRPr="00BD56AB">
        <w:t xml:space="preserve">ocal engagement officers </w:t>
      </w:r>
      <w:r>
        <w:t>that work</w:t>
      </w:r>
      <w:r w:rsidRPr="00BD56AB">
        <w:t xml:space="preserve"> alongside state and water management agencies providing outreach to local communities throughout the Basin.</w:t>
      </w:r>
      <w:r>
        <w:t xml:space="preserve"> </w:t>
      </w:r>
      <w:r w:rsidR="00691F29">
        <w:t>Other mechanisms</w:t>
      </w:r>
      <w:r w:rsidR="00691F29" w:rsidRPr="00BD56AB">
        <w:t xml:space="preserve"> </w:t>
      </w:r>
      <w:r w:rsidR="00691F29">
        <w:t>used by the CEWH</w:t>
      </w:r>
      <w:r w:rsidR="00691F29" w:rsidRPr="00BD56AB">
        <w:t xml:space="preserve"> to provide updates on environmental watering includ</w:t>
      </w:r>
      <w:r w:rsidR="00691F29">
        <w:t>e</w:t>
      </w:r>
      <w:r w:rsidR="00691F29" w:rsidRPr="00BD56AB">
        <w:t xml:space="preserve"> advice </w:t>
      </w:r>
      <w:r w:rsidR="00691F29">
        <w:t>provided in state-led e</w:t>
      </w:r>
      <w:r w:rsidR="00691F29" w:rsidRPr="00BD56AB">
        <w:t xml:space="preserve">nvironmental </w:t>
      </w:r>
      <w:r w:rsidR="00691F29">
        <w:t>w</w:t>
      </w:r>
      <w:r w:rsidR="00691F29" w:rsidRPr="00BD56AB">
        <w:t xml:space="preserve">ater </w:t>
      </w:r>
      <w:r w:rsidR="00691F29">
        <w:t>g</w:t>
      </w:r>
      <w:r w:rsidR="00691F29" w:rsidRPr="00BD56AB">
        <w:t>roups</w:t>
      </w:r>
      <w:r>
        <w:t xml:space="preserve"> and</w:t>
      </w:r>
      <w:r w:rsidR="00691F29" w:rsidRPr="00BD56AB">
        <w:t xml:space="preserve"> media </w:t>
      </w:r>
      <w:r>
        <w:t>outreach</w:t>
      </w:r>
      <w:r w:rsidR="00B01130">
        <w:t>.</w:t>
      </w:r>
      <w:r w:rsidR="00691F29" w:rsidRPr="00BD56AB">
        <w:t xml:space="preserve"> </w:t>
      </w:r>
    </w:p>
    <w:p w14:paraId="3DDC198E" w14:textId="77777777" w:rsidR="00B7694C" w:rsidRPr="00BD56AB" w:rsidRDefault="00CB2627" w:rsidP="00DB2056">
      <w:pPr>
        <w:spacing w:after="200" w:line="276" w:lineRule="auto"/>
        <w:ind w:left="360"/>
      </w:pPr>
      <w:r w:rsidRPr="00691F29">
        <w:t xml:space="preserve">The </w:t>
      </w:r>
      <w:r w:rsidR="00A13D16">
        <w:t>Australian Government</w:t>
      </w:r>
      <w:r w:rsidRPr="00691F29">
        <w:t xml:space="preserve"> recognises more work is needed to improve access to clear and simple information on how, where an</w:t>
      </w:r>
      <w:r w:rsidR="000C41D7">
        <w:t>d</w:t>
      </w:r>
      <w:r w:rsidRPr="00691F29">
        <w:t xml:space="preserve"> why water for the environment is being u</w:t>
      </w:r>
      <w:r w:rsidR="00727569">
        <w:t>sed</w:t>
      </w:r>
      <w:r w:rsidR="003E2D62">
        <w:t xml:space="preserve">. </w:t>
      </w:r>
      <w:r w:rsidR="007765E5">
        <w:t>Responding to the need to improve water literacy and community awareness of the environmental outcomes and other benefits of the use of water for the environment, t</w:t>
      </w:r>
      <w:r w:rsidR="00A13D16">
        <w:t xml:space="preserve">he </w:t>
      </w:r>
      <w:r w:rsidR="003E2D62">
        <w:t xml:space="preserve">Commonwealth and </w:t>
      </w:r>
      <w:r w:rsidR="007765E5">
        <w:t>s</w:t>
      </w:r>
      <w:r w:rsidR="003E2D62">
        <w:t>tate agencies</w:t>
      </w:r>
      <w:r w:rsidR="00A13D16">
        <w:t xml:space="preserve"> are working closely together to improve communications and engagement</w:t>
      </w:r>
      <w:r w:rsidR="00727569">
        <w:t xml:space="preserve">. The CEWH is </w:t>
      </w:r>
      <w:r w:rsidR="007765E5">
        <w:t xml:space="preserve">also </w:t>
      </w:r>
      <w:r w:rsidR="00727569">
        <w:t>reviewing its Communications and Engagement S</w:t>
      </w:r>
      <w:r w:rsidRPr="00691F29">
        <w:t xml:space="preserve">trategy, </w:t>
      </w:r>
      <w:r w:rsidR="00B01130">
        <w:t xml:space="preserve">including </w:t>
      </w:r>
      <w:r w:rsidRPr="00691F29">
        <w:t>consideration of how regular updates on environmental watering activities can be done in future (</w:t>
      </w:r>
      <w:r w:rsidR="001A6350">
        <w:t xml:space="preserve">see </w:t>
      </w:r>
      <w:r w:rsidRPr="00691F29">
        <w:t>recommendation 7).</w:t>
      </w:r>
    </w:p>
    <w:p w14:paraId="3FCD21F8" w14:textId="77777777" w:rsidR="00C41CC3" w:rsidRPr="00BD56AB" w:rsidRDefault="00B24AF7" w:rsidP="002A0F44">
      <w:pPr>
        <w:pStyle w:val="ListParagraph"/>
        <w:numPr>
          <w:ilvl w:val="0"/>
          <w:numId w:val="8"/>
        </w:numPr>
        <w:spacing w:before="240" w:after="200" w:line="276" w:lineRule="auto"/>
        <w:ind w:left="357" w:hanging="357"/>
      </w:pPr>
      <w:r>
        <w:t xml:space="preserve">The CEWH is able to fund environmental activities that are complementary to environmental watering using the proceeds from trading water. </w:t>
      </w:r>
      <w:r w:rsidR="00BD205A" w:rsidRPr="00BD56AB">
        <w:t>T</w:t>
      </w:r>
      <w:r>
        <w:t xml:space="preserve">he CEWH is </w:t>
      </w:r>
      <w:r w:rsidR="00BD205A" w:rsidRPr="00BD56AB">
        <w:t>finalis</w:t>
      </w:r>
      <w:r>
        <w:t>ing</w:t>
      </w:r>
      <w:r w:rsidR="00BD205A" w:rsidRPr="00BD56AB">
        <w:t xml:space="preserve"> </w:t>
      </w:r>
      <w:r>
        <w:t>its</w:t>
      </w:r>
      <w:r w:rsidR="00BD205A" w:rsidRPr="00BD56AB">
        <w:t xml:space="preserve"> Investment Framework and</w:t>
      </w:r>
      <w:r>
        <w:t xml:space="preserve"> preparing a 2019-20 Annual</w:t>
      </w:r>
      <w:r w:rsidR="00BD205A" w:rsidRPr="00BD56AB">
        <w:t xml:space="preserve"> Investment </w:t>
      </w:r>
      <w:r>
        <w:t>P</w:t>
      </w:r>
      <w:r w:rsidR="00BD205A" w:rsidRPr="00BD56AB">
        <w:t>lan</w:t>
      </w:r>
      <w:r>
        <w:t xml:space="preserve"> to inform future investment in environmental activities</w:t>
      </w:r>
      <w:r w:rsidR="00E05934">
        <w:t>. Environmental activities</w:t>
      </w:r>
      <w:r w:rsidR="00377F87">
        <w:t xml:space="preserve"> </w:t>
      </w:r>
      <w:r w:rsidR="00E05934">
        <w:t>will</w:t>
      </w:r>
      <w:r w:rsidR="00377F87">
        <w:t xml:space="preserve"> </w:t>
      </w:r>
      <w:r w:rsidR="00884971">
        <w:t>complement, e</w:t>
      </w:r>
      <w:r w:rsidR="00884971" w:rsidRPr="005E23CC">
        <w:t>nable or improve the efficiency</w:t>
      </w:r>
      <w:r w:rsidR="00884971">
        <w:t xml:space="preserve"> and effectiveness</w:t>
      </w:r>
      <w:r w:rsidR="00884971" w:rsidRPr="005E23CC">
        <w:t xml:space="preserve"> </w:t>
      </w:r>
      <w:r w:rsidR="00884971">
        <w:t>of environmental water management and delivery</w:t>
      </w:r>
      <w:r w:rsidR="00150CE4">
        <w:t>,</w:t>
      </w:r>
      <w:r w:rsidR="00377F87">
        <w:t xml:space="preserve"> and </w:t>
      </w:r>
      <w:r w:rsidR="00884971">
        <w:t>support the CEWH to perform its statutory functions.</w:t>
      </w:r>
    </w:p>
    <w:p w14:paraId="3B9D0893" w14:textId="77777777" w:rsidR="00970405" w:rsidRPr="006703EC" w:rsidRDefault="00970405" w:rsidP="00BD56AB">
      <w:pPr>
        <w:pStyle w:val="ListParagraph"/>
        <w:numPr>
          <w:ilvl w:val="0"/>
          <w:numId w:val="8"/>
        </w:numPr>
        <w:spacing w:after="200" w:line="276" w:lineRule="auto"/>
      </w:pPr>
      <w:r w:rsidRPr="006703EC">
        <w:t xml:space="preserve">The </w:t>
      </w:r>
      <w:r w:rsidRPr="00E81C37">
        <w:rPr>
          <w:i/>
        </w:rPr>
        <w:t>Water Act</w:t>
      </w:r>
      <w:r w:rsidR="00E81C37" w:rsidRPr="00E81C37">
        <w:rPr>
          <w:i/>
        </w:rPr>
        <w:t xml:space="preserve"> 2007</w:t>
      </w:r>
      <w:r w:rsidR="00E81C37">
        <w:t xml:space="preserve"> (Water Act)</w:t>
      </w:r>
      <w:r w:rsidRPr="006703EC">
        <w:t xml:space="preserve"> sets out the conditions under which Commonwealth environmental water can be sold and prioritises</w:t>
      </w:r>
      <w:r w:rsidR="0033097B">
        <w:t xml:space="preserve"> how the proceeds from sales are to</w:t>
      </w:r>
      <w:r w:rsidRPr="006703EC">
        <w:t xml:space="preserve"> be used. The CEWH </w:t>
      </w:r>
      <w:r w:rsidR="003E12A2">
        <w:t>uses</w:t>
      </w:r>
      <w:r w:rsidRPr="006703EC">
        <w:t xml:space="preserve"> water directly for environmental outcomes where </w:t>
      </w:r>
      <w:r w:rsidR="003E12A2">
        <w:t>there is a demand</w:t>
      </w:r>
      <w:r w:rsidRPr="006703EC">
        <w:t xml:space="preserve">. </w:t>
      </w:r>
      <w:r w:rsidR="003E2D62">
        <w:t xml:space="preserve">The CEWH’s priorities are </w:t>
      </w:r>
      <w:r w:rsidR="0006558E">
        <w:t xml:space="preserve">to firstly use water to achieve </w:t>
      </w:r>
      <w:r w:rsidR="00E65D16">
        <w:t>environmental outcomes, then to carry it over for us</w:t>
      </w:r>
      <w:r w:rsidR="00576B63">
        <w:t>e in future years to meet environmental</w:t>
      </w:r>
      <w:r w:rsidR="00E65D16">
        <w:t xml:space="preserve"> demand, and </w:t>
      </w:r>
      <w:r w:rsidR="00E65D16">
        <w:lastRenderedPageBreak/>
        <w:t>then to sell it where the sale would, through the use of the proceeds of the sale, lead to a better environmental outcome.</w:t>
      </w:r>
    </w:p>
    <w:p w14:paraId="125ED54F" w14:textId="77777777" w:rsidR="00BD205A" w:rsidRDefault="00F21A5E" w:rsidP="001169AF">
      <w:pPr>
        <w:pStyle w:val="ListParagraph"/>
        <w:numPr>
          <w:ilvl w:val="0"/>
          <w:numId w:val="8"/>
        </w:numPr>
        <w:spacing w:after="200" w:line="276" w:lineRule="auto"/>
      </w:pPr>
      <w:r>
        <w:t>A number</w:t>
      </w:r>
      <w:r w:rsidR="00DB2443">
        <w:t xml:space="preserve"> of</w:t>
      </w:r>
      <w:r>
        <w:t xml:space="preserve"> partnership arrangements</w:t>
      </w:r>
      <w:r w:rsidR="00BD205A" w:rsidRPr="00BD56AB">
        <w:t xml:space="preserve"> </w:t>
      </w:r>
      <w:r w:rsidRPr="00BD56AB">
        <w:t>with private and non-government organisations</w:t>
      </w:r>
      <w:r>
        <w:t xml:space="preserve"> assist the CEWH to </w:t>
      </w:r>
      <w:r w:rsidR="0006558E">
        <w:t>incorporate</w:t>
      </w:r>
      <w:r w:rsidR="00657342">
        <w:t xml:space="preserve"> local community and industry</w:t>
      </w:r>
      <w:r w:rsidR="00657342" w:rsidRPr="00BD56AB">
        <w:t xml:space="preserve"> </w:t>
      </w:r>
      <w:r w:rsidR="00657342">
        <w:t xml:space="preserve">views </w:t>
      </w:r>
      <w:r w:rsidR="00676133">
        <w:t>into</w:t>
      </w:r>
      <w:r>
        <w:t xml:space="preserve"> planning for</w:t>
      </w:r>
      <w:r w:rsidR="00657342">
        <w:t xml:space="preserve"> environmental watering</w:t>
      </w:r>
      <w:r w:rsidR="00BD205A" w:rsidRPr="00BD56AB">
        <w:t xml:space="preserve">. </w:t>
      </w:r>
      <w:r w:rsidR="00710B67">
        <w:t>T</w:t>
      </w:r>
      <w:r w:rsidR="00BD205A" w:rsidRPr="00BD56AB">
        <w:t>he CEWH has recently renewed its agreement</w:t>
      </w:r>
      <w:r>
        <w:t>s</w:t>
      </w:r>
      <w:r w:rsidR="00BD205A" w:rsidRPr="00BD56AB">
        <w:t xml:space="preserve"> with </w:t>
      </w:r>
      <w:proofErr w:type="spellStart"/>
      <w:r w:rsidR="00BD205A" w:rsidRPr="00BD56AB">
        <w:t>Banrock</w:t>
      </w:r>
      <w:proofErr w:type="spellEnd"/>
      <w:r w:rsidR="00BD205A" w:rsidRPr="00BD56AB">
        <w:t xml:space="preserve"> Station </w:t>
      </w:r>
      <w:r>
        <w:t xml:space="preserve">and </w:t>
      </w:r>
      <w:r w:rsidR="00BD205A" w:rsidRPr="00BD56AB">
        <w:t xml:space="preserve">Renmark Irrigation </w:t>
      </w:r>
      <w:r>
        <w:t>for five years</w:t>
      </w:r>
      <w:r w:rsidR="00BD205A" w:rsidRPr="00BD56AB">
        <w:t>.</w:t>
      </w:r>
      <w:r w:rsidR="00153929" w:rsidRPr="00BD56AB">
        <w:t xml:space="preserve"> Renmark Irrigation Trust is </w:t>
      </w:r>
      <w:r w:rsidR="001169AF" w:rsidRPr="00BD56AB">
        <w:t xml:space="preserve">the first irrigation scheme in the world to be certified for good water stewardship by the global Alliance for Water Stewardship. This certification </w:t>
      </w:r>
      <w:r>
        <w:t xml:space="preserve">partly </w:t>
      </w:r>
      <w:r w:rsidR="001169AF" w:rsidRPr="00BD56AB">
        <w:t xml:space="preserve">depended </w:t>
      </w:r>
      <w:r>
        <w:t xml:space="preserve">on the </w:t>
      </w:r>
      <w:r w:rsidR="001169AF" w:rsidRPr="00BD56AB">
        <w:t>T</w:t>
      </w:r>
      <w:r>
        <w:t>rust</w:t>
      </w:r>
      <w:r w:rsidR="001169AF" w:rsidRPr="00BD56AB">
        <w:t xml:space="preserve">’s partnership with the CEWH to provide environmental outcomes and rehabilitate </w:t>
      </w:r>
      <w:r w:rsidR="000F57D8">
        <w:t xml:space="preserve">wetlands and </w:t>
      </w:r>
      <w:r w:rsidR="001169AF" w:rsidRPr="00BD56AB">
        <w:t>the landscape</w:t>
      </w:r>
      <w:r w:rsidR="008A1EC1">
        <w:t xml:space="preserve"> around its area of operations in South Australia</w:t>
      </w:r>
      <w:r w:rsidR="001169AF" w:rsidRPr="00BD56AB">
        <w:t>.</w:t>
      </w:r>
    </w:p>
    <w:p w14:paraId="5B29EC5F" w14:textId="77777777" w:rsidR="00E65D16" w:rsidRDefault="00E65D16" w:rsidP="00B13804">
      <w:pPr>
        <w:pStyle w:val="ListParagraph"/>
        <w:spacing w:after="240" w:line="276" w:lineRule="auto"/>
        <w:ind w:left="357" w:firstLine="0"/>
      </w:pPr>
      <w:r>
        <w:t>The CEWH has and will continue to work closely with philanthropic organisations, First Nations people and other non-governmental organisations (NGOs) to develop partnerships which will enhance environmental outcomes across the Murray-Darling Basin.</w:t>
      </w:r>
    </w:p>
    <w:tbl>
      <w:tblPr>
        <w:tblStyle w:val="TableGrid"/>
        <w:tblW w:w="5000" w:type="pct"/>
        <w:tblLook w:val="04A0" w:firstRow="1" w:lastRow="0" w:firstColumn="1" w:lastColumn="0" w:noHBand="0" w:noVBand="1"/>
      </w:tblPr>
      <w:tblGrid>
        <w:gridCol w:w="9016"/>
      </w:tblGrid>
      <w:tr w:rsidR="00DA1CED" w:rsidRPr="006703EC" w14:paraId="0495FECD" w14:textId="77777777" w:rsidTr="0006558E">
        <w:trPr>
          <w:cnfStyle w:val="100000000000" w:firstRow="1" w:lastRow="0" w:firstColumn="0" w:lastColumn="0" w:oddVBand="0" w:evenVBand="0" w:oddHBand="0" w:evenHBand="0" w:firstRowFirstColumn="0" w:firstRowLastColumn="0" w:lastRowFirstColumn="0" w:lastRowLastColumn="0"/>
        </w:trPr>
        <w:tc>
          <w:tcPr>
            <w:tcW w:w="5000" w:type="pct"/>
          </w:tcPr>
          <w:p w14:paraId="725DECF3" w14:textId="77777777" w:rsidR="00DA1CED" w:rsidRPr="00BD56AB" w:rsidRDefault="00DA1CED" w:rsidP="00DA1CED">
            <w:pPr>
              <w:tabs>
                <w:tab w:val="left" w:pos="1935"/>
              </w:tabs>
              <w:spacing w:after="200" w:line="276" w:lineRule="auto"/>
              <w:rPr>
                <w:rFonts w:eastAsia="Calibri"/>
                <w:b/>
                <w:bCs/>
                <w:lang w:eastAsia="en-AU"/>
              </w:rPr>
            </w:pPr>
            <w:r w:rsidRPr="00BD56AB">
              <w:rPr>
                <w:rFonts w:eastAsia="Calibri"/>
                <w:b/>
                <w:bCs/>
                <w:lang w:eastAsia="en-AU"/>
              </w:rPr>
              <w:t>Recommendation 2</w:t>
            </w:r>
          </w:p>
          <w:p w14:paraId="18580A76" w14:textId="77777777" w:rsidR="00DA1CED" w:rsidRPr="00BD56AB" w:rsidRDefault="00970405" w:rsidP="00CD3BB4">
            <w:pPr>
              <w:spacing w:after="200" w:line="276" w:lineRule="auto"/>
              <w:rPr>
                <w:rFonts w:eastAsia="Calibri"/>
              </w:rPr>
            </w:pPr>
            <w:r w:rsidRPr="00BD56AB">
              <w:t>The Committee recommends that the Commonwealth Environmental Water Holder work with the Murray-Darling Basin Authority on practical methods to shepherd environmental water in a manner consistent with the rights of other water holders.</w:t>
            </w:r>
          </w:p>
        </w:tc>
      </w:tr>
    </w:tbl>
    <w:p w14:paraId="095CBF37" w14:textId="77777777" w:rsidR="00CD3BB4" w:rsidRPr="00BD56AB" w:rsidRDefault="00CD3BB4" w:rsidP="00DA1CED">
      <w:pPr>
        <w:spacing w:before="240" w:after="200" w:line="276" w:lineRule="auto"/>
        <w:rPr>
          <w:rFonts w:eastAsia="Calibri"/>
          <w:b/>
        </w:rPr>
      </w:pPr>
      <w:r w:rsidRPr="00BD56AB">
        <w:rPr>
          <w:rFonts w:eastAsia="Calibri"/>
          <w:b/>
        </w:rPr>
        <w:t>Response:</w:t>
      </w:r>
    </w:p>
    <w:p w14:paraId="30DA976F" w14:textId="77777777" w:rsidR="00C320A0" w:rsidRDefault="0009426A" w:rsidP="00CD3BB4">
      <w:pPr>
        <w:spacing w:after="200" w:line="276" w:lineRule="auto"/>
        <w:rPr>
          <w:rFonts w:eastAsia="Calibri"/>
          <w:b/>
        </w:rPr>
      </w:pPr>
      <w:r w:rsidRPr="00BD56AB">
        <w:rPr>
          <w:rFonts w:eastAsia="Calibri"/>
          <w:b/>
        </w:rPr>
        <w:t>Agreed</w:t>
      </w:r>
      <w:r w:rsidR="00C320A0">
        <w:rPr>
          <w:rFonts w:eastAsia="Calibri"/>
          <w:b/>
        </w:rPr>
        <w:t>.</w:t>
      </w:r>
    </w:p>
    <w:p w14:paraId="1CE6F525" w14:textId="1388FE54" w:rsidR="00A40099" w:rsidRPr="00BD56AB" w:rsidRDefault="00C320A0" w:rsidP="00CD3BB4">
      <w:pPr>
        <w:spacing w:after="200" w:line="276" w:lineRule="auto"/>
        <w:rPr>
          <w:rFonts w:eastAsia="Calibri"/>
          <w:b/>
        </w:rPr>
      </w:pPr>
      <w:r>
        <w:rPr>
          <w:rFonts w:eastAsia="Calibri"/>
          <w:b/>
        </w:rPr>
        <w:t>T</w:t>
      </w:r>
      <w:r w:rsidR="00A40099">
        <w:rPr>
          <w:rFonts w:eastAsia="Calibri"/>
          <w:b/>
        </w:rPr>
        <w:t>he Commonwealth Environmental Water Holder will continue to work with the M</w:t>
      </w:r>
      <w:r>
        <w:rPr>
          <w:rFonts w:eastAsia="Calibri"/>
          <w:b/>
        </w:rPr>
        <w:t>urray-Darling Basin Authority and States in the implementation of the</w:t>
      </w:r>
      <w:r w:rsidR="00A40099">
        <w:rPr>
          <w:rFonts w:eastAsia="Calibri"/>
          <w:b/>
        </w:rPr>
        <w:t xml:space="preserve"> protection of environmental water. </w:t>
      </w:r>
    </w:p>
    <w:p w14:paraId="60F8E250" w14:textId="77777777" w:rsidR="00DB2443" w:rsidRPr="00EB3B13" w:rsidRDefault="00DB2443" w:rsidP="000C41D7">
      <w:pPr>
        <w:spacing w:after="240" w:line="276" w:lineRule="auto"/>
        <w:rPr>
          <w:rFonts w:eastAsia="Calibri"/>
        </w:rPr>
      </w:pPr>
      <w:r>
        <w:t>R</w:t>
      </w:r>
      <w:r w:rsidR="005E33AE">
        <w:t>iver management practices</w:t>
      </w:r>
      <w:r w:rsidR="00C00169">
        <w:t xml:space="preserve"> to shepherd and protect environmental water</w:t>
      </w:r>
      <w:r w:rsidR="005E33AE">
        <w:t xml:space="preserve"> are</w:t>
      </w:r>
      <w:r w:rsidR="00C00169">
        <w:t xml:space="preserve"> </w:t>
      </w:r>
      <w:r w:rsidR="00965404">
        <w:t>the responsibility of</w:t>
      </w:r>
      <w:r w:rsidR="00BD205A" w:rsidRPr="00BD56AB">
        <w:t xml:space="preserve"> state governments</w:t>
      </w:r>
      <w:r w:rsidR="007C1235">
        <w:t>,</w:t>
      </w:r>
      <w:r w:rsidR="00BD1582">
        <w:t xml:space="preserve"> </w:t>
      </w:r>
      <w:r>
        <w:t xml:space="preserve">however </w:t>
      </w:r>
      <w:r w:rsidR="007C1235">
        <w:t>t</w:t>
      </w:r>
      <w:r w:rsidR="00C00169">
        <w:t>he CEW</w:t>
      </w:r>
      <w:r w:rsidR="005E33AE">
        <w:t>H</w:t>
      </w:r>
      <w:r w:rsidR="00C00169">
        <w:t xml:space="preserve"> </w:t>
      </w:r>
      <w:r w:rsidR="007C1235">
        <w:t xml:space="preserve">will </w:t>
      </w:r>
      <w:r w:rsidR="00C00169">
        <w:t xml:space="preserve">work with state governments </w:t>
      </w:r>
      <w:r w:rsidR="007C1235">
        <w:t xml:space="preserve">to enhance </w:t>
      </w:r>
      <w:r w:rsidR="005E33AE">
        <w:t xml:space="preserve">their </w:t>
      </w:r>
      <w:r w:rsidR="00C00169">
        <w:t>policies</w:t>
      </w:r>
      <w:r w:rsidR="005E33AE">
        <w:t xml:space="preserve"> and operations</w:t>
      </w:r>
      <w:r w:rsidR="00C00169">
        <w:t xml:space="preserve"> to </w:t>
      </w:r>
      <w:r w:rsidR="007C1235">
        <w:t xml:space="preserve">realise </w:t>
      </w:r>
      <w:r w:rsidR="00C00169">
        <w:t xml:space="preserve">the full benefits </w:t>
      </w:r>
      <w:r w:rsidR="007C1235">
        <w:t xml:space="preserve">from </w:t>
      </w:r>
      <w:r w:rsidR="00C00169">
        <w:t>environmental water</w:t>
      </w:r>
      <w:r w:rsidR="005E33AE">
        <w:t xml:space="preserve"> as envisaged by the Water Act</w:t>
      </w:r>
      <w:r w:rsidR="00C00169">
        <w:t>.</w:t>
      </w:r>
      <w:r w:rsidR="00CB4C37">
        <w:rPr>
          <w:rFonts w:eastAsia="Calibri"/>
        </w:rPr>
        <w:t xml:space="preserve"> </w:t>
      </w:r>
      <w:r w:rsidR="00B7694C" w:rsidRPr="00BD56AB">
        <w:rPr>
          <w:rFonts w:eastAsia="Calibri"/>
        </w:rPr>
        <w:t xml:space="preserve">The role of </w:t>
      </w:r>
      <w:r w:rsidR="001169AF" w:rsidRPr="00BD56AB">
        <w:rPr>
          <w:rFonts w:eastAsia="Calibri"/>
        </w:rPr>
        <w:t>Water Resource Plans (</w:t>
      </w:r>
      <w:r w:rsidR="00B7694C" w:rsidRPr="00BD56AB">
        <w:rPr>
          <w:rFonts w:eastAsia="Calibri"/>
        </w:rPr>
        <w:t xml:space="preserve">WRPs), </w:t>
      </w:r>
      <w:r w:rsidR="00144062">
        <w:rPr>
          <w:rFonts w:eastAsia="Calibri"/>
        </w:rPr>
        <w:t>p</w:t>
      </w:r>
      <w:r w:rsidR="001169AF" w:rsidRPr="00BD56AB">
        <w:rPr>
          <w:rFonts w:eastAsia="Calibri"/>
        </w:rPr>
        <w:t xml:space="preserve">re-requisite </w:t>
      </w:r>
      <w:r w:rsidR="00144062">
        <w:rPr>
          <w:rFonts w:eastAsia="Calibri"/>
        </w:rPr>
        <w:t>p</w:t>
      </w:r>
      <w:r w:rsidR="001169AF" w:rsidRPr="00BD56AB">
        <w:rPr>
          <w:rFonts w:eastAsia="Calibri"/>
        </w:rPr>
        <w:t xml:space="preserve">olicy </w:t>
      </w:r>
      <w:r w:rsidR="00144062">
        <w:rPr>
          <w:rFonts w:eastAsia="Calibri"/>
        </w:rPr>
        <w:t>m</w:t>
      </w:r>
      <w:r w:rsidR="001169AF" w:rsidRPr="00BD56AB">
        <w:rPr>
          <w:rFonts w:eastAsia="Calibri"/>
        </w:rPr>
        <w:t>easures (</w:t>
      </w:r>
      <w:r w:rsidR="00B7694C" w:rsidRPr="00BD56AB">
        <w:rPr>
          <w:rFonts w:eastAsia="Calibri"/>
        </w:rPr>
        <w:t>PPMs</w:t>
      </w:r>
      <w:r w:rsidR="001169AF" w:rsidRPr="00BD56AB">
        <w:rPr>
          <w:rFonts w:eastAsia="Calibri"/>
        </w:rPr>
        <w:t>)</w:t>
      </w:r>
      <w:r w:rsidR="00CB4C37">
        <w:rPr>
          <w:rFonts w:eastAsia="Calibri"/>
        </w:rPr>
        <w:t>, constraints</w:t>
      </w:r>
      <w:r w:rsidR="00B7694C" w:rsidRPr="00BD56AB">
        <w:rPr>
          <w:rFonts w:eastAsia="Calibri"/>
        </w:rPr>
        <w:t xml:space="preserve"> </w:t>
      </w:r>
      <w:r w:rsidR="00144062">
        <w:rPr>
          <w:rFonts w:eastAsia="Calibri"/>
        </w:rPr>
        <w:t>relaxation</w:t>
      </w:r>
      <w:r w:rsidR="00144062" w:rsidRPr="00BD56AB">
        <w:rPr>
          <w:rFonts w:eastAsia="Calibri"/>
        </w:rPr>
        <w:t xml:space="preserve"> </w:t>
      </w:r>
      <w:r w:rsidR="00B7694C" w:rsidRPr="00BD56AB">
        <w:rPr>
          <w:rFonts w:eastAsia="Calibri"/>
        </w:rPr>
        <w:t>and</w:t>
      </w:r>
      <w:r w:rsidR="00CB4C37">
        <w:rPr>
          <w:rFonts w:eastAsia="Calibri"/>
        </w:rPr>
        <w:t xml:space="preserve"> </w:t>
      </w:r>
      <w:r w:rsidR="007C1235">
        <w:rPr>
          <w:rFonts w:eastAsia="Calibri"/>
        </w:rPr>
        <w:t xml:space="preserve">the </w:t>
      </w:r>
      <w:r w:rsidR="00CB4C37">
        <w:rPr>
          <w:rFonts w:eastAsia="Calibri"/>
        </w:rPr>
        <w:t>implementation of measures</w:t>
      </w:r>
      <w:r w:rsidR="00144062">
        <w:rPr>
          <w:rFonts w:eastAsia="Calibri"/>
        </w:rPr>
        <w:t xml:space="preserve"> that support reduced</w:t>
      </w:r>
      <w:r w:rsidR="00CB4C37">
        <w:rPr>
          <w:rFonts w:eastAsia="Calibri"/>
        </w:rPr>
        <w:t xml:space="preserve"> </w:t>
      </w:r>
      <w:r w:rsidR="00144062">
        <w:rPr>
          <w:rFonts w:eastAsia="Calibri"/>
        </w:rPr>
        <w:t>recovery of</w:t>
      </w:r>
      <w:r w:rsidR="00CB4C37">
        <w:rPr>
          <w:rFonts w:eastAsia="Calibri"/>
        </w:rPr>
        <w:t xml:space="preserve"> environmental water (N</w:t>
      </w:r>
      <w:r w:rsidR="00B7694C" w:rsidRPr="00BD56AB">
        <w:rPr>
          <w:rFonts w:eastAsia="Calibri"/>
        </w:rPr>
        <w:t>orthern Basin Toolkit</w:t>
      </w:r>
      <w:r w:rsidR="00CB4C37">
        <w:rPr>
          <w:rFonts w:eastAsia="Calibri"/>
        </w:rPr>
        <w:t>, Sustainable Diversion Limit Adjustment Mechanism supply measures)</w:t>
      </w:r>
      <w:r w:rsidR="00B7694C" w:rsidRPr="00BD56AB">
        <w:rPr>
          <w:rFonts w:eastAsia="Calibri"/>
        </w:rPr>
        <w:t xml:space="preserve"> are critical to success</w:t>
      </w:r>
      <w:r w:rsidR="007C1235">
        <w:rPr>
          <w:rFonts w:eastAsia="Calibri"/>
        </w:rPr>
        <w:t>ful</w:t>
      </w:r>
      <w:r w:rsidR="00B7694C" w:rsidRPr="00BD56AB">
        <w:rPr>
          <w:rFonts w:eastAsia="Calibri"/>
        </w:rPr>
        <w:t xml:space="preserve"> environmental </w:t>
      </w:r>
      <w:r w:rsidR="00B7694C" w:rsidRPr="00EB3B13">
        <w:rPr>
          <w:rFonts w:eastAsia="Calibri"/>
        </w:rPr>
        <w:t>watering</w:t>
      </w:r>
      <w:r w:rsidR="001169AF" w:rsidRPr="00EB3B13">
        <w:rPr>
          <w:rFonts w:eastAsia="Calibri"/>
        </w:rPr>
        <w:t>.</w:t>
      </w:r>
      <w:r w:rsidR="00290896" w:rsidRPr="00EB3B13">
        <w:rPr>
          <w:rFonts w:eastAsia="Calibri"/>
        </w:rPr>
        <w:t xml:space="preserve"> </w:t>
      </w:r>
    </w:p>
    <w:p w14:paraId="5AD7EEC1" w14:textId="728AC321" w:rsidR="00B017FB" w:rsidRDefault="00B017FB" w:rsidP="00B017FB">
      <w:pPr>
        <w:spacing w:after="240" w:line="276" w:lineRule="auto"/>
      </w:pPr>
      <w:r w:rsidRPr="00EB3B13">
        <w:rPr>
          <w:rFonts w:eastAsia="Calibri"/>
        </w:rPr>
        <w:t xml:space="preserve">New South Wales, Victorian and South Australian state governments have in place pre-requisite policy measures (Basin Plan, section 7.15), </w:t>
      </w:r>
      <w:r w:rsidR="00BC102E">
        <w:rPr>
          <w:rFonts w:eastAsia="Calibri"/>
        </w:rPr>
        <w:t>which include</w:t>
      </w:r>
      <w:r w:rsidRPr="00EB3B13">
        <w:rPr>
          <w:rFonts w:eastAsia="Calibri"/>
        </w:rPr>
        <w:t xml:space="preserve"> the crediting of environmental return flows and enabling the release of environmental water on top of other river flows. These measures were assessed by the MDBA and determined to be ‘in effect’ by 30 June </w:t>
      </w:r>
      <w:r w:rsidR="00BC102E">
        <w:rPr>
          <w:rFonts w:eastAsia="Calibri"/>
        </w:rPr>
        <w:t xml:space="preserve">2019 </w:t>
      </w:r>
      <w:r w:rsidRPr="00EB3B13">
        <w:rPr>
          <w:rFonts w:eastAsia="Calibri"/>
        </w:rPr>
        <w:t xml:space="preserve">as required. In its assessment, the MDBA has encouraged state governments to commit to an ongoing work program to adaptively manage PPMs as they are implemented. </w:t>
      </w:r>
      <w:r w:rsidRPr="00EB3B13">
        <w:rPr>
          <w:rFonts w:eastAsia="Calibri"/>
        </w:rPr>
        <w:lastRenderedPageBreak/>
        <w:t>State governments have committed to an ongoing program of work to ensure PPMs provide for more effective and efficient use of environmental water. The CEWH will continue work with the Murray-Darling Basin Authority and Basin States to improve environmental watering outcomes as these measures are implemented</w:t>
      </w:r>
      <w:r w:rsidRPr="00EB3B13">
        <w:t>.</w:t>
      </w:r>
    </w:p>
    <w:tbl>
      <w:tblPr>
        <w:tblStyle w:val="TableGrid"/>
        <w:tblW w:w="0" w:type="auto"/>
        <w:tblLook w:val="04A0" w:firstRow="1" w:lastRow="0" w:firstColumn="1" w:lastColumn="0" w:noHBand="0" w:noVBand="1"/>
      </w:tblPr>
      <w:tblGrid>
        <w:gridCol w:w="9016"/>
      </w:tblGrid>
      <w:tr w:rsidR="00DA1CED" w:rsidRPr="006703EC" w14:paraId="03CB52BC" w14:textId="77777777" w:rsidTr="00A13D16">
        <w:trPr>
          <w:cnfStyle w:val="100000000000" w:firstRow="1" w:lastRow="0" w:firstColumn="0" w:lastColumn="0" w:oddVBand="0" w:evenVBand="0" w:oddHBand="0" w:evenHBand="0" w:firstRowFirstColumn="0" w:firstRowLastColumn="0" w:lastRowFirstColumn="0" w:lastRowLastColumn="0"/>
        </w:trPr>
        <w:tc>
          <w:tcPr>
            <w:tcW w:w="9016" w:type="dxa"/>
          </w:tcPr>
          <w:p w14:paraId="4FB96969" w14:textId="77777777" w:rsidR="00DA1CED" w:rsidRPr="00BD56AB" w:rsidRDefault="00DA1CED" w:rsidP="001B6A2B">
            <w:pPr>
              <w:tabs>
                <w:tab w:val="left" w:pos="1935"/>
              </w:tabs>
              <w:spacing w:after="200" w:line="276" w:lineRule="auto"/>
              <w:rPr>
                <w:rFonts w:eastAsia="Calibri"/>
                <w:b/>
                <w:bCs/>
                <w:lang w:eastAsia="en-AU"/>
              </w:rPr>
            </w:pPr>
            <w:r w:rsidRPr="00BD56AB">
              <w:rPr>
                <w:rFonts w:eastAsia="Calibri"/>
                <w:b/>
                <w:bCs/>
                <w:lang w:eastAsia="en-AU"/>
              </w:rPr>
              <w:t>Recommendation 3</w:t>
            </w:r>
          </w:p>
          <w:p w14:paraId="170DB451" w14:textId="77777777" w:rsidR="00DA1CED" w:rsidRPr="00BD56AB" w:rsidRDefault="00970405" w:rsidP="001B6A2B">
            <w:pPr>
              <w:spacing w:after="200" w:line="276" w:lineRule="auto"/>
              <w:rPr>
                <w:rFonts w:eastAsia="Calibri"/>
              </w:rPr>
            </w:pPr>
            <w:r w:rsidRPr="00BD56AB">
              <w:t>The Committee recommends that the Australian Government continue to fund and support an infrastructure program aimed at optimising water efficiency in the Murray-Darling Basin.</w:t>
            </w:r>
          </w:p>
        </w:tc>
      </w:tr>
    </w:tbl>
    <w:p w14:paraId="2A319877" w14:textId="77777777" w:rsidR="00CD3BB4" w:rsidRDefault="00CD3BB4" w:rsidP="00DA1CED">
      <w:pPr>
        <w:spacing w:before="240" w:after="200" w:line="276" w:lineRule="auto"/>
        <w:rPr>
          <w:rFonts w:eastAsia="Calibri"/>
          <w:b/>
        </w:rPr>
      </w:pPr>
      <w:r w:rsidRPr="00BD56AB">
        <w:rPr>
          <w:rFonts w:eastAsia="Calibri"/>
          <w:b/>
        </w:rPr>
        <w:t>Response:</w:t>
      </w:r>
    </w:p>
    <w:p w14:paraId="60EEA283" w14:textId="099197F0" w:rsidR="00B64969" w:rsidRDefault="00B64969" w:rsidP="00DA1CED">
      <w:pPr>
        <w:spacing w:before="240" w:after="200" w:line="276" w:lineRule="auto"/>
        <w:rPr>
          <w:rFonts w:eastAsia="Calibri"/>
          <w:b/>
        </w:rPr>
      </w:pPr>
      <w:r w:rsidRPr="00590A11">
        <w:rPr>
          <w:rFonts w:eastAsia="Calibri"/>
          <w:b/>
        </w:rPr>
        <w:t>Agreed</w:t>
      </w:r>
      <w:r w:rsidR="00C320A0">
        <w:rPr>
          <w:rFonts w:eastAsia="Calibri"/>
          <w:b/>
        </w:rPr>
        <w:t>.</w:t>
      </w:r>
    </w:p>
    <w:p w14:paraId="7A7335B8" w14:textId="55E1C14B" w:rsidR="00A40099" w:rsidRPr="00BD56AB" w:rsidRDefault="00C320A0" w:rsidP="00DA1CED">
      <w:pPr>
        <w:spacing w:before="240" w:after="200" w:line="276" w:lineRule="auto"/>
        <w:rPr>
          <w:rFonts w:eastAsia="Calibri"/>
          <w:b/>
        </w:rPr>
      </w:pPr>
      <w:r>
        <w:rPr>
          <w:rFonts w:eastAsia="Calibri"/>
          <w:b/>
        </w:rPr>
        <w:t>T</w:t>
      </w:r>
      <w:r w:rsidR="00A40099">
        <w:rPr>
          <w:rFonts w:eastAsia="Calibri"/>
          <w:b/>
        </w:rPr>
        <w:t>he Commonwealth Environmental Water Holder supports the continued improvement of water efficiency</w:t>
      </w:r>
      <w:r>
        <w:rPr>
          <w:rFonts w:eastAsia="Calibri"/>
          <w:b/>
        </w:rPr>
        <w:t xml:space="preserve"> in the Murray-Darling Basin</w:t>
      </w:r>
      <w:r w:rsidR="00A40099">
        <w:rPr>
          <w:rFonts w:eastAsia="Calibri"/>
          <w:b/>
        </w:rPr>
        <w:t>.</w:t>
      </w:r>
    </w:p>
    <w:p w14:paraId="4C64B8CF" w14:textId="69926B5B" w:rsidR="00A65E83" w:rsidRPr="00EB3B13" w:rsidRDefault="00A65E83" w:rsidP="00A65E83">
      <w:pPr>
        <w:spacing w:after="240" w:line="276" w:lineRule="auto"/>
      </w:pPr>
      <w:r w:rsidRPr="00EB3B13">
        <w:t>In June 2018, the Murray-Darling Basin Ministerial Council agreed to progress the recovery of 450 GL of efficiency measures through a Commonwealth funded Basin-wide efficiency measures program. $1.5 billion is available from the Water for the Environment Special Account to improve water efficiency and deliver 450 GL of water savings for the environment by 2024. The efficiency measures program invests in infrastructure projects to optimise water efficiency in the five streams of urban, industrial, off-farm, on-farm and metering projects. In December 2018</w:t>
      </w:r>
      <w:r w:rsidR="003D1F8D" w:rsidRPr="00EB3B13">
        <w:t>,</w:t>
      </w:r>
      <w:r w:rsidRPr="00EB3B13">
        <w:t xml:space="preserve"> the Ministerial Council agreed to adopt a set of criteria to ensure the infrastructure projects had a neutral or positive socio-economic impact. Basin States are also developing state-led water efficiency projects for consideration for funding by the Australian Government. </w:t>
      </w:r>
    </w:p>
    <w:p w14:paraId="1E43B271" w14:textId="77777777" w:rsidR="00A65E83" w:rsidRPr="00A65E83" w:rsidRDefault="00A65E83" w:rsidP="00A65E83">
      <w:pPr>
        <w:spacing w:after="240" w:line="276" w:lineRule="auto"/>
      </w:pPr>
      <w:r w:rsidRPr="00EB3B13">
        <w:t>Infrastructure works provide improved water efficiency while enabling at least the same level of production. Water savings generated by the efficiency measures program are transferred to the Commonwealth Environmental Water Holder and contribute to the 450 GL of additional water for the environment required under the Basin Plan.</w:t>
      </w:r>
    </w:p>
    <w:tbl>
      <w:tblPr>
        <w:tblStyle w:val="TableGrid"/>
        <w:tblW w:w="0" w:type="auto"/>
        <w:tblLook w:val="04A0" w:firstRow="1" w:lastRow="0" w:firstColumn="1" w:lastColumn="0" w:noHBand="0" w:noVBand="1"/>
      </w:tblPr>
      <w:tblGrid>
        <w:gridCol w:w="9016"/>
      </w:tblGrid>
      <w:tr w:rsidR="00DA1CED" w:rsidRPr="006703EC" w14:paraId="3ECC3D1C" w14:textId="77777777" w:rsidTr="00144062">
        <w:trPr>
          <w:cnfStyle w:val="100000000000" w:firstRow="1" w:lastRow="0" w:firstColumn="0" w:lastColumn="0" w:oddVBand="0" w:evenVBand="0" w:oddHBand="0" w:evenHBand="0" w:firstRowFirstColumn="0" w:firstRowLastColumn="0" w:lastRowFirstColumn="0" w:lastRowLastColumn="0"/>
        </w:trPr>
        <w:tc>
          <w:tcPr>
            <w:tcW w:w="9016" w:type="dxa"/>
          </w:tcPr>
          <w:p w14:paraId="285A7A98" w14:textId="77777777" w:rsidR="00DA1CED" w:rsidRPr="00BD56AB" w:rsidRDefault="00DA1CED" w:rsidP="001B6A2B">
            <w:pPr>
              <w:tabs>
                <w:tab w:val="left" w:pos="1935"/>
              </w:tabs>
              <w:spacing w:after="200" w:line="276" w:lineRule="auto"/>
              <w:rPr>
                <w:rFonts w:eastAsia="Calibri"/>
                <w:b/>
                <w:bCs/>
                <w:lang w:eastAsia="en-AU"/>
              </w:rPr>
            </w:pPr>
            <w:r w:rsidRPr="00BD56AB">
              <w:rPr>
                <w:rFonts w:eastAsia="Calibri"/>
                <w:b/>
                <w:bCs/>
                <w:lang w:eastAsia="en-AU"/>
              </w:rPr>
              <w:t>Recommendation 4</w:t>
            </w:r>
          </w:p>
          <w:p w14:paraId="321DDDA1" w14:textId="77777777" w:rsidR="00DA1CED" w:rsidRPr="00BD56AB" w:rsidRDefault="00970405" w:rsidP="001B6A2B">
            <w:pPr>
              <w:spacing w:after="200" w:line="276" w:lineRule="auto"/>
              <w:rPr>
                <w:rFonts w:eastAsia="Calibri"/>
              </w:rPr>
            </w:pPr>
            <w:r w:rsidRPr="00BD56AB">
              <w:t>The Committee recommends that Basin states work to ensure that environmental water flows achieve their aims. Basin States should further ensure that reporting is comprehensive, timely and evidence-based.</w:t>
            </w:r>
          </w:p>
        </w:tc>
      </w:tr>
    </w:tbl>
    <w:p w14:paraId="3C5129EC" w14:textId="77777777" w:rsidR="00CD3BB4" w:rsidRPr="00BD56AB" w:rsidRDefault="00CD3BB4" w:rsidP="00DA1CED">
      <w:pPr>
        <w:spacing w:before="240" w:after="200" w:line="276" w:lineRule="auto"/>
        <w:rPr>
          <w:rFonts w:eastAsia="Calibri"/>
          <w:b/>
        </w:rPr>
      </w:pPr>
      <w:r w:rsidRPr="00BD56AB">
        <w:rPr>
          <w:rFonts w:eastAsia="Calibri"/>
          <w:b/>
        </w:rPr>
        <w:t>Response:</w:t>
      </w:r>
    </w:p>
    <w:p w14:paraId="10C218E8" w14:textId="77777777" w:rsidR="0009426A" w:rsidRDefault="0009426A" w:rsidP="0009426A">
      <w:pPr>
        <w:spacing w:after="200" w:line="276" w:lineRule="auto"/>
        <w:rPr>
          <w:rFonts w:eastAsia="Calibri"/>
          <w:b/>
        </w:rPr>
      </w:pPr>
      <w:r w:rsidRPr="00BD56AB">
        <w:rPr>
          <w:rFonts w:eastAsia="Calibri"/>
          <w:b/>
        </w:rPr>
        <w:t>Noted</w:t>
      </w:r>
    </w:p>
    <w:p w14:paraId="3126934C" w14:textId="42FE63F0" w:rsidR="00A40099" w:rsidRDefault="00EB3B13" w:rsidP="0009426A">
      <w:pPr>
        <w:spacing w:after="200" w:line="276" w:lineRule="auto"/>
        <w:rPr>
          <w:rFonts w:eastAsia="Calibri"/>
          <w:b/>
        </w:rPr>
      </w:pPr>
      <w:r>
        <w:rPr>
          <w:rFonts w:eastAsia="Calibri"/>
          <w:b/>
        </w:rPr>
        <w:t>T</w:t>
      </w:r>
      <w:r w:rsidR="00A40099">
        <w:rPr>
          <w:rFonts w:eastAsia="Calibri"/>
          <w:b/>
        </w:rPr>
        <w:t>he Commonwealth Environmental Water Holder will continue to work with Basin States to ensure that environmental flows achieve their aims and are well reported.</w:t>
      </w:r>
    </w:p>
    <w:p w14:paraId="34E3B8F2" w14:textId="344CCDB9" w:rsidR="00D51AAB" w:rsidRDefault="00D51AAB" w:rsidP="000C41D7">
      <w:pPr>
        <w:spacing w:after="240" w:line="276" w:lineRule="auto"/>
      </w:pPr>
      <w:r w:rsidRPr="00EB3B13">
        <w:lastRenderedPageBreak/>
        <w:t>The Basin States endorse the following response:</w:t>
      </w:r>
    </w:p>
    <w:p w14:paraId="62883EA6" w14:textId="77777777" w:rsidR="009B1E0E" w:rsidRDefault="009B1E0E" w:rsidP="000C41D7">
      <w:pPr>
        <w:spacing w:after="240" w:line="276" w:lineRule="auto"/>
      </w:pPr>
      <w:r>
        <w:t>Once key aspects of the Basin Plan reforms in s</w:t>
      </w:r>
      <w:r w:rsidRPr="007F7E53">
        <w:t>tate-based legislative frameworks and policies</w:t>
      </w:r>
      <w:r w:rsidR="00990F03" w:rsidRPr="00990F03">
        <w:t xml:space="preserve"> </w:t>
      </w:r>
      <w:r w:rsidR="00990F03">
        <w:t>are in place</w:t>
      </w:r>
      <w:r>
        <w:t>, river management</w:t>
      </w:r>
      <w:r w:rsidR="00990F03">
        <w:t xml:space="preserve"> will</w:t>
      </w:r>
      <w:r>
        <w:t xml:space="preserve"> continue to evolve and mature to ensure the correct settings are in place for environmental water use to be maximised. </w:t>
      </w:r>
      <w:r w:rsidR="00AD135A" w:rsidRPr="007F7E53">
        <w:t xml:space="preserve">The CEWO </w:t>
      </w:r>
      <w:r w:rsidR="00291FC1" w:rsidRPr="007F7E53">
        <w:t xml:space="preserve">actively </w:t>
      </w:r>
      <w:r w:rsidR="00AD135A" w:rsidRPr="007F7E53">
        <w:t>engage</w:t>
      </w:r>
      <w:r w:rsidR="00E7775D">
        <w:t>s</w:t>
      </w:r>
      <w:r w:rsidR="00AD135A" w:rsidRPr="007F7E53">
        <w:t xml:space="preserve"> with the Basin States through consultative forums and bilaterally, to ensure that the operation of state policy settings and procedures provide for the intended environmental outcomes from the use of held environmental water. </w:t>
      </w:r>
    </w:p>
    <w:p w14:paraId="1FD8488A" w14:textId="77777777" w:rsidR="00144062" w:rsidRDefault="00AD135A" w:rsidP="000C41D7">
      <w:pPr>
        <w:spacing w:after="240" w:line="276" w:lineRule="auto"/>
      </w:pPr>
      <w:r w:rsidRPr="007F7E53">
        <w:t>The M</w:t>
      </w:r>
      <w:r w:rsidR="00DD7132" w:rsidRPr="007F7E53">
        <w:t xml:space="preserve">urray-Darling Basin Authority </w:t>
      </w:r>
      <w:r w:rsidRPr="007F7E53">
        <w:t xml:space="preserve">also </w:t>
      </w:r>
      <w:r w:rsidR="00291FC1" w:rsidRPr="007F7E53">
        <w:t xml:space="preserve">provides a key function in </w:t>
      </w:r>
      <w:r w:rsidRPr="007F7E53">
        <w:t>support</w:t>
      </w:r>
      <w:r w:rsidR="00291FC1" w:rsidRPr="007F7E53">
        <w:t>ing</w:t>
      </w:r>
      <w:r w:rsidRPr="007F7E53">
        <w:t xml:space="preserve"> the establishment and implementation of </w:t>
      </w:r>
      <w:r w:rsidR="00291FC1" w:rsidRPr="007F7E53">
        <w:t>measures for environmental water delivery</w:t>
      </w:r>
      <w:r w:rsidR="00DD7132" w:rsidRPr="007F7E53">
        <w:t xml:space="preserve"> (</w:t>
      </w:r>
      <w:r w:rsidR="00C804E9">
        <w:t>Water Act</w:t>
      </w:r>
      <w:r w:rsidR="00A4734F">
        <w:t>,</w:t>
      </w:r>
      <w:r w:rsidR="00C804E9">
        <w:t xml:space="preserve"> section </w:t>
      </w:r>
      <w:r w:rsidR="00291FC1" w:rsidRPr="007F7E53">
        <w:t>172(1)(e) and (g)</w:t>
      </w:r>
      <w:r w:rsidR="00DD7132" w:rsidRPr="007F7E53">
        <w:t>)</w:t>
      </w:r>
      <w:r w:rsidR="00291FC1" w:rsidRPr="007F7E53">
        <w:t>.</w:t>
      </w:r>
      <w:r w:rsidR="00C804E9">
        <w:t xml:space="preserve"> </w:t>
      </w:r>
      <w:r w:rsidR="00B01130">
        <w:t>The</w:t>
      </w:r>
      <w:r w:rsidR="00291FC1" w:rsidRPr="007F7E53">
        <w:t xml:space="preserve"> CEWH’s statutory </w:t>
      </w:r>
      <w:r w:rsidR="00DD7132" w:rsidRPr="007F7E53">
        <w:t xml:space="preserve">reporting </w:t>
      </w:r>
      <w:r w:rsidR="00291FC1" w:rsidRPr="007F7E53">
        <w:t xml:space="preserve">responsibilities </w:t>
      </w:r>
      <w:r w:rsidR="00B01130">
        <w:t>depend</w:t>
      </w:r>
      <w:r w:rsidR="00B01130" w:rsidRPr="007F7E53">
        <w:t xml:space="preserve"> </w:t>
      </w:r>
      <w:r w:rsidR="00291FC1" w:rsidRPr="007F7E53">
        <w:t xml:space="preserve">on accurate, credible and reliable information reported by the </w:t>
      </w:r>
      <w:r w:rsidR="00A6699B">
        <w:t>relevant</w:t>
      </w:r>
      <w:r w:rsidR="00A6699B" w:rsidRPr="007F7E53">
        <w:t xml:space="preserve"> </w:t>
      </w:r>
      <w:r w:rsidR="00A2214D">
        <w:t>s</w:t>
      </w:r>
      <w:r w:rsidR="00291FC1" w:rsidRPr="007F7E53">
        <w:t>tate agencies. Environmental water accounting information is also critical for operational decisions made by the CEWH</w:t>
      </w:r>
      <w:r w:rsidR="00BD1582">
        <w:t xml:space="preserve"> </w:t>
      </w:r>
      <w:r w:rsidR="00A2214D">
        <w:t>in</w:t>
      </w:r>
      <w:r w:rsidR="00291FC1" w:rsidRPr="007F7E53">
        <w:t xml:space="preserve"> the </w:t>
      </w:r>
      <w:r w:rsidR="00C27178" w:rsidRPr="007F7E53">
        <w:t>management</w:t>
      </w:r>
      <w:r w:rsidR="00291FC1" w:rsidRPr="007F7E53">
        <w:t xml:space="preserve"> of the Commonwealth’s water holdings. The CEWH is working with state</w:t>
      </w:r>
      <w:r w:rsidR="00A6699B">
        <w:t>s and the M</w:t>
      </w:r>
      <w:r w:rsidR="00FD5040">
        <w:t xml:space="preserve">urray-Darling Basin Authority </w:t>
      </w:r>
      <w:r w:rsidR="00A6699B">
        <w:t>to</w:t>
      </w:r>
      <w:r w:rsidR="00BD1582">
        <w:t xml:space="preserve"> </w:t>
      </w:r>
      <w:r w:rsidR="00A6699B">
        <w:t>foster</w:t>
      </w:r>
      <w:r w:rsidR="00C27178" w:rsidRPr="007F7E53">
        <w:t xml:space="preserve"> processes </w:t>
      </w:r>
      <w:r w:rsidR="00A6699B">
        <w:t xml:space="preserve">for </w:t>
      </w:r>
      <w:r w:rsidR="00C27178" w:rsidRPr="007F7E53">
        <w:t xml:space="preserve">on-going improvement </w:t>
      </w:r>
      <w:r w:rsidR="00A6699B">
        <w:t>of</w:t>
      </w:r>
      <w:r w:rsidR="00A6699B" w:rsidRPr="007F7E53">
        <w:t xml:space="preserve"> </w:t>
      </w:r>
      <w:r w:rsidR="00C27178" w:rsidRPr="007F7E53">
        <w:t>environmental water accounting and public reporting.</w:t>
      </w:r>
    </w:p>
    <w:tbl>
      <w:tblPr>
        <w:tblStyle w:val="TableGrid"/>
        <w:tblW w:w="0" w:type="auto"/>
        <w:tblLook w:val="04A0" w:firstRow="1" w:lastRow="0" w:firstColumn="1" w:lastColumn="0" w:noHBand="0" w:noVBand="1"/>
      </w:tblPr>
      <w:tblGrid>
        <w:gridCol w:w="9016"/>
      </w:tblGrid>
      <w:tr w:rsidR="00DA1CED" w:rsidRPr="006703EC" w14:paraId="48AE803C" w14:textId="77777777" w:rsidTr="00144062">
        <w:trPr>
          <w:cnfStyle w:val="100000000000" w:firstRow="1" w:lastRow="0" w:firstColumn="0" w:lastColumn="0" w:oddVBand="0" w:evenVBand="0" w:oddHBand="0" w:evenHBand="0" w:firstRowFirstColumn="0" w:firstRowLastColumn="0" w:lastRowFirstColumn="0" w:lastRowLastColumn="0"/>
        </w:trPr>
        <w:tc>
          <w:tcPr>
            <w:tcW w:w="9016" w:type="dxa"/>
          </w:tcPr>
          <w:p w14:paraId="5B7AC44E" w14:textId="77777777" w:rsidR="00DA1CED" w:rsidRPr="00BD56AB" w:rsidRDefault="00DA1CED" w:rsidP="001B6A2B">
            <w:pPr>
              <w:tabs>
                <w:tab w:val="left" w:pos="1935"/>
              </w:tabs>
              <w:spacing w:after="200" w:line="276" w:lineRule="auto"/>
              <w:rPr>
                <w:rFonts w:eastAsia="Calibri"/>
                <w:b/>
                <w:bCs/>
                <w:lang w:eastAsia="en-AU"/>
              </w:rPr>
            </w:pPr>
            <w:r w:rsidRPr="00BD56AB">
              <w:rPr>
                <w:rFonts w:eastAsia="Calibri"/>
                <w:b/>
                <w:bCs/>
                <w:lang w:eastAsia="en-AU"/>
              </w:rPr>
              <w:t>Recommendation 5</w:t>
            </w:r>
          </w:p>
          <w:p w14:paraId="0FC9B842" w14:textId="77777777" w:rsidR="00DA1CED" w:rsidRPr="00BD56AB" w:rsidRDefault="00970405" w:rsidP="001B6A2B">
            <w:pPr>
              <w:spacing w:after="200" w:line="276" w:lineRule="auto"/>
              <w:rPr>
                <w:rFonts w:eastAsia="Calibri"/>
              </w:rPr>
            </w:pPr>
            <w:r w:rsidRPr="00BD56AB">
              <w:t>The Committee recommends that the Commonwealth Environmental Water Holder’s Knowledge Management Project and Long-Term Intervention Monitoring Project (or similar projects) be continued.</w:t>
            </w:r>
          </w:p>
        </w:tc>
      </w:tr>
    </w:tbl>
    <w:p w14:paraId="697A69D7" w14:textId="77777777" w:rsidR="00CD3BB4" w:rsidRPr="00BD56AB" w:rsidRDefault="00CD3BB4" w:rsidP="00DA1CED">
      <w:pPr>
        <w:spacing w:before="240" w:after="200" w:line="276" w:lineRule="auto"/>
        <w:rPr>
          <w:rFonts w:eastAsia="Calibri"/>
          <w:b/>
        </w:rPr>
      </w:pPr>
      <w:r w:rsidRPr="00BD56AB">
        <w:rPr>
          <w:rFonts w:eastAsia="Calibri"/>
          <w:b/>
        </w:rPr>
        <w:t>Response:</w:t>
      </w:r>
    </w:p>
    <w:p w14:paraId="183B5A77" w14:textId="692956B5" w:rsidR="0009426A" w:rsidRDefault="0009426A" w:rsidP="0009426A">
      <w:pPr>
        <w:spacing w:after="200" w:line="276" w:lineRule="auto"/>
        <w:rPr>
          <w:rFonts w:eastAsia="Calibri"/>
          <w:b/>
        </w:rPr>
      </w:pPr>
      <w:r w:rsidRPr="00BD56AB">
        <w:rPr>
          <w:rFonts w:eastAsia="Calibri"/>
          <w:b/>
        </w:rPr>
        <w:t>Agreed</w:t>
      </w:r>
      <w:r w:rsidR="00570837">
        <w:rPr>
          <w:rFonts w:eastAsia="Calibri"/>
          <w:b/>
        </w:rPr>
        <w:t>.</w:t>
      </w:r>
    </w:p>
    <w:p w14:paraId="55C7B910" w14:textId="391EC911" w:rsidR="00A40099" w:rsidRPr="00BD56AB" w:rsidRDefault="00570837" w:rsidP="0009426A">
      <w:pPr>
        <w:spacing w:after="200" w:line="276" w:lineRule="auto"/>
        <w:rPr>
          <w:rFonts w:eastAsia="Calibri"/>
          <w:b/>
        </w:rPr>
      </w:pPr>
      <w:r>
        <w:rPr>
          <w:rFonts w:eastAsia="Calibri"/>
          <w:b/>
        </w:rPr>
        <w:t>T</w:t>
      </w:r>
      <w:r w:rsidR="00A40099">
        <w:rPr>
          <w:rFonts w:eastAsia="Calibri"/>
          <w:b/>
        </w:rPr>
        <w:t>he Commonwealth Environmental Water Holder will continue these projects by integrating them into the Monitoring, Evaluation and Research (MER) program</w:t>
      </w:r>
      <w:r>
        <w:rPr>
          <w:rFonts w:eastAsia="Calibri"/>
          <w:b/>
        </w:rPr>
        <w:t xml:space="preserve"> to 2022</w:t>
      </w:r>
      <w:r w:rsidR="00A40099">
        <w:rPr>
          <w:rFonts w:eastAsia="Calibri"/>
          <w:b/>
        </w:rPr>
        <w:t>.</w:t>
      </w:r>
    </w:p>
    <w:p w14:paraId="380A3649" w14:textId="77777777" w:rsidR="002E7FF4" w:rsidRDefault="005534F0" w:rsidP="00727569">
      <w:pPr>
        <w:spacing w:after="240" w:line="276" w:lineRule="auto"/>
      </w:pPr>
      <w:r w:rsidRPr="00BD56AB">
        <w:t>Research and monitoring are critical to the operations of the CEWH, including the capacity to demonstrate</w:t>
      </w:r>
      <w:r w:rsidR="00234FC5">
        <w:t xml:space="preserve"> the</w:t>
      </w:r>
      <w:r w:rsidRPr="00BD56AB">
        <w:t xml:space="preserve"> envi</w:t>
      </w:r>
      <w:r w:rsidR="00234FC5">
        <w:t>ronmental outcomes from, and adaptive</w:t>
      </w:r>
      <w:r w:rsidRPr="00BD56AB">
        <w:t xml:space="preserve"> manage</w:t>
      </w:r>
      <w:r w:rsidR="00234FC5">
        <w:t>ment of,</w:t>
      </w:r>
      <w:r w:rsidRPr="00BD56AB">
        <w:t xml:space="preserve"> the water portfolio.</w:t>
      </w:r>
      <w:r>
        <w:t xml:space="preserve"> </w:t>
      </w:r>
      <w:r w:rsidR="00503111" w:rsidRPr="00BD56AB">
        <w:t xml:space="preserve">The CEWH is extending </w:t>
      </w:r>
      <w:r w:rsidR="002E5046" w:rsidRPr="00BD56AB">
        <w:t>the Long</w:t>
      </w:r>
      <w:r w:rsidR="00BD56AB">
        <w:t>-</w:t>
      </w:r>
      <w:r w:rsidR="002E5046" w:rsidRPr="00BD56AB">
        <w:t xml:space="preserve">Term Intervention Monitoring (LTIM) and Environmental Water Knowledge and Research (EWKR) </w:t>
      </w:r>
      <w:r w:rsidR="00D14D76" w:rsidRPr="00BD56AB">
        <w:t>p</w:t>
      </w:r>
      <w:r w:rsidR="002E5046" w:rsidRPr="00BD56AB">
        <w:t xml:space="preserve">rojects </w:t>
      </w:r>
      <w:r w:rsidR="005E050D">
        <w:t xml:space="preserve">through a $30 million investment </w:t>
      </w:r>
      <w:r w:rsidR="00A973A0">
        <w:t>out to</w:t>
      </w:r>
      <w:r w:rsidR="002E5046" w:rsidRPr="00BD56AB">
        <w:t xml:space="preserve"> 30 June 2022</w:t>
      </w:r>
      <w:r w:rsidR="00E85883">
        <w:t xml:space="preserve">. </w:t>
      </w:r>
    </w:p>
    <w:p w14:paraId="7AD16B0D" w14:textId="468F59E7" w:rsidR="00D14D76" w:rsidRDefault="00E85883" w:rsidP="00727569">
      <w:pPr>
        <w:spacing w:after="240" w:line="276" w:lineRule="auto"/>
      </w:pPr>
      <w:r>
        <w:t xml:space="preserve">The projects will be delivered </w:t>
      </w:r>
      <w:r w:rsidR="002E5046" w:rsidRPr="00BD56AB">
        <w:t xml:space="preserve">as an integrated program called the Monitoring, Evaluation and Research (MER) </w:t>
      </w:r>
      <w:r w:rsidR="00D14D76" w:rsidRPr="00BD56AB">
        <w:t>p</w:t>
      </w:r>
      <w:r w:rsidR="002E5046" w:rsidRPr="00BD56AB">
        <w:t>rogram</w:t>
      </w:r>
      <w:r w:rsidR="005E050D">
        <w:t>, which involves contracted arrangements with over 30 independent research and academic institutions and govern</w:t>
      </w:r>
      <w:r w:rsidR="009F48EC">
        <w:t>ment</w:t>
      </w:r>
      <w:r w:rsidR="005E050D">
        <w:t xml:space="preserve"> agencies</w:t>
      </w:r>
      <w:r w:rsidR="002E5046" w:rsidRPr="00BD56AB">
        <w:t>.</w:t>
      </w:r>
      <w:r w:rsidR="00503111" w:rsidRPr="00BD56AB">
        <w:t xml:space="preserve"> </w:t>
      </w:r>
      <w:r w:rsidR="00970405" w:rsidRPr="006703EC">
        <w:t>Th</w:t>
      </w:r>
      <w:r>
        <w:t xml:space="preserve">e </w:t>
      </w:r>
      <w:r w:rsidR="00535943">
        <w:t xml:space="preserve">CEWH will undertake an </w:t>
      </w:r>
      <w:r>
        <w:t>independent</w:t>
      </w:r>
      <w:r w:rsidR="00970405" w:rsidRPr="00263B3D">
        <w:t xml:space="preserve"> review </w:t>
      </w:r>
      <w:r w:rsidR="00BC102E">
        <w:t xml:space="preserve">of </w:t>
      </w:r>
      <w:r w:rsidR="00970405" w:rsidRPr="00263B3D">
        <w:t>the LTIM and EWKR projects,</w:t>
      </w:r>
      <w:r w:rsidR="00970405" w:rsidRPr="006703EC">
        <w:t xml:space="preserve"> including Basin-wide </w:t>
      </w:r>
      <w:r>
        <w:t xml:space="preserve">public </w:t>
      </w:r>
      <w:r w:rsidR="00970405" w:rsidRPr="006703EC">
        <w:t>consultation to inform</w:t>
      </w:r>
      <w:r>
        <w:t xml:space="preserve"> the</w:t>
      </w:r>
      <w:r w:rsidR="00970405" w:rsidRPr="006703EC">
        <w:t xml:space="preserve"> long term design</w:t>
      </w:r>
      <w:r>
        <w:t xml:space="preserve"> of the CEWH’s monitoring and research activities</w:t>
      </w:r>
      <w:r w:rsidR="00E4461C">
        <w:t xml:space="preserve"> into the future</w:t>
      </w:r>
      <w:r>
        <w:t>.</w:t>
      </w:r>
    </w:p>
    <w:p w14:paraId="79E755C7" w14:textId="25ED83E7" w:rsidR="00A65E83" w:rsidRDefault="002E7FF4" w:rsidP="00A40099">
      <w:pPr>
        <w:spacing w:after="240" w:line="276" w:lineRule="auto"/>
      </w:pPr>
      <w:r>
        <w:lastRenderedPageBreak/>
        <w:t xml:space="preserve">Monitoring and evaluation of environmental watering </w:t>
      </w:r>
      <w:r w:rsidR="0025056C">
        <w:t>is also an important input to the CEWH’s Basin Plan reporting (Basin Plan, Schedule 12) and</w:t>
      </w:r>
      <w:r>
        <w:t xml:space="preserve"> the Murray-Darling Basin Authority’s Basin-scale evaluations undertaken every five years</w:t>
      </w:r>
      <w:r w:rsidR="0025056C">
        <w:t xml:space="preserve"> to track progress of Basin Plan implementation</w:t>
      </w:r>
      <w:r>
        <w:t>.</w:t>
      </w:r>
    </w:p>
    <w:tbl>
      <w:tblPr>
        <w:tblStyle w:val="TableGrid"/>
        <w:tblW w:w="0" w:type="auto"/>
        <w:tblLook w:val="04A0" w:firstRow="1" w:lastRow="0" w:firstColumn="1" w:lastColumn="0" w:noHBand="0" w:noVBand="1"/>
      </w:tblPr>
      <w:tblGrid>
        <w:gridCol w:w="9016"/>
      </w:tblGrid>
      <w:tr w:rsidR="00DA1CED" w:rsidRPr="006703EC" w14:paraId="3309AD88" w14:textId="77777777" w:rsidTr="00144062">
        <w:trPr>
          <w:cnfStyle w:val="100000000000" w:firstRow="1" w:lastRow="0" w:firstColumn="0" w:lastColumn="0" w:oddVBand="0" w:evenVBand="0" w:oddHBand="0" w:evenHBand="0" w:firstRowFirstColumn="0" w:firstRowLastColumn="0" w:lastRowFirstColumn="0" w:lastRowLastColumn="0"/>
        </w:trPr>
        <w:tc>
          <w:tcPr>
            <w:tcW w:w="9016" w:type="dxa"/>
          </w:tcPr>
          <w:p w14:paraId="08D64D53" w14:textId="77777777" w:rsidR="00DA1CED" w:rsidRPr="00BD56AB" w:rsidRDefault="00DA1CED" w:rsidP="001B6A2B">
            <w:pPr>
              <w:tabs>
                <w:tab w:val="left" w:pos="1935"/>
              </w:tabs>
              <w:spacing w:after="200" w:line="276" w:lineRule="auto"/>
              <w:rPr>
                <w:rFonts w:eastAsia="Calibri"/>
                <w:b/>
                <w:bCs/>
                <w:lang w:eastAsia="en-AU"/>
              </w:rPr>
            </w:pPr>
            <w:r w:rsidRPr="00BD56AB">
              <w:rPr>
                <w:rFonts w:eastAsia="Calibri"/>
                <w:b/>
                <w:bCs/>
                <w:lang w:eastAsia="en-AU"/>
              </w:rPr>
              <w:t>Recommendation 6</w:t>
            </w:r>
          </w:p>
          <w:p w14:paraId="20612C71" w14:textId="77777777" w:rsidR="00970405" w:rsidRPr="00BD56AB" w:rsidRDefault="00970405" w:rsidP="00970405">
            <w:pPr>
              <w:spacing w:after="120"/>
            </w:pPr>
            <w:r w:rsidRPr="00BD56AB">
              <w:t>The Committee recommends that the Commonwealth Environmental Water Holder investigate additional monitoring techniques, including:</w:t>
            </w:r>
          </w:p>
          <w:p w14:paraId="4AF2A2DF" w14:textId="77777777" w:rsidR="002E5046" w:rsidRPr="00BD56AB" w:rsidRDefault="00970405" w:rsidP="002E5046">
            <w:pPr>
              <w:pStyle w:val="ListBullet"/>
              <w:numPr>
                <w:ilvl w:val="0"/>
                <w:numId w:val="9"/>
              </w:numPr>
              <w:spacing w:after="120" w:line="276" w:lineRule="auto"/>
            </w:pPr>
            <w:r w:rsidRPr="00BD56AB">
              <w:t xml:space="preserve">aerial or satellite imagery; and </w:t>
            </w:r>
          </w:p>
          <w:p w14:paraId="595F2B36" w14:textId="77777777" w:rsidR="00DA1CED" w:rsidRPr="00BD56AB" w:rsidRDefault="00970405" w:rsidP="002E5046">
            <w:pPr>
              <w:pStyle w:val="ListBullet"/>
              <w:numPr>
                <w:ilvl w:val="0"/>
                <w:numId w:val="9"/>
              </w:numPr>
              <w:spacing w:after="120" w:line="276" w:lineRule="auto"/>
            </w:pPr>
            <w:r w:rsidRPr="00BD56AB">
              <w:t>observations and reports from experienced volunteers, including land holders, State authorities and other groups such as the Southern Fishermen’s Association.</w:t>
            </w:r>
          </w:p>
        </w:tc>
      </w:tr>
    </w:tbl>
    <w:p w14:paraId="1552F800" w14:textId="77777777" w:rsidR="00CD3BB4" w:rsidRPr="00BD56AB" w:rsidRDefault="00CD3BB4" w:rsidP="00DA1CED">
      <w:pPr>
        <w:spacing w:before="240" w:after="200" w:line="276" w:lineRule="auto"/>
        <w:rPr>
          <w:rFonts w:eastAsia="Calibri"/>
          <w:b/>
        </w:rPr>
      </w:pPr>
      <w:r w:rsidRPr="00BD56AB">
        <w:rPr>
          <w:rFonts w:eastAsia="Calibri"/>
          <w:b/>
        </w:rPr>
        <w:t>Response:</w:t>
      </w:r>
    </w:p>
    <w:p w14:paraId="2B00D751" w14:textId="3D1C39F1" w:rsidR="0009426A" w:rsidRDefault="0009426A" w:rsidP="0009426A">
      <w:pPr>
        <w:spacing w:after="200" w:line="276" w:lineRule="auto"/>
        <w:rPr>
          <w:rFonts w:eastAsia="Calibri"/>
          <w:b/>
        </w:rPr>
      </w:pPr>
      <w:r w:rsidRPr="00BD56AB">
        <w:rPr>
          <w:rFonts w:eastAsia="Calibri"/>
          <w:b/>
        </w:rPr>
        <w:t>Agree</w:t>
      </w:r>
      <w:r w:rsidR="00570837">
        <w:rPr>
          <w:rFonts w:eastAsia="Calibri"/>
          <w:b/>
        </w:rPr>
        <w:t>d</w:t>
      </w:r>
      <w:r w:rsidRPr="00BD56AB">
        <w:rPr>
          <w:rFonts w:eastAsia="Calibri"/>
          <w:b/>
        </w:rPr>
        <w:t xml:space="preserve"> in-principle</w:t>
      </w:r>
      <w:r w:rsidR="00570837">
        <w:rPr>
          <w:rFonts w:eastAsia="Calibri"/>
          <w:b/>
        </w:rPr>
        <w:t>.</w:t>
      </w:r>
    </w:p>
    <w:p w14:paraId="31142A2B" w14:textId="4CC6679E" w:rsidR="00A40099" w:rsidRPr="00BD56AB" w:rsidRDefault="00570837" w:rsidP="0009426A">
      <w:pPr>
        <w:spacing w:after="200" w:line="276" w:lineRule="auto"/>
        <w:rPr>
          <w:rFonts w:eastAsia="Calibri"/>
          <w:b/>
        </w:rPr>
      </w:pPr>
      <w:r>
        <w:rPr>
          <w:rFonts w:eastAsia="Calibri"/>
          <w:b/>
        </w:rPr>
        <w:t>T</w:t>
      </w:r>
      <w:r w:rsidR="00A40099">
        <w:rPr>
          <w:rFonts w:eastAsia="Calibri"/>
          <w:b/>
        </w:rPr>
        <w:t>he Commonwealth Environmental Water Holder will continue to incorporate external observations and reports, and is developing an Information Strategy to better incorporate data from new technologies.</w:t>
      </w:r>
    </w:p>
    <w:p w14:paraId="5A51048F" w14:textId="77777777" w:rsidR="002E5046" w:rsidRPr="00BD56AB" w:rsidRDefault="00D14D76" w:rsidP="00BD56AB">
      <w:pPr>
        <w:spacing w:after="240" w:line="276" w:lineRule="auto"/>
      </w:pPr>
      <w:r w:rsidRPr="00BD56AB">
        <w:t xml:space="preserve">The CEWH is </w:t>
      </w:r>
      <w:r w:rsidR="00717811">
        <w:t xml:space="preserve">developing </w:t>
      </w:r>
      <w:r w:rsidRPr="00BD56AB">
        <w:t xml:space="preserve">an Information Strategy to determine the </w:t>
      </w:r>
      <w:r w:rsidR="00717811">
        <w:t xml:space="preserve">ongoing </w:t>
      </w:r>
      <w:r w:rsidRPr="00BD56AB">
        <w:t>information needs of the CEWO</w:t>
      </w:r>
      <w:r w:rsidR="007F7E53">
        <w:t xml:space="preserve">. The Strategy will consider how improved monitoring techniques and new technology could be </w:t>
      </w:r>
      <w:r w:rsidR="00F052AC">
        <w:t>better-</w:t>
      </w:r>
      <w:r w:rsidR="007F7E53">
        <w:t>utilised to</w:t>
      </w:r>
      <w:r w:rsidRPr="00BD56AB">
        <w:t xml:space="preserve"> inform improvements to the man</w:t>
      </w:r>
      <w:r w:rsidR="007F7E53">
        <w:t xml:space="preserve">agement of environmental water. </w:t>
      </w:r>
      <w:r w:rsidR="00B01130">
        <w:t>Remote</w:t>
      </w:r>
      <w:r w:rsidR="002E5046" w:rsidRPr="00BD56AB">
        <w:t xml:space="preserve"> sensing is an integral component of the CEWO’s evaluation and research activity.  </w:t>
      </w:r>
      <w:r w:rsidR="00576B63">
        <w:t xml:space="preserve">The CEWH </w:t>
      </w:r>
      <w:r w:rsidR="00C804E9">
        <w:t>will work</w:t>
      </w:r>
      <w:r w:rsidR="00576B63">
        <w:t xml:space="preserve"> with</w:t>
      </w:r>
      <w:r w:rsidR="00C804E9">
        <w:t xml:space="preserve"> the Bureau of Meteorology</w:t>
      </w:r>
      <w:r w:rsidR="00576B63">
        <w:t>,</w:t>
      </w:r>
      <w:r w:rsidR="00C804E9">
        <w:t xml:space="preserve"> Geoscience Australia,</w:t>
      </w:r>
      <w:r w:rsidR="00576B63">
        <w:t xml:space="preserve"> CSIRO and the Murray-Darling Basin Authority to develop the best approach for using satellite technologies. </w:t>
      </w:r>
      <w:r w:rsidR="002E5046" w:rsidRPr="00BD56AB">
        <w:t xml:space="preserve">Under the </w:t>
      </w:r>
      <w:r w:rsidR="00503111" w:rsidRPr="00BD56AB">
        <w:t xml:space="preserve">MER </w:t>
      </w:r>
      <w:r w:rsidR="002E5046" w:rsidRPr="00BD56AB">
        <w:t>program it is intended that other new technologies</w:t>
      </w:r>
      <w:r w:rsidR="00503111" w:rsidRPr="00BD56AB">
        <w:t>,</w:t>
      </w:r>
      <w:r w:rsidR="002E5046" w:rsidRPr="00BD56AB">
        <w:t xml:space="preserve"> including drones, will be investigated and where feasible incorporated.</w:t>
      </w:r>
    </w:p>
    <w:p w14:paraId="7128BC63" w14:textId="3389007B" w:rsidR="003A5F5E" w:rsidRDefault="002E5046" w:rsidP="00BD56AB">
      <w:pPr>
        <w:spacing w:after="240" w:line="276" w:lineRule="auto"/>
      </w:pPr>
      <w:r w:rsidRPr="00BD56AB">
        <w:t xml:space="preserve">The CEWO works closely with </w:t>
      </w:r>
      <w:r w:rsidR="00F052AC">
        <w:t>s</w:t>
      </w:r>
      <w:r w:rsidR="00A519C0">
        <w:t>tate agencies</w:t>
      </w:r>
      <w:r w:rsidR="00A33A2F">
        <w:t xml:space="preserve"> and other partners</w:t>
      </w:r>
      <w:r w:rsidR="00A519C0">
        <w:t xml:space="preserve"> </w:t>
      </w:r>
      <w:r w:rsidR="004404C1">
        <w:t>in the</w:t>
      </w:r>
      <w:r w:rsidRPr="00BD56AB">
        <w:t xml:space="preserve"> planning, delivery and monitoring of environmental water.  Officials from state agencies form part of the selected area monitorin</w:t>
      </w:r>
      <w:r w:rsidR="003A5F5E">
        <w:t>g teams under the MER program. </w:t>
      </w:r>
      <w:r w:rsidRPr="00BD56AB">
        <w:t>The CEWO incorporates the results of monitoring projects undertaken by</w:t>
      </w:r>
      <w:r w:rsidR="00BC102E">
        <w:t xml:space="preserve"> others (for example the Murray-</w:t>
      </w:r>
      <w:r w:rsidRPr="00BD56AB">
        <w:t xml:space="preserve">Darling Basin Authority’s The Living Murray Project </w:t>
      </w:r>
      <w:r w:rsidR="00B01130">
        <w:t xml:space="preserve">and </w:t>
      </w:r>
      <w:r w:rsidRPr="00BD56AB">
        <w:t xml:space="preserve">jurisdictional monitoring programs) into its evaluation activities. </w:t>
      </w:r>
      <w:r w:rsidR="00722A58" w:rsidRPr="00BD56AB">
        <w:t xml:space="preserve">In some cases observational information that has been collected by </w:t>
      </w:r>
      <w:r w:rsidR="00722A58">
        <w:t xml:space="preserve">our partners, </w:t>
      </w:r>
      <w:r w:rsidR="00722A58" w:rsidRPr="00BD56AB">
        <w:t>the community</w:t>
      </w:r>
      <w:r w:rsidR="00722A58">
        <w:t xml:space="preserve"> and academics,</w:t>
      </w:r>
      <w:r w:rsidR="00722A58" w:rsidRPr="00BD56AB">
        <w:t xml:space="preserve"> such as </w:t>
      </w:r>
      <w:r w:rsidR="00722A58">
        <w:t xml:space="preserve">observations from </w:t>
      </w:r>
      <w:r w:rsidR="00722A58" w:rsidRPr="00BD56AB">
        <w:t>recreational fishing group</w:t>
      </w:r>
      <w:r w:rsidR="00722A58">
        <w:t>s, and the University of New South Wales’ Eastern-Australian Aerial Waterbird Survey</w:t>
      </w:r>
      <w:r w:rsidR="00722A58" w:rsidRPr="003A5F5E">
        <w:t xml:space="preserve"> </w:t>
      </w:r>
      <w:r w:rsidR="00722A58">
        <w:t xml:space="preserve">is </w:t>
      </w:r>
      <w:r w:rsidR="00722A58" w:rsidRPr="00BD56AB">
        <w:t>incorporated</w:t>
      </w:r>
      <w:r w:rsidR="00722A58">
        <w:t xml:space="preserve"> into environmental water planning and monitoring</w:t>
      </w:r>
      <w:r w:rsidR="00722A58" w:rsidRPr="00BD56AB">
        <w:t>.</w:t>
      </w:r>
      <w:r w:rsidR="00A33A2F">
        <w:t xml:space="preserve"> The CEWH’s partners have been successful in facilitating greater community involvement in the management of water for the environment.</w:t>
      </w:r>
    </w:p>
    <w:p w14:paraId="3809F254" w14:textId="7ABDEE70" w:rsidR="00A65E83" w:rsidRDefault="000E5ECD" w:rsidP="00A40099">
      <w:pPr>
        <w:spacing w:after="240" w:line="276" w:lineRule="auto"/>
      </w:pPr>
      <w:r>
        <w:t>Ad</w:t>
      </w:r>
      <w:r w:rsidR="00722A58" w:rsidRPr="00981B22">
        <w:t>ditional funding of up to 10</w:t>
      </w:r>
      <w:r w:rsidR="00722A58">
        <w:t xml:space="preserve"> per cent</w:t>
      </w:r>
      <w:r w:rsidR="00722A58" w:rsidRPr="00981B22">
        <w:t xml:space="preserve"> is being provided </w:t>
      </w:r>
      <w:r>
        <w:t>t</w:t>
      </w:r>
      <w:r w:rsidRPr="00981B22">
        <w:t>hrough the CEW</w:t>
      </w:r>
      <w:r>
        <w:t>H</w:t>
      </w:r>
      <w:r w:rsidRPr="00981B22">
        <w:t>’s M</w:t>
      </w:r>
      <w:r>
        <w:t>ER program</w:t>
      </w:r>
      <w:r w:rsidRPr="00981B22">
        <w:t xml:space="preserve"> </w:t>
      </w:r>
      <w:r w:rsidR="00722A58" w:rsidRPr="00981B22">
        <w:t xml:space="preserve">for </w:t>
      </w:r>
      <w:r>
        <w:t xml:space="preserve">enhanced </w:t>
      </w:r>
      <w:r w:rsidR="00722A58" w:rsidRPr="00981B22">
        <w:t>communication and engagement activ</w:t>
      </w:r>
      <w:r w:rsidR="00722A58">
        <w:t>ities. This investment is focus</w:t>
      </w:r>
      <w:r w:rsidR="00722A58" w:rsidRPr="00981B22">
        <w:t xml:space="preserve">ed on engaging communities in adaptive management of Commonwealth environmental water </w:t>
      </w:r>
      <w:r w:rsidR="00722A58" w:rsidRPr="00981B22">
        <w:lastRenderedPageBreak/>
        <w:t xml:space="preserve">by better utilising local knowledge and expertise through </w:t>
      </w:r>
      <w:r w:rsidR="00722A58">
        <w:t xml:space="preserve">a number of </w:t>
      </w:r>
      <w:r w:rsidR="00722A58" w:rsidRPr="00981B22">
        <w:t xml:space="preserve">activities </w:t>
      </w:r>
      <w:r w:rsidR="00722A58">
        <w:t>and forums. These may include:</w:t>
      </w:r>
      <w:r w:rsidR="00722A58" w:rsidRPr="00981B22">
        <w:t xml:space="preserve"> citizen science</w:t>
      </w:r>
      <w:r w:rsidR="00722A58">
        <w:t>;</w:t>
      </w:r>
      <w:r w:rsidR="00722A58" w:rsidRPr="00981B22">
        <w:t xml:space="preserve"> indigenous engagement in environmental water management;</w:t>
      </w:r>
      <w:r w:rsidR="00722A58">
        <w:t xml:space="preserve"> and </w:t>
      </w:r>
      <w:r w:rsidR="00722A58" w:rsidRPr="00981B22">
        <w:t>events and activities that bring stakeholders, community and scientists together to foster relationships and sharing of</w:t>
      </w:r>
      <w:r w:rsidR="00722A58">
        <w:t xml:space="preserve"> local knowledge and expertise</w:t>
      </w:r>
      <w:r w:rsidR="00722A58" w:rsidRPr="00981B22">
        <w:t>.</w:t>
      </w:r>
    </w:p>
    <w:tbl>
      <w:tblPr>
        <w:tblStyle w:val="TableGrid"/>
        <w:tblW w:w="0" w:type="auto"/>
        <w:tblLook w:val="04A0" w:firstRow="1" w:lastRow="0" w:firstColumn="1" w:lastColumn="0" w:noHBand="0" w:noVBand="1"/>
      </w:tblPr>
      <w:tblGrid>
        <w:gridCol w:w="9016"/>
      </w:tblGrid>
      <w:tr w:rsidR="00970405" w:rsidRPr="006703EC" w14:paraId="45F77358" w14:textId="77777777" w:rsidTr="00144062">
        <w:trPr>
          <w:cnfStyle w:val="100000000000" w:firstRow="1" w:lastRow="0" w:firstColumn="0" w:lastColumn="0" w:oddVBand="0" w:evenVBand="0" w:oddHBand="0" w:evenHBand="0" w:firstRowFirstColumn="0" w:firstRowLastColumn="0" w:lastRowFirstColumn="0" w:lastRowLastColumn="0"/>
        </w:trPr>
        <w:tc>
          <w:tcPr>
            <w:tcW w:w="9016" w:type="dxa"/>
          </w:tcPr>
          <w:p w14:paraId="415D6FC0" w14:textId="77777777" w:rsidR="00970405" w:rsidRPr="00BD56AB" w:rsidRDefault="00970405" w:rsidP="001B6A2B">
            <w:pPr>
              <w:tabs>
                <w:tab w:val="left" w:pos="1935"/>
              </w:tabs>
              <w:spacing w:after="200" w:line="276" w:lineRule="auto"/>
              <w:rPr>
                <w:rFonts w:eastAsia="Calibri"/>
                <w:b/>
                <w:bCs/>
                <w:lang w:eastAsia="en-AU"/>
              </w:rPr>
            </w:pPr>
            <w:r w:rsidRPr="00BD56AB">
              <w:rPr>
                <w:rFonts w:eastAsia="Calibri"/>
                <w:b/>
                <w:bCs/>
                <w:lang w:eastAsia="en-AU"/>
              </w:rPr>
              <w:t>Recommendation 7</w:t>
            </w:r>
          </w:p>
          <w:p w14:paraId="3894F7E9" w14:textId="77777777" w:rsidR="00970405" w:rsidRPr="00BD56AB" w:rsidRDefault="00970405" w:rsidP="00970405">
            <w:pPr>
              <w:spacing w:after="120"/>
            </w:pPr>
            <w:r w:rsidRPr="00BD56AB">
              <w:t>The Committee recommends that the Commonwealth Environmental Water Holder develop an updated communication and engagement strategy.</w:t>
            </w:r>
          </w:p>
        </w:tc>
      </w:tr>
    </w:tbl>
    <w:p w14:paraId="4110DEAB" w14:textId="77777777" w:rsidR="00CD3BB4" w:rsidRPr="00BD56AB" w:rsidRDefault="00CD3BB4" w:rsidP="00DA1CED">
      <w:pPr>
        <w:spacing w:before="240" w:after="200" w:line="276" w:lineRule="auto"/>
        <w:rPr>
          <w:rFonts w:eastAsia="Calibri"/>
          <w:b/>
        </w:rPr>
      </w:pPr>
      <w:r w:rsidRPr="00BD56AB">
        <w:rPr>
          <w:rFonts w:eastAsia="Calibri"/>
          <w:b/>
        </w:rPr>
        <w:t>Response:</w:t>
      </w:r>
    </w:p>
    <w:p w14:paraId="3F3B2EF2" w14:textId="77777777" w:rsidR="0009426A" w:rsidRDefault="0009426A" w:rsidP="0009426A">
      <w:pPr>
        <w:spacing w:after="200" w:line="276" w:lineRule="auto"/>
        <w:rPr>
          <w:rFonts w:eastAsia="Calibri"/>
          <w:b/>
        </w:rPr>
      </w:pPr>
      <w:r w:rsidRPr="00BD56AB">
        <w:rPr>
          <w:rFonts w:eastAsia="Calibri"/>
          <w:b/>
        </w:rPr>
        <w:t>Agreed</w:t>
      </w:r>
    </w:p>
    <w:p w14:paraId="3AAFBDF4" w14:textId="6DC430B0" w:rsidR="00A40099" w:rsidRPr="00BD56AB" w:rsidRDefault="00570837" w:rsidP="0009426A">
      <w:pPr>
        <w:spacing w:after="200" w:line="276" w:lineRule="auto"/>
        <w:rPr>
          <w:rFonts w:eastAsia="Calibri"/>
          <w:b/>
        </w:rPr>
      </w:pPr>
      <w:r>
        <w:rPr>
          <w:rFonts w:eastAsia="Calibri"/>
          <w:b/>
        </w:rPr>
        <w:t>T</w:t>
      </w:r>
      <w:r w:rsidR="00A40099">
        <w:rPr>
          <w:rFonts w:eastAsia="Calibri"/>
          <w:b/>
        </w:rPr>
        <w:t xml:space="preserve">he Commonwealth Environmental Water Holder is developing </w:t>
      </w:r>
      <w:r w:rsidR="00A40099" w:rsidRPr="00A40099">
        <w:rPr>
          <w:rFonts w:eastAsia="Calibri"/>
          <w:b/>
        </w:rPr>
        <w:t>an updated Communication and Engagement Strategy.</w:t>
      </w:r>
    </w:p>
    <w:p w14:paraId="5C84D82C" w14:textId="77777777" w:rsidR="001B308E" w:rsidRDefault="00CB2627" w:rsidP="00B01E86">
      <w:pPr>
        <w:spacing w:after="240" w:line="276" w:lineRule="auto"/>
      </w:pPr>
      <w:r w:rsidRPr="00B01E86">
        <w:t xml:space="preserve">The </w:t>
      </w:r>
      <w:r w:rsidR="00B01E86">
        <w:t>CEWH</w:t>
      </w:r>
      <w:r w:rsidRPr="00B01E86">
        <w:t xml:space="preserve"> recognises further work is needed to establish more effective methods to share information with the community about the value, use and environmental outcomes from </w:t>
      </w:r>
      <w:r w:rsidR="007F7E53">
        <w:t xml:space="preserve">the </w:t>
      </w:r>
      <w:r w:rsidRPr="00B01E86">
        <w:t>delivery of water for the environment.</w:t>
      </w:r>
      <w:r w:rsidR="00B01E86">
        <w:t xml:space="preserve"> </w:t>
      </w:r>
      <w:r w:rsidR="00970405" w:rsidRPr="00BD56AB">
        <w:t xml:space="preserve">The </w:t>
      </w:r>
      <w:r w:rsidR="00E16E7E">
        <w:t>CEWO</w:t>
      </w:r>
      <w:r w:rsidR="00970405" w:rsidRPr="00BD56AB">
        <w:t xml:space="preserve"> </w:t>
      </w:r>
      <w:r w:rsidR="00A6699B">
        <w:t xml:space="preserve">is </w:t>
      </w:r>
      <w:r w:rsidR="00C25821">
        <w:t xml:space="preserve">currently </w:t>
      </w:r>
      <w:r w:rsidR="00A6699B">
        <w:t xml:space="preserve">developing </w:t>
      </w:r>
      <w:r w:rsidR="00970405" w:rsidRPr="00BD56AB">
        <w:t xml:space="preserve">an updated </w:t>
      </w:r>
      <w:r w:rsidR="00D14D76" w:rsidRPr="00BD56AB">
        <w:t>C</w:t>
      </w:r>
      <w:r w:rsidR="00970405" w:rsidRPr="00BD56AB">
        <w:t xml:space="preserve">ommunication and </w:t>
      </w:r>
      <w:r w:rsidR="00D14D76" w:rsidRPr="00BD56AB">
        <w:t>E</w:t>
      </w:r>
      <w:r w:rsidR="00970405" w:rsidRPr="00BD56AB">
        <w:t xml:space="preserve">ngagement </w:t>
      </w:r>
      <w:r w:rsidR="00D14D76" w:rsidRPr="00BD56AB">
        <w:t>S</w:t>
      </w:r>
      <w:r w:rsidR="00970405" w:rsidRPr="00BD56AB">
        <w:t>trategy</w:t>
      </w:r>
      <w:r w:rsidR="00A6699B">
        <w:t>.</w:t>
      </w:r>
      <w:r w:rsidR="00970405" w:rsidRPr="00BD56AB">
        <w:t xml:space="preserve"> In the </w:t>
      </w:r>
      <w:r w:rsidR="00B01130">
        <w:t>interim</w:t>
      </w:r>
      <w:r w:rsidR="00970405" w:rsidRPr="00BD56AB">
        <w:t xml:space="preserve">, </w:t>
      </w:r>
      <w:r w:rsidR="007F7E53">
        <w:t>the CEWO</w:t>
      </w:r>
      <w:r w:rsidR="009E7068">
        <w:t xml:space="preserve"> will implement short-term </w:t>
      </w:r>
      <w:r w:rsidR="00C25821" w:rsidRPr="00BD56AB">
        <w:t>enhancements</w:t>
      </w:r>
      <w:r w:rsidR="00970405" w:rsidRPr="00BD56AB">
        <w:t xml:space="preserve"> in communicat</w:t>
      </w:r>
      <w:r w:rsidR="007F7E53">
        <w:t>ions</w:t>
      </w:r>
      <w:r w:rsidR="00970405" w:rsidRPr="00BD56AB">
        <w:t xml:space="preserve"> to improve access to relevant information for government agencie</w:t>
      </w:r>
      <w:r w:rsidR="00B7694C" w:rsidRPr="00BD56AB">
        <w:t>s, industry and the community.</w:t>
      </w:r>
      <w:r w:rsidR="001212C2">
        <w:t xml:space="preserve"> </w:t>
      </w:r>
    </w:p>
    <w:p w14:paraId="6F65FD27" w14:textId="77777777" w:rsidR="001B308E" w:rsidRDefault="001B308E" w:rsidP="00B01E86">
      <w:pPr>
        <w:spacing w:after="240" w:line="276" w:lineRule="auto"/>
      </w:pPr>
      <w:r>
        <w:t xml:space="preserve">One </w:t>
      </w:r>
      <w:r w:rsidR="00C25821">
        <w:t>example</w:t>
      </w:r>
      <w:r>
        <w:t xml:space="preserve"> is the</w:t>
      </w:r>
      <w:r w:rsidR="009F48EC" w:rsidRPr="009F48EC">
        <w:t xml:space="preserve"> trial </w:t>
      </w:r>
      <w:r>
        <w:t xml:space="preserve">of </w:t>
      </w:r>
      <w:r w:rsidR="009F48EC" w:rsidRPr="009F48EC">
        <w:t>a new stakeholder forum in the northern Basin</w:t>
      </w:r>
      <w:r w:rsidR="00C25821">
        <w:t xml:space="preserve"> that</w:t>
      </w:r>
      <w:r w:rsidR="009F48EC" w:rsidRPr="009F48EC">
        <w:t xml:space="preserve"> will enable the CEWH to hear directly from community representatives about the benefits to the environment and river communities from water for the </w:t>
      </w:r>
      <w:r>
        <w:t>environment. This will enable</w:t>
      </w:r>
      <w:r w:rsidR="009F48EC" w:rsidRPr="009F48EC">
        <w:t xml:space="preserve"> the CEWO</w:t>
      </w:r>
      <w:r>
        <w:t xml:space="preserve"> to</w:t>
      </w:r>
      <w:r w:rsidR="009F48EC" w:rsidRPr="009F48EC">
        <w:t xml:space="preserve"> work more closely with the community to better manage the small amount of water available</w:t>
      </w:r>
      <w:r>
        <w:t xml:space="preserve"> in the North</w:t>
      </w:r>
      <w:r w:rsidR="009F48EC" w:rsidRPr="009F48EC">
        <w:t>.</w:t>
      </w:r>
      <w:r w:rsidR="009F48EC">
        <w:t xml:space="preserve"> </w:t>
      </w:r>
      <w:r>
        <w:t>The success of new forums rely on a collaborative effort and input from various state agencies and interested stakeholders.</w:t>
      </w:r>
    </w:p>
    <w:p w14:paraId="36ADB3F6" w14:textId="6DA8186D" w:rsidR="00B7694C" w:rsidRDefault="00B7694C" w:rsidP="00B01E86">
      <w:pPr>
        <w:spacing w:after="240" w:line="276" w:lineRule="auto"/>
      </w:pPr>
      <w:r w:rsidRPr="00BD56AB">
        <w:t>There i</w:t>
      </w:r>
      <w:r w:rsidR="009E7068">
        <w:t xml:space="preserve">s also work underway with other </w:t>
      </w:r>
      <w:r w:rsidRPr="00BD56AB">
        <w:t>environmental water holders (</w:t>
      </w:r>
      <w:r w:rsidR="00BC102E">
        <w:t>NSW Department of Planning, Industry and Environment</w:t>
      </w:r>
      <w:r w:rsidR="00C25821">
        <w:t>, Victorian Environmental Water Holder</w:t>
      </w:r>
      <w:r w:rsidRPr="00BD56AB">
        <w:t xml:space="preserve"> and M</w:t>
      </w:r>
      <w:r w:rsidR="00FA29CF">
        <w:t>urray-Darling Basin Authority</w:t>
      </w:r>
      <w:r w:rsidRPr="00BD56AB">
        <w:t>) to better-coordinate communications and engagement about water for the environment</w:t>
      </w:r>
      <w:r w:rsidR="00850897">
        <w:t xml:space="preserve"> and build knowledge within the broader community</w:t>
      </w:r>
      <w:r w:rsidRPr="00BD56AB">
        <w:t>.</w:t>
      </w:r>
    </w:p>
    <w:tbl>
      <w:tblPr>
        <w:tblStyle w:val="TableGrid"/>
        <w:tblW w:w="0" w:type="auto"/>
        <w:tblLook w:val="04A0" w:firstRow="1" w:lastRow="0" w:firstColumn="1" w:lastColumn="0" w:noHBand="0" w:noVBand="1"/>
      </w:tblPr>
      <w:tblGrid>
        <w:gridCol w:w="9016"/>
      </w:tblGrid>
      <w:tr w:rsidR="00DA1CED" w:rsidRPr="006703EC" w14:paraId="2D952629" w14:textId="77777777" w:rsidTr="00144062">
        <w:trPr>
          <w:cnfStyle w:val="100000000000" w:firstRow="1" w:lastRow="0" w:firstColumn="0" w:lastColumn="0" w:oddVBand="0" w:evenVBand="0" w:oddHBand="0" w:evenHBand="0" w:firstRowFirstColumn="0" w:firstRowLastColumn="0" w:lastRowFirstColumn="0" w:lastRowLastColumn="0"/>
        </w:trPr>
        <w:tc>
          <w:tcPr>
            <w:tcW w:w="9016" w:type="dxa"/>
          </w:tcPr>
          <w:p w14:paraId="40DDA255" w14:textId="77777777" w:rsidR="00DA1CED" w:rsidRPr="00BD56AB" w:rsidRDefault="00DA1CED" w:rsidP="001B6A2B">
            <w:pPr>
              <w:tabs>
                <w:tab w:val="left" w:pos="1935"/>
              </w:tabs>
              <w:spacing w:after="200" w:line="276" w:lineRule="auto"/>
              <w:rPr>
                <w:rFonts w:eastAsia="Calibri"/>
                <w:b/>
                <w:bCs/>
                <w:lang w:eastAsia="en-AU"/>
              </w:rPr>
            </w:pPr>
            <w:r w:rsidRPr="00BD56AB">
              <w:rPr>
                <w:rFonts w:eastAsia="Calibri"/>
                <w:b/>
                <w:bCs/>
                <w:lang w:eastAsia="en-AU"/>
              </w:rPr>
              <w:t>Recommendation 8</w:t>
            </w:r>
          </w:p>
          <w:p w14:paraId="11A9790A" w14:textId="77777777" w:rsidR="00DA1CED" w:rsidRPr="00BD56AB" w:rsidRDefault="00970405" w:rsidP="001B6A2B">
            <w:pPr>
              <w:spacing w:after="200" w:line="276" w:lineRule="auto"/>
              <w:rPr>
                <w:rFonts w:eastAsia="Calibri"/>
              </w:rPr>
            </w:pPr>
            <w:r w:rsidRPr="00BD56AB">
              <w:t>The Committee recommends that the Commonwealth Environmental Water Holder continue to work and consult with Indigenous communities to further understand and inform sympathetic water use policies.</w:t>
            </w:r>
          </w:p>
        </w:tc>
      </w:tr>
    </w:tbl>
    <w:p w14:paraId="4DE5CF35" w14:textId="77777777" w:rsidR="00CD3BB4" w:rsidRPr="00BD56AB" w:rsidRDefault="00CD3BB4" w:rsidP="00DA1CED">
      <w:pPr>
        <w:spacing w:before="240" w:after="200" w:line="276" w:lineRule="auto"/>
        <w:rPr>
          <w:rFonts w:eastAsia="Calibri"/>
          <w:b/>
        </w:rPr>
      </w:pPr>
      <w:r w:rsidRPr="00BD56AB">
        <w:rPr>
          <w:rFonts w:eastAsia="Calibri"/>
          <w:b/>
        </w:rPr>
        <w:t>Response:</w:t>
      </w:r>
    </w:p>
    <w:p w14:paraId="044AF5B4" w14:textId="1A8CC966" w:rsidR="0009426A" w:rsidRDefault="0009426A" w:rsidP="0009426A">
      <w:pPr>
        <w:spacing w:after="200" w:line="276" w:lineRule="auto"/>
        <w:rPr>
          <w:rFonts w:eastAsia="Calibri"/>
          <w:b/>
        </w:rPr>
      </w:pPr>
      <w:r w:rsidRPr="00BD56AB">
        <w:rPr>
          <w:rFonts w:eastAsia="Calibri"/>
          <w:b/>
        </w:rPr>
        <w:t>Agreed</w:t>
      </w:r>
      <w:r w:rsidR="00570837">
        <w:rPr>
          <w:rFonts w:eastAsia="Calibri"/>
          <w:b/>
        </w:rPr>
        <w:t>.</w:t>
      </w:r>
    </w:p>
    <w:p w14:paraId="175DF03B" w14:textId="481ADFB8" w:rsidR="00A40099" w:rsidRPr="00BD56AB" w:rsidRDefault="00570837" w:rsidP="0009426A">
      <w:pPr>
        <w:spacing w:after="200" w:line="276" w:lineRule="auto"/>
        <w:rPr>
          <w:rFonts w:eastAsia="Calibri"/>
          <w:b/>
        </w:rPr>
      </w:pPr>
      <w:r>
        <w:rPr>
          <w:rFonts w:eastAsia="Calibri"/>
          <w:b/>
        </w:rPr>
        <w:lastRenderedPageBreak/>
        <w:t>T</w:t>
      </w:r>
      <w:r w:rsidR="00A40099">
        <w:rPr>
          <w:rFonts w:eastAsia="Calibri"/>
          <w:b/>
        </w:rPr>
        <w:t xml:space="preserve">he Commonwealth Environmental Water Holder will continue working with Indigenous communities and is co-developing an </w:t>
      </w:r>
      <w:r w:rsidR="00A40099" w:rsidRPr="00A40099">
        <w:rPr>
          <w:rFonts w:eastAsia="Calibri"/>
          <w:b/>
        </w:rPr>
        <w:t>Indigenous Engagement Strategy</w:t>
      </w:r>
      <w:r w:rsidR="00A40099">
        <w:rPr>
          <w:rFonts w:eastAsia="Calibri"/>
          <w:b/>
        </w:rPr>
        <w:t xml:space="preserve"> to </w:t>
      </w:r>
      <w:r>
        <w:rPr>
          <w:rFonts w:eastAsia="Calibri"/>
          <w:b/>
        </w:rPr>
        <w:t>involve Indigenous peoples earlier and more often.</w:t>
      </w:r>
    </w:p>
    <w:p w14:paraId="4AC0BEE0" w14:textId="77777777" w:rsidR="00743D03" w:rsidRDefault="00BD205A" w:rsidP="00BD205A">
      <w:pPr>
        <w:spacing w:after="200" w:line="276" w:lineRule="auto"/>
      </w:pPr>
      <w:r w:rsidRPr="00BD56AB">
        <w:t xml:space="preserve">The CEWH is committed to enhancing its engagement with </w:t>
      </w:r>
      <w:r w:rsidR="002076B4">
        <w:t xml:space="preserve">the </w:t>
      </w:r>
      <w:r w:rsidRPr="00BD56AB">
        <w:t xml:space="preserve">First Nations people of the Murray-Darling Basin. This includes involving First Nations peoples in the planning, delivery and monitoring of Commonwealth environmental water. </w:t>
      </w:r>
      <w:r w:rsidR="00EC4E79" w:rsidRPr="00BD56AB">
        <w:t xml:space="preserve">This commitment is reflected in the Australian Government’s </w:t>
      </w:r>
      <w:r w:rsidR="00EC4E79">
        <w:t>c</w:t>
      </w:r>
      <w:r w:rsidR="00EC4E79" w:rsidRPr="00BD56AB">
        <w:t xml:space="preserve">ommitments </w:t>
      </w:r>
      <w:r w:rsidR="00EC4E79">
        <w:t>p</w:t>
      </w:r>
      <w:r w:rsidR="00EC4E79" w:rsidRPr="00BD56AB">
        <w:t>ackage</w:t>
      </w:r>
      <w:r w:rsidR="00EC4E79">
        <w:t xml:space="preserve"> of 2018</w:t>
      </w:r>
      <w:r w:rsidR="00EC4E79" w:rsidRPr="00BD56AB">
        <w:t>.</w:t>
      </w:r>
      <w:r w:rsidR="00EC4E79">
        <w:t xml:space="preserve"> </w:t>
      </w:r>
    </w:p>
    <w:p w14:paraId="5F6771F6" w14:textId="77777777" w:rsidR="00BD205A" w:rsidRPr="00BD56AB" w:rsidRDefault="00EC4E79" w:rsidP="00BD205A">
      <w:pPr>
        <w:spacing w:after="200" w:line="276" w:lineRule="auto"/>
      </w:pPr>
      <w:r>
        <w:t>The</w:t>
      </w:r>
      <w:r w:rsidR="00743D03">
        <w:t xml:space="preserve"> CEWH is in the initial stages of the</w:t>
      </w:r>
      <w:r>
        <w:t xml:space="preserve"> co-development of </w:t>
      </w:r>
      <w:r w:rsidR="00743D03">
        <w:t xml:space="preserve">an Indigenous </w:t>
      </w:r>
      <w:r>
        <w:t>Engagement Strategy, which will build on local and state government initiatives and other relevant Commonwealth programs.</w:t>
      </w:r>
    </w:p>
    <w:p w14:paraId="1E8BDB5D" w14:textId="77777777" w:rsidR="00BD205A" w:rsidRPr="00BD56AB" w:rsidRDefault="00BD205A" w:rsidP="00BD205A">
      <w:pPr>
        <w:spacing w:after="200" w:line="276" w:lineRule="auto"/>
      </w:pPr>
      <w:r w:rsidRPr="00BD56AB">
        <w:t xml:space="preserve">The CEWH and Murray-Darling Basin Authority are funding the Murray-Lower Darling Rivers Indigenous Nations and Northern Basin Aboriginal Nations to develop First Nations Environmental Water Guidance. This project will identify First Nations environmental objectives and outcomes to inform Basin-wide priorities and planning for environmental watering. </w:t>
      </w:r>
    </w:p>
    <w:p w14:paraId="766B2EF6" w14:textId="77777777" w:rsidR="00EC4E79" w:rsidRDefault="00BD205A" w:rsidP="00727569">
      <w:pPr>
        <w:spacing w:after="240" w:line="276" w:lineRule="auto"/>
      </w:pPr>
      <w:r w:rsidRPr="00BD56AB">
        <w:t>The CEWH partners with First Nations to plan and deliver Commonwealth environmental water to culturally significant sites. For example, the CEWH has a partnership agreement with the Ngarrindjeri Regional Authority (NRA), which provides a pathway for them to submit proposals to water culturally and environmentally significant sites. The NRA has recently started watering at Teringie wetland, which was chosen by the NRA for its cultural and environmental values, including supporting native vegetation and improving habitat for waterbirds and frogs.</w:t>
      </w:r>
    </w:p>
    <w:tbl>
      <w:tblPr>
        <w:tblStyle w:val="TableGrid"/>
        <w:tblW w:w="0" w:type="auto"/>
        <w:tblLook w:val="04A0" w:firstRow="1" w:lastRow="0" w:firstColumn="1" w:lastColumn="0" w:noHBand="0" w:noVBand="1"/>
      </w:tblPr>
      <w:tblGrid>
        <w:gridCol w:w="9016"/>
      </w:tblGrid>
      <w:tr w:rsidR="00DA1CED" w:rsidRPr="006703EC" w14:paraId="59D91BF1" w14:textId="77777777" w:rsidTr="00144062">
        <w:trPr>
          <w:cnfStyle w:val="100000000000" w:firstRow="1" w:lastRow="0" w:firstColumn="0" w:lastColumn="0" w:oddVBand="0" w:evenVBand="0" w:oddHBand="0" w:evenHBand="0" w:firstRowFirstColumn="0" w:firstRowLastColumn="0" w:lastRowFirstColumn="0" w:lastRowLastColumn="0"/>
        </w:trPr>
        <w:tc>
          <w:tcPr>
            <w:tcW w:w="9016" w:type="dxa"/>
          </w:tcPr>
          <w:p w14:paraId="4EFD4770" w14:textId="77777777" w:rsidR="00DA1CED" w:rsidRPr="00BD56AB" w:rsidRDefault="00DA1CED" w:rsidP="00A65E83">
            <w:pPr>
              <w:tabs>
                <w:tab w:val="left" w:pos="1935"/>
              </w:tabs>
              <w:spacing w:after="200" w:line="276" w:lineRule="auto"/>
              <w:rPr>
                <w:rFonts w:eastAsia="Calibri"/>
                <w:b/>
                <w:bCs/>
                <w:lang w:eastAsia="en-AU"/>
              </w:rPr>
            </w:pPr>
            <w:r w:rsidRPr="00BD56AB">
              <w:rPr>
                <w:rFonts w:eastAsia="Calibri"/>
                <w:b/>
                <w:bCs/>
                <w:lang w:eastAsia="en-AU"/>
              </w:rPr>
              <w:t>Recommendation 9</w:t>
            </w:r>
          </w:p>
          <w:p w14:paraId="65AA85BA" w14:textId="77777777" w:rsidR="00DA1CED" w:rsidRPr="00BD56AB" w:rsidRDefault="00970405" w:rsidP="001B6A2B">
            <w:pPr>
              <w:spacing w:after="200" w:line="276" w:lineRule="auto"/>
              <w:rPr>
                <w:rFonts w:eastAsia="Calibri"/>
              </w:rPr>
            </w:pPr>
            <w:r w:rsidRPr="00BD56AB">
              <w:t>The Committee recommends that the Commonwealth Environmental Water Holder review the adequacy of its existing mechanisms for consultation with the community. This review should consider if there is any benefit in establishing a formal advisory or consultative group to inform water use decisions.</w:t>
            </w:r>
          </w:p>
        </w:tc>
      </w:tr>
    </w:tbl>
    <w:p w14:paraId="7911D18D" w14:textId="77777777" w:rsidR="00CD3BB4" w:rsidRPr="00BD56AB" w:rsidRDefault="00CD3BB4" w:rsidP="00DA1CED">
      <w:pPr>
        <w:spacing w:before="240" w:after="200" w:line="276" w:lineRule="auto"/>
        <w:rPr>
          <w:rFonts w:eastAsia="Calibri"/>
          <w:b/>
        </w:rPr>
      </w:pPr>
      <w:r w:rsidRPr="00BD56AB">
        <w:rPr>
          <w:rFonts w:eastAsia="Calibri"/>
          <w:b/>
        </w:rPr>
        <w:t>Response:</w:t>
      </w:r>
    </w:p>
    <w:p w14:paraId="3BA108BB" w14:textId="4EBE8A84" w:rsidR="0009426A" w:rsidRDefault="0009426A" w:rsidP="0009426A">
      <w:pPr>
        <w:spacing w:after="200" w:line="276" w:lineRule="auto"/>
        <w:rPr>
          <w:rFonts w:eastAsia="Calibri"/>
          <w:b/>
        </w:rPr>
      </w:pPr>
      <w:r w:rsidRPr="00BD56AB">
        <w:rPr>
          <w:rFonts w:eastAsia="Calibri"/>
          <w:b/>
        </w:rPr>
        <w:t>Agree</w:t>
      </w:r>
      <w:r w:rsidR="00570837">
        <w:rPr>
          <w:rFonts w:eastAsia="Calibri"/>
          <w:b/>
        </w:rPr>
        <w:t>d</w:t>
      </w:r>
      <w:r w:rsidRPr="00BD56AB">
        <w:rPr>
          <w:rFonts w:eastAsia="Calibri"/>
          <w:b/>
        </w:rPr>
        <w:t xml:space="preserve"> in-principle</w:t>
      </w:r>
      <w:r w:rsidR="00570837">
        <w:rPr>
          <w:rFonts w:eastAsia="Calibri"/>
          <w:b/>
        </w:rPr>
        <w:t>.</w:t>
      </w:r>
    </w:p>
    <w:p w14:paraId="09265F98" w14:textId="5DA41041" w:rsidR="00A40099" w:rsidRPr="00BD56AB" w:rsidRDefault="00570837" w:rsidP="00A40099">
      <w:pPr>
        <w:spacing w:after="200" w:line="276" w:lineRule="auto"/>
        <w:rPr>
          <w:rFonts w:eastAsia="Calibri"/>
          <w:b/>
        </w:rPr>
      </w:pPr>
      <w:r>
        <w:rPr>
          <w:rFonts w:eastAsia="Calibri"/>
          <w:b/>
        </w:rPr>
        <w:t>T</w:t>
      </w:r>
      <w:r w:rsidR="00A40099">
        <w:rPr>
          <w:rFonts w:eastAsia="Calibri"/>
          <w:b/>
        </w:rPr>
        <w:t>he Commonwealth Environmental Water Holder will expand engagement with communities and will incorporate this into its</w:t>
      </w:r>
      <w:r w:rsidR="00A40099" w:rsidRPr="00A40099">
        <w:rPr>
          <w:rFonts w:eastAsia="Calibri"/>
          <w:b/>
        </w:rPr>
        <w:t xml:space="preserve"> updated Communication and Engagement Strategy.</w:t>
      </w:r>
    </w:p>
    <w:p w14:paraId="2BD8C72D" w14:textId="77777777" w:rsidR="00743D03" w:rsidRDefault="00B7694C" w:rsidP="008360FF">
      <w:pPr>
        <w:spacing w:after="200" w:line="276" w:lineRule="auto"/>
      </w:pPr>
      <w:r w:rsidRPr="00BD56AB">
        <w:t>The CEWH is a member of a number of Basin-scale, regional and catchment-focused consultation forums that provide effective mechanisms for consulting with the community on environmental watering.</w:t>
      </w:r>
    </w:p>
    <w:p w14:paraId="365DC9A3" w14:textId="77777777" w:rsidR="00743D03" w:rsidRDefault="00B7694C" w:rsidP="008360FF">
      <w:pPr>
        <w:spacing w:after="200" w:line="276" w:lineRule="auto"/>
      </w:pPr>
      <w:r w:rsidRPr="00BD56AB">
        <w:lastRenderedPageBreak/>
        <w:t xml:space="preserve">The CEWH will consider </w:t>
      </w:r>
      <w:r w:rsidR="00BD0840">
        <w:t xml:space="preserve">the adequacy of its existing mechanisms for community consultation and the merits </w:t>
      </w:r>
      <w:r w:rsidRPr="00BD56AB">
        <w:t xml:space="preserve">of establishing a formal consultative group in the context of the broader review of </w:t>
      </w:r>
      <w:r w:rsidR="003568AE" w:rsidRPr="00BD56AB">
        <w:t xml:space="preserve">the Communication and Engagement Strategy </w:t>
      </w:r>
      <w:r w:rsidRPr="00BD56AB">
        <w:t>(</w:t>
      </w:r>
      <w:r w:rsidR="00FC14FB">
        <w:t>see </w:t>
      </w:r>
      <w:r w:rsidR="009F48EC">
        <w:t xml:space="preserve">recommendation 7). </w:t>
      </w:r>
    </w:p>
    <w:p w14:paraId="470D4636" w14:textId="77777777" w:rsidR="009F48EC" w:rsidRDefault="009F48EC" w:rsidP="008360FF">
      <w:pPr>
        <w:spacing w:after="200" w:line="276" w:lineRule="auto"/>
      </w:pPr>
      <w:r w:rsidRPr="009F48EC">
        <w:t>The CEWH recognises there is a particular need to expand its engagement with the community in the northern Basin and is working to trial a northern Basin stakeholder forum to facilitate broader community engagement across the northern Basin.</w:t>
      </w:r>
    </w:p>
    <w:p w14:paraId="634B50D8" w14:textId="7690B4CD" w:rsidR="00981B22" w:rsidRPr="00BD56AB" w:rsidRDefault="00981B22" w:rsidP="008360FF">
      <w:pPr>
        <w:spacing w:after="200" w:line="276" w:lineRule="auto"/>
      </w:pPr>
      <w:r w:rsidRPr="00981B22">
        <w:t>Through the CEW</w:t>
      </w:r>
      <w:r w:rsidR="00A33A2F">
        <w:t>H</w:t>
      </w:r>
      <w:r w:rsidRPr="00981B22">
        <w:t>’s M</w:t>
      </w:r>
      <w:r>
        <w:t>ER program</w:t>
      </w:r>
      <w:r w:rsidR="00743D03">
        <w:t xml:space="preserve"> a portion of additional funds </w:t>
      </w:r>
      <w:r w:rsidRPr="00981B22">
        <w:t>is being</w:t>
      </w:r>
      <w:r w:rsidR="00743D03">
        <w:t xml:space="preserve"> allocated </w:t>
      </w:r>
      <w:r w:rsidRPr="00981B22">
        <w:t>for communication and engagement activ</w:t>
      </w:r>
      <w:r>
        <w:t>ities</w:t>
      </w:r>
      <w:r w:rsidR="00743D03">
        <w:t xml:space="preserve"> in the Basin</w:t>
      </w:r>
      <w:r w:rsidR="0024732C">
        <w:t xml:space="preserve"> (see </w:t>
      </w:r>
      <w:r w:rsidR="00A65E83">
        <w:t>r</w:t>
      </w:r>
      <w:r w:rsidR="0024732C">
        <w:t>ecommendation 7)</w:t>
      </w:r>
      <w:r>
        <w:t xml:space="preserve">. This investment is </w:t>
      </w:r>
      <w:r w:rsidR="00743D03">
        <w:t>a further example of building on engagement with</w:t>
      </w:r>
      <w:r w:rsidRPr="00981B22">
        <w:t xml:space="preserve"> communities </w:t>
      </w:r>
      <w:r w:rsidR="0024732C">
        <w:t>and</w:t>
      </w:r>
      <w:r w:rsidRPr="00981B22">
        <w:t xml:space="preserve"> better utilising local knowledge and expertise through </w:t>
      </w:r>
      <w:r w:rsidR="00E640A0">
        <w:t xml:space="preserve">a number of </w:t>
      </w:r>
      <w:r w:rsidRPr="00981B22">
        <w:t xml:space="preserve">activities </w:t>
      </w:r>
      <w:r w:rsidR="00E640A0">
        <w:t xml:space="preserve">and forums. </w:t>
      </w:r>
    </w:p>
    <w:sectPr w:rsidR="00981B22" w:rsidRPr="00BD56AB" w:rsidSect="00C510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C3623" w14:textId="77777777" w:rsidR="001C183D" w:rsidRDefault="001C183D" w:rsidP="00A60185">
      <w:r>
        <w:separator/>
      </w:r>
    </w:p>
  </w:endnote>
  <w:endnote w:type="continuationSeparator" w:id="0">
    <w:p w14:paraId="796A1B35" w14:textId="77777777" w:rsidR="001C183D" w:rsidRDefault="001C183D" w:rsidP="00A60185">
      <w:r>
        <w:continuationSeparator/>
      </w:r>
    </w:p>
  </w:endnote>
  <w:endnote w:type="continuationNotice" w:id="1">
    <w:p w14:paraId="5BE3A414" w14:textId="77777777" w:rsidR="001C183D" w:rsidRDefault="001C1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5219A" w14:textId="77777777" w:rsidR="006337B3" w:rsidRDefault="006337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7324380E" w14:textId="77777777" w:rsidR="001B6A2B" w:rsidRDefault="001B6A2B">
        <w:pPr>
          <w:pStyle w:val="Footer"/>
          <w:jc w:val="center"/>
        </w:pPr>
        <w:r>
          <w:fldChar w:fldCharType="begin"/>
        </w:r>
        <w:r>
          <w:instrText xml:space="preserve"> PAGE   \* MERGEFORMAT </w:instrText>
        </w:r>
        <w:r>
          <w:fldChar w:fldCharType="separate"/>
        </w:r>
        <w:r w:rsidR="006337B3">
          <w:rPr>
            <w:noProof/>
          </w:rPr>
          <w:t>11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04FEB" w14:textId="77777777" w:rsidR="006337B3" w:rsidRDefault="00633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FE2DA" w14:textId="77777777" w:rsidR="001C183D" w:rsidRDefault="001C183D" w:rsidP="00A60185">
      <w:r>
        <w:separator/>
      </w:r>
    </w:p>
  </w:footnote>
  <w:footnote w:type="continuationSeparator" w:id="0">
    <w:p w14:paraId="435EA230" w14:textId="77777777" w:rsidR="001C183D" w:rsidRDefault="001C183D" w:rsidP="00A60185">
      <w:r>
        <w:continuationSeparator/>
      </w:r>
    </w:p>
  </w:footnote>
  <w:footnote w:type="continuationNotice" w:id="1">
    <w:p w14:paraId="0E21CCDD" w14:textId="77777777" w:rsidR="001C183D" w:rsidRDefault="001C18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0EAC" w14:textId="77777777" w:rsidR="006337B3" w:rsidRDefault="006337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C09B9" w14:textId="77777777" w:rsidR="006337B3" w:rsidRDefault="006337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14357" w14:textId="13F29648" w:rsidR="00CB508A" w:rsidRPr="004C4493" w:rsidRDefault="00CB508A" w:rsidP="004C4493">
    <w:pPr>
      <w:pStyle w:val="Header"/>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116200E"/>
    <w:multiLevelType w:val="multilevel"/>
    <w:tmpl w:val="DD466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E5F16"/>
    <w:multiLevelType w:val="multilevel"/>
    <w:tmpl w:val="19181490"/>
    <w:lvl w:ilvl="0">
      <w:start w:val="1"/>
      <w:numFmt w:val="lowerLetter"/>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17DE4CE9"/>
    <w:multiLevelType w:val="hybridMultilevel"/>
    <w:tmpl w:val="B0DA52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F745BC2"/>
    <w:multiLevelType w:val="multilevel"/>
    <w:tmpl w:val="E5E89F92"/>
    <w:numStyleLink w:val="BulletList"/>
  </w:abstractNum>
  <w:abstractNum w:abstractNumId="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A1649"/>
    <w:multiLevelType w:val="hybridMultilevel"/>
    <w:tmpl w:val="75BC285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A1C0961"/>
    <w:multiLevelType w:val="hybridMultilevel"/>
    <w:tmpl w:val="17FC66AE"/>
    <w:lvl w:ilvl="0" w:tplc="C34843B8">
      <w:start w:val="6"/>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5A7D495E"/>
    <w:multiLevelType w:val="hybridMultilevel"/>
    <w:tmpl w:val="C0249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AF11BD"/>
    <w:multiLevelType w:val="multilevel"/>
    <w:tmpl w:val="6E82E654"/>
    <w:lvl w:ilvl="0">
      <w:start w:val="1"/>
      <w:numFmt w:val="lowerLetter"/>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65456429"/>
    <w:multiLevelType w:val="multilevel"/>
    <w:tmpl w:val="E898CC72"/>
    <w:numStyleLink w:val="KeyPoints"/>
  </w:abstractNum>
  <w:abstractNum w:abstractNumId="1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2"/>
  </w:num>
  <w:num w:numId="2">
    <w:abstractNumId w:val="0"/>
  </w:num>
  <w:num w:numId="3">
    <w:abstractNumId w:val="7"/>
  </w:num>
  <w:num w:numId="4">
    <w:abstractNumId w:val="5"/>
  </w:num>
  <w:num w:numId="5">
    <w:abstractNumId w:val="11"/>
  </w:num>
  <w:num w:numId="6">
    <w:abstractNumId w:val="4"/>
  </w:num>
  <w:num w:numId="7">
    <w:abstractNumId w:val="10"/>
  </w:num>
  <w:num w:numId="8">
    <w:abstractNumId w:val="6"/>
  </w:num>
  <w:num w:numId="9">
    <w:abstractNumId w:val="2"/>
  </w:num>
  <w:num w:numId="10">
    <w:abstractNumId w:val="1"/>
  </w:num>
  <w:num w:numId="1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lvlOverride w:ilvl="0">
      <w:lvl w:ilvl="0">
        <w:start w:val="1"/>
        <w:numFmt w:val="decimal"/>
        <w:pStyle w:val="ListNumber"/>
        <w:lvlText w:val="%1."/>
        <w:lvlJc w:val="left"/>
        <w:pPr>
          <w:ind w:left="369" w:hanging="369"/>
        </w:pPr>
        <w:rPr>
          <w:rFonts w:ascii="Calibri" w:hAnsi="Calibri" w:cs="Times New Roman" w:hint="default"/>
          <w:sz w:val="24"/>
          <w:szCs w:val="24"/>
        </w:rPr>
      </w:lvl>
    </w:lvlOverride>
    <w:lvlOverride w:ilvl="1">
      <w:lvl w:ilvl="1">
        <w:start w:val="1"/>
        <w:numFmt w:val="lowerLetter"/>
        <w:pStyle w:val="ListNumber2"/>
        <w:lvlText w:val="%2."/>
        <w:lvlJc w:val="left"/>
        <w:pPr>
          <w:ind w:left="738" w:hanging="369"/>
        </w:pPr>
        <w:rPr>
          <w:rFonts w:ascii="Calibri" w:hAnsi="Calibri" w:hint="default"/>
          <w:sz w:val="24"/>
          <w:szCs w:val="24"/>
        </w:rPr>
      </w:lvl>
    </w:lvlOverride>
    <w:lvlOverride w:ilvl="2">
      <w:lvl w:ilvl="2">
        <w:start w:val="1"/>
        <w:numFmt w:val="decimal"/>
        <w:pStyle w:val="ListNumber3"/>
        <w:lvlText w:val=""/>
        <w:lvlJc w:val="left"/>
        <w:pPr>
          <w:ind w:left="0" w:firstLine="0"/>
        </w:pPr>
      </w:lvl>
    </w:lvlOverride>
    <w:lvlOverride w:ilvl="3">
      <w:lvl w:ilvl="3">
        <w:start w:val="1"/>
        <w:numFmt w:val="decimal"/>
        <w:pStyle w:val="ListNumber4"/>
        <w:lvlText w:val=""/>
        <w:lvlJc w:val="left"/>
        <w:pPr>
          <w:ind w:left="0" w:firstLine="0"/>
        </w:pPr>
      </w:lvl>
    </w:lvlOverride>
    <w:lvlOverride w:ilvl="4">
      <w:lvl w:ilvl="4">
        <w:start w:val="1"/>
        <w:numFmt w:val="decimal"/>
        <w:pStyle w:val="ListNumber5"/>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4">
    <w:abstractNumId w:val="4"/>
  </w:num>
  <w:num w:numId="15">
    <w:abstractNumId w:val="5"/>
  </w:num>
  <w:num w:numId="16">
    <w:abstractNumId w:val="9"/>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CD3BB4"/>
    <w:rsid w:val="00004AEE"/>
    <w:rsid w:val="00005CAA"/>
    <w:rsid w:val="00010210"/>
    <w:rsid w:val="00012D66"/>
    <w:rsid w:val="00015ADA"/>
    <w:rsid w:val="00020C99"/>
    <w:rsid w:val="00024E2E"/>
    <w:rsid w:val="00026D9C"/>
    <w:rsid w:val="0002707B"/>
    <w:rsid w:val="000275FF"/>
    <w:rsid w:val="00031C29"/>
    <w:rsid w:val="00037757"/>
    <w:rsid w:val="0005148E"/>
    <w:rsid w:val="0006558E"/>
    <w:rsid w:val="0006772F"/>
    <w:rsid w:val="00072C5A"/>
    <w:rsid w:val="000732B3"/>
    <w:rsid w:val="000759E5"/>
    <w:rsid w:val="00084AC6"/>
    <w:rsid w:val="00091608"/>
    <w:rsid w:val="0009333C"/>
    <w:rsid w:val="0009426A"/>
    <w:rsid w:val="0009704F"/>
    <w:rsid w:val="000A0F11"/>
    <w:rsid w:val="000A1254"/>
    <w:rsid w:val="000A125A"/>
    <w:rsid w:val="000A57CD"/>
    <w:rsid w:val="000B3758"/>
    <w:rsid w:val="000B7681"/>
    <w:rsid w:val="000B7B42"/>
    <w:rsid w:val="000C02B7"/>
    <w:rsid w:val="000C41D7"/>
    <w:rsid w:val="000C5100"/>
    <w:rsid w:val="000C5342"/>
    <w:rsid w:val="000C706A"/>
    <w:rsid w:val="000D2887"/>
    <w:rsid w:val="000D6D63"/>
    <w:rsid w:val="000E0081"/>
    <w:rsid w:val="000E07CF"/>
    <w:rsid w:val="000E31C1"/>
    <w:rsid w:val="000E5ECD"/>
    <w:rsid w:val="000F2CF2"/>
    <w:rsid w:val="000F3BD2"/>
    <w:rsid w:val="000F57D8"/>
    <w:rsid w:val="00100BEF"/>
    <w:rsid w:val="0010543C"/>
    <w:rsid w:val="00111326"/>
    <w:rsid w:val="0011498E"/>
    <w:rsid w:val="001169AF"/>
    <w:rsid w:val="00116A1B"/>
    <w:rsid w:val="00117A45"/>
    <w:rsid w:val="001212C2"/>
    <w:rsid w:val="001224AE"/>
    <w:rsid w:val="001337D4"/>
    <w:rsid w:val="001363D6"/>
    <w:rsid w:val="00144062"/>
    <w:rsid w:val="00147C12"/>
    <w:rsid w:val="00150CE4"/>
    <w:rsid w:val="001527A1"/>
    <w:rsid w:val="001530DC"/>
    <w:rsid w:val="00153929"/>
    <w:rsid w:val="00154989"/>
    <w:rsid w:val="00155A9F"/>
    <w:rsid w:val="00160262"/>
    <w:rsid w:val="00166178"/>
    <w:rsid w:val="0016780A"/>
    <w:rsid w:val="001713FA"/>
    <w:rsid w:val="00173EBF"/>
    <w:rsid w:val="001747D3"/>
    <w:rsid w:val="00175ED3"/>
    <w:rsid w:val="00180E6D"/>
    <w:rsid w:val="001842A2"/>
    <w:rsid w:val="00187FA8"/>
    <w:rsid w:val="00192F5E"/>
    <w:rsid w:val="001942D2"/>
    <w:rsid w:val="00197772"/>
    <w:rsid w:val="001A51C8"/>
    <w:rsid w:val="001A6350"/>
    <w:rsid w:val="001A644A"/>
    <w:rsid w:val="001B308E"/>
    <w:rsid w:val="001B4CA8"/>
    <w:rsid w:val="001B5EA1"/>
    <w:rsid w:val="001B6A2B"/>
    <w:rsid w:val="001C183D"/>
    <w:rsid w:val="001C4F3D"/>
    <w:rsid w:val="001D0CDC"/>
    <w:rsid w:val="001D1D82"/>
    <w:rsid w:val="001E1182"/>
    <w:rsid w:val="001E1A4D"/>
    <w:rsid w:val="00202A5D"/>
    <w:rsid w:val="00202C90"/>
    <w:rsid w:val="002076B4"/>
    <w:rsid w:val="00213DE8"/>
    <w:rsid w:val="00216118"/>
    <w:rsid w:val="002209AB"/>
    <w:rsid w:val="002251E3"/>
    <w:rsid w:val="00227A95"/>
    <w:rsid w:val="002316BD"/>
    <w:rsid w:val="00231FFD"/>
    <w:rsid w:val="00234FC5"/>
    <w:rsid w:val="00240EF0"/>
    <w:rsid w:val="0024732C"/>
    <w:rsid w:val="002473FC"/>
    <w:rsid w:val="0025056C"/>
    <w:rsid w:val="00252E3C"/>
    <w:rsid w:val="00262198"/>
    <w:rsid w:val="00263B3D"/>
    <w:rsid w:val="00283794"/>
    <w:rsid w:val="00285F1B"/>
    <w:rsid w:val="00287416"/>
    <w:rsid w:val="00290896"/>
    <w:rsid w:val="00291FC1"/>
    <w:rsid w:val="00292B81"/>
    <w:rsid w:val="002A0F44"/>
    <w:rsid w:val="002B18AE"/>
    <w:rsid w:val="002B1C66"/>
    <w:rsid w:val="002C1C93"/>
    <w:rsid w:val="002C5066"/>
    <w:rsid w:val="002C5813"/>
    <w:rsid w:val="002D4AAC"/>
    <w:rsid w:val="002E5046"/>
    <w:rsid w:val="002E7F7C"/>
    <w:rsid w:val="002E7FF4"/>
    <w:rsid w:val="002F045A"/>
    <w:rsid w:val="0030039D"/>
    <w:rsid w:val="0030326F"/>
    <w:rsid w:val="00310701"/>
    <w:rsid w:val="00315980"/>
    <w:rsid w:val="00315FC8"/>
    <w:rsid w:val="00316F7F"/>
    <w:rsid w:val="003218E8"/>
    <w:rsid w:val="00325E34"/>
    <w:rsid w:val="0033097B"/>
    <w:rsid w:val="00330DCE"/>
    <w:rsid w:val="003317B4"/>
    <w:rsid w:val="00331E11"/>
    <w:rsid w:val="00334761"/>
    <w:rsid w:val="00337EBC"/>
    <w:rsid w:val="00341DCD"/>
    <w:rsid w:val="0034563E"/>
    <w:rsid w:val="003518D6"/>
    <w:rsid w:val="0035460C"/>
    <w:rsid w:val="003553C2"/>
    <w:rsid w:val="003556BD"/>
    <w:rsid w:val="003568AE"/>
    <w:rsid w:val="003605F1"/>
    <w:rsid w:val="00365147"/>
    <w:rsid w:val="0037016E"/>
    <w:rsid w:val="00372908"/>
    <w:rsid w:val="00377F87"/>
    <w:rsid w:val="00383020"/>
    <w:rsid w:val="00391C50"/>
    <w:rsid w:val="00394D7E"/>
    <w:rsid w:val="003975FD"/>
    <w:rsid w:val="003A5F5E"/>
    <w:rsid w:val="003B057D"/>
    <w:rsid w:val="003B38A9"/>
    <w:rsid w:val="003B60CC"/>
    <w:rsid w:val="003B6945"/>
    <w:rsid w:val="003C1B25"/>
    <w:rsid w:val="003C2443"/>
    <w:rsid w:val="003C5DA3"/>
    <w:rsid w:val="003C5F23"/>
    <w:rsid w:val="003D178E"/>
    <w:rsid w:val="003D1F8D"/>
    <w:rsid w:val="003D4BCD"/>
    <w:rsid w:val="003D6C2B"/>
    <w:rsid w:val="003E01D8"/>
    <w:rsid w:val="003E12A2"/>
    <w:rsid w:val="003E2100"/>
    <w:rsid w:val="003E2D62"/>
    <w:rsid w:val="003F6F5B"/>
    <w:rsid w:val="0040342D"/>
    <w:rsid w:val="00405DA0"/>
    <w:rsid w:val="0041192D"/>
    <w:rsid w:val="00413EE1"/>
    <w:rsid w:val="0042128E"/>
    <w:rsid w:val="00432B60"/>
    <w:rsid w:val="00433FD5"/>
    <w:rsid w:val="004404C1"/>
    <w:rsid w:val="00440698"/>
    <w:rsid w:val="00445C89"/>
    <w:rsid w:val="004540E2"/>
    <w:rsid w:val="00454454"/>
    <w:rsid w:val="00467924"/>
    <w:rsid w:val="004712A5"/>
    <w:rsid w:val="0047266F"/>
    <w:rsid w:val="00476D6B"/>
    <w:rsid w:val="00492C16"/>
    <w:rsid w:val="00492E89"/>
    <w:rsid w:val="004A0678"/>
    <w:rsid w:val="004A48A3"/>
    <w:rsid w:val="004B0D92"/>
    <w:rsid w:val="004B0EC0"/>
    <w:rsid w:val="004B66F1"/>
    <w:rsid w:val="004B68F7"/>
    <w:rsid w:val="004C3EA0"/>
    <w:rsid w:val="004C4493"/>
    <w:rsid w:val="004F7169"/>
    <w:rsid w:val="005001F0"/>
    <w:rsid w:val="00500D66"/>
    <w:rsid w:val="00503111"/>
    <w:rsid w:val="00514C8E"/>
    <w:rsid w:val="00522F10"/>
    <w:rsid w:val="00530E6C"/>
    <w:rsid w:val="00531DBF"/>
    <w:rsid w:val="00535943"/>
    <w:rsid w:val="00545759"/>
    <w:rsid w:val="00545BE0"/>
    <w:rsid w:val="00546930"/>
    <w:rsid w:val="005534F0"/>
    <w:rsid w:val="00554C6A"/>
    <w:rsid w:val="00561210"/>
    <w:rsid w:val="00562E85"/>
    <w:rsid w:val="0056332F"/>
    <w:rsid w:val="00570837"/>
    <w:rsid w:val="005719B3"/>
    <w:rsid w:val="0057295E"/>
    <w:rsid w:val="00576B63"/>
    <w:rsid w:val="00581C39"/>
    <w:rsid w:val="005903B6"/>
    <w:rsid w:val="00590A11"/>
    <w:rsid w:val="005A0247"/>
    <w:rsid w:val="005A126E"/>
    <w:rsid w:val="005A452F"/>
    <w:rsid w:val="005B140D"/>
    <w:rsid w:val="005C1FEA"/>
    <w:rsid w:val="005C3495"/>
    <w:rsid w:val="005D5705"/>
    <w:rsid w:val="005D63A2"/>
    <w:rsid w:val="005E050D"/>
    <w:rsid w:val="005E33AE"/>
    <w:rsid w:val="005E3DFC"/>
    <w:rsid w:val="005E5942"/>
    <w:rsid w:val="005E60AF"/>
    <w:rsid w:val="005F1DEA"/>
    <w:rsid w:val="005F627B"/>
    <w:rsid w:val="006058FF"/>
    <w:rsid w:val="00607FC9"/>
    <w:rsid w:val="00610DAD"/>
    <w:rsid w:val="00622FE1"/>
    <w:rsid w:val="0062521C"/>
    <w:rsid w:val="00630A2B"/>
    <w:rsid w:val="00632DC7"/>
    <w:rsid w:val="006337B3"/>
    <w:rsid w:val="006357FB"/>
    <w:rsid w:val="006406FC"/>
    <w:rsid w:val="00640E57"/>
    <w:rsid w:val="00644E4B"/>
    <w:rsid w:val="00646122"/>
    <w:rsid w:val="00651F72"/>
    <w:rsid w:val="00653E16"/>
    <w:rsid w:val="00654480"/>
    <w:rsid w:val="00657220"/>
    <w:rsid w:val="00657342"/>
    <w:rsid w:val="00657362"/>
    <w:rsid w:val="0066104B"/>
    <w:rsid w:val="006655EE"/>
    <w:rsid w:val="00667C10"/>
    <w:rsid w:val="00667EF4"/>
    <w:rsid w:val="006703EC"/>
    <w:rsid w:val="00670BD8"/>
    <w:rsid w:val="00676133"/>
    <w:rsid w:val="00676FCA"/>
    <w:rsid w:val="00677177"/>
    <w:rsid w:val="0068612E"/>
    <w:rsid w:val="00687C92"/>
    <w:rsid w:val="00691F29"/>
    <w:rsid w:val="0069534E"/>
    <w:rsid w:val="0069669C"/>
    <w:rsid w:val="006A1200"/>
    <w:rsid w:val="006A4F4E"/>
    <w:rsid w:val="006A6C23"/>
    <w:rsid w:val="006B14DB"/>
    <w:rsid w:val="006B21C4"/>
    <w:rsid w:val="006C4A1A"/>
    <w:rsid w:val="006D0393"/>
    <w:rsid w:val="006D1A83"/>
    <w:rsid w:val="006E1CFE"/>
    <w:rsid w:val="006E2CA4"/>
    <w:rsid w:val="006E7D6B"/>
    <w:rsid w:val="006F10C4"/>
    <w:rsid w:val="006F40E9"/>
    <w:rsid w:val="006F5603"/>
    <w:rsid w:val="006F6F0B"/>
    <w:rsid w:val="006F7B87"/>
    <w:rsid w:val="00701400"/>
    <w:rsid w:val="007037CF"/>
    <w:rsid w:val="00710B67"/>
    <w:rsid w:val="007167C0"/>
    <w:rsid w:val="00716857"/>
    <w:rsid w:val="00717811"/>
    <w:rsid w:val="00720481"/>
    <w:rsid w:val="00722A58"/>
    <w:rsid w:val="00727569"/>
    <w:rsid w:val="00733193"/>
    <w:rsid w:val="00736898"/>
    <w:rsid w:val="00740D92"/>
    <w:rsid w:val="00743D03"/>
    <w:rsid w:val="00744DDA"/>
    <w:rsid w:val="00745E03"/>
    <w:rsid w:val="0075732A"/>
    <w:rsid w:val="007600F8"/>
    <w:rsid w:val="00760262"/>
    <w:rsid w:val="00761F95"/>
    <w:rsid w:val="0076310C"/>
    <w:rsid w:val="0076744F"/>
    <w:rsid w:val="00767BCE"/>
    <w:rsid w:val="00767EFC"/>
    <w:rsid w:val="007707DE"/>
    <w:rsid w:val="00770B5D"/>
    <w:rsid w:val="007718B6"/>
    <w:rsid w:val="007752F1"/>
    <w:rsid w:val="007765E5"/>
    <w:rsid w:val="00776768"/>
    <w:rsid w:val="00780E18"/>
    <w:rsid w:val="0078187A"/>
    <w:rsid w:val="00783794"/>
    <w:rsid w:val="00784CF5"/>
    <w:rsid w:val="00794ED8"/>
    <w:rsid w:val="007A2573"/>
    <w:rsid w:val="007A33DE"/>
    <w:rsid w:val="007B106C"/>
    <w:rsid w:val="007B1A4E"/>
    <w:rsid w:val="007B3D05"/>
    <w:rsid w:val="007B5503"/>
    <w:rsid w:val="007C1235"/>
    <w:rsid w:val="007C179C"/>
    <w:rsid w:val="007C6BB3"/>
    <w:rsid w:val="007D14B4"/>
    <w:rsid w:val="007D3AD7"/>
    <w:rsid w:val="007E24F6"/>
    <w:rsid w:val="007F7E53"/>
    <w:rsid w:val="00800F64"/>
    <w:rsid w:val="00801050"/>
    <w:rsid w:val="00802F0B"/>
    <w:rsid w:val="00810A67"/>
    <w:rsid w:val="00823719"/>
    <w:rsid w:val="00833CF7"/>
    <w:rsid w:val="00834CDE"/>
    <w:rsid w:val="0083520F"/>
    <w:rsid w:val="008360FF"/>
    <w:rsid w:val="00842464"/>
    <w:rsid w:val="00845601"/>
    <w:rsid w:val="00850897"/>
    <w:rsid w:val="00855C5C"/>
    <w:rsid w:val="00884971"/>
    <w:rsid w:val="008A1EC1"/>
    <w:rsid w:val="008A3C96"/>
    <w:rsid w:val="008B0DE0"/>
    <w:rsid w:val="008B4019"/>
    <w:rsid w:val="008B65C9"/>
    <w:rsid w:val="008C2D4A"/>
    <w:rsid w:val="008C417F"/>
    <w:rsid w:val="008D3900"/>
    <w:rsid w:val="008D6E1D"/>
    <w:rsid w:val="008F39B4"/>
    <w:rsid w:val="008F4162"/>
    <w:rsid w:val="00903E02"/>
    <w:rsid w:val="00913175"/>
    <w:rsid w:val="00916EDB"/>
    <w:rsid w:val="00920861"/>
    <w:rsid w:val="00922B13"/>
    <w:rsid w:val="009242EF"/>
    <w:rsid w:val="00932291"/>
    <w:rsid w:val="00932861"/>
    <w:rsid w:val="0093408E"/>
    <w:rsid w:val="009523DE"/>
    <w:rsid w:val="00952DDF"/>
    <w:rsid w:val="00960BB4"/>
    <w:rsid w:val="009610A3"/>
    <w:rsid w:val="00963B6A"/>
    <w:rsid w:val="00965404"/>
    <w:rsid w:val="00970405"/>
    <w:rsid w:val="00970950"/>
    <w:rsid w:val="009812D4"/>
    <w:rsid w:val="00981B22"/>
    <w:rsid w:val="00990F03"/>
    <w:rsid w:val="009920D8"/>
    <w:rsid w:val="009952F5"/>
    <w:rsid w:val="009A6940"/>
    <w:rsid w:val="009A6DB7"/>
    <w:rsid w:val="009B1E0E"/>
    <w:rsid w:val="009B38BE"/>
    <w:rsid w:val="009C3D0F"/>
    <w:rsid w:val="009C71B0"/>
    <w:rsid w:val="009E1B19"/>
    <w:rsid w:val="009E7068"/>
    <w:rsid w:val="009F35E2"/>
    <w:rsid w:val="009F48EC"/>
    <w:rsid w:val="009F65F9"/>
    <w:rsid w:val="009F68BA"/>
    <w:rsid w:val="00A06277"/>
    <w:rsid w:val="00A079DC"/>
    <w:rsid w:val="00A111C2"/>
    <w:rsid w:val="00A13D16"/>
    <w:rsid w:val="00A2214D"/>
    <w:rsid w:val="00A338E7"/>
    <w:rsid w:val="00A33A2F"/>
    <w:rsid w:val="00A35CAA"/>
    <w:rsid w:val="00A35D70"/>
    <w:rsid w:val="00A36E7F"/>
    <w:rsid w:val="00A37923"/>
    <w:rsid w:val="00A40099"/>
    <w:rsid w:val="00A41E65"/>
    <w:rsid w:val="00A43E0A"/>
    <w:rsid w:val="00A4734F"/>
    <w:rsid w:val="00A519C0"/>
    <w:rsid w:val="00A52CB5"/>
    <w:rsid w:val="00A530C7"/>
    <w:rsid w:val="00A55F5B"/>
    <w:rsid w:val="00A60185"/>
    <w:rsid w:val="00A65E83"/>
    <w:rsid w:val="00A661EA"/>
    <w:rsid w:val="00A6699B"/>
    <w:rsid w:val="00A75DB1"/>
    <w:rsid w:val="00A830E5"/>
    <w:rsid w:val="00A87135"/>
    <w:rsid w:val="00A93280"/>
    <w:rsid w:val="00A94C6D"/>
    <w:rsid w:val="00A951EA"/>
    <w:rsid w:val="00A973A0"/>
    <w:rsid w:val="00AA2548"/>
    <w:rsid w:val="00AA58C4"/>
    <w:rsid w:val="00AA7003"/>
    <w:rsid w:val="00AB11C8"/>
    <w:rsid w:val="00AB48B3"/>
    <w:rsid w:val="00AC08A8"/>
    <w:rsid w:val="00AC5F88"/>
    <w:rsid w:val="00AD135A"/>
    <w:rsid w:val="00AD56C8"/>
    <w:rsid w:val="00AD58F2"/>
    <w:rsid w:val="00AF5538"/>
    <w:rsid w:val="00B01130"/>
    <w:rsid w:val="00B017FB"/>
    <w:rsid w:val="00B01E86"/>
    <w:rsid w:val="00B0512A"/>
    <w:rsid w:val="00B0529F"/>
    <w:rsid w:val="00B13804"/>
    <w:rsid w:val="00B1418B"/>
    <w:rsid w:val="00B161CF"/>
    <w:rsid w:val="00B21195"/>
    <w:rsid w:val="00B24AF7"/>
    <w:rsid w:val="00B24B22"/>
    <w:rsid w:val="00B25310"/>
    <w:rsid w:val="00B32F8F"/>
    <w:rsid w:val="00B3492A"/>
    <w:rsid w:val="00B462BA"/>
    <w:rsid w:val="00B54DE9"/>
    <w:rsid w:val="00B553EC"/>
    <w:rsid w:val="00B55E3F"/>
    <w:rsid w:val="00B63C1E"/>
    <w:rsid w:val="00B64969"/>
    <w:rsid w:val="00B7148C"/>
    <w:rsid w:val="00B7694C"/>
    <w:rsid w:val="00B93DD0"/>
    <w:rsid w:val="00B9677B"/>
    <w:rsid w:val="00B97732"/>
    <w:rsid w:val="00BA2F4A"/>
    <w:rsid w:val="00BA65A8"/>
    <w:rsid w:val="00BA6D19"/>
    <w:rsid w:val="00BA7461"/>
    <w:rsid w:val="00BA7500"/>
    <w:rsid w:val="00BA7DA9"/>
    <w:rsid w:val="00BC102E"/>
    <w:rsid w:val="00BC4215"/>
    <w:rsid w:val="00BC47E0"/>
    <w:rsid w:val="00BD0840"/>
    <w:rsid w:val="00BD1582"/>
    <w:rsid w:val="00BD1A6F"/>
    <w:rsid w:val="00BD205A"/>
    <w:rsid w:val="00BD56AB"/>
    <w:rsid w:val="00BD6037"/>
    <w:rsid w:val="00BE6D3C"/>
    <w:rsid w:val="00BE7852"/>
    <w:rsid w:val="00BF7CEE"/>
    <w:rsid w:val="00BF7D2A"/>
    <w:rsid w:val="00C00169"/>
    <w:rsid w:val="00C03880"/>
    <w:rsid w:val="00C135CF"/>
    <w:rsid w:val="00C25821"/>
    <w:rsid w:val="00C2683F"/>
    <w:rsid w:val="00C27178"/>
    <w:rsid w:val="00C3184D"/>
    <w:rsid w:val="00C320A0"/>
    <w:rsid w:val="00C41CC3"/>
    <w:rsid w:val="00C42FFD"/>
    <w:rsid w:val="00C44D2C"/>
    <w:rsid w:val="00C4714E"/>
    <w:rsid w:val="00C51081"/>
    <w:rsid w:val="00C51CCA"/>
    <w:rsid w:val="00C5454A"/>
    <w:rsid w:val="00C5504F"/>
    <w:rsid w:val="00C57B55"/>
    <w:rsid w:val="00C63376"/>
    <w:rsid w:val="00C74F97"/>
    <w:rsid w:val="00C77404"/>
    <w:rsid w:val="00C804E9"/>
    <w:rsid w:val="00C8276E"/>
    <w:rsid w:val="00C842AC"/>
    <w:rsid w:val="00C96688"/>
    <w:rsid w:val="00CA0723"/>
    <w:rsid w:val="00CB1690"/>
    <w:rsid w:val="00CB2627"/>
    <w:rsid w:val="00CB4C37"/>
    <w:rsid w:val="00CB508A"/>
    <w:rsid w:val="00CC4365"/>
    <w:rsid w:val="00CC6A40"/>
    <w:rsid w:val="00CD11B0"/>
    <w:rsid w:val="00CD3BB4"/>
    <w:rsid w:val="00CE71C2"/>
    <w:rsid w:val="00CE775E"/>
    <w:rsid w:val="00CF34E9"/>
    <w:rsid w:val="00CF42D5"/>
    <w:rsid w:val="00CF4EDA"/>
    <w:rsid w:val="00D021CB"/>
    <w:rsid w:val="00D10F1A"/>
    <w:rsid w:val="00D116F8"/>
    <w:rsid w:val="00D14D76"/>
    <w:rsid w:val="00D17596"/>
    <w:rsid w:val="00D21D54"/>
    <w:rsid w:val="00D22640"/>
    <w:rsid w:val="00D26D3A"/>
    <w:rsid w:val="00D45EE3"/>
    <w:rsid w:val="00D50618"/>
    <w:rsid w:val="00D509E9"/>
    <w:rsid w:val="00D51AAB"/>
    <w:rsid w:val="00D53B1C"/>
    <w:rsid w:val="00D61DA2"/>
    <w:rsid w:val="00D86013"/>
    <w:rsid w:val="00D96866"/>
    <w:rsid w:val="00DA1B12"/>
    <w:rsid w:val="00DA1CED"/>
    <w:rsid w:val="00DA54C9"/>
    <w:rsid w:val="00DA6739"/>
    <w:rsid w:val="00DA6CAE"/>
    <w:rsid w:val="00DB1A9E"/>
    <w:rsid w:val="00DB2056"/>
    <w:rsid w:val="00DB2443"/>
    <w:rsid w:val="00DB31D6"/>
    <w:rsid w:val="00DB4005"/>
    <w:rsid w:val="00DC34EB"/>
    <w:rsid w:val="00DC5D35"/>
    <w:rsid w:val="00DD3FD4"/>
    <w:rsid w:val="00DD7132"/>
    <w:rsid w:val="00DF1E5B"/>
    <w:rsid w:val="00DF2275"/>
    <w:rsid w:val="00DF3F5E"/>
    <w:rsid w:val="00DF5653"/>
    <w:rsid w:val="00E05934"/>
    <w:rsid w:val="00E0596E"/>
    <w:rsid w:val="00E06F66"/>
    <w:rsid w:val="00E16E7E"/>
    <w:rsid w:val="00E356E5"/>
    <w:rsid w:val="00E36F81"/>
    <w:rsid w:val="00E4461C"/>
    <w:rsid w:val="00E45765"/>
    <w:rsid w:val="00E5098C"/>
    <w:rsid w:val="00E60213"/>
    <w:rsid w:val="00E640A0"/>
    <w:rsid w:val="00E65D16"/>
    <w:rsid w:val="00E661B2"/>
    <w:rsid w:val="00E74D29"/>
    <w:rsid w:val="00E7775D"/>
    <w:rsid w:val="00E81C37"/>
    <w:rsid w:val="00E83C74"/>
    <w:rsid w:val="00E83CEE"/>
    <w:rsid w:val="00E85883"/>
    <w:rsid w:val="00E91F18"/>
    <w:rsid w:val="00E9226D"/>
    <w:rsid w:val="00EA416C"/>
    <w:rsid w:val="00EA5941"/>
    <w:rsid w:val="00EB3B13"/>
    <w:rsid w:val="00EB491E"/>
    <w:rsid w:val="00EB4B05"/>
    <w:rsid w:val="00EB60CE"/>
    <w:rsid w:val="00EB7D53"/>
    <w:rsid w:val="00EC4E79"/>
    <w:rsid w:val="00EE3146"/>
    <w:rsid w:val="00EF50BB"/>
    <w:rsid w:val="00EF53FF"/>
    <w:rsid w:val="00F00192"/>
    <w:rsid w:val="00F00430"/>
    <w:rsid w:val="00F01DF6"/>
    <w:rsid w:val="00F0340D"/>
    <w:rsid w:val="00F052AC"/>
    <w:rsid w:val="00F059A6"/>
    <w:rsid w:val="00F1744F"/>
    <w:rsid w:val="00F21A5E"/>
    <w:rsid w:val="00F23756"/>
    <w:rsid w:val="00F2523A"/>
    <w:rsid w:val="00F255FD"/>
    <w:rsid w:val="00F25FFA"/>
    <w:rsid w:val="00F310D2"/>
    <w:rsid w:val="00F36F3D"/>
    <w:rsid w:val="00F477BD"/>
    <w:rsid w:val="00F53491"/>
    <w:rsid w:val="00F648A3"/>
    <w:rsid w:val="00F649AE"/>
    <w:rsid w:val="00F65A1C"/>
    <w:rsid w:val="00F66F50"/>
    <w:rsid w:val="00F82FF8"/>
    <w:rsid w:val="00F8330D"/>
    <w:rsid w:val="00F84305"/>
    <w:rsid w:val="00F8485C"/>
    <w:rsid w:val="00F87149"/>
    <w:rsid w:val="00F87FFE"/>
    <w:rsid w:val="00F954C9"/>
    <w:rsid w:val="00FA29CF"/>
    <w:rsid w:val="00FA4CF0"/>
    <w:rsid w:val="00FA61AA"/>
    <w:rsid w:val="00FA69A4"/>
    <w:rsid w:val="00FB1279"/>
    <w:rsid w:val="00FB1495"/>
    <w:rsid w:val="00FC14FB"/>
    <w:rsid w:val="00FC780C"/>
    <w:rsid w:val="00FD1694"/>
    <w:rsid w:val="00FD5040"/>
    <w:rsid w:val="00FD7636"/>
    <w:rsid w:val="00FE3229"/>
    <w:rsid w:val="00FE33DB"/>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0C0DFD"/>
  <w15:chartTrackingRefBased/>
  <w15:docId w15:val="{4CFA6B31-A61F-4BEE-9BF9-93F8A737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BB4"/>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ind w:left="0" w:firstLine="0"/>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link w:val="ListParagraphChar"/>
    <w:uiPriority w:val="34"/>
    <w:qFormat/>
    <w:rsid w:val="003556BD"/>
    <w:pPr>
      <w:ind w:left="369" w:hanging="369"/>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table" w:styleId="GridTable1Light-Accent1">
    <w:name w:val="Grid Table 1 Light Accent 1"/>
    <w:basedOn w:val="TableNormal"/>
    <w:uiPriority w:val="46"/>
    <w:rsid w:val="0097040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77404"/>
    <w:pPr>
      <w:spacing w:before="100" w:beforeAutospacing="1" w:after="100" w:afterAutospacing="1"/>
    </w:pPr>
    <w:rPr>
      <w:lang w:eastAsia="en-AU"/>
    </w:rPr>
  </w:style>
  <w:style w:type="character" w:styleId="Emphasis">
    <w:name w:val="Emphasis"/>
    <w:basedOn w:val="DefaultParagraphFont"/>
    <w:uiPriority w:val="20"/>
    <w:qFormat/>
    <w:rsid w:val="00C77404"/>
    <w:rPr>
      <w:i/>
      <w:iCs/>
    </w:rPr>
  </w:style>
  <w:style w:type="character" w:styleId="CommentReference">
    <w:name w:val="annotation reference"/>
    <w:basedOn w:val="DefaultParagraphFont"/>
    <w:uiPriority w:val="99"/>
    <w:semiHidden/>
    <w:unhideWhenUsed/>
    <w:rsid w:val="00BD205A"/>
    <w:rPr>
      <w:sz w:val="16"/>
      <w:szCs w:val="16"/>
    </w:rPr>
  </w:style>
  <w:style w:type="paragraph" w:styleId="CommentText">
    <w:name w:val="annotation text"/>
    <w:basedOn w:val="Normal"/>
    <w:link w:val="CommentTextChar"/>
    <w:uiPriority w:val="99"/>
    <w:semiHidden/>
    <w:unhideWhenUsed/>
    <w:rsid w:val="00BD205A"/>
    <w:pPr>
      <w:spacing w:after="200"/>
    </w:pPr>
    <w:rPr>
      <w:rFonts w:ascii="Arial" w:eastAsia="Calibri" w:hAnsi="Arial"/>
      <w:sz w:val="20"/>
      <w:szCs w:val="20"/>
    </w:rPr>
  </w:style>
  <w:style w:type="character" w:customStyle="1" w:styleId="CommentTextChar">
    <w:name w:val="Comment Text Char"/>
    <w:basedOn w:val="DefaultParagraphFont"/>
    <w:link w:val="CommentText"/>
    <w:uiPriority w:val="99"/>
    <w:semiHidden/>
    <w:rsid w:val="00BD205A"/>
    <w:rPr>
      <w:lang w:eastAsia="en-US"/>
    </w:rPr>
  </w:style>
  <w:style w:type="character" w:styleId="Hyperlink">
    <w:name w:val="Hyperlink"/>
    <w:basedOn w:val="DefaultParagraphFont"/>
    <w:uiPriority w:val="99"/>
    <w:unhideWhenUsed/>
    <w:rsid w:val="002E5046"/>
    <w:rPr>
      <w:color w:val="0000FF"/>
      <w:u w:val="single"/>
    </w:rPr>
  </w:style>
  <w:style w:type="paragraph" w:styleId="CommentSubject">
    <w:name w:val="annotation subject"/>
    <w:basedOn w:val="CommentText"/>
    <w:next w:val="CommentText"/>
    <w:link w:val="CommentSubjectChar"/>
    <w:uiPriority w:val="99"/>
    <w:semiHidden/>
    <w:unhideWhenUsed/>
    <w:rsid w:val="006703EC"/>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6703EC"/>
    <w:rPr>
      <w:rFonts w:ascii="Times New Roman" w:eastAsia="Times New Roman" w:hAnsi="Times New Roman"/>
      <w:b/>
      <w:bCs/>
      <w:lang w:eastAsia="en-US"/>
    </w:rPr>
  </w:style>
  <w:style w:type="paragraph" w:styleId="Revision">
    <w:name w:val="Revision"/>
    <w:hidden/>
    <w:uiPriority w:val="99"/>
    <w:semiHidden/>
    <w:rsid w:val="006703EC"/>
    <w:rPr>
      <w:rFonts w:ascii="Times New Roman" w:eastAsia="Times New Roman" w:hAnsi="Times New Roman"/>
      <w:sz w:val="24"/>
      <w:szCs w:val="24"/>
      <w:lang w:eastAsia="en-US"/>
    </w:rPr>
  </w:style>
  <w:style w:type="character" w:customStyle="1" w:styleId="ListParagraphChar">
    <w:name w:val="List Paragraph Char"/>
    <w:link w:val="ListParagraph"/>
    <w:uiPriority w:val="34"/>
    <w:locked/>
    <w:rsid w:val="00F1744F"/>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97899">
      <w:bodyDiv w:val="1"/>
      <w:marLeft w:val="0"/>
      <w:marRight w:val="0"/>
      <w:marTop w:val="0"/>
      <w:marBottom w:val="0"/>
      <w:divBdr>
        <w:top w:val="none" w:sz="0" w:space="0" w:color="auto"/>
        <w:left w:val="none" w:sz="0" w:space="0" w:color="auto"/>
        <w:bottom w:val="none" w:sz="0" w:space="0" w:color="auto"/>
        <w:right w:val="none" w:sz="0" w:space="0" w:color="auto"/>
      </w:divBdr>
    </w:div>
    <w:div w:id="100684478">
      <w:bodyDiv w:val="1"/>
      <w:marLeft w:val="0"/>
      <w:marRight w:val="0"/>
      <w:marTop w:val="0"/>
      <w:marBottom w:val="0"/>
      <w:divBdr>
        <w:top w:val="none" w:sz="0" w:space="0" w:color="auto"/>
        <w:left w:val="none" w:sz="0" w:space="0" w:color="auto"/>
        <w:bottom w:val="none" w:sz="0" w:space="0" w:color="auto"/>
        <w:right w:val="none" w:sz="0" w:space="0" w:color="auto"/>
      </w:divBdr>
    </w:div>
    <w:div w:id="309797939">
      <w:bodyDiv w:val="1"/>
      <w:marLeft w:val="0"/>
      <w:marRight w:val="0"/>
      <w:marTop w:val="0"/>
      <w:marBottom w:val="0"/>
      <w:divBdr>
        <w:top w:val="none" w:sz="0" w:space="0" w:color="auto"/>
        <w:left w:val="none" w:sz="0" w:space="0" w:color="auto"/>
        <w:bottom w:val="none" w:sz="0" w:space="0" w:color="auto"/>
        <w:right w:val="none" w:sz="0" w:space="0" w:color="auto"/>
      </w:divBdr>
    </w:div>
    <w:div w:id="535967894">
      <w:bodyDiv w:val="1"/>
      <w:marLeft w:val="0"/>
      <w:marRight w:val="0"/>
      <w:marTop w:val="0"/>
      <w:marBottom w:val="0"/>
      <w:divBdr>
        <w:top w:val="none" w:sz="0" w:space="0" w:color="auto"/>
        <w:left w:val="none" w:sz="0" w:space="0" w:color="auto"/>
        <w:bottom w:val="none" w:sz="0" w:space="0" w:color="auto"/>
        <w:right w:val="none" w:sz="0" w:space="0" w:color="auto"/>
      </w:divBdr>
    </w:div>
    <w:div w:id="661659290">
      <w:bodyDiv w:val="1"/>
      <w:marLeft w:val="0"/>
      <w:marRight w:val="0"/>
      <w:marTop w:val="0"/>
      <w:marBottom w:val="0"/>
      <w:divBdr>
        <w:top w:val="none" w:sz="0" w:space="0" w:color="auto"/>
        <w:left w:val="none" w:sz="0" w:space="0" w:color="auto"/>
        <w:bottom w:val="none" w:sz="0" w:space="0" w:color="auto"/>
        <w:right w:val="none" w:sz="0" w:space="0" w:color="auto"/>
      </w:divBdr>
    </w:div>
    <w:div w:id="990327460">
      <w:bodyDiv w:val="1"/>
      <w:marLeft w:val="0"/>
      <w:marRight w:val="0"/>
      <w:marTop w:val="0"/>
      <w:marBottom w:val="0"/>
      <w:divBdr>
        <w:top w:val="none" w:sz="0" w:space="0" w:color="auto"/>
        <w:left w:val="none" w:sz="0" w:space="0" w:color="auto"/>
        <w:bottom w:val="none" w:sz="0" w:space="0" w:color="auto"/>
        <w:right w:val="none" w:sz="0" w:space="0" w:color="auto"/>
      </w:divBdr>
      <w:divsChild>
        <w:div w:id="1288774196">
          <w:marLeft w:val="0"/>
          <w:marRight w:val="0"/>
          <w:marTop w:val="0"/>
          <w:marBottom w:val="0"/>
          <w:divBdr>
            <w:top w:val="none" w:sz="0" w:space="0" w:color="auto"/>
            <w:left w:val="none" w:sz="0" w:space="0" w:color="auto"/>
            <w:bottom w:val="none" w:sz="0" w:space="0" w:color="auto"/>
            <w:right w:val="none" w:sz="0" w:space="0" w:color="auto"/>
          </w:divBdr>
          <w:divsChild>
            <w:div w:id="451746630">
              <w:marLeft w:val="0"/>
              <w:marRight w:val="0"/>
              <w:marTop w:val="0"/>
              <w:marBottom w:val="0"/>
              <w:divBdr>
                <w:top w:val="none" w:sz="0" w:space="0" w:color="auto"/>
                <w:left w:val="none" w:sz="0" w:space="0" w:color="auto"/>
                <w:bottom w:val="none" w:sz="0" w:space="0" w:color="auto"/>
                <w:right w:val="none" w:sz="0" w:space="0" w:color="auto"/>
              </w:divBdr>
              <w:divsChild>
                <w:div w:id="1794980138">
                  <w:marLeft w:val="0"/>
                  <w:marRight w:val="0"/>
                  <w:marTop w:val="0"/>
                  <w:marBottom w:val="0"/>
                  <w:divBdr>
                    <w:top w:val="none" w:sz="0" w:space="0" w:color="auto"/>
                    <w:left w:val="none" w:sz="0" w:space="0" w:color="auto"/>
                    <w:bottom w:val="none" w:sz="0" w:space="0" w:color="auto"/>
                    <w:right w:val="none" w:sz="0" w:space="0" w:color="auto"/>
                  </w:divBdr>
                  <w:divsChild>
                    <w:div w:id="196355164">
                      <w:marLeft w:val="0"/>
                      <w:marRight w:val="0"/>
                      <w:marTop w:val="0"/>
                      <w:marBottom w:val="0"/>
                      <w:divBdr>
                        <w:top w:val="none" w:sz="0" w:space="0" w:color="auto"/>
                        <w:left w:val="none" w:sz="0" w:space="0" w:color="auto"/>
                        <w:bottom w:val="none" w:sz="0" w:space="0" w:color="auto"/>
                        <w:right w:val="none" w:sz="0" w:space="0" w:color="auto"/>
                      </w:divBdr>
                      <w:divsChild>
                        <w:div w:id="1373579040">
                          <w:marLeft w:val="0"/>
                          <w:marRight w:val="0"/>
                          <w:marTop w:val="0"/>
                          <w:marBottom w:val="0"/>
                          <w:divBdr>
                            <w:top w:val="none" w:sz="0" w:space="0" w:color="auto"/>
                            <w:left w:val="none" w:sz="0" w:space="0" w:color="auto"/>
                            <w:bottom w:val="none" w:sz="0" w:space="0" w:color="auto"/>
                            <w:right w:val="none" w:sz="0" w:space="0" w:color="auto"/>
                          </w:divBdr>
                          <w:divsChild>
                            <w:div w:id="1388646490">
                              <w:marLeft w:val="0"/>
                              <w:marRight w:val="0"/>
                              <w:marTop w:val="0"/>
                              <w:marBottom w:val="0"/>
                              <w:divBdr>
                                <w:top w:val="none" w:sz="0" w:space="0" w:color="auto"/>
                                <w:left w:val="none" w:sz="0" w:space="0" w:color="auto"/>
                                <w:bottom w:val="none" w:sz="0" w:space="0" w:color="auto"/>
                                <w:right w:val="none" w:sz="0" w:space="0" w:color="auto"/>
                              </w:divBdr>
                              <w:divsChild>
                                <w:div w:id="195895180">
                                  <w:marLeft w:val="0"/>
                                  <w:marRight w:val="0"/>
                                  <w:marTop w:val="0"/>
                                  <w:marBottom w:val="0"/>
                                  <w:divBdr>
                                    <w:top w:val="none" w:sz="0" w:space="0" w:color="auto"/>
                                    <w:left w:val="none" w:sz="0" w:space="0" w:color="auto"/>
                                    <w:bottom w:val="none" w:sz="0" w:space="0" w:color="auto"/>
                                    <w:right w:val="none" w:sz="0" w:space="0" w:color="auto"/>
                                  </w:divBdr>
                                  <w:divsChild>
                                    <w:div w:id="12079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673286">
      <w:bodyDiv w:val="1"/>
      <w:marLeft w:val="0"/>
      <w:marRight w:val="0"/>
      <w:marTop w:val="0"/>
      <w:marBottom w:val="0"/>
      <w:divBdr>
        <w:top w:val="none" w:sz="0" w:space="0" w:color="auto"/>
        <w:left w:val="none" w:sz="0" w:space="0" w:color="auto"/>
        <w:bottom w:val="none" w:sz="0" w:space="0" w:color="auto"/>
        <w:right w:val="none" w:sz="0" w:space="0" w:color="auto"/>
      </w:divBdr>
    </w:div>
    <w:div w:id="1575623489">
      <w:bodyDiv w:val="1"/>
      <w:marLeft w:val="0"/>
      <w:marRight w:val="0"/>
      <w:marTop w:val="0"/>
      <w:marBottom w:val="0"/>
      <w:divBdr>
        <w:top w:val="none" w:sz="0" w:space="0" w:color="auto"/>
        <w:left w:val="none" w:sz="0" w:space="0" w:color="auto"/>
        <w:bottom w:val="none" w:sz="0" w:space="0" w:color="auto"/>
        <w:right w:val="none" w:sz="0" w:space="0" w:color="auto"/>
      </w:divBdr>
    </w:div>
    <w:div w:id="1700085004">
      <w:bodyDiv w:val="1"/>
      <w:marLeft w:val="0"/>
      <w:marRight w:val="0"/>
      <w:marTop w:val="0"/>
      <w:marBottom w:val="0"/>
      <w:divBdr>
        <w:top w:val="none" w:sz="0" w:space="0" w:color="auto"/>
        <w:left w:val="none" w:sz="0" w:space="0" w:color="auto"/>
        <w:bottom w:val="none" w:sz="0" w:space="0" w:color="auto"/>
        <w:right w:val="none" w:sz="0" w:space="0" w:color="auto"/>
      </w:divBdr>
    </w:div>
    <w:div w:id="1731347813">
      <w:bodyDiv w:val="1"/>
      <w:marLeft w:val="0"/>
      <w:marRight w:val="0"/>
      <w:marTop w:val="0"/>
      <w:marBottom w:val="0"/>
      <w:divBdr>
        <w:top w:val="none" w:sz="0" w:space="0" w:color="auto"/>
        <w:left w:val="none" w:sz="0" w:space="0" w:color="auto"/>
        <w:bottom w:val="none" w:sz="0" w:space="0" w:color="auto"/>
        <w:right w:val="none" w:sz="0" w:space="0" w:color="auto"/>
      </w:divBdr>
    </w:div>
    <w:div w:id="210063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C1C0093C.dotm</Template>
  <TotalTime>0</TotalTime>
  <Pages>11</Pages>
  <Words>3296</Words>
  <Characters>18792</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the Environment and Energy: Report on the inquiry into the management and use of Commonwealth environmental water</dc:title>
  <dc:subject/>
  <dc:creator>Australian Government</dc:creator>
  <cp:keywords/>
  <dc:description/>
  <cp:lastModifiedBy>Durack, Bec</cp:lastModifiedBy>
  <cp:revision>2</cp:revision>
  <dcterms:created xsi:type="dcterms:W3CDTF">2020-02-10T02:17:00Z</dcterms:created>
  <dcterms:modified xsi:type="dcterms:W3CDTF">2020-02-10T02:17:00Z</dcterms:modified>
</cp:coreProperties>
</file>