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E305" w14:textId="19E65B81"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6B1A3F2F" w14:textId="73B73302" w:rsidR="00A211B5" w:rsidRDefault="0036731C" w:rsidP="00A35D03">
      <w:pPr>
        <w:spacing w:before="120"/>
      </w:pPr>
      <w:r>
        <w:t xml:space="preserve">This table details the payment </w:t>
      </w:r>
      <w:r w:rsidR="006F4757">
        <w:t>I</w:t>
      </w:r>
      <w:r>
        <w:t xml:space="preserve">nformation for the </w:t>
      </w:r>
      <w:r w:rsidR="61CFF1D2">
        <w:t>Monitoring, Evaluation and Learning support</w:t>
      </w:r>
      <w:bookmarkStart w:id="0" w:name="_Hlk133922275"/>
      <w:r>
        <w:t xml:space="preserve"> </w:t>
      </w:r>
      <w:bookmarkEnd w:id="0"/>
      <w:r>
        <w:t xml:space="preserve">as required under </w:t>
      </w:r>
      <w:r w:rsidR="00407F97">
        <w:t>S</w:t>
      </w:r>
      <w:r>
        <w:t xml:space="preserve">ection 27A of the </w:t>
      </w:r>
      <w:r w:rsidRPr="18BAE644">
        <w:rPr>
          <w:rStyle w:val="Emphasis"/>
        </w:rPr>
        <w:t>Future</w:t>
      </w:r>
      <w:r w:rsidR="00101422" w:rsidRPr="18BAE644">
        <w:rPr>
          <w:rStyle w:val="Emphasis"/>
        </w:rPr>
        <w:t> </w:t>
      </w:r>
      <w:r w:rsidRPr="18BAE644">
        <w:rPr>
          <w:rStyle w:val="Emphasis"/>
        </w:rPr>
        <w:t>Drought Fund Act 2019</w:t>
      </w:r>
      <w:r w:rsidR="00C73D05">
        <w:t>.</w:t>
      </w:r>
    </w:p>
    <w:p w14:paraId="68F6DE64" w14:textId="77777777" w:rsidR="00BC1FDA" w:rsidRDefault="00DB6BC0" w:rsidP="00A35D03">
      <w:pPr>
        <w:spacing w:before="120"/>
      </w:pPr>
      <w:r>
        <w:t>All payments in this table are GST exclusiv</w:t>
      </w:r>
      <w:r w:rsidR="00577949">
        <w:t>e</w:t>
      </w:r>
      <w:r w:rsidR="00CD21B4">
        <w:t>.</w:t>
      </w:r>
    </w:p>
    <w:p w14:paraId="61BE86F5" w14:textId="2667D218" w:rsidR="00656160" w:rsidRDefault="009010F9" w:rsidP="009010F9">
      <w:pPr>
        <w:pStyle w:val="Caption"/>
      </w:pPr>
      <w:r>
        <w:t xml:space="preserve">Table </w:t>
      </w:r>
      <w:r>
        <w:fldChar w:fldCharType="begin"/>
      </w:r>
      <w:r>
        <w:instrText xml:space="preserve"> SEQ Table \* ARABIC </w:instrText>
      </w:r>
      <w:r>
        <w:fldChar w:fldCharType="separate"/>
      </w:r>
      <w:r w:rsidR="00EC400D">
        <w:rPr>
          <w:noProof/>
        </w:rPr>
        <w:t>1</w:t>
      </w:r>
      <w:r>
        <w:fldChar w:fldCharType="end"/>
      </w:r>
      <w:r w:rsidR="003A195C">
        <w:t xml:space="preserve"> </w:t>
      </w:r>
      <w:r w:rsidR="21A10B74">
        <w:t>Monitoring, Evaluation and Learning support</w:t>
      </w:r>
    </w:p>
    <w:tbl>
      <w:tblPr>
        <w:tblStyle w:val="TableGrid"/>
        <w:tblW w:w="13992" w:type="dxa"/>
        <w:tblLook w:val="04A0" w:firstRow="1" w:lastRow="0" w:firstColumn="1" w:lastColumn="0" w:noHBand="0" w:noVBand="1"/>
      </w:tblPr>
      <w:tblGrid>
        <w:gridCol w:w="2001"/>
        <w:gridCol w:w="1536"/>
        <w:gridCol w:w="1676"/>
        <w:gridCol w:w="2435"/>
        <w:gridCol w:w="1410"/>
        <w:gridCol w:w="2055"/>
        <w:gridCol w:w="1515"/>
        <w:gridCol w:w="1364"/>
      </w:tblGrid>
      <w:tr w:rsidR="00F21CD2" w14:paraId="3D34E247" w14:textId="77777777" w:rsidTr="185D364C">
        <w:trPr>
          <w:cantSplit/>
          <w:trHeight w:val="300"/>
          <w:tblHeader/>
        </w:trPr>
        <w:tc>
          <w:tcPr>
            <w:tcW w:w="2001" w:type="dxa"/>
          </w:tcPr>
          <w:p w14:paraId="654C3CAB" w14:textId="77777777" w:rsidR="00F21CD2" w:rsidRPr="00CB0F02" w:rsidDel="000310E2" w:rsidRDefault="00F21CD2" w:rsidP="00EF0676">
            <w:pPr>
              <w:pStyle w:val="TableHeading"/>
            </w:pPr>
            <w:bookmarkStart w:id="1" w:name="Title_1"/>
            <w:bookmarkEnd w:id="1"/>
            <w:r w:rsidRPr="00CB0F02">
              <w:t>Organisation</w:t>
            </w:r>
          </w:p>
        </w:tc>
        <w:tc>
          <w:tcPr>
            <w:tcW w:w="1536" w:type="dxa"/>
          </w:tcPr>
          <w:p w14:paraId="38C059E4" w14:textId="77777777" w:rsidR="00F21CD2" w:rsidRPr="00CB0F02" w:rsidDel="000310E2" w:rsidRDefault="00F21CD2" w:rsidP="00EF0676">
            <w:pPr>
              <w:pStyle w:val="TableHeading"/>
            </w:pPr>
            <w:r w:rsidRPr="00CB0F02">
              <w:t>Region</w:t>
            </w:r>
          </w:p>
        </w:tc>
        <w:tc>
          <w:tcPr>
            <w:tcW w:w="1676" w:type="dxa"/>
          </w:tcPr>
          <w:p w14:paraId="46455DA3" w14:textId="77777777" w:rsidR="00F21CD2" w:rsidRPr="00CB0F02" w:rsidDel="000310E2" w:rsidRDefault="00F21CD2" w:rsidP="00EF0676">
            <w:pPr>
              <w:pStyle w:val="TableHeading"/>
            </w:pPr>
            <w:r w:rsidRPr="00CB0F02">
              <w:t>Legislative purpose</w:t>
            </w:r>
          </w:p>
        </w:tc>
        <w:tc>
          <w:tcPr>
            <w:tcW w:w="2435" w:type="dxa"/>
          </w:tcPr>
          <w:p w14:paraId="6E261FF0" w14:textId="77777777" w:rsidR="00F21CD2" w:rsidRPr="00CB0F02" w:rsidDel="000310E2" w:rsidRDefault="00F21CD2" w:rsidP="00EF0676">
            <w:pPr>
              <w:pStyle w:val="TableHeading"/>
            </w:pPr>
            <w:r w:rsidRPr="00CB0F02">
              <w:t>Program description</w:t>
            </w:r>
          </w:p>
        </w:tc>
        <w:tc>
          <w:tcPr>
            <w:tcW w:w="1410" w:type="dxa"/>
          </w:tcPr>
          <w:p w14:paraId="47A41F57" w14:textId="77777777" w:rsidR="00F21CD2" w:rsidRPr="00CB0F02" w:rsidDel="000310E2" w:rsidRDefault="00F21CD2" w:rsidP="00EF0676">
            <w:pPr>
              <w:pStyle w:val="TableHeading"/>
            </w:pPr>
            <w:r w:rsidRPr="00CB0F02">
              <w:t>Total amount payable</w:t>
            </w:r>
          </w:p>
        </w:tc>
        <w:tc>
          <w:tcPr>
            <w:tcW w:w="2055" w:type="dxa"/>
          </w:tcPr>
          <w:p w14:paraId="7E532ED5" w14:textId="761F352F" w:rsidR="00F21CD2" w:rsidRPr="00CB0F02" w:rsidDel="000310E2" w:rsidRDefault="00F21CD2" w:rsidP="00EF0676">
            <w:pPr>
              <w:pStyle w:val="TableHeading"/>
            </w:pPr>
            <w:r>
              <w:t xml:space="preserve">Total amount paid as </w:t>
            </w:r>
            <w:proofErr w:type="gramStart"/>
            <w:r>
              <w:t>at</w:t>
            </w:r>
            <w:proofErr w:type="gramEnd"/>
            <w:r w:rsidR="54970EFD">
              <w:t xml:space="preserve"> </w:t>
            </w:r>
            <w:r w:rsidR="296B95F6">
              <w:t>29 November</w:t>
            </w:r>
            <w:r w:rsidR="0D8E4D76">
              <w:t xml:space="preserve"> </w:t>
            </w:r>
            <w:r w:rsidR="28CAF4B5">
              <w:t>2024</w:t>
            </w:r>
          </w:p>
        </w:tc>
        <w:tc>
          <w:tcPr>
            <w:tcW w:w="1515" w:type="dxa"/>
          </w:tcPr>
          <w:p w14:paraId="5838A69A" w14:textId="77777777" w:rsidR="00F21CD2" w:rsidRPr="00CB0F02" w:rsidRDefault="00F21CD2" w:rsidP="00EF0676">
            <w:pPr>
              <w:pStyle w:val="TableHeading"/>
            </w:pPr>
            <w:r w:rsidRPr="00CB0F02">
              <w:t>Payment date</w:t>
            </w:r>
          </w:p>
        </w:tc>
        <w:tc>
          <w:tcPr>
            <w:tcW w:w="1364" w:type="dxa"/>
          </w:tcPr>
          <w:p w14:paraId="105C3A4A" w14:textId="77777777" w:rsidR="00F21CD2" w:rsidRPr="00CB0F02" w:rsidRDefault="00F21CD2" w:rsidP="00EF0676">
            <w:pPr>
              <w:pStyle w:val="TableHeading"/>
            </w:pPr>
            <w:r w:rsidRPr="00CB0F02">
              <w:t>Payment amount</w:t>
            </w:r>
          </w:p>
        </w:tc>
      </w:tr>
      <w:tr w:rsidR="00F21CD2" w14:paraId="3D8CA728" w14:textId="77777777" w:rsidTr="185D364C">
        <w:trPr>
          <w:trHeight w:val="340"/>
        </w:trPr>
        <w:tc>
          <w:tcPr>
            <w:tcW w:w="2001" w:type="dxa"/>
            <w:vMerge w:val="restart"/>
          </w:tcPr>
          <w:p w14:paraId="6EAAB484" w14:textId="25F2353E" w:rsidR="18BAE644" w:rsidRDefault="18BAE644" w:rsidP="18BAE644">
            <w:pPr>
              <w:pStyle w:val="TableText"/>
              <w:rPr>
                <w:rFonts w:eastAsiaTheme="minorEastAsia"/>
                <w:szCs w:val="18"/>
              </w:rPr>
            </w:pPr>
            <w:r w:rsidRPr="18BAE644">
              <w:rPr>
                <w:rFonts w:eastAsiaTheme="minorEastAsia"/>
                <w:szCs w:val="18"/>
              </w:rPr>
              <w:t>Clear Horizon Consulting Pty Ltd</w:t>
            </w:r>
          </w:p>
        </w:tc>
        <w:tc>
          <w:tcPr>
            <w:tcW w:w="1536" w:type="dxa"/>
            <w:vMerge w:val="restart"/>
          </w:tcPr>
          <w:p w14:paraId="27642A79" w14:textId="68BE48FB" w:rsidR="00F21CD2" w:rsidRPr="00A62A84" w:rsidRDefault="7F1C2E6D" w:rsidP="18BAE644">
            <w:pPr>
              <w:pStyle w:val="TableText"/>
              <w:rPr>
                <w:rFonts w:eastAsiaTheme="minorEastAsia"/>
                <w:szCs w:val="18"/>
              </w:rPr>
            </w:pPr>
            <w:r w:rsidRPr="18BAE644">
              <w:rPr>
                <w:rFonts w:eastAsiaTheme="minorEastAsia"/>
                <w:szCs w:val="18"/>
              </w:rPr>
              <w:t>Victoria</w:t>
            </w:r>
          </w:p>
        </w:tc>
        <w:tc>
          <w:tcPr>
            <w:tcW w:w="1676" w:type="dxa"/>
            <w:vMerge w:val="restart"/>
          </w:tcPr>
          <w:p w14:paraId="48BE296A" w14:textId="77777777" w:rsidR="00F21CD2" w:rsidRPr="00A62A84" w:rsidRDefault="00F21CD2" w:rsidP="18BAE644">
            <w:pPr>
              <w:pStyle w:val="TableText"/>
            </w:pPr>
            <w:r w:rsidRPr="18BAE644">
              <w:rPr>
                <w:rFonts w:eastAsiaTheme="minorEastAsia"/>
                <w:szCs w:val="18"/>
              </w:rPr>
              <w:t xml:space="preserve">s21(1)(c) – Carrying out a project that is directed towards achieving drought </w:t>
            </w:r>
            <w:r w:rsidR="00A62A84" w:rsidRPr="18BAE644">
              <w:rPr>
                <w:rFonts w:eastAsiaTheme="minorEastAsia"/>
                <w:szCs w:val="18"/>
              </w:rPr>
              <w:t>resilience</w:t>
            </w:r>
          </w:p>
        </w:tc>
        <w:tc>
          <w:tcPr>
            <w:tcW w:w="2435" w:type="dxa"/>
            <w:vMerge w:val="restart"/>
          </w:tcPr>
          <w:p w14:paraId="4247AFF5" w14:textId="40F576AA" w:rsidR="00F21CD2" w:rsidRPr="00A62A84" w:rsidRDefault="3B4D0835" w:rsidP="18BAE644">
            <w:pPr>
              <w:pStyle w:val="TableText"/>
            </w:pPr>
            <w:r w:rsidRPr="18BAE644">
              <w:rPr>
                <w:rFonts w:eastAsiaTheme="minorEastAsia"/>
                <w:szCs w:val="18"/>
              </w:rPr>
              <w:t>The proposed arrangement with Clear Horizon will clarify program achievements, enhance outcome measurement at both program and FDF levels, and uplift MEL capabilities among FDF program staff and delivery partners</w:t>
            </w:r>
          </w:p>
        </w:tc>
        <w:tc>
          <w:tcPr>
            <w:tcW w:w="1410" w:type="dxa"/>
            <w:vMerge w:val="restart"/>
          </w:tcPr>
          <w:p w14:paraId="53362BC9" w14:textId="21B90B48" w:rsidR="00F21CD2" w:rsidRPr="00A62A84" w:rsidRDefault="11ABC34C" w:rsidP="18BAE644">
            <w:pPr>
              <w:pStyle w:val="TableText"/>
              <w:jc w:val="right"/>
              <w:rPr>
                <w:color w:val="FF0000"/>
              </w:rPr>
            </w:pPr>
            <w:r w:rsidRPr="18BAE644">
              <w:rPr>
                <w:rFonts w:eastAsiaTheme="minorEastAsia"/>
                <w:szCs w:val="18"/>
              </w:rPr>
              <w:t>$537,711.82</w:t>
            </w:r>
          </w:p>
        </w:tc>
        <w:tc>
          <w:tcPr>
            <w:tcW w:w="2055" w:type="dxa"/>
            <w:vMerge w:val="restart"/>
          </w:tcPr>
          <w:p w14:paraId="603A996E" w14:textId="26483D5E" w:rsidR="00F21CD2" w:rsidRPr="00A62A84" w:rsidRDefault="28AD683A" w:rsidP="284C4D36">
            <w:pPr>
              <w:pStyle w:val="TableText"/>
              <w:jc w:val="right"/>
              <w:rPr>
                <w:rFonts w:eastAsiaTheme="minorEastAsia"/>
              </w:rPr>
            </w:pPr>
            <w:r w:rsidRPr="284C4D36">
              <w:rPr>
                <w:rFonts w:eastAsiaTheme="minorEastAsia"/>
              </w:rPr>
              <w:t>$</w:t>
            </w:r>
            <w:r w:rsidR="066CF5B2" w:rsidRPr="284C4D36">
              <w:rPr>
                <w:rFonts w:eastAsiaTheme="minorEastAsia"/>
              </w:rPr>
              <w:t>268,855.92</w:t>
            </w:r>
          </w:p>
        </w:tc>
        <w:tc>
          <w:tcPr>
            <w:tcW w:w="1515" w:type="dxa"/>
          </w:tcPr>
          <w:p w14:paraId="431D01E1" w14:textId="3C670B34" w:rsidR="00F21CD2" w:rsidRPr="00A62A84" w:rsidRDefault="20600AC3" w:rsidP="18BAE644">
            <w:pPr>
              <w:pStyle w:val="TableText"/>
              <w:jc w:val="right"/>
            </w:pPr>
            <w:r>
              <w:t>3</w:t>
            </w:r>
            <w:r w:rsidR="00804453">
              <w:t>/10</w:t>
            </w:r>
            <w:r w:rsidR="0D729C51">
              <w:t>/2024</w:t>
            </w:r>
          </w:p>
        </w:tc>
        <w:tc>
          <w:tcPr>
            <w:tcW w:w="1364" w:type="dxa"/>
          </w:tcPr>
          <w:p w14:paraId="4ADDE450" w14:textId="31992224" w:rsidR="00F21CD2" w:rsidRPr="00A62A84" w:rsidRDefault="7CAA372B" w:rsidP="18BAE644">
            <w:pPr>
              <w:pStyle w:val="TableText"/>
              <w:jc w:val="right"/>
            </w:pPr>
            <w:r w:rsidRPr="18BAE644">
              <w:t>$89,618.64</w:t>
            </w:r>
          </w:p>
        </w:tc>
      </w:tr>
      <w:tr w:rsidR="00F21CD2" w14:paraId="4BF35CE1" w14:textId="77777777" w:rsidTr="185D364C">
        <w:trPr>
          <w:trHeight w:val="340"/>
        </w:trPr>
        <w:tc>
          <w:tcPr>
            <w:tcW w:w="2001" w:type="dxa"/>
            <w:vMerge/>
          </w:tcPr>
          <w:p w14:paraId="57F5780E" w14:textId="77777777" w:rsidR="00F21CD2" w:rsidRPr="00A62A84" w:rsidRDefault="00F21CD2" w:rsidP="00F21CD2">
            <w:pPr>
              <w:pStyle w:val="TableText"/>
              <w:rPr>
                <w:color w:val="FF0000"/>
              </w:rPr>
            </w:pPr>
          </w:p>
        </w:tc>
        <w:tc>
          <w:tcPr>
            <w:tcW w:w="1536" w:type="dxa"/>
            <w:vMerge/>
          </w:tcPr>
          <w:p w14:paraId="7F0B98B5" w14:textId="77777777" w:rsidR="00F21CD2" w:rsidRPr="00A62A84" w:rsidRDefault="00F21CD2" w:rsidP="00F21CD2">
            <w:pPr>
              <w:pStyle w:val="TableText"/>
              <w:rPr>
                <w:color w:val="FF0000"/>
              </w:rPr>
            </w:pPr>
          </w:p>
        </w:tc>
        <w:tc>
          <w:tcPr>
            <w:tcW w:w="1676" w:type="dxa"/>
            <w:vMerge/>
          </w:tcPr>
          <w:p w14:paraId="7AEE5FF8" w14:textId="77777777" w:rsidR="00F21CD2" w:rsidRPr="00A62A84" w:rsidRDefault="00F21CD2" w:rsidP="00F21CD2">
            <w:pPr>
              <w:pStyle w:val="TableText"/>
              <w:rPr>
                <w:color w:val="FF0000"/>
              </w:rPr>
            </w:pPr>
          </w:p>
        </w:tc>
        <w:tc>
          <w:tcPr>
            <w:tcW w:w="2435" w:type="dxa"/>
            <w:vMerge/>
          </w:tcPr>
          <w:p w14:paraId="25E4B5FD" w14:textId="77777777" w:rsidR="00F21CD2" w:rsidRPr="00A62A84" w:rsidRDefault="00F21CD2" w:rsidP="00F21CD2">
            <w:pPr>
              <w:pStyle w:val="TableText"/>
              <w:rPr>
                <w:color w:val="FF0000"/>
              </w:rPr>
            </w:pPr>
          </w:p>
        </w:tc>
        <w:tc>
          <w:tcPr>
            <w:tcW w:w="1410" w:type="dxa"/>
            <w:vMerge/>
          </w:tcPr>
          <w:p w14:paraId="52267F5B" w14:textId="77777777" w:rsidR="00F21CD2" w:rsidRPr="00A62A84" w:rsidRDefault="00F21CD2" w:rsidP="00F21CD2">
            <w:pPr>
              <w:pStyle w:val="TableText"/>
              <w:jc w:val="right"/>
              <w:rPr>
                <w:color w:val="FF0000"/>
              </w:rPr>
            </w:pPr>
          </w:p>
        </w:tc>
        <w:tc>
          <w:tcPr>
            <w:tcW w:w="2055" w:type="dxa"/>
            <w:vMerge/>
          </w:tcPr>
          <w:p w14:paraId="29F094BC" w14:textId="77777777" w:rsidR="00F21CD2" w:rsidRPr="00A62A84" w:rsidRDefault="00F21CD2" w:rsidP="00F21CD2">
            <w:pPr>
              <w:pStyle w:val="TableText"/>
              <w:jc w:val="right"/>
              <w:rPr>
                <w:color w:val="FF0000"/>
              </w:rPr>
            </w:pPr>
          </w:p>
        </w:tc>
        <w:tc>
          <w:tcPr>
            <w:tcW w:w="1515" w:type="dxa"/>
          </w:tcPr>
          <w:p w14:paraId="0D86BF80" w14:textId="58258B60" w:rsidR="00F21CD2" w:rsidRPr="00A62A84" w:rsidRDefault="165ECDDE" w:rsidP="18BAE644">
            <w:pPr>
              <w:pStyle w:val="TableText"/>
              <w:jc w:val="right"/>
            </w:pPr>
            <w:r>
              <w:t>3</w:t>
            </w:r>
            <w:r w:rsidR="00804453">
              <w:t>/10</w:t>
            </w:r>
            <w:r w:rsidR="0D729C51">
              <w:t>/2024</w:t>
            </w:r>
          </w:p>
        </w:tc>
        <w:tc>
          <w:tcPr>
            <w:tcW w:w="1364" w:type="dxa"/>
          </w:tcPr>
          <w:p w14:paraId="056D44C1" w14:textId="774128A7" w:rsidR="00F21CD2" w:rsidRPr="00A62A84" w:rsidRDefault="41B82FA1" w:rsidP="18BAE644">
            <w:pPr>
              <w:pStyle w:val="TableText"/>
              <w:jc w:val="right"/>
            </w:pPr>
            <w:r w:rsidRPr="18BAE644">
              <w:t>$89,618.64</w:t>
            </w:r>
          </w:p>
        </w:tc>
      </w:tr>
      <w:tr w:rsidR="00E33AE1" w14:paraId="0A64AFBB" w14:textId="77777777" w:rsidTr="185D364C">
        <w:trPr>
          <w:trHeight w:val="340"/>
        </w:trPr>
        <w:tc>
          <w:tcPr>
            <w:tcW w:w="2001" w:type="dxa"/>
            <w:vMerge/>
          </w:tcPr>
          <w:p w14:paraId="523F097D" w14:textId="77777777" w:rsidR="00E33AE1" w:rsidRPr="00A62A84" w:rsidRDefault="00E33AE1" w:rsidP="00E33AE1">
            <w:pPr>
              <w:pStyle w:val="TableText"/>
              <w:rPr>
                <w:color w:val="FF0000"/>
              </w:rPr>
            </w:pPr>
          </w:p>
        </w:tc>
        <w:tc>
          <w:tcPr>
            <w:tcW w:w="1536" w:type="dxa"/>
            <w:vMerge/>
          </w:tcPr>
          <w:p w14:paraId="575BF3E0" w14:textId="77777777" w:rsidR="00E33AE1" w:rsidRPr="00A62A84" w:rsidRDefault="00E33AE1" w:rsidP="00E33AE1">
            <w:pPr>
              <w:pStyle w:val="TableText"/>
              <w:rPr>
                <w:color w:val="FF0000"/>
              </w:rPr>
            </w:pPr>
          </w:p>
        </w:tc>
        <w:tc>
          <w:tcPr>
            <w:tcW w:w="1676" w:type="dxa"/>
            <w:vMerge/>
          </w:tcPr>
          <w:p w14:paraId="7DA7AEB0" w14:textId="77777777" w:rsidR="00E33AE1" w:rsidRPr="00A62A84" w:rsidRDefault="00E33AE1" w:rsidP="00E33AE1">
            <w:pPr>
              <w:pStyle w:val="TableText"/>
              <w:rPr>
                <w:color w:val="FF0000"/>
              </w:rPr>
            </w:pPr>
          </w:p>
        </w:tc>
        <w:tc>
          <w:tcPr>
            <w:tcW w:w="2435" w:type="dxa"/>
            <w:vMerge/>
          </w:tcPr>
          <w:p w14:paraId="24E59FBC" w14:textId="77777777" w:rsidR="00E33AE1" w:rsidRPr="00A62A84" w:rsidRDefault="00E33AE1" w:rsidP="00E33AE1">
            <w:pPr>
              <w:pStyle w:val="TableText"/>
              <w:rPr>
                <w:color w:val="FF0000"/>
              </w:rPr>
            </w:pPr>
          </w:p>
        </w:tc>
        <w:tc>
          <w:tcPr>
            <w:tcW w:w="1410" w:type="dxa"/>
            <w:vMerge/>
          </w:tcPr>
          <w:p w14:paraId="182DA446" w14:textId="77777777" w:rsidR="00E33AE1" w:rsidRPr="00A62A84" w:rsidRDefault="00E33AE1" w:rsidP="00E33AE1">
            <w:pPr>
              <w:pStyle w:val="TableText"/>
              <w:jc w:val="right"/>
              <w:rPr>
                <w:color w:val="FF0000"/>
              </w:rPr>
            </w:pPr>
          </w:p>
        </w:tc>
        <w:tc>
          <w:tcPr>
            <w:tcW w:w="2055" w:type="dxa"/>
            <w:vMerge/>
          </w:tcPr>
          <w:p w14:paraId="2A03D504" w14:textId="77777777" w:rsidR="00E33AE1" w:rsidRPr="00A62A84" w:rsidRDefault="00E33AE1" w:rsidP="00E33AE1">
            <w:pPr>
              <w:pStyle w:val="TableText"/>
              <w:jc w:val="right"/>
              <w:rPr>
                <w:color w:val="FF0000"/>
              </w:rPr>
            </w:pPr>
          </w:p>
        </w:tc>
        <w:tc>
          <w:tcPr>
            <w:tcW w:w="1515" w:type="dxa"/>
          </w:tcPr>
          <w:p w14:paraId="700FCE25" w14:textId="3360D8A3" w:rsidR="00E33AE1" w:rsidRPr="00A62A84" w:rsidRDefault="75309551" w:rsidP="00E33AE1">
            <w:pPr>
              <w:pStyle w:val="TableText"/>
              <w:jc w:val="right"/>
            </w:pPr>
            <w:r>
              <w:t>19</w:t>
            </w:r>
            <w:r w:rsidR="00E33AE1">
              <w:t>/11/2024</w:t>
            </w:r>
          </w:p>
        </w:tc>
        <w:tc>
          <w:tcPr>
            <w:tcW w:w="1364" w:type="dxa"/>
          </w:tcPr>
          <w:p w14:paraId="29645D86" w14:textId="0F61D481" w:rsidR="00E33AE1" w:rsidRPr="00A62A84" w:rsidRDefault="00E33AE1" w:rsidP="00E33AE1">
            <w:pPr>
              <w:pStyle w:val="TableText"/>
              <w:jc w:val="right"/>
            </w:pPr>
            <w:r w:rsidRPr="00507693">
              <w:t>$89,618.64</w:t>
            </w:r>
          </w:p>
        </w:tc>
      </w:tr>
      <w:tr w:rsidR="00E33AE1" w14:paraId="206ED72D" w14:textId="77777777" w:rsidTr="185D364C">
        <w:trPr>
          <w:trHeight w:val="340"/>
        </w:trPr>
        <w:tc>
          <w:tcPr>
            <w:tcW w:w="2001" w:type="dxa"/>
            <w:vMerge/>
          </w:tcPr>
          <w:p w14:paraId="53B64870" w14:textId="77777777" w:rsidR="00E33AE1" w:rsidRPr="00A62A84" w:rsidRDefault="00E33AE1" w:rsidP="00E33AE1">
            <w:pPr>
              <w:pStyle w:val="TableText"/>
              <w:rPr>
                <w:color w:val="FF0000"/>
              </w:rPr>
            </w:pPr>
          </w:p>
        </w:tc>
        <w:tc>
          <w:tcPr>
            <w:tcW w:w="1536" w:type="dxa"/>
            <w:vMerge/>
          </w:tcPr>
          <w:p w14:paraId="1305D0AC" w14:textId="77777777" w:rsidR="00E33AE1" w:rsidRPr="00A62A84" w:rsidRDefault="00E33AE1" w:rsidP="00E33AE1">
            <w:pPr>
              <w:pStyle w:val="TableText"/>
              <w:rPr>
                <w:color w:val="FF0000"/>
              </w:rPr>
            </w:pPr>
          </w:p>
        </w:tc>
        <w:tc>
          <w:tcPr>
            <w:tcW w:w="1676" w:type="dxa"/>
            <w:vMerge/>
          </w:tcPr>
          <w:p w14:paraId="6123241C" w14:textId="77777777" w:rsidR="00E33AE1" w:rsidRPr="00A62A84" w:rsidRDefault="00E33AE1" w:rsidP="00E33AE1">
            <w:pPr>
              <w:pStyle w:val="TableText"/>
              <w:rPr>
                <w:color w:val="FF0000"/>
              </w:rPr>
            </w:pPr>
          </w:p>
        </w:tc>
        <w:tc>
          <w:tcPr>
            <w:tcW w:w="2435" w:type="dxa"/>
            <w:vMerge/>
          </w:tcPr>
          <w:p w14:paraId="1C2D26E8" w14:textId="77777777" w:rsidR="00E33AE1" w:rsidRPr="00A62A84" w:rsidRDefault="00E33AE1" w:rsidP="00E33AE1">
            <w:pPr>
              <w:pStyle w:val="TableText"/>
              <w:rPr>
                <w:color w:val="FF0000"/>
              </w:rPr>
            </w:pPr>
          </w:p>
        </w:tc>
        <w:tc>
          <w:tcPr>
            <w:tcW w:w="1410" w:type="dxa"/>
            <w:vMerge/>
          </w:tcPr>
          <w:p w14:paraId="0B3A58DE" w14:textId="77777777" w:rsidR="00E33AE1" w:rsidRPr="00A62A84" w:rsidRDefault="00E33AE1" w:rsidP="00E33AE1">
            <w:pPr>
              <w:pStyle w:val="TableText"/>
              <w:jc w:val="right"/>
              <w:rPr>
                <w:color w:val="FF0000"/>
              </w:rPr>
            </w:pPr>
          </w:p>
        </w:tc>
        <w:tc>
          <w:tcPr>
            <w:tcW w:w="2055" w:type="dxa"/>
            <w:vMerge/>
          </w:tcPr>
          <w:p w14:paraId="586FF42B" w14:textId="77777777" w:rsidR="00E33AE1" w:rsidRPr="00A62A84" w:rsidRDefault="00E33AE1" w:rsidP="00E33AE1">
            <w:pPr>
              <w:pStyle w:val="TableText"/>
              <w:jc w:val="right"/>
              <w:rPr>
                <w:color w:val="FF0000"/>
              </w:rPr>
            </w:pPr>
          </w:p>
        </w:tc>
        <w:tc>
          <w:tcPr>
            <w:tcW w:w="1515" w:type="dxa"/>
          </w:tcPr>
          <w:p w14:paraId="59F70650" w14:textId="1A69AD42" w:rsidR="00E33AE1" w:rsidRPr="00A62A84" w:rsidRDefault="00E33AE1" w:rsidP="00E33AE1">
            <w:pPr>
              <w:pStyle w:val="TableText"/>
              <w:jc w:val="right"/>
            </w:pPr>
            <w:r w:rsidRPr="18BAE644">
              <w:t>31/01/2025</w:t>
            </w:r>
          </w:p>
        </w:tc>
        <w:tc>
          <w:tcPr>
            <w:tcW w:w="1364" w:type="dxa"/>
          </w:tcPr>
          <w:p w14:paraId="74BA0C17" w14:textId="2EC4C85A" w:rsidR="00E33AE1" w:rsidRPr="00A62A84" w:rsidRDefault="00E33AE1" w:rsidP="00E33AE1">
            <w:pPr>
              <w:pStyle w:val="TableText"/>
              <w:jc w:val="right"/>
            </w:pPr>
            <w:r w:rsidRPr="00507693">
              <w:t>$89,618.64</w:t>
            </w:r>
          </w:p>
        </w:tc>
      </w:tr>
      <w:tr w:rsidR="00E33AE1" w14:paraId="3DBC9EA4" w14:textId="77777777" w:rsidTr="185D364C">
        <w:trPr>
          <w:trHeight w:val="340"/>
        </w:trPr>
        <w:tc>
          <w:tcPr>
            <w:tcW w:w="2001" w:type="dxa"/>
            <w:vMerge/>
          </w:tcPr>
          <w:p w14:paraId="5741A6E6" w14:textId="77777777" w:rsidR="00E33AE1" w:rsidRPr="00A62A84" w:rsidRDefault="00E33AE1" w:rsidP="00E33AE1">
            <w:pPr>
              <w:pStyle w:val="TableText"/>
              <w:rPr>
                <w:color w:val="FF0000"/>
              </w:rPr>
            </w:pPr>
          </w:p>
        </w:tc>
        <w:tc>
          <w:tcPr>
            <w:tcW w:w="1536" w:type="dxa"/>
            <w:vMerge/>
          </w:tcPr>
          <w:p w14:paraId="0CAC9F52" w14:textId="77777777" w:rsidR="00E33AE1" w:rsidRPr="00A62A84" w:rsidRDefault="00E33AE1" w:rsidP="00E33AE1">
            <w:pPr>
              <w:pStyle w:val="TableText"/>
              <w:rPr>
                <w:color w:val="FF0000"/>
              </w:rPr>
            </w:pPr>
          </w:p>
        </w:tc>
        <w:tc>
          <w:tcPr>
            <w:tcW w:w="1676" w:type="dxa"/>
            <w:vMerge/>
          </w:tcPr>
          <w:p w14:paraId="5568D77E" w14:textId="77777777" w:rsidR="00E33AE1" w:rsidRPr="00A62A84" w:rsidRDefault="00E33AE1" w:rsidP="00E33AE1">
            <w:pPr>
              <w:pStyle w:val="TableText"/>
              <w:rPr>
                <w:color w:val="FF0000"/>
              </w:rPr>
            </w:pPr>
          </w:p>
        </w:tc>
        <w:tc>
          <w:tcPr>
            <w:tcW w:w="2435" w:type="dxa"/>
            <w:vMerge/>
          </w:tcPr>
          <w:p w14:paraId="321FDA49" w14:textId="77777777" w:rsidR="00E33AE1" w:rsidRPr="00A62A84" w:rsidRDefault="00E33AE1" w:rsidP="00E33AE1">
            <w:pPr>
              <w:pStyle w:val="TableText"/>
              <w:rPr>
                <w:color w:val="FF0000"/>
              </w:rPr>
            </w:pPr>
          </w:p>
        </w:tc>
        <w:tc>
          <w:tcPr>
            <w:tcW w:w="1410" w:type="dxa"/>
            <w:vMerge/>
          </w:tcPr>
          <w:p w14:paraId="0B05F060" w14:textId="77777777" w:rsidR="00E33AE1" w:rsidRPr="00A62A84" w:rsidRDefault="00E33AE1" w:rsidP="00E33AE1">
            <w:pPr>
              <w:pStyle w:val="TableText"/>
              <w:jc w:val="right"/>
              <w:rPr>
                <w:color w:val="FF0000"/>
              </w:rPr>
            </w:pPr>
          </w:p>
        </w:tc>
        <w:tc>
          <w:tcPr>
            <w:tcW w:w="2055" w:type="dxa"/>
            <w:vMerge/>
          </w:tcPr>
          <w:p w14:paraId="7DE33BC8" w14:textId="77777777" w:rsidR="00E33AE1" w:rsidRPr="00A62A84" w:rsidRDefault="00E33AE1" w:rsidP="00E33AE1">
            <w:pPr>
              <w:pStyle w:val="TableText"/>
              <w:jc w:val="right"/>
              <w:rPr>
                <w:color w:val="FF0000"/>
              </w:rPr>
            </w:pPr>
          </w:p>
        </w:tc>
        <w:tc>
          <w:tcPr>
            <w:tcW w:w="1515" w:type="dxa"/>
          </w:tcPr>
          <w:p w14:paraId="11796E9B" w14:textId="3B5E3FE9" w:rsidR="00E33AE1" w:rsidRPr="00A62A84" w:rsidRDefault="00E33AE1" w:rsidP="00E33AE1">
            <w:pPr>
              <w:pStyle w:val="TableText"/>
              <w:jc w:val="right"/>
            </w:pPr>
            <w:r w:rsidRPr="18BAE644">
              <w:t>26/04/2025</w:t>
            </w:r>
          </w:p>
        </w:tc>
        <w:tc>
          <w:tcPr>
            <w:tcW w:w="1364" w:type="dxa"/>
          </w:tcPr>
          <w:p w14:paraId="7A94E907" w14:textId="0FD7168A" w:rsidR="00E33AE1" w:rsidRPr="00A62A84" w:rsidRDefault="00E33AE1" w:rsidP="00E33AE1">
            <w:pPr>
              <w:pStyle w:val="TableText"/>
              <w:jc w:val="right"/>
            </w:pPr>
            <w:r w:rsidRPr="00507693">
              <w:t>$89,618.64</w:t>
            </w:r>
          </w:p>
        </w:tc>
      </w:tr>
      <w:tr w:rsidR="00E33AE1" w14:paraId="1E51B995" w14:textId="77777777" w:rsidTr="185D364C">
        <w:trPr>
          <w:trHeight w:val="340"/>
        </w:trPr>
        <w:tc>
          <w:tcPr>
            <w:tcW w:w="2001" w:type="dxa"/>
            <w:vMerge/>
          </w:tcPr>
          <w:p w14:paraId="081EBF0A" w14:textId="77777777" w:rsidR="00E33AE1" w:rsidRPr="00A62A84" w:rsidRDefault="00E33AE1" w:rsidP="00E33AE1">
            <w:pPr>
              <w:pStyle w:val="TableText"/>
              <w:rPr>
                <w:color w:val="FF0000"/>
              </w:rPr>
            </w:pPr>
          </w:p>
        </w:tc>
        <w:tc>
          <w:tcPr>
            <w:tcW w:w="1536" w:type="dxa"/>
            <w:vMerge/>
          </w:tcPr>
          <w:p w14:paraId="1E93A4B9" w14:textId="77777777" w:rsidR="00E33AE1" w:rsidRPr="00A62A84" w:rsidRDefault="00E33AE1" w:rsidP="00E33AE1">
            <w:pPr>
              <w:pStyle w:val="TableText"/>
              <w:rPr>
                <w:color w:val="FF0000"/>
              </w:rPr>
            </w:pPr>
          </w:p>
        </w:tc>
        <w:tc>
          <w:tcPr>
            <w:tcW w:w="1676" w:type="dxa"/>
            <w:vMerge/>
          </w:tcPr>
          <w:p w14:paraId="212308A1" w14:textId="77777777" w:rsidR="00E33AE1" w:rsidRPr="00A62A84" w:rsidRDefault="00E33AE1" w:rsidP="00E33AE1">
            <w:pPr>
              <w:pStyle w:val="TableText"/>
              <w:rPr>
                <w:color w:val="FF0000"/>
              </w:rPr>
            </w:pPr>
          </w:p>
        </w:tc>
        <w:tc>
          <w:tcPr>
            <w:tcW w:w="2435" w:type="dxa"/>
            <w:vMerge/>
          </w:tcPr>
          <w:p w14:paraId="580EBD89" w14:textId="77777777" w:rsidR="00E33AE1" w:rsidRPr="00A62A84" w:rsidRDefault="00E33AE1" w:rsidP="00E33AE1">
            <w:pPr>
              <w:pStyle w:val="TableText"/>
              <w:rPr>
                <w:color w:val="FF0000"/>
              </w:rPr>
            </w:pPr>
          </w:p>
        </w:tc>
        <w:tc>
          <w:tcPr>
            <w:tcW w:w="1410" w:type="dxa"/>
            <w:vMerge/>
          </w:tcPr>
          <w:p w14:paraId="488A21B0" w14:textId="77777777" w:rsidR="00E33AE1" w:rsidRPr="00A62A84" w:rsidRDefault="00E33AE1" w:rsidP="00E33AE1">
            <w:pPr>
              <w:pStyle w:val="TableText"/>
              <w:jc w:val="right"/>
              <w:rPr>
                <w:color w:val="FF0000"/>
              </w:rPr>
            </w:pPr>
          </w:p>
        </w:tc>
        <w:tc>
          <w:tcPr>
            <w:tcW w:w="2055" w:type="dxa"/>
            <w:vMerge/>
          </w:tcPr>
          <w:p w14:paraId="763B2C82" w14:textId="77777777" w:rsidR="00E33AE1" w:rsidRPr="00A62A84" w:rsidRDefault="00E33AE1" w:rsidP="00E33AE1">
            <w:pPr>
              <w:pStyle w:val="TableText"/>
              <w:jc w:val="right"/>
              <w:rPr>
                <w:color w:val="FF0000"/>
              </w:rPr>
            </w:pPr>
          </w:p>
        </w:tc>
        <w:tc>
          <w:tcPr>
            <w:tcW w:w="1515" w:type="dxa"/>
          </w:tcPr>
          <w:p w14:paraId="572773AE" w14:textId="686DD713" w:rsidR="00E33AE1" w:rsidRPr="00A62A84" w:rsidRDefault="00E33AE1" w:rsidP="00E33AE1">
            <w:pPr>
              <w:pStyle w:val="TableText"/>
              <w:jc w:val="right"/>
            </w:pPr>
            <w:r w:rsidRPr="18BAE644">
              <w:t>20/05/2025</w:t>
            </w:r>
          </w:p>
        </w:tc>
        <w:tc>
          <w:tcPr>
            <w:tcW w:w="1364" w:type="dxa"/>
          </w:tcPr>
          <w:p w14:paraId="1F8DCF2D" w14:textId="0E58C5E7" w:rsidR="00E33AE1" w:rsidRPr="00A62A84" w:rsidRDefault="00E33AE1" w:rsidP="00E33AE1">
            <w:pPr>
              <w:pStyle w:val="TableText"/>
              <w:jc w:val="right"/>
            </w:pPr>
            <w:r w:rsidRPr="00507693">
              <w:t>$89,618.64</w:t>
            </w:r>
          </w:p>
        </w:tc>
      </w:tr>
      <w:tr w:rsidR="005241D2" w:rsidRPr="005241D2" w14:paraId="65843116" w14:textId="77777777" w:rsidTr="185D364C">
        <w:trPr>
          <w:trHeight w:val="360"/>
        </w:trPr>
        <w:tc>
          <w:tcPr>
            <w:tcW w:w="7648" w:type="dxa"/>
            <w:gridSpan w:val="4"/>
            <w:vAlign w:val="center"/>
            <w:hideMark/>
          </w:tcPr>
          <w:p w14:paraId="6FAD601B" w14:textId="49793BA9" w:rsidR="005241D2" w:rsidRPr="005241D2" w:rsidRDefault="005241D2" w:rsidP="00FF2931">
            <w:pPr>
              <w:spacing w:after="0" w:line="240" w:lineRule="auto"/>
              <w:textAlignment w:val="baseline"/>
              <w:rPr>
                <w:rFonts w:ascii="Segoe UI" w:eastAsia="Times New Roman" w:hAnsi="Segoe UI" w:cs="Segoe UI"/>
                <w:b/>
                <w:bCs/>
                <w:sz w:val="18"/>
                <w:szCs w:val="18"/>
                <w:lang w:eastAsia="en-AU"/>
              </w:rPr>
            </w:pPr>
            <w:r w:rsidRPr="005241D2">
              <w:rPr>
                <w:rFonts w:eastAsiaTheme="minorEastAsia"/>
                <w:b/>
                <w:bCs/>
                <w:sz w:val="18"/>
                <w:szCs w:val="18"/>
              </w:rPr>
              <w:t xml:space="preserve">Totals for </w:t>
            </w:r>
            <w:r w:rsidRPr="00DC2BAE">
              <w:rPr>
                <w:rFonts w:eastAsiaTheme="minorEastAsia"/>
                <w:b/>
                <w:bCs/>
                <w:sz w:val="18"/>
                <w:szCs w:val="18"/>
              </w:rPr>
              <w:t>Monitoring, Evaluation and Learning support</w:t>
            </w:r>
          </w:p>
        </w:tc>
        <w:tc>
          <w:tcPr>
            <w:tcW w:w="1410" w:type="dxa"/>
            <w:vAlign w:val="center"/>
            <w:hideMark/>
          </w:tcPr>
          <w:p w14:paraId="694CEC29" w14:textId="494B00B5" w:rsidR="005241D2" w:rsidRPr="005241D2" w:rsidRDefault="005241D2" w:rsidP="00FF2931">
            <w:pPr>
              <w:spacing w:after="0" w:line="240" w:lineRule="auto"/>
              <w:jc w:val="right"/>
              <w:textAlignment w:val="baseline"/>
              <w:rPr>
                <w:rFonts w:ascii="Segoe UI" w:eastAsia="Times New Roman" w:hAnsi="Segoe UI" w:cs="Segoe UI"/>
                <w:b/>
                <w:bCs/>
                <w:sz w:val="18"/>
                <w:szCs w:val="18"/>
                <w:lang w:eastAsia="en-AU"/>
              </w:rPr>
            </w:pPr>
            <w:r w:rsidRPr="00DC2BAE">
              <w:rPr>
                <w:rFonts w:eastAsiaTheme="minorEastAsia"/>
                <w:b/>
                <w:bCs/>
                <w:sz w:val="18"/>
                <w:szCs w:val="18"/>
              </w:rPr>
              <w:t>$537,711.82</w:t>
            </w:r>
          </w:p>
        </w:tc>
        <w:tc>
          <w:tcPr>
            <w:tcW w:w="2055" w:type="dxa"/>
            <w:vAlign w:val="center"/>
            <w:hideMark/>
          </w:tcPr>
          <w:p w14:paraId="470CC094" w14:textId="2563BB3C" w:rsidR="005241D2" w:rsidRPr="005241D2" w:rsidRDefault="005241D2" w:rsidP="00FF2931">
            <w:pPr>
              <w:spacing w:after="0" w:line="240" w:lineRule="auto"/>
              <w:jc w:val="right"/>
              <w:textAlignment w:val="baseline"/>
              <w:rPr>
                <w:rFonts w:ascii="Segoe UI" w:eastAsia="Times New Roman" w:hAnsi="Segoe UI" w:cs="Segoe UI"/>
                <w:b/>
                <w:bCs/>
                <w:sz w:val="18"/>
                <w:szCs w:val="18"/>
                <w:lang w:eastAsia="en-AU"/>
              </w:rPr>
            </w:pPr>
            <w:r w:rsidRPr="284C4D36">
              <w:rPr>
                <w:rFonts w:eastAsiaTheme="minorEastAsia"/>
                <w:b/>
                <w:bCs/>
                <w:sz w:val="18"/>
                <w:szCs w:val="18"/>
              </w:rPr>
              <w:t>$</w:t>
            </w:r>
            <w:r w:rsidR="5E75182C" w:rsidRPr="284C4D36">
              <w:rPr>
                <w:rFonts w:eastAsiaTheme="minorEastAsia"/>
                <w:b/>
                <w:bCs/>
                <w:sz w:val="18"/>
                <w:szCs w:val="18"/>
              </w:rPr>
              <w:t>268,855.92</w:t>
            </w:r>
          </w:p>
        </w:tc>
        <w:tc>
          <w:tcPr>
            <w:tcW w:w="1515" w:type="dxa"/>
            <w:vAlign w:val="center"/>
            <w:hideMark/>
          </w:tcPr>
          <w:p w14:paraId="4F44C5E1" w14:textId="37A2BB85" w:rsidR="005241D2" w:rsidRPr="005241D2" w:rsidRDefault="005241D2" w:rsidP="00FF2931">
            <w:pPr>
              <w:spacing w:after="0" w:line="240" w:lineRule="auto"/>
              <w:jc w:val="right"/>
              <w:textAlignment w:val="baseline"/>
              <w:rPr>
                <w:rFonts w:ascii="Segoe UI" w:eastAsia="Times New Roman" w:hAnsi="Segoe UI" w:cs="Segoe UI"/>
                <w:b/>
                <w:bCs/>
                <w:sz w:val="18"/>
                <w:szCs w:val="18"/>
                <w:lang w:eastAsia="en-AU"/>
              </w:rPr>
            </w:pPr>
          </w:p>
        </w:tc>
        <w:tc>
          <w:tcPr>
            <w:tcW w:w="1364" w:type="dxa"/>
            <w:vAlign w:val="center"/>
            <w:hideMark/>
          </w:tcPr>
          <w:p w14:paraId="1C6839F5" w14:textId="42D5763C" w:rsidR="005241D2" w:rsidRPr="005241D2" w:rsidRDefault="005241D2" w:rsidP="00FF2931">
            <w:pPr>
              <w:spacing w:after="0" w:line="240" w:lineRule="auto"/>
              <w:jc w:val="right"/>
              <w:textAlignment w:val="baseline"/>
              <w:rPr>
                <w:rFonts w:ascii="Segoe UI" w:eastAsia="Times New Roman" w:hAnsi="Segoe UI" w:cs="Segoe UI"/>
                <w:b/>
                <w:bCs/>
                <w:sz w:val="18"/>
                <w:szCs w:val="18"/>
                <w:lang w:eastAsia="en-AU"/>
              </w:rPr>
            </w:pPr>
            <w:r w:rsidRPr="00DC2BAE">
              <w:rPr>
                <w:rFonts w:eastAsiaTheme="minorEastAsia"/>
                <w:b/>
                <w:bCs/>
                <w:sz w:val="18"/>
                <w:szCs w:val="18"/>
              </w:rPr>
              <w:t>$537,711.82</w:t>
            </w:r>
          </w:p>
        </w:tc>
      </w:tr>
    </w:tbl>
    <w:p w14:paraId="07A8FE2F" w14:textId="63833AA1" w:rsidR="18BAE644" w:rsidRDefault="18BAE644"/>
    <w:p w14:paraId="7B4285A2" w14:textId="1A8BE4E5" w:rsidR="18BAE644" w:rsidRDefault="18BAE644"/>
    <w:p w14:paraId="5279F907" w14:textId="77777777" w:rsidR="00AB0966" w:rsidRDefault="00AB0966" w:rsidP="00BC5DC5">
      <w:pPr>
        <w:pStyle w:val="Normalsmall"/>
        <w:spacing w:before="240"/>
        <w:rPr>
          <w:rStyle w:val="Strong"/>
        </w:rPr>
      </w:pPr>
    </w:p>
    <w:p w14:paraId="0ED0B3D1" w14:textId="77777777" w:rsidR="00E33AE1" w:rsidRDefault="00E33AE1" w:rsidP="00BC5DC5">
      <w:pPr>
        <w:pStyle w:val="Normalsmall"/>
        <w:spacing w:before="240"/>
        <w:rPr>
          <w:rStyle w:val="Strong"/>
        </w:rPr>
      </w:pPr>
    </w:p>
    <w:p w14:paraId="5DEAF961" w14:textId="517D6434" w:rsidR="008D1B48" w:rsidRDefault="008D1B48" w:rsidP="00BC5DC5">
      <w:pPr>
        <w:pStyle w:val="Normalsmall"/>
        <w:spacing w:before="240"/>
      </w:pPr>
      <w:r>
        <w:rPr>
          <w:rStyle w:val="Strong"/>
        </w:rPr>
        <w:lastRenderedPageBreak/>
        <w:t>Acknowledgement of Country</w:t>
      </w:r>
    </w:p>
    <w:p w14:paraId="1A6DEFE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6995FD1" w14:textId="7DD802EC" w:rsidR="00262394" w:rsidRDefault="00262394" w:rsidP="00262394">
      <w:pPr>
        <w:pStyle w:val="Normalsmall"/>
        <w:spacing w:before="360"/>
      </w:pPr>
      <w:r>
        <w:t>© Commonwealth of Australia 202</w:t>
      </w:r>
      <w:r w:rsidR="0031296A">
        <w:t>4</w:t>
      </w:r>
    </w:p>
    <w:p w14:paraId="44FD81C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C69B478"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E3D4A5F"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428D6" w14:textId="77777777" w:rsidR="00E86AA5" w:rsidRDefault="00E86AA5">
      <w:r>
        <w:separator/>
      </w:r>
    </w:p>
    <w:p w14:paraId="281F77B4" w14:textId="77777777" w:rsidR="00E86AA5" w:rsidRDefault="00E86AA5"/>
    <w:p w14:paraId="5A4005B0" w14:textId="77777777" w:rsidR="00E86AA5" w:rsidRDefault="00E86AA5"/>
  </w:endnote>
  <w:endnote w:type="continuationSeparator" w:id="0">
    <w:p w14:paraId="264B20AA" w14:textId="77777777" w:rsidR="00E86AA5" w:rsidRDefault="00E86AA5">
      <w:r>
        <w:continuationSeparator/>
      </w:r>
    </w:p>
    <w:p w14:paraId="2B30E3A4" w14:textId="77777777" w:rsidR="00E86AA5" w:rsidRDefault="00E86AA5"/>
    <w:p w14:paraId="0D99C1CE" w14:textId="77777777" w:rsidR="00E86AA5" w:rsidRDefault="00E86AA5"/>
  </w:endnote>
  <w:endnote w:type="continuationNotice" w:id="1">
    <w:p w14:paraId="210DCA67" w14:textId="77777777" w:rsidR="00E86AA5" w:rsidRDefault="00E86AA5">
      <w:pPr>
        <w:pStyle w:val="Footer"/>
      </w:pPr>
    </w:p>
    <w:p w14:paraId="291A8C03" w14:textId="77777777" w:rsidR="00E86AA5" w:rsidRDefault="00E86AA5"/>
    <w:p w14:paraId="7A7A2A93" w14:textId="77777777" w:rsidR="00E86AA5" w:rsidRDefault="00E8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EEBE" w14:textId="71DAEB52" w:rsidR="00490D61" w:rsidRDefault="00490D61">
    <w:pPr>
      <w:pStyle w:val="Footer"/>
    </w:pPr>
    <w:r>
      <w:rPr>
        <w:noProof/>
      </w:rPr>
      <mc:AlternateContent>
        <mc:Choice Requires="wps">
          <w:drawing>
            <wp:anchor distT="0" distB="0" distL="0" distR="0" simplePos="0" relativeHeight="251658752" behindDoc="0" locked="0" layoutInCell="1" allowOverlap="1" wp14:anchorId="76828E8A" wp14:editId="16474C62">
              <wp:simplePos x="635" y="635"/>
              <wp:positionH relativeFrom="page">
                <wp:align>center</wp:align>
              </wp:positionH>
              <wp:positionV relativeFrom="page">
                <wp:align>bottom</wp:align>
              </wp:positionV>
              <wp:extent cx="551815" cy="404495"/>
              <wp:effectExtent l="0" t="0" r="635" b="0"/>
              <wp:wrapNone/>
              <wp:docPr id="151212091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28E8A"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710F" w14:textId="58BA6039" w:rsidR="002A193C" w:rsidRDefault="00490D61" w:rsidP="0031296A">
    <w:pPr>
      <w:pStyle w:val="Footer"/>
      <w:jc w:val="right"/>
    </w:pPr>
    <w:r>
      <w:rPr>
        <w:noProof/>
      </w:rPr>
      <mc:AlternateContent>
        <mc:Choice Requires="wps">
          <w:drawing>
            <wp:anchor distT="0" distB="0" distL="0" distR="0" simplePos="0" relativeHeight="251659776" behindDoc="0" locked="0" layoutInCell="1" allowOverlap="1" wp14:anchorId="010A4BF8" wp14:editId="5E73D85F">
              <wp:simplePos x="901065" y="6918960"/>
              <wp:positionH relativeFrom="page">
                <wp:align>center</wp:align>
              </wp:positionH>
              <wp:positionV relativeFrom="page">
                <wp:align>bottom</wp:align>
              </wp:positionV>
              <wp:extent cx="551815" cy="404495"/>
              <wp:effectExtent l="0" t="0" r="635" b="0"/>
              <wp:wrapNone/>
              <wp:docPr id="20825038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A4BF8" id="_x0000_t202" coordsize="21600,21600" o:spt="202" path="m,l,21600r21600,l21600,xe">
              <v:stroke joinstyle="miter"/>
              <v:path gradientshapeok="t" o:connecttype="rect"/>
            </v:shapetype>
            <v:shape id="Text Box 8" o:spid="_x0000_s1029"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41791821"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565F" w14:textId="5BF64504" w:rsidR="002A193C" w:rsidRDefault="00490D61" w:rsidP="0031296A">
    <w:pPr>
      <w:pStyle w:val="Footer"/>
      <w:jc w:val="right"/>
    </w:pPr>
    <w:r>
      <w:rPr>
        <w:noProof/>
      </w:rPr>
      <mc:AlternateContent>
        <mc:Choice Requires="wps">
          <w:drawing>
            <wp:anchor distT="0" distB="0" distL="0" distR="0" simplePos="0" relativeHeight="251657728" behindDoc="0" locked="0" layoutInCell="1" allowOverlap="1" wp14:anchorId="11C2A471" wp14:editId="39B24014">
              <wp:simplePos x="899770" y="6920179"/>
              <wp:positionH relativeFrom="page">
                <wp:align>center</wp:align>
              </wp:positionH>
              <wp:positionV relativeFrom="page">
                <wp:align>bottom</wp:align>
              </wp:positionV>
              <wp:extent cx="551815" cy="404495"/>
              <wp:effectExtent l="0" t="0" r="635" b="0"/>
              <wp:wrapNone/>
              <wp:docPr id="18434695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2A471"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4F6F5A3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5DC7" w14:textId="77777777" w:rsidR="00E86AA5" w:rsidRDefault="00E86AA5">
      <w:r>
        <w:separator/>
      </w:r>
    </w:p>
    <w:p w14:paraId="18234987" w14:textId="77777777" w:rsidR="00E86AA5" w:rsidRDefault="00E86AA5"/>
    <w:p w14:paraId="1CC8764B" w14:textId="77777777" w:rsidR="00E86AA5" w:rsidRDefault="00E86AA5"/>
  </w:footnote>
  <w:footnote w:type="continuationSeparator" w:id="0">
    <w:p w14:paraId="25E8BF42" w14:textId="77777777" w:rsidR="00E86AA5" w:rsidRDefault="00E86AA5">
      <w:r>
        <w:continuationSeparator/>
      </w:r>
    </w:p>
    <w:p w14:paraId="6CFDFCB3" w14:textId="77777777" w:rsidR="00E86AA5" w:rsidRDefault="00E86AA5"/>
    <w:p w14:paraId="66D441EE" w14:textId="77777777" w:rsidR="00E86AA5" w:rsidRDefault="00E86AA5"/>
  </w:footnote>
  <w:footnote w:type="continuationNotice" w:id="1">
    <w:p w14:paraId="235B25F3" w14:textId="77777777" w:rsidR="00E86AA5" w:rsidRDefault="00E86AA5">
      <w:pPr>
        <w:pStyle w:val="Footer"/>
      </w:pPr>
    </w:p>
    <w:p w14:paraId="7ACBB09E" w14:textId="77777777" w:rsidR="00E86AA5" w:rsidRDefault="00E86AA5"/>
    <w:p w14:paraId="73439954" w14:textId="77777777" w:rsidR="00E86AA5" w:rsidRDefault="00E86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5D03" w14:textId="2C1F9D89" w:rsidR="002A193C" w:rsidRDefault="00490D61">
    <w:pPr>
      <w:pStyle w:val="Header"/>
    </w:pPr>
    <w:r>
      <w:rPr>
        <w:noProof/>
      </w:rPr>
      <mc:AlternateContent>
        <mc:Choice Requires="wps">
          <w:drawing>
            <wp:anchor distT="0" distB="0" distL="0" distR="0" simplePos="0" relativeHeight="251655680" behindDoc="0" locked="0" layoutInCell="1" allowOverlap="1" wp14:anchorId="53EB6942" wp14:editId="50B426EA">
              <wp:simplePos x="635" y="635"/>
              <wp:positionH relativeFrom="page">
                <wp:align>center</wp:align>
              </wp:positionH>
              <wp:positionV relativeFrom="page">
                <wp:align>top</wp:align>
              </wp:positionV>
              <wp:extent cx="551815" cy="404495"/>
              <wp:effectExtent l="0" t="0" r="635" b="14605"/>
              <wp:wrapNone/>
              <wp:docPr id="146243824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B6942" id="_x0000_t202" coordsize="21600,21600" o:spt="202" path="m,l,21600r21600,l21600,xe">
              <v:stroke joinstyle="miter"/>
              <v:path gradientshapeok="t" o:connecttype="rect"/>
            </v:shapetype>
            <v:shape id="Text Box 4"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CAEA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360" o:spid="_x0000_s1028" type="#_x0000_t136" style="position:absolute;left:0;text-align:left;margin-left:0;margin-top:0;width:479.5pt;height:159.8pt;rotation:315;z-index:-251655680;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A8FA" w14:textId="4E6CBE8A" w:rsidR="002A193C" w:rsidRDefault="00490D61">
    <w:pPr>
      <w:pStyle w:val="Header"/>
    </w:pPr>
    <w:r>
      <w:rPr>
        <w:noProof/>
      </w:rPr>
      <mc:AlternateContent>
        <mc:Choice Requires="wps">
          <w:drawing>
            <wp:anchor distT="0" distB="0" distL="0" distR="0" simplePos="0" relativeHeight="251656704" behindDoc="0" locked="0" layoutInCell="1" allowOverlap="1" wp14:anchorId="3CD699D0" wp14:editId="75EFCFEF">
              <wp:simplePos x="901065" y="360680"/>
              <wp:positionH relativeFrom="page">
                <wp:align>center</wp:align>
              </wp:positionH>
              <wp:positionV relativeFrom="page">
                <wp:align>top</wp:align>
              </wp:positionV>
              <wp:extent cx="551815" cy="404495"/>
              <wp:effectExtent l="0" t="0" r="635" b="14605"/>
              <wp:wrapNone/>
              <wp:docPr id="197345744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699D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42ED70DB" w:rsidRPr="00895B77">
      <w:t>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11A4" w14:textId="72387691" w:rsidR="005525E9" w:rsidRDefault="00490D61" w:rsidP="009C477C">
    <w:pPr>
      <w:pStyle w:val="Header"/>
      <w:jc w:val="left"/>
    </w:pPr>
    <w:r>
      <w:rPr>
        <w:noProof/>
        <w:u w:val="single"/>
      </w:rPr>
      <mc:AlternateContent>
        <mc:Choice Requires="wps">
          <w:drawing>
            <wp:anchor distT="0" distB="0" distL="0" distR="0" simplePos="0" relativeHeight="251654656" behindDoc="0" locked="0" layoutInCell="1" allowOverlap="1" wp14:anchorId="7B298CD0" wp14:editId="1A476028">
              <wp:simplePos x="899770" y="358445"/>
              <wp:positionH relativeFrom="page">
                <wp:align>center</wp:align>
              </wp:positionH>
              <wp:positionV relativeFrom="page">
                <wp:align>top</wp:align>
              </wp:positionV>
              <wp:extent cx="551815" cy="404495"/>
              <wp:effectExtent l="0" t="0" r="635" b="14605"/>
              <wp:wrapNone/>
              <wp:docPr id="20035070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98CD0" id="_x0000_t202" coordsize="21600,21600" o:spt="202" path="m,l,21600r21600,l21600,xe">
              <v:stroke joinstyle="miter"/>
              <v:path gradientshapeok="t" o:connecttype="rect"/>
            </v:shapetype>
            <v:shape id="Text Box 3" o:spid="_x0000_s1030"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31296A" w:rsidRPr="0031296A">
      <w:rPr>
        <w:noProof/>
        <w:u w:val="single"/>
      </w:rPr>
      <w:drawing>
        <wp:inline distT="0" distB="0" distL="0" distR="0" wp14:anchorId="36150751" wp14:editId="3DBC9D5F">
          <wp:extent cx="3482035" cy="1011814"/>
          <wp:effectExtent l="0" t="0" r="0" b="0"/>
          <wp:docPr id="1421464061"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625" cy="1020412"/>
                  </a:xfrm>
                  <a:prstGeom prst="rect">
                    <a:avLst/>
                  </a:prstGeom>
                  <a:noFill/>
                  <a:ln>
                    <a:noFill/>
                  </a:ln>
                </pic:spPr>
              </pic:pic>
            </a:graphicData>
          </a:graphic>
        </wp:inline>
      </w:drawing>
    </w:r>
    <w:r w:rsidR="0031296A" w:rsidRPr="0031296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lvlText w:val="%1"/>
        <w:lvlJc w:val="left"/>
        <w:pPr>
          <w:ind w:left="720" w:hanging="720"/>
        </w:pPr>
        <w:rPr>
          <w:color w:val="59621D"/>
        </w:rPr>
      </w:lvl>
    </w:lvlOverride>
  </w:num>
  <w:num w:numId="34" w16cid:durableId="21588965">
    <w:abstractNumId w:val="13"/>
    <w:lvlOverride w:ilvl="0">
      <w:lvl w:ilvl="0">
        <w:start w:val="1"/>
        <w:numFmt w:val="decimal"/>
        <w:lvlText w:val="%1"/>
        <w:lvlJc w:val="left"/>
        <w:pPr>
          <w:ind w:left="720" w:hanging="720"/>
        </w:pPr>
        <w:rPr>
          <w:color w:val="59621D"/>
        </w:rPr>
      </w:lvl>
    </w:lvlOverride>
  </w:num>
  <w:num w:numId="35" w16cid:durableId="188571948">
    <w:abstractNumId w:val="13"/>
    <w:lvlOverride w:ilvl="0">
      <w:lvl w:ilvl="0">
        <w:start w:val="1"/>
        <w:numFmt w:val="decimal"/>
        <w:lvlText w:val="%1"/>
        <w:lvlJc w:val="left"/>
        <w:pPr>
          <w:ind w:left="720" w:hanging="720"/>
        </w:pPr>
        <w:rPr>
          <w:color w:val="59621D"/>
        </w:rPr>
      </w:lvl>
    </w:lvlOverride>
  </w:num>
  <w:num w:numId="36" w16cid:durableId="844629787">
    <w:abstractNumId w:val="13"/>
    <w:lvlOverride w:ilvl="0">
      <w:lvl w:ilvl="0">
        <w:start w:val="1"/>
        <w:numFmt w:val="decimal"/>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6A"/>
    <w:rsid w:val="00000CEE"/>
    <w:rsid w:val="00027C59"/>
    <w:rsid w:val="0002991C"/>
    <w:rsid w:val="000310E2"/>
    <w:rsid w:val="00046B12"/>
    <w:rsid w:val="0004740E"/>
    <w:rsid w:val="0007746F"/>
    <w:rsid w:val="0007749B"/>
    <w:rsid w:val="00080447"/>
    <w:rsid w:val="000838DB"/>
    <w:rsid w:val="000850FC"/>
    <w:rsid w:val="0009515B"/>
    <w:rsid w:val="000B60E0"/>
    <w:rsid w:val="000D4D49"/>
    <w:rsid w:val="000D6DD8"/>
    <w:rsid w:val="000E7C0B"/>
    <w:rsid w:val="000F3E04"/>
    <w:rsid w:val="000F5400"/>
    <w:rsid w:val="00101422"/>
    <w:rsid w:val="0010763D"/>
    <w:rsid w:val="00112B86"/>
    <w:rsid w:val="00156316"/>
    <w:rsid w:val="001567E9"/>
    <w:rsid w:val="00156DD6"/>
    <w:rsid w:val="00165FA2"/>
    <w:rsid w:val="00167450"/>
    <w:rsid w:val="00183612"/>
    <w:rsid w:val="001A15E1"/>
    <w:rsid w:val="001A1F79"/>
    <w:rsid w:val="001A22FB"/>
    <w:rsid w:val="001B1009"/>
    <w:rsid w:val="001C3583"/>
    <w:rsid w:val="001D0F68"/>
    <w:rsid w:val="001D6B7A"/>
    <w:rsid w:val="001D77BC"/>
    <w:rsid w:val="001E1C4C"/>
    <w:rsid w:val="001E790B"/>
    <w:rsid w:val="001F2637"/>
    <w:rsid w:val="00201500"/>
    <w:rsid w:val="0020313A"/>
    <w:rsid w:val="00217BBD"/>
    <w:rsid w:val="0022055A"/>
    <w:rsid w:val="002252AE"/>
    <w:rsid w:val="002320BA"/>
    <w:rsid w:val="0023478F"/>
    <w:rsid w:val="0024136F"/>
    <w:rsid w:val="00243E26"/>
    <w:rsid w:val="00251BA3"/>
    <w:rsid w:val="00262394"/>
    <w:rsid w:val="00270137"/>
    <w:rsid w:val="002726AF"/>
    <w:rsid w:val="00280973"/>
    <w:rsid w:val="00294055"/>
    <w:rsid w:val="00294D2E"/>
    <w:rsid w:val="00296373"/>
    <w:rsid w:val="002A04F3"/>
    <w:rsid w:val="002A193C"/>
    <w:rsid w:val="002B603F"/>
    <w:rsid w:val="002D063B"/>
    <w:rsid w:val="002D5253"/>
    <w:rsid w:val="002D6D35"/>
    <w:rsid w:val="002E04F2"/>
    <w:rsid w:val="00305911"/>
    <w:rsid w:val="0031296A"/>
    <w:rsid w:val="003267A5"/>
    <w:rsid w:val="00337332"/>
    <w:rsid w:val="00340820"/>
    <w:rsid w:val="00350394"/>
    <w:rsid w:val="0035144E"/>
    <w:rsid w:val="00356CB3"/>
    <w:rsid w:val="00357095"/>
    <w:rsid w:val="00362353"/>
    <w:rsid w:val="0036731C"/>
    <w:rsid w:val="00380CF1"/>
    <w:rsid w:val="00381D23"/>
    <w:rsid w:val="003825C9"/>
    <w:rsid w:val="0039005A"/>
    <w:rsid w:val="00396339"/>
    <w:rsid w:val="003A195C"/>
    <w:rsid w:val="003A42B1"/>
    <w:rsid w:val="003A4B4A"/>
    <w:rsid w:val="003D3CE1"/>
    <w:rsid w:val="003D44DC"/>
    <w:rsid w:val="0040167D"/>
    <w:rsid w:val="00402404"/>
    <w:rsid w:val="00404AB0"/>
    <w:rsid w:val="00406AC2"/>
    <w:rsid w:val="00407235"/>
    <w:rsid w:val="00407F97"/>
    <w:rsid w:val="0041307F"/>
    <w:rsid w:val="004222BF"/>
    <w:rsid w:val="00433029"/>
    <w:rsid w:val="00442CD5"/>
    <w:rsid w:val="0044630A"/>
    <w:rsid w:val="0045406C"/>
    <w:rsid w:val="00460750"/>
    <w:rsid w:val="004705F2"/>
    <w:rsid w:val="00473964"/>
    <w:rsid w:val="004771E9"/>
    <w:rsid w:val="004837B1"/>
    <w:rsid w:val="0048569E"/>
    <w:rsid w:val="00486C20"/>
    <w:rsid w:val="00490D61"/>
    <w:rsid w:val="00490E7F"/>
    <w:rsid w:val="004963CC"/>
    <w:rsid w:val="004A19A7"/>
    <w:rsid w:val="004C6362"/>
    <w:rsid w:val="004C6C47"/>
    <w:rsid w:val="004D2941"/>
    <w:rsid w:val="00505020"/>
    <w:rsid w:val="00517459"/>
    <w:rsid w:val="005241D2"/>
    <w:rsid w:val="0055013B"/>
    <w:rsid w:val="00550C4C"/>
    <w:rsid w:val="005525E9"/>
    <w:rsid w:val="00577949"/>
    <w:rsid w:val="00585CCC"/>
    <w:rsid w:val="005A4C19"/>
    <w:rsid w:val="005E4B6B"/>
    <w:rsid w:val="005F0E4D"/>
    <w:rsid w:val="005F11BA"/>
    <w:rsid w:val="005F3F9E"/>
    <w:rsid w:val="005F6876"/>
    <w:rsid w:val="00611DA7"/>
    <w:rsid w:val="006247DB"/>
    <w:rsid w:val="006338DA"/>
    <w:rsid w:val="006416D4"/>
    <w:rsid w:val="006517F0"/>
    <w:rsid w:val="0065584A"/>
    <w:rsid w:val="00656160"/>
    <w:rsid w:val="00681679"/>
    <w:rsid w:val="00692100"/>
    <w:rsid w:val="00697ADD"/>
    <w:rsid w:val="006D6EB8"/>
    <w:rsid w:val="006F4757"/>
    <w:rsid w:val="00710469"/>
    <w:rsid w:val="0072232F"/>
    <w:rsid w:val="007405CB"/>
    <w:rsid w:val="00741C50"/>
    <w:rsid w:val="00761DCB"/>
    <w:rsid w:val="00764CB7"/>
    <w:rsid w:val="00777A7F"/>
    <w:rsid w:val="00780CA6"/>
    <w:rsid w:val="00796044"/>
    <w:rsid w:val="00797360"/>
    <w:rsid w:val="007B1F92"/>
    <w:rsid w:val="007C5B94"/>
    <w:rsid w:val="00803A3C"/>
    <w:rsid w:val="00804453"/>
    <w:rsid w:val="008112C5"/>
    <w:rsid w:val="00814ADD"/>
    <w:rsid w:val="008153FE"/>
    <w:rsid w:val="0082249A"/>
    <w:rsid w:val="00826F01"/>
    <w:rsid w:val="00833933"/>
    <w:rsid w:val="00834F0B"/>
    <w:rsid w:val="00854DB2"/>
    <w:rsid w:val="0086493A"/>
    <w:rsid w:val="00875783"/>
    <w:rsid w:val="00895B77"/>
    <w:rsid w:val="008A3190"/>
    <w:rsid w:val="008C2E82"/>
    <w:rsid w:val="008D1B48"/>
    <w:rsid w:val="008D4721"/>
    <w:rsid w:val="008E60B8"/>
    <w:rsid w:val="008F2552"/>
    <w:rsid w:val="009010F9"/>
    <w:rsid w:val="0090774C"/>
    <w:rsid w:val="00930813"/>
    <w:rsid w:val="00930DDF"/>
    <w:rsid w:val="009503A2"/>
    <w:rsid w:val="00966EB8"/>
    <w:rsid w:val="009679F4"/>
    <w:rsid w:val="00991227"/>
    <w:rsid w:val="009C2243"/>
    <w:rsid w:val="009C2A13"/>
    <w:rsid w:val="009C4772"/>
    <w:rsid w:val="009C477C"/>
    <w:rsid w:val="009C7BA3"/>
    <w:rsid w:val="009D5A35"/>
    <w:rsid w:val="009D6922"/>
    <w:rsid w:val="009F14E9"/>
    <w:rsid w:val="00A211B5"/>
    <w:rsid w:val="00A24114"/>
    <w:rsid w:val="00A26D23"/>
    <w:rsid w:val="00A35D03"/>
    <w:rsid w:val="00A446CB"/>
    <w:rsid w:val="00A44877"/>
    <w:rsid w:val="00A45542"/>
    <w:rsid w:val="00A459C2"/>
    <w:rsid w:val="00A5160A"/>
    <w:rsid w:val="00A51F07"/>
    <w:rsid w:val="00A52439"/>
    <w:rsid w:val="00A62A84"/>
    <w:rsid w:val="00A71E48"/>
    <w:rsid w:val="00A81BAD"/>
    <w:rsid w:val="00A85F0B"/>
    <w:rsid w:val="00A86FB6"/>
    <w:rsid w:val="00A9002C"/>
    <w:rsid w:val="00A94F0D"/>
    <w:rsid w:val="00AA70E3"/>
    <w:rsid w:val="00AB0966"/>
    <w:rsid w:val="00AB0FBE"/>
    <w:rsid w:val="00AB42D9"/>
    <w:rsid w:val="00AB58CE"/>
    <w:rsid w:val="00AD0378"/>
    <w:rsid w:val="00AD12E9"/>
    <w:rsid w:val="00AD77EF"/>
    <w:rsid w:val="00AE17E9"/>
    <w:rsid w:val="00AE243A"/>
    <w:rsid w:val="00AF1EB9"/>
    <w:rsid w:val="00AF5211"/>
    <w:rsid w:val="00AF746D"/>
    <w:rsid w:val="00B01F31"/>
    <w:rsid w:val="00B01FB8"/>
    <w:rsid w:val="00B0768A"/>
    <w:rsid w:val="00B106DE"/>
    <w:rsid w:val="00B118BC"/>
    <w:rsid w:val="00B35721"/>
    <w:rsid w:val="00B407A6"/>
    <w:rsid w:val="00B42378"/>
    <w:rsid w:val="00B43A41"/>
    <w:rsid w:val="00B43CA3"/>
    <w:rsid w:val="00B5453F"/>
    <w:rsid w:val="00B54604"/>
    <w:rsid w:val="00B72B89"/>
    <w:rsid w:val="00B73838"/>
    <w:rsid w:val="00B8305A"/>
    <w:rsid w:val="00B8334E"/>
    <w:rsid w:val="00B96152"/>
    <w:rsid w:val="00BA0AFF"/>
    <w:rsid w:val="00BA3A0F"/>
    <w:rsid w:val="00BA5617"/>
    <w:rsid w:val="00BB1B25"/>
    <w:rsid w:val="00BB3143"/>
    <w:rsid w:val="00BB49FF"/>
    <w:rsid w:val="00BB6549"/>
    <w:rsid w:val="00BB6ACE"/>
    <w:rsid w:val="00BC1FDA"/>
    <w:rsid w:val="00BC5DC5"/>
    <w:rsid w:val="00BC6BA3"/>
    <w:rsid w:val="00BD2275"/>
    <w:rsid w:val="00BE353A"/>
    <w:rsid w:val="00BE4944"/>
    <w:rsid w:val="00BF3D70"/>
    <w:rsid w:val="00BF3E2D"/>
    <w:rsid w:val="00C00AAC"/>
    <w:rsid w:val="00C05EA8"/>
    <w:rsid w:val="00C06619"/>
    <w:rsid w:val="00C12D92"/>
    <w:rsid w:val="00C34C77"/>
    <w:rsid w:val="00C37592"/>
    <w:rsid w:val="00C37ABD"/>
    <w:rsid w:val="00C51E35"/>
    <w:rsid w:val="00C5649E"/>
    <w:rsid w:val="00C62BB2"/>
    <w:rsid w:val="00C62D97"/>
    <w:rsid w:val="00C67E7F"/>
    <w:rsid w:val="00C73D05"/>
    <w:rsid w:val="00C759F8"/>
    <w:rsid w:val="00CA1314"/>
    <w:rsid w:val="00CA4596"/>
    <w:rsid w:val="00CB0F02"/>
    <w:rsid w:val="00CD21B4"/>
    <w:rsid w:val="00CD2D44"/>
    <w:rsid w:val="00CE2103"/>
    <w:rsid w:val="00CE67E4"/>
    <w:rsid w:val="00CE6D9C"/>
    <w:rsid w:val="00CF090C"/>
    <w:rsid w:val="00D062D4"/>
    <w:rsid w:val="00D06356"/>
    <w:rsid w:val="00D14724"/>
    <w:rsid w:val="00D36729"/>
    <w:rsid w:val="00D37BFD"/>
    <w:rsid w:val="00D45274"/>
    <w:rsid w:val="00D45E0E"/>
    <w:rsid w:val="00D57062"/>
    <w:rsid w:val="00D6013D"/>
    <w:rsid w:val="00D666DC"/>
    <w:rsid w:val="00D85C6D"/>
    <w:rsid w:val="00D912A7"/>
    <w:rsid w:val="00DA1FEF"/>
    <w:rsid w:val="00DB6BC0"/>
    <w:rsid w:val="00DC2BAE"/>
    <w:rsid w:val="00DC585B"/>
    <w:rsid w:val="00DD6045"/>
    <w:rsid w:val="00DF36DA"/>
    <w:rsid w:val="00E05D92"/>
    <w:rsid w:val="00E06600"/>
    <w:rsid w:val="00E12E96"/>
    <w:rsid w:val="00E26D28"/>
    <w:rsid w:val="00E33AE1"/>
    <w:rsid w:val="00E33F52"/>
    <w:rsid w:val="00E362EF"/>
    <w:rsid w:val="00E732BE"/>
    <w:rsid w:val="00E822F8"/>
    <w:rsid w:val="00E86AA5"/>
    <w:rsid w:val="00E96E54"/>
    <w:rsid w:val="00EC25E1"/>
    <w:rsid w:val="00EC400D"/>
    <w:rsid w:val="00ED51AB"/>
    <w:rsid w:val="00EF0676"/>
    <w:rsid w:val="00EF656C"/>
    <w:rsid w:val="00F07735"/>
    <w:rsid w:val="00F12222"/>
    <w:rsid w:val="00F153AA"/>
    <w:rsid w:val="00F209F0"/>
    <w:rsid w:val="00F21CD2"/>
    <w:rsid w:val="00F251B0"/>
    <w:rsid w:val="00F31B1B"/>
    <w:rsid w:val="00F35EE8"/>
    <w:rsid w:val="00F37C42"/>
    <w:rsid w:val="00F421C7"/>
    <w:rsid w:val="00F47B4B"/>
    <w:rsid w:val="00F64FBA"/>
    <w:rsid w:val="00F65558"/>
    <w:rsid w:val="00F65DFD"/>
    <w:rsid w:val="00F70230"/>
    <w:rsid w:val="00F72D07"/>
    <w:rsid w:val="00F90D42"/>
    <w:rsid w:val="00F95712"/>
    <w:rsid w:val="00F95C15"/>
    <w:rsid w:val="00F96C16"/>
    <w:rsid w:val="00FA4E29"/>
    <w:rsid w:val="00FA6CD9"/>
    <w:rsid w:val="00FB088E"/>
    <w:rsid w:val="00FB2401"/>
    <w:rsid w:val="00FB6115"/>
    <w:rsid w:val="00FC0212"/>
    <w:rsid w:val="00FC2209"/>
    <w:rsid w:val="00FD117D"/>
    <w:rsid w:val="00FF2931"/>
    <w:rsid w:val="00FF6F56"/>
    <w:rsid w:val="00FF7A9C"/>
    <w:rsid w:val="04870B72"/>
    <w:rsid w:val="066CF5B2"/>
    <w:rsid w:val="0AD419DD"/>
    <w:rsid w:val="0CF42A49"/>
    <w:rsid w:val="0D729C51"/>
    <w:rsid w:val="0D8E4D76"/>
    <w:rsid w:val="0F80519D"/>
    <w:rsid w:val="0F937DE0"/>
    <w:rsid w:val="11ABC34C"/>
    <w:rsid w:val="124C1B67"/>
    <w:rsid w:val="12C3609B"/>
    <w:rsid w:val="165ECDDE"/>
    <w:rsid w:val="185D364C"/>
    <w:rsid w:val="18BAE644"/>
    <w:rsid w:val="1CE39530"/>
    <w:rsid w:val="20600AC3"/>
    <w:rsid w:val="21A10B74"/>
    <w:rsid w:val="24447955"/>
    <w:rsid w:val="246FC52D"/>
    <w:rsid w:val="26B5E98F"/>
    <w:rsid w:val="284C4D36"/>
    <w:rsid w:val="28AD683A"/>
    <w:rsid w:val="28CAF4B5"/>
    <w:rsid w:val="296B95F6"/>
    <w:rsid w:val="2B930542"/>
    <w:rsid w:val="2E6D298C"/>
    <w:rsid w:val="35588230"/>
    <w:rsid w:val="3AFCD5A7"/>
    <w:rsid w:val="3B4D0835"/>
    <w:rsid w:val="41B82FA1"/>
    <w:rsid w:val="42ED70DB"/>
    <w:rsid w:val="43525D3F"/>
    <w:rsid w:val="522BCFB1"/>
    <w:rsid w:val="5446A302"/>
    <w:rsid w:val="54970EFD"/>
    <w:rsid w:val="5852808B"/>
    <w:rsid w:val="59824A09"/>
    <w:rsid w:val="5E75182C"/>
    <w:rsid w:val="61CFF1D2"/>
    <w:rsid w:val="61F8F5F1"/>
    <w:rsid w:val="62E67212"/>
    <w:rsid w:val="636BB901"/>
    <w:rsid w:val="69F2933B"/>
    <w:rsid w:val="6C3DBDA3"/>
    <w:rsid w:val="75309551"/>
    <w:rsid w:val="775ABD5B"/>
    <w:rsid w:val="7B3A03EB"/>
    <w:rsid w:val="7CAA372B"/>
    <w:rsid w:val="7F1C2E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520F"/>
  <w15:docId w15:val="{71DF7F5E-9A30-4036-9784-8630D4AF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spacing w:after="60" w:line="240" w:lineRule="auto"/>
      <w:ind w:left="720" w:hanging="72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E33AE1"/>
  </w:style>
  <w:style w:type="paragraph" w:customStyle="1" w:styleId="paragraph">
    <w:name w:val="paragraph"/>
    <w:basedOn w:val="Normal"/>
    <w:rsid w:val="005241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52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24785">
      <w:bodyDiv w:val="1"/>
      <w:marLeft w:val="0"/>
      <w:marRight w:val="0"/>
      <w:marTop w:val="0"/>
      <w:marBottom w:val="0"/>
      <w:divBdr>
        <w:top w:val="none" w:sz="0" w:space="0" w:color="auto"/>
        <w:left w:val="none" w:sz="0" w:space="0" w:color="auto"/>
        <w:bottom w:val="none" w:sz="0" w:space="0" w:color="auto"/>
        <w:right w:val="none" w:sz="0" w:space="0" w:color="auto"/>
      </w:divBdr>
      <w:divsChild>
        <w:div w:id="1373726901">
          <w:marLeft w:val="0"/>
          <w:marRight w:val="0"/>
          <w:marTop w:val="0"/>
          <w:marBottom w:val="0"/>
          <w:divBdr>
            <w:top w:val="none" w:sz="0" w:space="0" w:color="auto"/>
            <w:left w:val="none" w:sz="0" w:space="0" w:color="auto"/>
            <w:bottom w:val="none" w:sz="0" w:space="0" w:color="auto"/>
            <w:right w:val="none" w:sz="0" w:space="0" w:color="auto"/>
          </w:divBdr>
          <w:divsChild>
            <w:div w:id="1183664669">
              <w:marLeft w:val="0"/>
              <w:marRight w:val="0"/>
              <w:marTop w:val="0"/>
              <w:marBottom w:val="0"/>
              <w:divBdr>
                <w:top w:val="none" w:sz="0" w:space="0" w:color="auto"/>
                <w:left w:val="none" w:sz="0" w:space="0" w:color="auto"/>
                <w:bottom w:val="none" w:sz="0" w:space="0" w:color="auto"/>
                <w:right w:val="none" w:sz="0" w:space="0" w:color="auto"/>
              </w:divBdr>
            </w:div>
          </w:divsChild>
        </w:div>
        <w:div w:id="1947612664">
          <w:marLeft w:val="0"/>
          <w:marRight w:val="0"/>
          <w:marTop w:val="0"/>
          <w:marBottom w:val="0"/>
          <w:divBdr>
            <w:top w:val="none" w:sz="0" w:space="0" w:color="auto"/>
            <w:left w:val="none" w:sz="0" w:space="0" w:color="auto"/>
            <w:bottom w:val="none" w:sz="0" w:space="0" w:color="auto"/>
            <w:right w:val="none" w:sz="0" w:space="0" w:color="auto"/>
          </w:divBdr>
          <w:divsChild>
            <w:div w:id="524178681">
              <w:marLeft w:val="0"/>
              <w:marRight w:val="0"/>
              <w:marTop w:val="0"/>
              <w:marBottom w:val="0"/>
              <w:divBdr>
                <w:top w:val="none" w:sz="0" w:space="0" w:color="auto"/>
                <w:left w:val="none" w:sz="0" w:space="0" w:color="auto"/>
                <w:bottom w:val="none" w:sz="0" w:space="0" w:color="auto"/>
                <w:right w:val="none" w:sz="0" w:space="0" w:color="auto"/>
              </w:divBdr>
            </w:div>
          </w:divsChild>
        </w:div>
        <w:div w:id="1740010104">
          <w:marLeft w:val="0"/>
          <w:marRight w:val="0"/>
          <w:marTop w:val="0"/>
          <w:marBottom w:val="0"/>
          <w:divBdr>
            <w:top w:val="none" w:sz="0" w:space="0" w:color="auto"/>
            <w:left w:val="none" w:sz="0" w:space="0" w:color="auto"/>
            <w:bottom w:val="none" w:sz="0" w:space="0" w:color="auto"/>
            <w:right w:val="none" w:sz="0" w:space="0" w:color="auto"/>
          </w:divBdr>
          <w:divsChild>
            <w:div w:id="305857892">
              <w:marLeft w:val="0"/>
              <w:marRight w:val="0"/>
              <w:marTop w:val="0"/>
              <w:marBottom w:val="0"/>
              <w:divBdr>
                <w:top w:val="none" w:sz="0" w:space="0" w:color="auto"/>
                <w:left w:val="none" w:sz="0" w:space="0" w:color="auto"/>
                <w:bottom w:val="none" w:sz="0" w:space="0" w:color="auto"/>
                <w:right w:val="none" w:sz="0" w:space="0" w:color="auto"/>
              </w:divBdr>
            </w:div>
          </w:divsChild>
        </w:div>
        <w:div w:id="731463552">
          <w:marLeft w:val="0"/>
          <w:marRight w:val="0"/>
          <w:marTop w:val="0"/>
          <w:marBottom w:val="0"/>
          <w:divBdr>
            <w:top w:val="none" w:sz="0" w:space="0" w:color="auto"/>
            <w:left w:val="none" w:sz="0" w:space="0" w:color="auto"/>
            <w:bottom w:val="none" w:sz="0" w:space="0" w:color="auto"/>
            <w:right w:val="none" w:sz="0" w:space="0" w:color="auto"/>
          </w:divBdr>
          <w:divsChild>
            <w:div w:id="515919965">
              <w:marLeft w:val="0"/>
              <w:marRight w:val="0"/>
              <w:marTop w:val="0"/>
              <w:marBottom w:val="0"/>
              <w:divBdr>
                <w:top w:val="none" w:sz="0" w:space="0" w:color="auto"/>
                <w:left w:val="none" w:sz="0" w:space="0" w:color="auto"/>
                <w:bottom w:val="none" w:sz="0" w:space="0" w:color="auto"/>
                <w:right w:val="none" w:sz="0" w:space="0" w:color="auto"/>
              </w:divBdr>
            </w:div>
          </w:divsChild>
        </w:div>
        <w:div w:id="1833178570">
          <w:marLeft w:val="0"/>
          <w:marRight w:val="0"/>
          <w:marTop w:val="0"/>
          <w:marBottom w:val="0"/>
          <w:divBdr>
            <w:top w:val="none" w:sz="0" w:space="0" w:color="auto"/>
            <w:left w:val="none" w:sz="0" w:space="0" w:color="auto"/>
            <w:bottom w:val="none" w:sz="0" w:space="0" w:color="auto"/>
            <w:right w:val="none" w:sz="0" w:space="0" w:color="auto"/>
          </w:divBdr>
          <w:divsChild>
            <w:div w:id="6947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itionalContext xmlns="492a9a14-5db1-4742-bb56-503ea3c4c34b" xsi:nil="true"/>
    <TaxCatchAll xmlns="81c01dc6-2c49-4730-b140-874c95cac377" xsi:nil="true"/>
    <lcf76f155ced4ddcb4097134ff3c332f xmlns="492a9a14-5db1-4742-bb56-503ea3c4c3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492a9a14-5db1-4742-bb56-503ea3c4c34b"/>
    <ds:schemaRef ds:uri="81c01dc6-2c49-4730-b140-874c95cac377"/>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C600F335-8876-4D33-8DB4-3F359A5D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Kiely, Adam</cp:lastModifiedBy>
  <cp:revision>3</cp:revision>
  <cp:lastPrinted>2025-01-16T23:49:00Z</cp:lastPrinted>
  <dcterms:created xsi:type="dcterms:W3CDTF">2025-01-16T23:49:00Z</dcterms:created>
  <dcterms:modified xsi:type="dcterms:W3CDTF">2025-01-16T23:49:00Z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ClassificationContentMarkingHeaderShapeIds">
    <vt:lpwstr>776b1777,572b0965,75a09226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6de11cf6,5a212254,7c207c96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2024-09-17T00:47:37Z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1d77f281-e97f-443a-9c83-428ed2b1e7b1</vt:lpwstr>
  </property>
  <property fmtid="{D5CDD505-2E9C-101B-9397-08002B2CF9AE}" pid="16" name="MSIP_Label_933d8be6-3c40-4052-87a2-9c2adcba8759_ContentBits">
    <vt:lpwstr>3</vt:lpwstr>
  </property>
  <property fmtid="{D5CDD505-2E9C-101B-9397-08002B2CF9AE}" pid="17" name="MediaServiceImageTags">
    <vt:lpwstr/>
  </property>
</Properties>
</file>