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49F6" w14:textId="77777777" w:rsidR="00E362EF" w:rsidRDefault="00DF4BAA">
      <w:pPr>
        <w:pStyle w:val="Heading1"/>
      </w:pPr>
      <w:r>
        <w:t xml:space="preserve">First point of entry biosecurity standards (ports) </w:t>
      </w:r>
    </w:p>
    <w:p w14:paraId="691E2C2B" w14:textId="77777777" w:rsidR="00E362EF" w:rsidRDefault="00DF4BAA">
      <w:pPr>
        <w:pStyle w:val="Subtitle"/>
      </w:pPr>
      <w:r>
        <w:t xml:space="preserve">Cruise vessel standard - additional human health </w:t>
      </w:r>
      <w:r w:rsidR="003C2B13">
        <w:t>facilities and procedures</w:t>
      </w:r>
      <w:r>
        <w:t xml:space="preserve"> </w:t>
      </w:r>
    </w:p>
    <w:p w14:paraId="45916A9A" w14:textId="77777777" w:rsidR="00E362EF" w:rsidRDefault="00DF4BAA">
      <w:pPr>
        <w:pStyle w:val="AuthorOrganisationAffiliation"/>
        <w:tabs>
          <w:tab w:val="left" w:pos="7995"/>
        </w:tabs>
      </w:pPr>
      <w:r>
        <w:t>Version 1.0</w:t>
      </w:r>
    </w:p>
    <w:p w14:paraId="76B36EE2" w14:textId="77777777" w:rsidR="00E362EF" w:rsidRDefault="00DF4BAA">
      <w:pPr>
        <w:pStyle w:val="Heading2"/>
      </w:pPr>
      <w:r>
        <w:t>Purpose</w:t>
      </w:r>
    </w:p>
    <w:p w14:paraId="5CB1C53E" w14:textId="45407FD5" w:rsidR="004A7846" w:rsidRDefault="00DF4BAA" w:rsidP="00DF4BAA">
      <w:r>
        <w:t>This document is for authorities and operators at Australian ports</w:t>
      </w:r>
      <w:r w:rsidR="003C2B13">
        <w:t xml:space="preserve"> </w:t>
      </w:r>
      <w:r w:rsidR="00600103">
        <w:t xml:space="preserve">determined as a first point of entry (FPOE) for passenger vessel baggage </w:t>
      </w:r>
      <w:r w:rsidR="003C2B13">
        <w:t xml:space="preserve">(i.e. </w:t>
      </w:r>
      <w:r w:rsidR="00BD548C">
        <w:t xml:space="preserve">locations where </w:t>
      </w:r>
      <w:r w:rsidR="00CA1AF3">
        <w:t xml:space="preserve">cruise </w:t>
      </w:r>
      <w:r w:rsidR="00600103">
        <w:t>passenger</w:t>
      </w:r>
      <w:r w:rsidR="00BD548C">
        <w:t>s</w:t>
      </w:r>
      <w:r w:rsidR="00600103">
        <w:t xml:space="preserve"> disembark</w:t>
      </w:r>
      <w:r w:rsidR="00CA1AF3">
        <w:t xml:space="preserve"> from vessels subject to biosecurity control</w:t>
      </w:r>
      <w:r w:rsidR="00600103">
        <w:t xml:space="preserve">). </w:t>
      </w:r>
      <w:r w:rsidR="003C2B13">
        <w:t>It provides additional guidance on how to meet their responsibilities under section</w:t>
      </w:r>
      <w:r w:rsidR="00600103">
        <w:t> </w:t>
      </w:r>
      <w:r w:rsidR="003C2B13">
        <w:t xml:space="preserve">58 of the </w:t>
      </w:r>
      <w:hyperlink r:id="rId11" w:history="1">
        <w:r w:rsidR="003C2B13" w:rsidRPr="00600103">
          <w:rPr>
            <w:rStyle w:val="Hyperlink"/>
          </w:rPr>
          <w:t>Biosecurity Regulation 2016</w:t>
        </w:r>
      </w:hyperlink>
      <w:r w:rsidR="003C2B13">
        <w:t xml:space="preserve"> to:</w:t>
      </w:r>
    </w:p>
    <w:p w14:paraId="2AE8C027" w14:textId="5D6E9878" w:rsidR="003C2B13" w:rsidRDefault="003C2B13" w:rsidP="003C2B13">
      <w:pPr>
        <w:pStyle w:val="ListBullet"/>
        <w:tabs>
          <w:tab w:val="num" w:pos="360"/>
        </w:tabs>
        <w:ind w:left="357" w:hanging="357"/>
      </w:pPr>
      <w:r>
        <w:t>effective</w:t>
      </w:r>
      <w:r w:rsidR="00600103">
        <w:t>ly</w:t>
      </w:r>
      <w:r>
        <w:t xml:space="preserve"> manage biosecurity risks associated with port operations</w:t>
      </w:r>
    </w:p>
    <w:p w14:paraId="3E206FD6" w14:textId="77777777" w:rsidR="003C2B13" w:rsidRDefault="003C2B13" w:rsidP="003C2B13">
      <w:pPr>
        <w:pStyle w:val="ListBullet"/>
        <w:tabs>
          <w:tab w:val="num" w:pos="360"/>
        </w:tabs>
        <w:ind w:left="357" w:hanging="357"/>
      </w:pPr>
      <w:r>
        <w:t>enable Australian Government biosecurity officers and human biosecurity officers to perform government biosecurity risk management functions.</w:t>
      </w:r>
    </w:p>
    <w:p w14:paraId="7D6F2C25" w14:textId="033A8695" w:rsidR="00E362EF" w:rsidRDefault="00DF4BAA" w:rsidP="00DF4BAA">
      <w:r>
        <w:t xml:space="preserve">This document should be read in conjunction with the </w:t>
      </w:r>
      <w:hyperlink r:id="rId12" w:anchor="fpoe-biosecurity-standards" w:history="1">
        <w:r w:rsidRPr="004F0354">
          <w:rPr>
            <w:rStyle w:val="Hyperlink"/>
          </w:rPr>
          <w:t>First point of entry biosecurity standards (ports): Guide to meeting section 58 of the Biosecurity Regulation 2016</w:t>
        </w:r>
      </w:hyperlink>
      <w:r w:rsidR="003C2B13">
        <w:rPr>
          <w:i/>
          <w:iCs/>
        </w:rPr>
        <w:t xml:space="preserve"> </w:t>
      </w:r>
      <w:r w:rsidR="003C2B13">
        <w:t>(FPOE Standards)</w:t>
      </w:r>
      <w:r>
        <w:t>.</w:t>
      </w:r>
      <w:r w:rsidR="003C2B13">
        <w:t xml:space="preserve"> </w:t>
      </w:r>
      <w:r>
        <w:t xml:space="preserve"> </w:t>
      </w:r>
    </w:p>
    <w:p w14:paraId="2CFD8B9E" w14:textId="77777777" w:rsidR="00E362EF" w:rsidRDefault="004A7846">
      <w:pPr>
        <w:pStyle w:val="Heading2"/>
      </w:pPr>
      <w:bookmarkStart w:id="0" w:name="_Toc430782151"/>
      <w:bookmarkStart w:id="1" w:name="_Toc511376519"/>
      <w:r>
        <w:t>Context</w:t>
      </w:r>
      <w:bookmarkEnd w:id="0"/>
      <w:bookmarkEnd w:id="1"/>
    </w:p>
    <w:p w14:paraId="4A98C954" w14:textId="6119B308" w:rsidR="004F0354" w:rsidRDefault="003C2B13">
      <w:r>
        <w:t xml:space="preserve">The current FPOE Standards do not adequately address the increased human biosecurity risk presented by COVID-19.  </w:t>
      </w:r>
      <w:r w:rsidR="00D9508E">
        <w:t>To effectively manage the increased risk and enable biosecurity officers and human biosecurity officers to perform their functions, FPOE</w:t>
      </w:r>
      <w:r w:rsidR="00E36329">
        <w:t xml:space="preserve"> operators</w:t>
      </w:r>
      <w:r w:rsidR="00D9508E">
        <w:t xml:space="preserve"> are to implement </w:t>
      </w:r>
      <w:r w:rsidR="004F0354">
        <w:t xml:space="preserve">the </w:t>
      </w:r>
      <w:r w:rsidR="00D9508E">
        <w:t>additional facilities and procedures</w:t>
      </w:r>
      <w:r w:rsidR="004F0354">
        <w:t xml:space="preserve"> detailed in the table below</w:t>
      </w:r>
      <w:r w:rsidR="00600103">
        <w:t>.</w:t>
      </w:r>
    </w:p>
    <w:p w14:paraId="00E56493" w14:textId="39135648" w:rsidR="003C2B13" w:rsidRDefault="003C2B13">
      <w:r>
        <w:t>A</w:t>
      </w:r>
      <w:r w:rsidR="00600103">
        <w:t xml:space="preserve"> comprehensive </w:t>
      </w:r>
      <w:r>
        <w:t>review of the FPOE Standards is anticipated to commence in 2022</w:t>
      </w:r>
      <w:r w:rsidR="00600103">
        <w:t xml:space="preserve"> which will </w:t>
      </w:r>
      <w:r w:rsidR="00750153">
        <w:t>consider</w:t>
      </w:r>
      <w:r w:rsidR="00600103">
        <w:t xml:space="preserve"> all components </w:t>
      </w:r>
      <w:r w:rsidR="00CA1AF3">
        <w:t>of</w:t>
      </w:r>
      <w:r w:rsidR="00600103">
        <w:t xml:space="preserve"> the FPOE Standards</w:t>
      </w:r>
      <w:r w:rsidR="00D9508E">
        <w:t xml:space="preserve">, including </w:t>
      </w:r>
      <w:r w:rsidR="0065238C">
        <w:t xml:space="preserve">all aspects of the cruise vessel standard. </w:t>
      </w:r>
    </w:p>
    <w:p w14:paraId="7B5005F5" w14:textId="77777777" w:rsidR="0065238C" w:rsidRDefault="00D9508E" w:rsidP="00D9508E">
      <w:pPr>
        <w:pStyle w:val="Heading2"/>
      </w:pPr>
      <w:bookmarkStart w:id="2" w:name="_Ref445985101"/>
      <w:bookmarkStart w:id="3" w:name="_Toc409769090"/>
      <w:bookmarkStart w:id="4" w:name="_Toc454439312"/>
      <w:r>
        <w:t>A</w:t>
      </w:r>
      <w:r w:rsidRPr="00D9508E">
        <w:t>dditional human health facilities and procedures</w:t>
      </w:r>
    </w:p>
    <w:p w14:paraId="438CE6A4" w14:textId="66B06B44" w:rsidR="004F0354" w:rsidRDefault="0065238C" w:rsidP="004F0354">
      <w:r>
        <w:t>The table below details the</w:t>
      </w:r>
      <w:r w:rsidR="004F0354">
        <w:t xml:space="preserve"> additional</w:t>
      </w:r>
      <w:r>
        <w:t xml:space="preserve"> facilities and procedures that port authorities must have in place to </w:t>
      </w:r>
      <w:r w:rsidR="005F0601" w:rsidRPr="005F0601">
        <w:t>effectively manage biosecurity risk</w:t>
      </w:r>
      <w:r w:rsidR="005F0601">
        <w:t>,</w:t>
      </w:r>
      <w:r w:rsidR="005F0601" w:rsidRPr="005F0601">
        <w:t xml:space="preserve"> </w:t>
      </w:r>
      <w:r w:rsidR="005F0601">
        <w:t xml:space="preserve">and </w:t>
      </w:r>
      <w:r w:rsidR="00CA1AF3">
        <w:t xml:space="preserve">to </w:t>
      </w:r>
      <w:r w:rsidR="005F0601">
        <w:t>e</w:t>
      </w:r>
      <w:r>
        <w:t xml:space="preserve">nable biosecurity officers and human biosecurity officers to manage </w:t>
      </w:r>
      <w:r w:rsidR="0058354F">
        <w:t xml:space="preserve">human </w:t>
      </w:r>
      <w:r>
        <w:t>biosecurity risk associated with disembark</w:t>
      </w:r>
      <w:r w:rsidR="009C0913">
        <w:t>ing cruise passengers</w:t>
      </w:r>
      <w:r>
        <w:t>.</w:t>
      </w:r>
      <w:r w:rsidR="004F0354" w:rsidRPr="004F0354">
        <w:t xml:space="preserve"> </w:t>
      </w:r>
      <w:r>
        <w:t>Th</w:t>
      </w:r>
      <w:r w:rsidR="004F0354" w:rsidRPr="004F0354">
        <w:t>e</w:t>
      </w:r>
      <w:r>
        <w:t xml:space="preserve"> table </w:t>
      </w:r>
      <w:r w:rsidR="004F0354">
        <w:t xml:space="preserve">below supersedes the following sections of </w:t>
      </w:r>
      <w:r w:rsidRPr="0065238C">
        <w:t>Table 5 Cruise vessel standard (traveller personal effects)</w:t>
      </w:r>
      <w:r>
        <w:t xml:space="preserve"> in the </w:t>
      </w:r>
      <w:hyperlink r:id="rId13" w:anchor="fpoe-biosecurity-standards" w:history="1">
        <w:r w:rsidRPr="00E36329">
          <w:rPr>
            <w:rStyle w:val="Hyperlink"/>
          </w:rPr>
          <w:t>FPOE Standards</w:t>
        </w:r>
      </w:hyperlink>
      <w:r w:rsidR="004F0354">
        <w:t>:</w:t>
      </w:r>
    </w:p>
    <w:p w14:paraId="46777DA6" w14:textId="77777777" w:rsidR="004F0354" w:rsidRDefault="004F0354" w:rsidP="004F0354">
      <w:pPr>
        <w:pStyle w:val="ListBullet"/>
        <w:tabs>
          <w:tab w:val="num" w:pos="360"/>
        </w:tabs>
        <w:ind w:left="357" w:hanging="357"/>
      </w:pPr>
      <w:r>
        <w:t>Travellers – human health facilities</w:t>
      </w:r>
    </w:p>
    <w:p w14:paraId="7ED02B28" w14:textId="13E86156" w:rsidR="0065238C" w:rsidRPr="004F0354" w:rsidRDefault="004F0354" w:rsidP="004F0354">
      <w:pPr>
        <w:pStyle w:val="ListBullet"/>
        <w:tabs>
          <w:tab w:val="num" w:pos="360"/>
        </w:tabs>
        <w:ind w:left="357" w:hanging="357"/>
      </w:pPr>
      <w:r>
        <w:t>Travellers – human biosecurity incident (risk) response</w:t>
      </w:r>
      <w:r w:rsidR="0065238C">
        <w:t xml:space="preserve"> 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557"/>
      </w:tblGrid>
      <w:tr w:rsidR="0065238C" w14:paraId="258C7DEE" w14:textId="77777777" w:rsidTr="00A62B20">
        <w:trPr>
          <w:cantSplit/>
          <w:tblHeader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006CDE" w14:textId="77777777" w:rsidR="0065238C" w:rsidRDefault="0065238C" w:rsidP="00A21760">
            <w:pPr>
              <w:pStyle w:val="TableHeading"/>
            </w:pPr>
            <w:r>
              <w:lastRenderedPageBreak/>
              <w:t>Standard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65D6009" w14:textId="77777777" w:rsidR="0065238C" w:rsidRDefault="0065238C" w:rsidP="00A21760">
            <w:pPr>
              <w:pStyle w:val="TableHeading"/>
            </w:pPr>
            <w:r>
              <w:t>Evidence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1739F584" w14:textId="77777777" w:rsidR="0065238C" w:rsidRDefault="0065238C" w:rsidP="00A21760">
            <w:pPr>
              <w:pStyle w:val="TableHeading"/>
            </w:pPr>
            <w:r>
              <w:t>Responsibility</w:t>
            </w:r>
          </w:p>
        </w:tc>
      </w:tr>
      <w:tr w:rsidR="0065238C" w14:paraId="6BC24997" w14:textId="77777777" w:rsidTr="00A62B20">
        <w:trPr>
          <w:cantSplit/>
          <w:trHeight w:val="223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C7D70D" w14:textId="77777777" w:rsidR="0065238C" w:rsidRDefault="0065238C" w:rsidP="00A21760">
            <w:pPr>
              <w:pStyle w:val="TableText"/>
            </w:pPr>
            <w:r>
              <w:t>Travellers – human health facilities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291BB0E" w14:textId="2587A8E8" w:rsidR="005653E3" w:rsidRDefault="005653E3" w:rsidP="005653E3">
            <w:pPr>
              <w:pStyle w:val="TableBullet1"/>
              <w:numPr>
                <w:ilvl w:val="0"/>
                <w:numId w:val="0"/>
              </w:numPr>
              <w:ind w:left="27" w:hanging="27"/>
            </w:pPr>
            <w:r>
              <w:t xml:space="preserve">Provision of a </w:t>
            </w:r>
            <w:r w:rsidR="00F26590">
              <w:t>H</w:t>
            </w:r>
            <w:r>
              <w:t xml:space="preserve">ealth </w:t>
            </w:r>
            <w:r w:rsidR="00F26590">
              <w:t>R</w:t>
            </w:r>
            <w:r>
              <w:t xml:space="preserve">oom (or dedicated health area, </w:t>
            </w:r>
            <w:r w:rsidR="00317762">
              <w:t>if</w:t>
            </w:r>
            <w:r>
              <w:t xml:space="preserve"> approved by the department) for screening and isolating ill travellers that:</w:t>
            </w:r>
          </w:p>
          <w:p w14:paraId="4BC1DDCE" w14:textId="6B8F1300" w:rsidR="005653E3" w:rsidRDefault="005653E3" w:rsidP="005653E3">
            <w:pPr>
              <w:pStyle w:val="TableBullet1"/>
            </w:pPr>
            <w:r>
              <w:t xml:space="preserve">is </w:t>
            </w:r>
            <w:proofErr w:type="gramStart"/>
            <w:r>
              <w:t>single-purpose</w:t>
            </w:r>
            <w:proofErr w:type="gramEnd"/>
            <w:r w:rsidR="00AB5362">
              <w:t xml:space="preserve"> </w:t>
            </w:r>
            <w:bookmarkStart w:id="5" w:name="_Hlk95466980"/>
            <w:r w:rsidR="00AB5362">
              <w:t>(not used as a general first aid room or for any purpose</w:t>
            </w:r>
            <w:r w:rsidR="00984C39">
              <w:t xml:space="preserve"> other than as a human health room</w:t>
            </w:r>
            <w:r w:rsidR="00AB5362">
              <w:t xml:space="preserve">)  </w:t>
            </w:r>
            <w:bookmarkEnd w:id="5"/>
          </w:p>
          <w:p w14:paraId="6766F9E1" w14:textId="77777777" w:rsidR="005653E3" w:rsidRDefault="005653E3" w:rsidP="005653E3">
            <w:pPr>
              <w:pStyle w:val="TableBullet1"/>
            </w:pPr>
            <w:r>
              <w:t>has signage indicating it is a biosecurity area e.g. Biosecurity Area – Authorised Personnel Only</w:t>
            </w:r>
          </w:p>
          <w:p w14:paraId="748D28F7" w14:textId="38F17EFC" w:rsidR="005653E3" w:rsidRDefault="005653E3" w:rsidP="005653E3">
            <w:pPr>
              <w:pStyle w:val="TableBullet1"/>
            </w:pPr>
            <w:r>
              <w:t xml:space="preserve">is </w:t>
            </w:r>
            <w:proofErr w:type="gramStart"/>
            <w:r w:rsidR="008C5B50">
              <w:t>in close proximity to</w:t>
            </w:r>
            <w:proofErr w:type="gramEnd"/>
            <w:r w:rsidR="008C5B50">
              <w:t xml:space="preserve"> the Primary Line and toilet facilities but </w:t>
            </w:r>
            <w:r>
              <w:t>at least 10</w:t>
            </w:r>
            <w:r w:rsidR="008C5B50">
              <w:t> </w:t>
            </w:r>
            <w:r>
              <w:t>m</w:t>
            </w:r>
            <w:r w:rsidR="008C5B50">
              <w:t>etres</w:t>
            </w:r>
            <w:r>
              <w:t xml:space="preserve"> from passenger flow </w:t>
            </w:r>
            <w:r w:rsidRPr="00E03A09">
              <w:t>(noting environmental factors will be taken into consideration and the room/area may need to be further than 10m from the passenger flow in some locations)</w:t>
            </w:r>
            <w:r>
              <w:t xml:space="preserve"> </w:t>
            </w:r>
          </w:p>
          <w:p w14:paraId="57C60064" w14:textId="77777777" w:rsidR="00842544" w:rsidRDefault="00842544" w:rsidP="005653E3">
            <w:pPr>
              <w:pStyle w:val="TableBullet1"/>
            </w:pPr>
            <w:r w:rsidRPr="00842544">
              <w:t>allow</w:t>
            </w:r>
            <w:r>
              <w:t>s</w:t>
            </w:r>
            <w:r w:rsidRPr="00842544">
              <w:t xml:space="preserve"> easy access and movement of people who may need to be supported or moved by stretcher or wheelchair </w:t>
            </w:r>
          </w:p>
          <w:p w14:paraId="66699213" w14:textId="74D302C5" w:rsidR="005653E3" w:rsidRDefault="005653E3" w:rsidP="005653E3">
            <w:pPr>
              <w:pStyle w:val="TableBullet1"/>
            </w:pPr>
            <w:r>
              <w:t>ha</w:t>
            </w:r>
            <w:r w:rsidR="00842544">
              <w:t>s</w:t>
            </w:r>
            <w:r>
              <w:t xml:space="preserve"> an impervious floor </w:t>
            </w:r>
          </w:p>
          <w:p w14:paraId="7B15D6F7" w14:textId="3CE58EAC" w:rsidR="005653E3" w:rsidRDefault="005653E3" w:rsidP="005653E3">
            <w:pPr>
              <w:pStyle w:val="TableBullet1"/>
            </w:pPr>
            <w:r>
              <w:t>is climate controlled and ha</w:t>
            </w:r>
            <w:r w:rsidR="00317762">
              <w:t>s</w:t>
            </w:r>
            <w:r>
              <w:t xml:space="preserve"> adequate ventilation e.g. in an airconditioned building, </w:t>
            </w:r>
            <w:r w:rsidR="00317762">
              <w:t>with</w:t>
            </w:r>
            <w:r>
              <w:t xml:space="preserve"> optimum air exchanges and flow </w:t>
            </w:r>
          </w:p>
          <w:p w14:paraId="6EA85631" w14:textId="2D54622D" w:rsidR="00005276" w:rsidRDefault="00005276" w:rsidP="005653E3">
            <w:pPr>
              <w:pStyle w:val="TableBullet1"/>
            </w:pPr>
            <w:r>
              <w:t>has adequate lighting to facilitate assessment of ill travellers</w:t>
            </w:r>
          </w:p>
          <w:p w14:paraId="0FE4A96F" w14:textId="26250EA9" w:rsidR="005653E3" w:rsidRDefault="005653E3" w:rsidP="005653E3">
            <w:pPr>
              <w:pStyle w:val="TableBullet1"/>
            </w:pPr>
            <w:r>
              <w:t xml:space="preserve">has solid walls or partitions that </w:t>
            </w:r>
            <w:r w:rsidR="002E6AD1">
              <w:t xml:space="preserve">enable privacy and </w:t>
            </w:r>
            <w:r>
              <w:t>are cleanable</w:t>
            </w:r>
            <w:r w:rsidR="00BD548C">
              <w:t>.</w:t>
            </w:r>
            <w:r>
              <w:t xml:space="preserve"> </w:t>
            </w:r>
            <w:r w:rsidR="00BD548C">
              <w:t>F</w:t>
            </w:r>
            <w:r>
              <w:t>abric partitions or screens can be used but they must be disposable after use</w:t>
            </w:r>
          </w:p>
          <w:p w14:paraId="5244C9C9" w14:textId="6268B69C" w:rsidR="005653E3" w:rsidRDefault="005653E3" w:rsidP="005653E3">
            <w:pPr>
              <w:pStyle w:val="TableBullet1"/>
            </w:pPr>
            <w:r>
              <w:t xml:space="preserve">contains at minimum 2 chairs, a </w:t>
            </w:r>
            <w:proofErr w:type="gramStart"/>
            <w:r>
              <w:t>table</w:t>
            </w:r>
            <w:proofErr w:type="gramEnd"/>
            <w:r>
              <w:t xml:space="preserve"> and an</w:t>
            </w:r>
            <w:r w:rsidR="00317762">
              <w:t xml:space="preserve"> adjustable</w:t>
            </w:r>
            <w:r>
              <w:t xml:space="preserve"> examination bed </w:t>
            </w:r>
            <w:r w:rsidR="00E03A09">
              <w:t xml:space="preserve">with a waterproof </w:t>
            </w:r>
            <w:r w:rsidR="00317762">
              <w:t xml:space="preserve">cleanable </w:t>
            </w:r>
            <w:r w:rsidR="00E03A09">
              <w:t xml:space="preserve">surface </w:t>
            </w:r>
          </w:p>
          <w:p w14:paraId="33FE0248" w14:textId="5C49F452" w:rsidR="005653E3" w:rsidRDefault="005653E3" w:rsidP="005653E3">
            <w:pPr>
              <w:pStyle w:val="TableBullet1"/>
            </w:pPr>
            <w:r>
              <w:t>be large enough to accommodate required furniture and have capacity for three persons, at least 1.5 metres apart</w:t>
            </w:r>
          </w:p>
          <w:p w14:paraId="32AA4AF7" w14:textId="77777777" w:rsidR="005653E3" w:rsidRDefault="005653E3" w:rsidP="005653E3">
            <w:pPr>
              <w:pStyle w:val="TableBullet1"/>
            </w:pPr>
            <w:r>
              <w:t>be stocked with PPE, including:</w:t>
            </w:r>
          </w:p>
          <w:p w14:paraId="4A0AB228" w14:textId="77777777" w:rsidR="005653E3" w:rsidRDefault="005653E3" w:rsidP="00E725D7">
            <w:pPr>
              <w:pStyle w:val="TableBullet1"/>
              <w:numPr>
                <w:ilvl w:val="1"/>
                <w:numId w:val="37"/>
              </w:numPr>
              <w:ind w:left="1161"/>
            </w:pPr>
            <w:r>
              <w:t>N95 surgical facemasks (with guidance for fit testing of these masks)</w:t>
            </w:r>
          </w:p>
          <w:p w14:paraId="17618CDD" w14:textId="370A70FB" w:rsidR="005653E3" w:rsidRDefault="005653E3" w:rsidP="00E725D7">
            <w:pPr>
              <w:pStyle w:val="TableBullet1"/>
              <w:numPr>
                <w:ilvl w:val="1"/>
                <w:numId w:val="37"/>
              </w:numPr>
              <w:ind w:left="1161"/>
            </w:pPr>
            <w:r>
              <w:t>nitrile surgical gloves</w:t>
            </w:r>
          </w:p>
          <w:p w14:paraId="5FDF75A8" w14:textId="77777777" w:rsidR="00317762" w:rsidRPr="00317762" w:rsidRDefault="00317762" w:rsidP="00317762">
            <w:pPr>
              <w:pStyle w:val="TableBullet1"/>
              <w:numPr>
                <w:ilvl w:val="1"/>
                <w:numId w:val="37"/>
              </w:numPr>
              <w:ind w:left="1161"/>
            </w:pPr>
            <w:r w:rsidRPr="00317762">
              <w:t>hand sanitiser that is 70% Alcohol or greater</w:t>
            </w:r>
          </w:p>
          <w:p w14:paraId="1465B615" w14:textId="77777777" w:rsidR="005653E3" w:rsidRDefault="005653E3" w:rsidP="00E725D7">
            <w:pPr>
              <w:pStyle w:val="TableBullet1"/>
              <w:numPr>
                <w:ilvl w:val="1"/>
                <w:numId w:val="37"/>
              </w:numPr>
              <w:ind w:left="1161"/>
            </w:pPr>
            <w:r>
              <w:t>first aid kit</w:t>
            </w:r>
          </w:p>
          <w:p w14:paraId="1D06F529" w14:textId="77777777" w:rsidR="005653E3" w:rsidRDefault="005653E3" w:rsidP="00E725D7">
            <w:pPr>
              <w:pStyle w:val="TableBullet1"/>
              <w:numPr>
                <w:ilvl w:val="1"/>
                <w:numId w:val="37"/>
              </w:numPr>
              <w:ind w:left="1161"/>
            </w:pPr>
            <w:r>
              <w:t>defibrillator</w:t>
            </w:r>
          </w:p>
          <w:p w14:paraId="2EF7DBD8" w14:textId="74069DA6" w:rsidR="005653E3" w:rsidRDefault="005653E3" w:rsidP="00E725D7">
            <w:pPr>
              <w:pStyle w:val="TableBullet1"/>
              <w:numPr>
                <w:ilvl w:val="1"/>
                <w:numId w:val="37"/>
              </w:numPr>
              <w:ind w:left="1161"/>
            </w:pPr>
            <w:r>
              <w:t xml:space="preserve">cleaning equipment </w:t>
            </w:r>
            <w:r w:rsidR="00813172">
              <w:t xml:space="preserve">including departmentally approved disinfectant (such as </w:t>
            </w:r>
            <w:proofErr w:type="spellStart"/>
            <w:r w:rsidR="00813172">
              <w:t>Virkon</w:t>
            </w:r>
            <w:proofErr w:type="spellEnd"/>
            <w:r w:rsidR="00813172">
              <w:t xml:space="preserve"> or</w:t>
            </w:r>
            <w:r w:rsidR="00813172" w:rsidRPr="00813172">
              <w:t xml:space="preserve"> chlorine-based bleach </w:t>
            </w:r>
            <w:r w:rsidR="00813172">
              <w:t xml:space="preserve">with at least 1% </w:t>
            </w:r>
            <w:r w:rsidR="00813172" w:rsidRPr="00813172">
              <w:t>sodium hypochlorite</w:t>
            </w:r>
            <w:r w:rsidR="00813172">
              <w:t>)</w:t>
            </w:r>
          </w:p>
          <w:p w14:paraId="6CFA094B" w14:textId="7235464C" w:rsidR="004F0354" w:rsidRDefault="005653E3" w:rsidP="00813172">
            <w:pPr>
              <w:pStyle w:val="TableBullet1"/>
            </w:pPr>
            <w:r>
              <w:t>contain</w:t>
            </w:r>
            <w:r w:rsidR="00984C39">
              <w:t>s</w:t>
            </w:r>
            <w:r>
              <w:t xml:space="preserve"> a receptacle for clinical waste that meets State / Territory legislated requirements</w:t>
            </w:r>
            <w:r w:rsidR="00317762">
              <w:t xml:space="preserve"> or a biosecurity waste receptacle that meets </w:t>
            </w:r>
            <w:r w:rsidR="00E36329">
              <w:t xml:space="preserve">the </w:t>
            </w:r>
            <w:r w:rsidR="00317762">
              <w:t xml:space="preserve">FPOE </w:t>
            </w:r>
            <w:r w:rsidR="00E36329">
              <w:t xml:space="preserve">Standards </w:t>
            </w:r>
            <w:r w:rsidR="00317762" w:rsidRPr="00317762">
              <w:t>Table 2 Waste goods management standard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4F438140" w14:textId="77777777" w:rsidR="0065238C" w:rsidRDefault="0065238C" w:rsidP="00A21760">
            <w:pPr>
              <w:pStyle w:val="TableText"/>
            </w:pPr>
            <w:r>
              <w:t>Berth owner/operator</w:t>
            </w:r>
          </w:p>
        </w:tc>
      </w:tr>
      <w:tr w:rsidR="005653E3" w14:paraId="5483ED54" w14:textId="77777777" w:rsidTr="00A62B20">
        <w:trPr>
          <w:cantSplit/>
          <w:trHeight w:val="1026"/>
        </w:trPr>
        <w:tc>
          <w:tcPr>
            <w:tcW w:w="1843" w:type="dxa"/>
            <w:tcBorders>
              <w:top w:val="single" w:sz="4" w:space="0" w:color="auto"/>
            </w:tcBorders>
          </w:tcPr>
          <w:p w14:paraId="178E21CA" w14:textId="77777777" w:rsidR="005653E3" w:rsidRDefault="005653E3" w:rsidP="00A21760">
            <w:pPr>
              <w:pStyle w:val="TableText"/>
            </w:pPr>
            <w:r>
              <w:t>Travellers – human biosecurity incident (risk) response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2B306A5" w14:textId="77777777" w:rsidR="00E50A59" w:rsidRDefault="00E50A59" w:rsidP="00A21760">
            <w:pPr>
              <w:pStyle w:val="TableText"/>
            </w:pPr>
            <w:r>
              <w:t>Written evidence that is easily accessible to staff that includes:</w:t>
            </w:r>
          </w:p>
          <w:p w14:paraId="6912AD9F" w14:textId="7A4D02F5" w:rsidR="00E50A59" w:rsidRDefault="00E50A59" w:rsidP="00E50A59">
            <w:pPr>
              <w:pStyle w:val="TableBullet1"/>
              <w:ind w:left="284" w:hanging="284"/>
            </w:pPr>
            <w:r>
              <w:t>procedures to isolate the ill traveller from other people in the terminal/facility, for instance ensuring spaces are clear before the ill traveller moves through to exit the building or to use a bathroom</w:t>
            </w:r>
          </w:p>
          <w:p w14:paraId="0C9BAA1F" w14:textId="223B88E0" w:rsidR="00E50A59" w:rsidRDefault="00E50A59" w:rsidP="00E50A59">
            <w:pPr>
              <w:pStyle w:val="TableBullet1"/>
              <w:ind w:left="284" w:hanging="284"/>
            </w:pPr>
            <w:r>
              <w:t xml:space="preserve">requirement to clean and disinfect the </w:t>
            </w:r>
            <w:r w:rsidR="00F26590">
              <w:t>H</w:t>
            </w:r>
            <w:r>
              <w:t xml:space="preserve">ealth </w:t>
            </w:r>
            <w:r w:rsidR="00F26590">
              <w:t>R</w:t>
            </w:r>
            <w:r>
              <w:t>oom</w:t>
            </w:r>
            <w:r w:rsidR="00F26590">
              <w:t>,</w:t>
            </w:r>
            <w:r>
              <w:t xml:space="preserve"> </w:t>
            </w:r>
            <w:r w:rsidR="00F26590">
              <w:t xml:space="preserve">and other areas an ill traveller has been in contact with, </w:t>
            </w:r>
            <w:r>
              <w:t xml:space="preserve">after each use, including </w:t>
            </w:r>
            <w:r w:rsidR="00E725D7">
              <w:t>d</w:t>
            </w:r>
            <w:r>
              <w:t>isposing of biosecurity/clinical waste</w:t>
            </w:r>
          </w:p>
          <w:p w14:paraId="647E07B6" w14:textId="392278E8" w:rsidR="00F26590" w:rsidRDefault="00F26590" w:rsidP="00E50A59">
            <w:pPr>
              <w:pStyle w:val="TableBullet1"/>
              <w:ind w:left="284" w:hanging="284"/>
            </w:pPr>
            <w:r>
              <w:t>record keeping for cleaning of the Health Room and other areas</w:t>
            </w:r>
          </w:p>
          <w:p w14:paraId="4ADA1651" w14:textId="4E2A9B19" w:rsidR="00E50A59" w:rsidRDefault="00E50A59" w:rsidP="00E50A59">
            <w:pPr>
              <w:pStyle w:val="TableBullet1"/>
              <w:ind w:left="284" w:hanging="284"/>
            </w:pPr>
            <w:r>
              <w:t xml:space="preserve">requirement to regularly check and replenish supplies and equipment in the </w:t>
            </w:r>
            <w:r w:rsidR="00F26590">
              <w:t>H</w:t>
            </w:r>
            <w:r>
              <w:t>ealth</w:t>
            </w:r>
            <w:r w:rsidR="00F26590">
              <w:t xml:space="preserve"> R</w:t>
            </w:r>
            <w:r>
              <w:t>oom</w:t>
            </w:r>
          </w:p>
          <w:p w14:paraId="2B96FDF7" w14:textId="77777777" w:rsidR="005653E3" w:rsidRDefault="00E50A59" w:rsidP="00A21760">
            <w:pPr>
              <w:pStyle w:val="TableBullet1"/>
              <w:ind w:left="284" w:hanging="284"/>
            </w:pPr>
            <w:r>
              <w:t>n</w:t>
            </w:r>
            <w:r w:rsidR="005653E3">
              <w:t>ominated contact for coordinating the actions of the berth or port (existing requirement of FPOE Standards)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5A99ACB8" w14:textId="77777777" w:rsidR="005653E3" w:rsidRDefault="005653E3" w:rsidP="00A21760">
            <w:pPr>
              <w:pStyle w:val="TableText"/>
            </w:pPr>
            <w:r>
              <w:t>Berth operators</w:t>
            </w:r>
          </w:p>
        </w:tc>
      </w:tr>
    </w:tbl>
    <w:p w14:paraId="64348B3A" w14:textId="29992332" w:rsidR="00D9508E" w:rsidRDefault="00D9508E" w:rsidP="0065238C">
      <w:pPr>
        <w:pStyle w:val="Heading2"/>
        <w:numPr>
          <w:ilvl w:val="0"/>
          <w:numId w:val="0"/>
        </w:numPr>
        <w:rPr>
          <w:rFonts w:ascii="Cambria" w:eastAsiaTheme="minorHAnsi" w:hAnsi="Cambria"/>
          <w:bCs w:val="0"/>
          <w:color w:val="auto"/>
          <w:sz w:val="22"/>
          <w:szCs w:val="22"/>
          <w:lang w:eastAsia="en-US"/>
        </w:rPr>
      </w:pPr>
    </w:p>
    <w:p w14:paraId="48B1AC46" w14:textId="7E444CC8" w:rsidR="00CA1AF3" w:rsidRDefault="00CA1AF3" w:rsidP="00813172">
      <w:pPr>
        <w:keepLines/>
      </w:pPr>
      <w:r>
        <w:t xml:space="preserve">Note that the measures above only need to be implemented at biosecurity entry points (BEP) for passenger vessel baggage </w:t>
      </w:r>
      <w:r w:rsidRPr="00750153">
        <w:t xml:space="preserve">(i.e. </w:t>
      </w:r>
      <w:r>
        <w:t xml:space="preserve">cruise terminals and other </w:t>
      </w:r>
      <w:r w:rsidRPr="00750153">
        <w:t xml:space="preserve">locations </w:t>
      </w:r>
      <w:r>
        <w:t xml:space="preserve">within the port </w:t>
      </w:r>
      <w:r w:rsidRPr="00750153">
        <w:t xml:space="preserve">that facilitate </w:t>
      </w:r>
      <w:r>
        <w:t xml:space="preserve">passenger </w:t>
      </w:r>
      <w:r w:rsidRPr="00750153">
        <w:t>disembarks</w:t>
      </w:r>
      <w:r>
        <w:t xml:space="preserve"> from cruise vessels</w:t>
      </w:r>
      <w:r w:rsidRPr="00750153">
        <w:t>)</w:t>
      </w:r>
      <w:r>
        <w:t xml:space="preserve">.  BEP are listed in the FPOE determination for each port. Determinations are accessible </w:t>
      </w:r>
      <w:r w:rsidRPr="004F0354">
        <w:t>though</w:t>
      </w:r>
      <w:r w:rsidRPr="00E725D7">
        <w:rPr>
          <w:rFonts w:asciiTheme="majorHAnsi" w:hAnsiTheme="majorHAnsi"/>
        </w:rPr>
        <w:t xml:space="preserve"> the </w:t>
      </w:r>
      <w:r>
        <w:rPr>
          <w:rFonts w:asciiTheme="majorHAnsi" w:hAnsiTheme="majorHAnsi" w:cstheme="minorHAnsi"/>
        </w:rPr>
        <w:t xml:space="preserve">department’s </w:t>
      </w:r>
      <w:r w:rsidRPr="00E725D7">
        <w:rPr>
          <w:rFonts w:asciiTheme="majorHAnsi" w:hAnsiTheme="majorHAnsi" w:cstheme="minorHAnsi"/>
        </w:rPr>
        <w:t>web</w:t>
      </w:r>
      <w:r>
        <w:rPr>
          <w:rFonts w:asciiTheme="majorHAnsi" w:hAnsiTheme="majorHAnsi" w:cstheme="minorHAnsi"/>
        </w:rPr>
        <w:t>page</w:t>
      </w:r>
      <w:r w:rsidRPr="00E725D7">
        <w:rPr>
          <w:rFonts w:asciiTheme="majorHAnsi" w:hAnsiTheme="majorHAnsi" w:cstheme="minorHAnsi"/>
        </w:rPr>
        <w:t xml:space="preserve"> </w:t>
      </w:r>
      <w:hyperlink r:id="rId14" w:history="1">
        <w:r w:rsidRPr="00E725D7">
          <w:rPr>
            <w:rStyle w:val="Hyperlink"/>
            <w:rFonts w:asciiTheme="majorHAnsi" w:hAnsiTheme="majorHAnsi" w:cstheme="minorHAnsi"/>
          </w:rPr>
          <w:t>First points of entry – information for arriving vessels and goods</w:t>
        </w:r>
      </w:hyperlink>
      <w:r w:rsidRPr="00E725D7">
        <w:rPr>
          <w:rFonts w:asciiTheme="majorHAnsi" w:hAnsiTheme="majorHAnsi" w:cstheme="minorHAnsi"/>
        </w:rPr>
        <w:t xml:space="preserve"> or via the</w:t>
      </w:r>
      <w:r w:rsidRPr="00E725D7">
        <w:rPr>
          <w:rFonts w:asciiTheme="majorHAnsi" w:hAnsiTheme="majorHAnsi"/>
        </w:rPr>
        <w:t xml:space="preserve"> search</w:t>
      </w:r>
      <w:r>
        <w:t xml:space="preserve"> tool at the </w:t>
      </w:r>
      <w:hyperlink r:id="rId15" w:history="1">
        <w:r w:rsidRPr="00750153">
          <w:rPr>
            <w:rStyle w:val="Hyperlink"/>
          </w:rPr>
          <w:t>Federal Register of Legislation</w:t>
        </w:r>
      </w:hyperlink>
      <w:r>
        <w:t xml:space="preserve">. </w:t>
      </w:r>
    </w:p>
    <w:p w14:paraId="1D42971C" w14:textId="6D7E88D3" w:rsidR="00813172" w:rsidRPr="0065238C" w:rsidRDefault="00813172" w:rsidP="00813172">
      <w:r>
        <w:t xml:space="preserve">Travellers that are identified as ill while on the vessel are to be confined to their cabins or the on-board medical facility while awaiting assessment by biosecurity officers or human biosecurity officers, noting that urgent or life-threatening medical needs must not be delayed. Travellers that are identified as ill after they have disembarked the vessel, </w:t>
      </w:r>
      <w:r w:rsidR="007464CE">
        <w:t>and</w:t>
      </w:r>
      <w:r>
        <w:t xml:space="preserve"> have not completed incoming passenger processing, should be brought to </w:t>
      </w:r>
      <w:r w:rsidR="0007095C" w:rsidRPr="0007095C">
        <w:t xml:space="preserve">brought to the attention of a biosecurity officer for assessment and potential movement to the Health </w:t>
      </w:r>
      <w:r w:rsidR="00B3388F">
        <w:t>R</w:t>
      </w:r>
      <w:r w:rsidR="0007095C" w:rsidRPr="0007095C">
        <w:t>oom for isolation and/or further assessment.</w:t>
      </w:r>
      <w:r w:rsidR="0007095C">
        <w:t xml:space="preserve"> </w:t>
      </w:r>
    </w:p>
    <w:p w14:paraId="4ECE167F" w14:textId="77777777" w:rsidR="005653E3" w:rsidRDefault="005653E3" w:rsidP="00D9508E">
      <w:pPr>
        <w:pStyle w:val="Heading2"/>
      </w:pPr>
      <w:bookmarkStart w:id="6" w:name="_Hlk98247623"/>
      <w:r>
        <w:t>Action</w:t>
      </w:r>
      <w:r w:rsidR="00E725D7">
        <w:t xml:space="preserve"> required</w:t>
      </w:r>
    </w:p>
    <w:p w14:paraId="121491CC" w14:textId="16543663" w:rsidR="00C15087" w:rsidRDefault="00734BEA" w:rsidP="005653E3">
      <w:pPr>
        <w:rPr>
          <w:lang w:eastAsia="ja-JP"/>
        </w:rPr>
      </w:pPr>
      <w:bookmarkStart w:id="7" w:name="_Hlk98248169"/>
      <w:r>
        <w:rPr>
          <w:lang w:eastAsia="ja-JP"/>
        </w:rPr>
        <w:t xml:space="preserve">If you </w:t>
      </w:r>
      <w:r w:rsidR="005F0601">
        <w:rPr>
          <w:lang w:eastAsia="ja-JP"/>
        </w:rPr>
        <w:t>own or operat</w:t>
      </w:r>
      <w:r w:rsidR="00C15087">
        <w:rPr>
          <w:lang w:eastAsia="ja-JP"/>
        </w:rPr>
        <w:t>e</w:t>
      </w:r>
      <w:r>
        <w:rPr>
          <w:lang w:eastAsia="ja-JP"/>
        </w:rPr>
        <w:t xml:space="preserve"> a location where cruise passengers disembark, please review the new </w:t>
      </w:r>
      <w:proofErr w:type="gramStart"/>
      <w:r>
        <w:rPr>
          <w:lang w:eastAsia="ja-JP"/>
        </w:rPr>
        <w:t>requirements</w:t>
      </w:r>
      <w:proofErr w:type="gramEnd"/>
      <w:r>
        <w:rPr>
          <w:lang w:eastAsia="ja-JP"/>
        </w:rPr>
        <w:t xml:space="preserve"> and implement any changes. </w:t>
      </w:r>
      <w:r w:rsidR="00B302AD">
        <w:rPr>
          <w:lang w:eastAsia="ja-JP"/>
        </w:rPr>
        <w:t xml:space="preserve"> </w:t>
      </w:r>
    </w:p>
    <w:p w14:paraId="22F7D773" w14:textId="74A22A73" w:rsidR="00E725D7" w:rsidRDefault="003F503B" w:rsidP="005653E3">
      <w:r>
        <w:t xml:space="preserve">To seek advice or to arrange assessment of your procedures and facilities, please contact the department at </w:t>
      </w:r>
      <w:hyperlink r:id="rId16" w:history="1">
        <w:r w:rsidRPr="00CC1119">
          <w:rPr>
            <w:rStyle w:val="Hyperlink"/>
          </w:rPr>
          <w:t>biosecurityfirstpoints@awe.gov.au</w:t>
        </w:r>
      </w:hyperlink>
      <w:r w:rsidRPr="003F503B">
        <w:rPr>
          <w:rStyle w:val="Hyperlink"/>
          <w:u w:val="none"/>
        </w:rPr>
        <w:t>.</w:t>
      </w:r>
    </w:p>
    <w:p w14:paraId="31BB027F" w14:textId="4E3663AC" w:rsidR="00A15C98" w:rsidRPr="005653E3" w:rsidRDefault="00A15C98" w:rsidP="00A15C98">
      <w:pPr>
        <w:rPr>
          <w:lang w:eastAsia="ja-JP"/>
        </w:rPr>
      </w:pPr>
      <w:r>
        <w:t xml:space="preserve">The new requirements must be in place before cruise passenger disembarks resume at your location. </w:t>
      </w:r>
    </w:p>
    <w:bookmarkEnd w:id="6"/>
    <w:bookmarkEnd w:id="7"/>
    <w:p w14:paraId="09DC25FF" w14:textId="77777777" w:rsidR="00D9508E" w:rsidRDefault="00D9508E" w:rsidP="00D9508E">
      <w:pPr>
        <w:pStyle w:val="Heading2"/>
      </w:pPr>
      <w:r>
        <w:t>More information</w:t>
      </w:r>
    </w:p>
    <w:p w14:paraId="5DAA69F2" w14:textId="29C41206" w:rsidR="00D9508E" w:rsidRDefault="005653E3" w:rsidP="00D9508E">
      <w:pPr>
        <w:pStyle w:val="ListBullet"/>
        <w:numPr>
          <w:ilvl w:val="0"/>
          <w:numId w:val="0"/>
        </w:numPr>
        <w:ind w:left="425" w:hanging="425"/>
      </w:pPr>
      <w:r>
        <w:t xml:space="preserve">For more information, </w:t>
      </w:r>
      <w:r w:rsidR="00B302AD">
        <w:t xml:space="preserve">please </w:t>
      </w:r>
      <w:r>
        <w:t>c</w:t>
      </w:r>
      <w:r w:rsidR="00D9508E">
        <w:t xml:space="preserve">ontact the </w:t>
      </w:r>
      <w:r w:rsidR="00A15C98">
        <w:t>department</w:t>
      </w:r>
      <w:r w:rsidR="00D9508E">
        <w:t xml:space="preserve"> at </w:t>
      </w:r>
      <w:hyperlink r:id="rId17" w:history="1">
        <w:r w:rsidR="00D9508E" w:rsidRPr="00CC1119">
          <w:rPr>
            <w:rStyle w:val="Hyperlink"/>
          </w:rPr>
          <w:t>biosecurityfirstpoints@awe.gov.au</w:t>
        </w:r>
      </w:hyperlink>
      <w:r w:rsidR="003F503B" w:rsidRPr="003F503B">
        <w:rPr>
          <w:rStyle w:val="Hyperlink"/>
          <w:u w:val="none"/>
        </w:rPr>
        <w:t>.</w:t>
      </w:r>
      <w:r w:rsidR="00D9508E" w:rsidRPr="003F503B">
        <w:t xml:space="preserve"> </w:t>
      </w:r>
      <w:bookmarkEnd w:id="2"/>
      <w:bookmarkEnd w:id="3"/>
      <w:bookmarkEnd w:id="4"/>
    </w:p>
    <w:sectPr w:rsidR="00D9508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4294" w14:textId="77777777" w:rsidR="00BE3AB9" w:rsidRDefault="00BE3AB9">
      <w:r>
        <w:separator/>
      </w:r>
    </w:p>
    <w:p w14:paraId="35E8F099" w14:textId="77777777" w:rsidR="00BE3AB9" w:rsidRDefault="00BE3AB9"/>
    <w:p w14:paraId="4462E656" w14:textId="77777777" w:rsidR="00BE3AB9" w:rsidRDefault="00BE3AB9"/>
  </w:endnote>
  <w:endnote w:type="continuationSeparator" w:id="0">
    <w:p w14:paraId="17113D9A" w14:textId="77777777" w:rsidR="00BE3AB9" w:rsidRDefault="00BE3AB9">
      <w:r>
        <w:continuationSeparator/>
      </w:r>
    </w:p>
    <w:p w14:paraId="0B75027B" w14:textId="77777777" w:rsidR="00BE3AB9" w:rsidRDefault="00BE3AB9"/>
    <w:p w14:paraId="22ECF1BE" w14:textId="77777777" w:rsidR="00BE3AB9" w:rsidRDefault="00BE3AB9"/>
  </w:endnote>
  <w:endnote w:type="continuationNotice" w:id="1">
    <w:p w14:paraId="3F25CE94" w14:textId="77777777" w:rsidR="00BE3AB9" w:rsidRDefault="00BE3AB9">
      <w:pPr>
        <w:pStyle w:val="Footer"/>
      </w:pPr>
    </w:p>
    <w:p w14:paraId="2872CAE0" w14:textId="77777777" w:rsidR="00BE3AB9" w:rsidRDefault="00BE3AB9"/>
    <w:p w14:paraId="56DDB550" w14:textId="77777777" w:rsidR="00BE3AB9" w:rsidRDefault="00BE3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B600" w14:textId="77777777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6CCBCFFA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69B4" w14:textId="77777777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7D69E139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7DF3" w14:textId="77777777" w:rsidR="00BE3AB9" w:rsidRDefault="00BE3AB9">
      <w:r>
        <w:separator/>
      </w:r>
    </w:p>
    <w:p w14:paraId="41E18268" w14:textId="77777777" w:rsidR="00BE3AB9" w:rsidRDefault="00BE3AB9"/>
    <w:p w14:paraId="0354B34A" w14:textId="77777777" w:rsidR="00BE3AB9" w:rsidRDefault="00BE3AB9"/>
  </w:footnote>
  <w:footnote w:type="continuationSeparator" w:id="0">
    <w:p w14:paraId="2EA4799D" w14:textId="77777777" w:rsidR="00BE3AB9" w:rsidRDefault="00BE3AB9">
      <w:r>
        <w:continuationSeparator/>
      </w:r>
    </w:p>
    <w:p w14:paraId="76DA44DD" w14:textId="77777777" w:rsidR="00BE3AB9" w:rsidRDefault="00BE3AB9"/>
    <w:p w14:paraId="2E90C168" w14:textId="77777777" w:rsidR="00BE3AB9" w:rsidRDefault="00BE3AB9"/>
  </w:footnote>
  <w:footnote w:type="continuationNotice" w:id="1">
    <w:p w14:paraId="167FAAD2" w14:textId="77777777" w:rsidR="00BE3AB9" w:rsidRDefault="00BE3AB9">
      <w:pPr>
        <w:pStyle w:val="Footer"/>
      </w:pPr>
    </w:p>
    <w:p w14:paraId="3AC8FBB4" w14:textId="77777777" w:rsidR="00BE3AB9" w:rsidRDefault="00BE3AB9"/>
    <w:p w14:paraId="4B6D08D3" w14:textId="77777777" w:rsidR="00BE3AB9" w:rsidRDefault="00BE3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0F8A" w14:textId="06661236" w:rsidR="002A193C" w:rsidRPr="003F0AC4" w:rsidRDefault="003F0AC4" w:rsidP="003F0AC4">
    <w:pPr>
      <w:pStyle w:val="Header"/>
    </w:pPr>
    <w:r w:rsidRPr="003F0AC4">
      <w:t>Cruise vessel standard - additional human health facilities and procedures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D200" w14:textId="77777777" w:rsidR="002A193C" w:rsidRDefault="002A193C">
    <w:pPr>
      <w:pStyle w:val="Header"/>
      <w:jc w:val="left"/>
    </w:pPr>
    <w:r>
      <w:rPr>
        <w:noProof/>
        <w:lang w:eastAsia="en-AU"/>
      </w:rPr>
      <w:drawing>
        <wp:inline distT="0" distB="0" distL="0" distR="0" wp14:anchorId="7B4CDE5F" wp14:editId="4EFBD779">
          <wp:extent cx="2123264" cy="637247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7CCE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1D15"/>
    <w:multiLevelType w:val="hybridMultilevel"/>
    <w:tmpl w:val="AB9035B2"/>
    <w:lvl w:ilvl="0" w:tplc="AD4849DC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BE78A4F8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103637"/>
    <w:multiLevelType w:val="multilevel"/>
    <w:tmpl w:val="BE78A4F8"/>
    <w:numStyleLink w:val="Numberlist"/>
  </w:abstractNum>
  <w:abstractNum w:abstractNumId="16" w15:restartNumberingAfterBreak="0">
    <w:nsid w:val="394A15FE"/>
    <w:multiLevelType w:val="multilevel"/>
    <w:tmpl w:val="F36C17E8"/>
    <w:numStyleLink w:val="Headinglist"/>
  </w:abstractNum>
  <w:abstractNum w:abstractNumId="17" w15:restartNumberingAfterBreak="0">
    <w:nsid w:val="414F4729"/>
    <w:multiLevelType w:val="multilevel"/>
    <w:tmpl w:val="23887CA2"/>
    <w:numStyleLink w:val="List1"/>
  </w:abstractNum>
  <w:abstractNum w:abstractNumId="18" w15:restartNumberingAfterBreak="0">
    <w:nsid w:val="486800B4"/>
    <w:multiLevelType w:val="multilevel"/>
    <w:tmpl w:val="23887CA2"/>
    <w:numStyleLink w:val="List1"/>
  </w:abstractNum>
  <w:abstractNum w:abstractNumId="19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159DC"/>
    <w:multiLevelType w:val="multilevel"/>
    <w:tmpl w:val="BE78A4F8"/>
    <w:numStyleLink w:val="Numberlist"/>
  </w:abstractNum>
  <w:abstractNum w:abstractNumId="2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01597"/>
    <w:multiLevelType w:val="hybridMultilevel"/>
    <w:tmpl w:val="E6CE31C4"/>
    <w:lvl w:ilvl="0" w:tplc="B9F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EE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4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64D9E"/>
    <w:multiLevelType w:val="hybridMultilevel"/>
    <w:tmpl w:val="F5C8A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10A1"/>
    <w:multiLevelType w:val="multilevel"/>
    <w:tmpl w:val="BE78A4F8"/>
    <w:numStyleLink w:val="Numberlist"/>
  </w:abstractNum>
  <w:abstractNum w:abstractNumId="30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8"/>
  </w:num>
  <w:num w:numId="3">
    <w:abstractNumId w:val="19"/>
  </w:num>
  <w:num w:numId="4">
    <w:abstractNumId w:val="10"/>
  </w:num>
  <w:num w:numId="5">
    <w:abstractNumId w:val="25"/>
  </w:num>
  <w:num w:numId="6">
    <w:abstractNumId w:val="26"/>
  </w:num>
  <w:num w:numId="7">
    <w:abstractNumId w:val="8"/>
  </w:num>
  <w:num w:numId="8">
    <w:abstractNumId w:val="14"/>
  </w:num>
  <w:num w:numId="9">
    <w:abstractNumId w:val="16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"/>
  </w:num>
  <w:num w:numId="20">
    <w:abstractNumId w:val="0"/>
  </w:num>
  <w:num w:numId="21">
    <w:abstractNumId w:val="15"/>
  </w:num>
  <w:num w:numId="22">
    <w:abstractNumId w:val="20"/>
  </w:num>
  <w:num w:numId="23">
    <w:abstractNumId w:val="29"/>
  </w:num>
  <w:num w:numId="24">
    <w:abstractNumId w:val="13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1"/>
  </w:num>
  <w:num w:numId="29">
    <w:abstractNumId w:val="24"/>
  </w:num>
  <w:num w:numId="30">
    <w:abstractNumId w:val="9"/>
  </w:num>
  <w:num w:numId="31">
    <w:abstractNumId w:val="5"/>
  </w:num>
  <w:num w:numId="32">
    <w:abstractNumId w:val="28"/>
  </w:num>
  <w:num w:numId="33">
    <w:abstractNumId w:val="11"/>
  </w:num>
  <w:num w:numId="34">
    <w:abstractNumId w:val="1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0"/>
  </w:num>
  <w:num w:numId="39">
    <w:abstractNumId w:val="25"/>
  </w:num>
  <w:num w:numId="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54"/>
    <w:rsid w:val="00005276"/>
    <w:rsid w:val="00061698"/>
    <w:rsid w:val="0007095C"/>
    <w:rsid w:val="001567E9"/>
    <w:rsid w:val="001607A6"/>
    <w:rsid w:val="001C1655"/>
    <w:rsid w:val="001D2167"/>
    <w:rsid w:val="001D77BC"/>
    <w:rsid w:val="00200539"/>
    <w:rsid w:val="00255F5E"/>
    <w:rsid w:val="00265815"/>
    <w:rsid w:val="002A193C"/>
    <w:rsid w:val="002E6AD1"/>
    <w:rsid w:val="00317762"/>
    <w:rsid w:val="00396339"/>
    <w:rsid w:val="003A4B4A"/>
    <w:rsid w:val="003C2B13"/>
    <w:rsid w:val="003F0AC4"/>
    <w:rsid w:val="003F503B"/>
    <w:rsid w:val="00486C20"/>
    <w:rsid w:val="004A7846"/>
    <w:rsid w:val="004F0354"/>
    <w:rsid w:val="00533802"/>
    <w:rsid w:val="00564F76"/>
    <w:rsid w:val="005653E3"/>
    <w:rsid w:val="0058354F"/>
    <w:rsid w:val="005F0601"/>
    <w:rsid w:val="005F0E4D"/>
    <w:rsid w:val="00600103"/>
    <w:rsid w:val="00607890"/>
    <w:rsid w:val="0065238C"/>
    <w:rsid w:val="0070302C"/>
    <w:rsid w:val="00734BEA"/>
    <w:rsid w:val="007405CB"/>
    <w:rsid w:val="007464CE"/>
    <w:rsid w:val="00750153"/>
    <w:rsid w:val="007C5B94"/>
    <w:rsid w:val="007F4FCB"/>
    <w:rsid w:val="00813172"/>
    <w:rsid w:val="0082249A"/>
    <w:rsid w:val="00833933"/>
    <w:rsid w:val="00842544"/>
    <w:rsid w:val="008A3190"/>
    <w:rsid w:val="008C5B50"/>
    <w:rsid w:val="009226B9"/>
    <w:rsid w:val="0093352E"/>
    <w:rsid w:val="00976C16"/>
    <w:rsid w:val="00984C39"/>
    <w:rsid w:val="009C0913"/>
    <w:rsid w:val="00A15C98"/>
    <w:rsid w:val="00A62B20"/>
    <w:rsid w:val="00AA70E3"/>
    <w:rsid w:val="00AB0FBE"/>
    <w:rsid w:val="00AB5362"/>
    <w:rsid w:val="00AF5211"/>
    <w:rsid w:val="00B01FB8"/>
    <w:rsid w:val="00B302AD"/>
    <w:rsid w:val="00B3388F"/>
    <w:rsid w:val="00B877CF"/>
    <w:rsid w:val="00BD548C"/>
    <w:rsid w:val="00BE3AB9"/>
    <w:rsid w:val="00C15087"/>
    <w:rsid w:val="00CA1AF3"/>
    <w:rsid w:val="00D06356"/>
    <w:rsid w:val="00D45274"/>
    <w:rsid w:val="00D45E0E"/>
    <w:rsid w:val="00D666DC"/>
    <w:rsid w:val="00D756FA"/>
    <w:rsid w:val="00D76557"/>
    <w:rsid w:val="00D9508E"/>
    <w:rsid w:val="00DF4BAA"/>
    <w:rsid w:val="00E03A09"/>
    <w:rsid w:val="00E26A0F"/>
    <w:rsid w:val="00E362EF"/>
    <w:rsid w:val="00E36329"/>
    <w:rsid w:val="00E50A59"/>
    <w:rsid w:val="00E66614"/>
    <w:rsid w:val="00E72156"/>
    <w:rsid w:val="00E725D7"/>
    <w:rsid w:val="00E732BE"/>
    <w:rsid w:val="00F26590"/>
    <w:rsid w:val="00FB088E"/>
    <w:rsid w:val="00FD117D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47DD4"/>
  <w15:docId w15:val="{6B053EA6-CC03-4134-A50D-AF65A04B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00103"/>
    <w:rPr>
      <w:color w:val="605E5C"/>
      <w:shd w:val="clear" w:color="auto" w:fill="E1DFDD"/>
    </w:rPr>
  </w:style>
  <w:style w:type="paragraph" w:customStyle="1" w:styleId="TableBullet">
    <w:name w:val="Table Bullet"/>
    <w:basedOn w:val="TableText"/>
    <w:uiPriority w:val="15"/>
    <w:qFormat/>
    <w:rsid w:val="0065238C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317762"/>
    <w:pPr>
      <w:ind w:left="720"/>
      <w:contextualSpacing/>
    </w:pPr>
  </w:style>
  <w:style w:type="paragraph" w:styleId="Revision">
    <w:name w:val="Revision"/>
    <w:hidden/>
    <w:uiPriority w:val="99"/>
    <w:semiHidden/>
    <w:rsid w:val="00734BEA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we.gov.au/biosecurity-trade/aircraft-vessels-military/vessels/first-point-entry-and-non-first-point-entry/fpoe-seaport-operator-requiremen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awe.gov.au/biosecurity-trade/aircraft-vessels-military/vessels/first-point-entry-and-non-first-point-entry/fpoe-seaport-operator-requirements" TargetMode="External"/><Relationship Id="rId17" Type="http://schemas.openxmlformats.org/officeDocument/2006/relationships/hyperlink" Target="mailto:biosecurityfirstpoints@awe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iosecurityfirstpoints@awe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F2016L0075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we.gov.au/biosecurity-trade/aircraft-vessels-military/vessels/first-point-entry-and-non-first-point-entry/seaport-location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Publications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point of entry biosecurity standards (ports) Cruise vessel standard - additional human health facilities and procedures </vt:lpstr>
    </vt:vector>
  </TitlesOfParts>
  <Company/>
  <LinksUpToDate>false</LinksUpToDate>
  <CharactersWithSpaces>7086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point of entry biosecurity standards (ports) Cruise vessel standard - additional human health facilities and procedures </dc:title>
  <dc:creator>Department of Agriculture, Water and the Environment</dc:creator>
  <cp:lastModifiedBy>Dang, Van</cp:lastModifiedBy>
  <cp:revision>26</cp:revision>
  <cp:lastPrinted>2022-03-15T05:23:00Z</cp:lastPrinted>
  <dcterms:created xsi:type="dcterms:W3CDTF">2022-02-02T04:49:00Z</dcterms:created>
  <dcterms:modified xsi:type="dcterms:W3CDTF">2022-03-16T00:44:00Z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