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918" w:rsidRPr="00E400E4" w:rsidRDefault="00555918" w:rsidP="000B1771">
      <w:pPr>
        <w:pStyle w:val="Heading1"/>
      </w:pPr>
      <w:r w:rsidRPr="00E400E4">
        <w:t>Final report for the review o</w:t>
      </w:r>
      <w:bookmarkStart w:id="0" w:name="_GoBack"/>
      <w:bookmarkEnd w:id="0"/>
      <w:r w:rsidRPr="00E400E4">
        <w:t>f biosecurity import requirements for fresh avocados from Chile</w:t>
      </w:r>
    </w:p>
    <w:p w:rsidR="00555918" w:rsidRPr="00E400E4" w:rsidRDefault="00555918" w:rsidP="000B1771">
      <w:pPr>
        <w:jc w:val="right"/>
      </w:pPr>
      <w:r w:rsidRPr="00E400E4">
        <w:t>December 2019</w:t>
      </w:r>
    </w:p>
    <w:p w:rsidR="00555918" w:rsidRPr="00E400E4" w:rsidRDefault="00555918" w:rsidP="000B1771">
      <w:pPr>
        <w:jc w:val="right"/>
      </w:pPr>
      <w:r w:rsidRPr="00E400E4">
        <w:rPr>
          <w:noProof/>
          <w:lang w:eastAsia="en-AU"/>
        </w:rPr>
        <w:drawing>
          <wp:inline distT="0" distB="0" distL="0" distR="0" wp14:anchorId="46078D79" wp14:editId="330FF36D">
            <wp:extent cx="5626800" cy="556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7" cstate="print"/>
                    <a:srcRect/>
                    <a:stretch>
                      <a:fillRect/>
                    </a:stretch>
                  </pic:blipFill>
                  <pic:spPr bwMode="auto">
                    <a:xfrm>
                      <a:off x="0" y="0"/>
                      <a:ext cx="5626800" cy="5569200"/>
                    </a:xfrm>
                    <a:prstGeom prst="rect">
                      <a:avLst/>
                    </a:prstGeom>
                    <a:noFill/>
                    <a:ln w="9525">
                      <a:noFill/>
                      <a:miter lim="800000"/>
                      <a:headEnd/>
                      <a:tailEnd/>
                    </a:ln>
                  </pic:spPr>
                </pic:pic>
              </a:graphicData>
            </a:graphic>
          </wp:inline>
        </w:drawing>
      </w:r>
    </w:p>
    <w:p w:rsidR="00555918" w:rsidRPr="00E400E4" w:rsidRDefault="00555918">
      <w:pPr>
        <w:pStyle w:val="Picture"/>
        <w:rPr>
          <w:noProof w:val="0"/>
          <w:sz w:val="18"/>
          <w:lang w:eastAsia="en-US"/>
        </w:rPr>
        <w:sectPr w:rsidR="00555918" w:rsidRPr="00E400E4" w:rsidSect="000B1771">
          <w:headerReference w:type="default" r:id="rId8"/>
          <w:footerReference w:type="default" r:id="rId9"/>
          <w:headerReference w:type="first" r:id="rId10"/>
          <w:pgSz w:w="11906" w:h="16838"/>
          <w:pgMar w:top="1440" w:right="1440" w:bottom="1440" w:left="1440" w:header="708" w:footer="708" w:gutter="0"/>
          <w:cols w:space="708"/>
          <w:docGrid w:linePitch="360"/>
        </w:sectPr>
      </w:pPr>
    </w:p>
    <w:p w:rsidR="00555918" w:rsidRPr="00E400E4" w:rsidRDefault="00555918">
      <w:pPr>
        <w:pStyle w:val="Picture"/>
        <w:rPr>
          <w:noProof w:val="0"/>
          <w:sz w:val="18"/>
          <w:lang w:eastAsia="en-US"/>
        </w:rPr>
      </w:pPr>
      <w:r w:rsidRPr="00E400E4">
        <w:rPr>
          <w:noProof w:val="0"/>
          <w:sz w:val="18"/>
          <w:lang w:eastAsia="en-US"/>
        </w:rPr>
        <w:lastRenderedPageBreak/>
        <w:t>© Commonwealth of Australia 2019</w:t>
      </w:r>
    </w:p>
    <w:p w:rsidR="00555918" w:rsidRPr="00E400E4" w:rsidRDefault="00555918">
      <w:pPr>
        <w:pStyle w:val="TableText"/>
        <w:rPr>
          <w:rFonts w:ascii="Calibri" w:hAnsi="Calibri"/>
          <w:b/>
        </w:rPr>
      </w:pPr>
      <w:r w:rsidRPr="00E400E4">
        <w:rPr>
          <w:rFonts w:ascii="Calibri" w:hAnsi="Calibri"/>
          <w:b/>
        </w:rPr>
        <w:t>Ownership of intellectual property rights</w:t>
      </w:r>
    </w:p>
    <w:p w:rsidR="00555918" w:rsidRPr="00E400E4" w:rsidRDefault="00555918">
      <w:pPr>
        <w:pStyle w:val="TableText"/>
        <w:spacing w:after="240"/>
      </w:pPr>
      <w:r w:rsidRPr="00E400E4">
        <w:t>Unless otherwise noted, copyright (and any other intellectual property rights, if any) in this publication is owned by the Commonwealth of Australia (referred to as the Commonwealth).</w:t>
      </w:r>
    </w:p>
    <w:p w:rsidR="00555918" w:rsidRPr="00E400E4" w:rsidRDefault="00555918">
      <w:pPr>
        <w:pStyle w:val="TableText"/>
        <w:rPr>
          <w:rFonts w:ascii="Calibri" w:hAnsi="Calibri"/>
          <w:b/>
        </w:rPr>
      </w:pPr>
      <w:r w:rsidRPr="00E400E4">
        <w:rPr>
          <w:rFonts w:ascii="Calibri" w:hAnsi="Calibri"/>
          <w:b/>
        </w:rPr>
        <w:t>Creative Commons licence</w:t>
      </w:r>
    </w:p>
    <w:p w:rsidR="00555918" w:rsidRPr="00E400E4" w:rsidRDefault="00555918" w:rsidP="000B1771">
      <w:pPr>
        <w:pStyle w:val="TableText"/>
        <w:spacing w:after="240"/>
      </w:pPr>
      <w:r w:rsidRPr="00E400E4">
        <w:t>All material in this publication is licensed under a Creative Commons Attribution 3.0 Australia Licence, save for content supplied by third parties, photographic images, logos and the Commonwealth Coat of Arms.</w:t>
      </w:r>
    </w:p>
    <w:p w:rsidR="00555918" w:rsidRPr="00E400E4" w:rsidRDefault="00555918">
      <w:pPr>
        <w:pStyle w:val="TableText"/>
        <w:spacing w:after="240"/>
      </w:pPr>
      <w:r w:rsidRPr="00E400E4">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1"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rsidR="00555918" w:rsidRPr="00E400E4" w:rsidRDefault="00555918" w:rsidP="000B1771">
      <w:pPr>
        <w:pStyle w:val="TableText"/>
        <w:spacing w:after="240"/>
      </w:pPr>
      <w:r w:rsidRPr="00E400E4">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2" w:history="1">
        <w:r w:rsidRPr="00E400E4">
          <w:rPr>
            <w:rStyle w:val="Hyperlink"/>
            <w:rFonts w:eastAsia="Calibri" w:cs="Times New Roman"/>
          </w:rPr>
          <w:t>creativecommons.org/licenses/by/3.0/au/deed.en</w:t>
        </w:r>
      </w:hyperlink>
      <w:r w:rsidRPr="00E400E4">
        <w:t xml:space="preserve">. The full licence terms are available from </w:t>
      </w:r>
      <w:hyperlink r:id="rId13" w:history="1">
        <w:r w:rsidRPr="00E400E4">
          <w:rPr>
            <w:rStyle w:val="Hyperlink"/>
            <w:rFonts w:eastAsia="Calibri" w:cs="Times New Roman"/>
          </w:rPr>
          <w:t>creativecommons.org/licenses/by/3.0/au/legalcode</w:t>
        </w:r>
      </w:hyperlink>
      <w:r w:rsidRPr="00E400E4">
        <w:t>.</w:t>
      </w:r>
    </w:p>
    <w:p w:rsidR="00555918" w:rsidRPr="00E400E4" w:rsidRDefault="00555918" w:rsidP="000B1771">
      <w:pPr>
        <w:pStyle w:val="TableText"/>
        <w:spacing w:after="240"/>
      </w:pPr>
      <w:r w:rsidRPr="00E400E4">
        <w:t xml:space="preserve">Inquiries about the licence and any use of this document should be sent to </w:t>
      </w:r>
      <w:hyperlink r:id="rId14" w:history="1">
        <w:r w:rsidRPr="00E400E4">
          <w:rPr>
            <w:rStyle w:val="Hyperlink"/>
          </w:rPr>
          <w:t>copyright@agriculture.gov.au</w:t>
        </w:r>
      </w:hyperlink>
      <w:r w:rsidRPr="00E400E4">
        <w:t>.</w:t>
      </w:r>
    </w:p>
    <w:p w:rsidR="00555918" w:rsidRPr="00E400E4" w:rsidRDefault="00555918" w:rsidP="000B1771">
      <w:pPr>
        <w:pStyle w:val="TableText"/>
        <w:spacing w:after="240"/>
      </w:pPr>
      <w:r w:rsidRPr="00E400E4">
        <w:t xml:space="preserve">This publication (and any material sourced from it) should be attributed as: Department of Agriculture 2019, </w:t>
      </w:r>
      <w:r w:rsidRPr="00E400E4">
        <w:rPr>
          <w:i/>
        </w:rPr>
        <w:t>Final report for the review of biosecurity import requirements for fresh avocados from Chile</w:t>
      </w:r>
      <w:r w:rsidRPr="00E400E4">
        <w:t>. CC BY 3.0.</w:t>
      </w:r>
    </w:p>
    <w:p w:rsidR="00555918" w:rsidRPr="00E400E4" w:rsidRDefault="00555918">
      <w:pPr>
        <w:pStyle w:val="TableText"/>
        <w:rPr>
          <w:rFonts w:ascii="Calibri" w:hAnsi="Calibri"/>
          <w:b/>
        </w:rPr>
      </w:pPr>
      <w:r w:rsidRPr="00E400E4">
        <w:rPr>
          <w:rFonts w:ascii="Calibri" w:hAnsi="Calibri"/>
          <w:b/>
        </w:rPr>
        <w:t>Cataloguing data</w:t>
      </w:r>
    </w:p>
    <w:p w:rsidR="00555918" w:rsidRPr="00E400E4" w:rsidRDefault="00555918" w:rsidP="000B1771">
      <w:pPr>
        <w:pStyle w:val="TableText"/>
        <w:spacing w:after="240"/>
      </w:pPr>
      <w:r w:rsidRPr="00E400E4">
        <w:t xml:space="preserve">Department of Agriculture 2019, </w:t>
      </w:r>
      <w:r w:rsidRPr="00E400E4">
        <w:rPr>
          <w:i/>
        </w:rPr>
        <w:t>Final report for the review of biosecurity import requirements for fresh avocados from Chile</w:t>
      </w:r>
      <w:r w:rsidRPr="00E400E4">
        <w:t>, Department of Agriculture, Canberra.</w:t>
      </w:r>
    </w:p>
    <w:p w:rsidR="00555918" w:rsidRPr="00E400E4" w:rsidRDefault="00555918">
      <w:pPr>
        <w:pStyle w:val="TableText"/>
        <w:spacing w:after="240"/>
      </w:pPr>
      <w:r w:rsidRPr="00E400E4">
        <w:t xml:space="preserve">This publication is available at </w:t>
      </w:r>
      <w:hyperlink r:id="rId15" w:history="1">
        <w:r w:rsidRPr="00E400E4">
          <w:rPr>
            <w:rStyle w:val="Hyperlink"/>
          </w:rPr>
          <w:t>agriculture.gov.au</w:t>
        </w:r>
      </w:hyperlink>
      <w:r w:rsidRPr="00E400E4">
        <w:t>.</w:t>
      </w:r>
    </w:p>
    <w:p w:rsidR="00555918" w:rsidRPr="00E400E4" w:rsidRDefault="00555918">
      <w:pPr>
        <w:pStyle w:val="TableText"/>
      </w:pPr>
      <w:r w:rsidRPr="00E400E4">
        <w:t>Department of Agriculture</w:t>
      </w:r>
      <w:r w:rsidRPr="00E400E4">
        <w:br/>
        <w:t>GPO Box 858 Canberra ACT 2601</w:t>
      </w:r>
    </w:p>
    <w:p w:rsidR="00555918" w:rsidRPr="00E400E4" w:rsidRDefault="00555918">
      <w:pPr>
        <w:pStyle w:val="TableText"/>
        <w:tabs>
          <w:tab w:val="left" w:pos="1134"/>
        </w:tabs>
      </w:pPr>
      <w:r w:rsidRPr="00E400E4">
        <w:t xml:space="preserve">Switchboard: </w:t>
      </w:r>
      <w:r w:rsidRPr="00E400E4">
        <w:tab/>
        <w:t>+61 2 6272 3933 or 1800 900 090</w:t>
      </w:r>
    </w:p>
    <w:p w:rsidR="00555918" w:rsidRPr="00E400E4" w:rsidRDefault="00555918">
      <w:pPr>
        <w:pStyle w:val="TableText"/>
        <w:tabs>
          <w:tab w:val="left" w:pos="1134"/>
        </w:tabs>
        <w:spacing w:after="240"/>
      </w:pPr>
      <w:r w:rsidRPr="00E400E4">
        <w:t>Email:</w:t>
      </w:r>
      <w:r w:rsidRPr="00E400E4">
        <w:tab/>
      </w:r>
      <w:hyperlink r:id="rId16" w:history="1">
        <w:r w:rsidRPr="00E400E4">
          <w:rPr>
            <w:rStyle w:val="Hyperlink"/>
          </w:rPr>
          <w:t>plant@agriculture.gov.au</w:t>
        </w:r>
      </w:hyperlink>
    </w:p>
    <w:p w:rsidR="00555918" w:rsidRPr="00E400E4" w:rsidRDefault="00555918">
      <w:pPr>
        <w:pStyle w:val="TableText"/>
        <w:rPr>
          <w:rFonts w:ascii="Calibri" w:hAnsi="Calibri"/>
          <w:b/>
        </w:rPr>
      </w:pPr>
      <w:r w:rsidRPr="00E400E4">
        <w:rPr>
          <w:rFonts w:ascii="Calibri" w:hAnsi="Calibri"/>
          <w:b/>
        </w:rPr>
        <w:t>Liability</w:t>
      </w:r>
    </w:p>
    <w:p w:rsidR="00555918" w:rsidRPr="00E400E4" w:rsidRDefault="00555918">
      <w:pPr>
        <w:pStyle w:val="TableText"/>
        <w:spacing w:after="240"/>
      </w:pPr>
      <w:r w:rsidRPr="00E400E4">
        <w:t>The Australian Government acting through the Department of Agriculture has exercised due care and skill in preparing and compiling the information in this publication. Notwithstanding, the Department of Agriculture,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555918" w:rsidRPr="00E400E4" w:rsidRDefault="00555918">
      <w:pPr>
        <w:pStyle w:val="TableText"/>
      </w:pPr>
    </w:p>
    <w:p w:rsidR="00555918" w:rsidRPr="00E400E4" w:rsidRDefault="00555918" w:rsidP="000B1771">
      <w:pPr>
        <w:pStyle w:val="TOCHeading"/>
        <w:sectPr w:rsidR="00555918" w:rsidRPr="00E400E4" w:rsidSect="000B1771">
          <w:headerReference w:type="default" r:id="rId17"/>
          <w:pgSz w:w="11906" w:h="16838"/>
          <w:pgMar w:top="1418" w:right="1418" w:bottom="1418" w:left="1418" w:header="567" w:footer="283" w:gutter="0"/>
          <w:pgNumType w:fmt="lowerRoman"/>
          <w:cols w:space="708"/>
          <w:docGrid w:linePitch="360"/>
        </w:sectPr>
      </w:pPr>
    </w:p>
    <w:p w:rsidR="00555918" w:rsidRPr="00E400E4" w:rsidRDefault="00555918" w:rsidP="000B1771">
      <w:pPr>
        <w:pStyle w:val="TOCHeading"/>
      </w:pPr>
      <w:r w:rsidRPr="00E400E4">
        <w:lastRenderedPageBreak/>
        <w:t>Contents</w:t>
      </w:r>
    </w:p>
    <w:p w:rsidR="00555918" w:rsidRPr="00E400E4" w:rsidRDefault="00555918">
      <w:pPr>
        <w:pStyle w:val="TOC1"/>
        <w:rPr>
          <w:rFonts w:eastAsiaTheme="minorEastAsia"/>
          <w:b w:val="0"/>
          <w:lang w:eastAsia="en-AU"/>
        </w:rPr>
      </w:pPr>
      <w:r w:rsidRPr="00E400E4">
        <w:rPr>
          <w:bCs/>
          <w:szCs w:val="24"/>
        </w:rPr>
        <w:fldChar w:fldCharType="begin"/>
      </w:r>
      <w:r w:rsidRPr="00E400E4">
        <w:rPr>
          <w:bCs/>
          <w:szCs w:val="24"/>
        </w:rPr>
        <w:instrText xml:space="preserve"> TOC \t "Heading 2,1,Heading 3,2" </w:instrText>
      </w:r>
      <w:r w:rsidRPr="00E400E4">
        <w:rPr>
          <w:bCs/>
          <w:szCs w:val="24"/>
        </w:rPr>
        <w:fldChar w:fldCharType="separate"/>
      </w:r>
      <w:r w:rsidRPr="00E400E4">
        <w:t>Acronyms and abbreviations</w:t>
      </w:r>
      <w:r w:rsidRPr="00E400E4">
        <w:tab/>
      </w:r>
      <w:r w:rsidRPr="00E400E4">
        <w:fldChar w:fldCharType="begin"/>
      </w:r>
      <w:r w:rsidRPr="00E400E4">
        <w:instrText xml:space="preserve"> PAGEREF _Toc20392225 \h </w:instrText>
      </w:r>
      <w:r w:rsidRPr="00E400E4">
        <w:fldChar w:fldCharType="separate"/>
      </w:r>
      <w:r w:rsidR="006C029B">
        <w:t>viii</w:t>
      </w:r>
      <w:r w:rsidRPr="00E400E4">
        <w:fldChar w:fldCharType="end"/>
      </w:r>
    </w:p>
    <w:p w:rsidR="00555918" w:rsidRPr="00E400E4" w:rsidRDefault="00555918">
      <w:pPr>
        <w:pStyle w:val="TOC1"/>
        <w:rPr>
          <w:rFonts w:eastAsiaTheme="minorEastAsia"/>
          <w:b w:val="0"/>
          <w:lang w:eastAsia="en-AU"/>
        </w:rPr>
      </w:pPr>
      <w:r w:rsidRPr="00E400E4">
        <w:t>Summary</w:t>
      </w:r>
      <w:r w:rsidRPr="00E400E4">
        <w:tab/>
      </w:r>
      <w:r w:rsidRPr="00E400E4">
        <w:fldChar w:fldCharType="begin"/>
      </w:r>
      <w:r w:rsidRPr="00E400E4">
        <w:instrText xml:space="preserve"> PAGEREF _Toc20392226 \h </w:instrText>
      </w:r>
      <w:r w:rsidRPr="00E400E4">
        <w:fldChar w:fldCharType="separate"/>
      </w:r>
      <w:r w:rsidR="006C029B">
        <w:t>1</w:t>
      </w:r>
      <w:r w:rsidRPr="00E400E4">
        <w:fldChar w:fldCharType="end"/>
      </w:r>
    </w:p>
    <w:p w:rsidR="00555918" w:rsidRPr="00E400E4" w:rsidRDefault="00555918">
      <w:pPr>
        <w:pStyle w:val="TOC1"/>
        <w:rPr>
          <w:rFonts w:eastAsiaTheme="minorEastAsia"/>
          <w:b w:val="0"/>
          <w:lang w:eastAsia="en-AU"/>
        </w:rPr>
      </w:pPr>
      <w:r w:rsidRPr="00E400E4">
        <w:t>1</w:t>
      </w:r>
      <w:r w:rsidRPr="00E400E4">
        <w:rPr>
          <w:rFonts w:eastAsiaTheme="minorEastAsia"/>
          <w:b w:val="0"/>
          <w:lang w:eastAsia="en-AU"/>
        </w:rPr>
        <w:tab/>
      </w:r>
      <w:r w:rsidRPr="00E400E4">
        <w:t>Introduction</w:t>
      </w:r>
      <w:r w:rsidRPr="00E400E4">
        <w:tab/>
      </w:r>
      <w:r w:rsidRPr="00E400E4">
        <w:fldChar w:fldCharType="begin"/>
      </w:r>
      <w:r w:rsidRPr="00E400E4">
        <w:instrText xml:space="preserve"> PAGEREF _Toc20392227 \h </w:instrText>
      </w:r>
      <w:r w:rsidRPr="00E400E4">
        <w:fldChar w:fldCharType="separate"/>
      </w:r>
      <w:r w:rsidR="006C029B">
        <w:t>3</w:t>
      </w:r>
      <w:r w:rsidRPr="00E400E4">
        <w:fldChar w:fldCharType="end"/>
      </w:r>
    </w:p>
    <w:p w:rsidR="00555918" w:rsidRPr="00E400E4" w:rsidRDefault="00555918">
      <w:pPr>
        <w:pStyle w:val="TOC2"/>
        <w:tabs>
          <w:tab w:val="left" w:pos="1100"/>
        </w:tabs>
        <w:rPr>
          <w:rFonts w:eastAsiaTheme="minorEastAsia"/>
          <w:lang w:eastAsia="en-AU"/>
        </w:rPr>
      </w:pPr>
      <w:r w:rsidRPr="00E400E4">
        <w:t>1.1</w:t>
      </w:r>
      <w:r w:rsidRPr="00E400E4">
        <w:rPr>
          <w:rFonts w:eastAsiaTheme="minorEastAsia"/>
          <w:lang w:eastAsia="en-AU"/>
        </w:rPr>
        <w:tab/>
      </w:r>
      <w:r w:rsidRPr="00E400E4">
        <w:t>Australia’s biosecurity policy framework</w:t>
      </w:r>
      <w:r w:rsidRPr="00E400E4">
        <w:tab/>
      </w:r>
      <w:r w:rsidRPr="00E400E4">
        <w:fldChar w:fldCharType="begin"/>
      </w:r>
      <w:r w:rsidRPr="00E400E4">
        <w:instrText xml:space="preserve"> PAGEREF _Toc20392228 \h </w:instrText>
      </w:r>
      <w:r w:rsidRPr="00E400E4">
        <w:fldChar w:fldCharType="separate"/>
      </w:r>
      <w:r w:rsidR="006C029B">
        <w:t>3</w:t>
      </w:r>
      <w:r w:rsidRPr="00E400E4">
        <w:fldChar w:fldCharType="end"/>
      </w:r>
    </w:p>
    <w:p w:rsidR="00555918" w:rsidRPr="00E400E4" w:rsidRDefault="00555918">
      <w:pPr>
        <w:pStyle w:val="TOC2"/>
        <w:tabs>
          <w:tab w:val="left" w:pos="1100"/>
        </w:tabs>
        <w:rPr>
          <w:rFonts w:eastAsiaTheme="minorEastAsia"/>
          <w:lang w:eastAsia="en-AU"/>
        </w:rPr>
      </w:pPr>
      <w:r w:rsidRPr="00E400E4">
        <w:t>1.2</w:t>
      </w:r>
      <w:r w:rsidRPr="00E400E4">
        <w:rPr>
          <w:rFonts w:eastAsiaTheme="minorEastAsia"/>
          <w:lang w:eastAsia="en-AU"/>
        </w:rPr>
        <w:tab/>
      </w:r>
      <w:r w:rsidRPr="00E400E4">
        <w:t>This risk analysis</w:t>
      </w:r>
      <w:r w:rsidRPr="00E400E4">
        <w:tab/>
      </w:r>
      <w:r w:rsidRPr="00E400E4">
        <w:fldChar w:fldCharType="begin"/>
      </w:r>
      <w:r w:rsidRPr="00E400E4">
        <w:instrText xml:space="preserve"> PAGEREF _Toc20392229 \h </w:instrText>
      </w:r>
      <w:r w:rsidRPr="00E400E4">
        <w:fldChar w:fldCharType="separate"/>
      </w:r>
      <w:r w:rsidR="006C029B">
        <w:t>3</w:t>
      </w:r>
      <w:r w:rsidRPr="00E400E4">
        <w:fldChar w:fldCharType="end"/>
      </w:r>
    </w:p>
    <w:p w:rsidR="00555918" w:rsidRPr="00E400E4" w:rsidRDefault="00555918">
      <w:pPr>
        <w:pStyle w:val="TOC1"/>
        <w:rPr>
          <w:rFonts w:eastAsiaTheme="minorEastAsia"/>
          <w:b w:val="0"/>
          <w:lang w:eastAsia="en-AU"/>
        </w:rPr>
      </w:pPr>
      <w:r w:rsidRPr="00E400E4">
        <w:t>2</w:t>
      </w:r>
      <w:r w:rsidRPr="00E400E4">
        <w:rPr>
          <w:rFonts w:eastAsiaTheme="minorEastAsia"/>
          <w:b w:val="0"/>
          <w:lang w:eastAsia="en-AU"/>
        </w:rPr>
        <w:tab/>
      </w:r>
      <w:r w:rsidRPr="00E400E4">
        <w:t>Method for pest risk analysis</w:t>
      </w:r>
      <w:r w:rsidRPr="00E400E4">
        <w:tab/>
      </w:r>
      <w:r w:rsidRPr="00E400E4">
        <w:fldChar w:fldCharType="begin"/>
      </w:r>
      <w:r w:rsidRPr="00E400E4">
        <w:instrText xml:space="preserve"> PAGEREF _Toc20392230 \h </w:instrText>
      </w:r>
      <w:r w:rsidRPr="00E400E4">
        <w:fldChar w:fldCharType="separate"/>
      </w:r>
      <w:r w:rsidR="006C029B">
        <w:t>6</w:t>
      </w:r>
      <w:r w:rsidRPr="00E400E4">
        <w:fldChar w:fldCharType="end"/>
      </w:r>
    </w:p>
    <w:p w:rsidR="00555918" w:rsidRPr="00E400E4" w:rsidRDefault="00555918">
      <w:pPr>
        <w:pStyle w:val="TOC2"/>
        <w:tabs>
          <w:tab w:val="left" w:pos="1100"/>
        </w:tabs>
        <w:rPr>
          <w:rFonts w:eastAsiaTheme="minorEastAsia"/>
          <w:lang w:eastAsia="en-AU"/>
        </w:rPr>
      </w:pPr>
      <w:r w:rsidRPr="00E400E4">
        <w:t>2.1</w:t>
      </w:r>
      <w:r w:rsidRPr="00E400E4">
        <w:rPr>
          <w:rFonts w:eastAsiaTheme="minorEastAsia"/>
          <w:lang w:eastAsia="en-AU"/>
        </w:rPr>
        <w:tab/>
      </w:r>
      <w:r w:rsidRPr="00E400E4">
        <w:t>Stage 1 Initiation</w:t>
      </w:r>
      <w:r w:rsidRPr="00E400E4">
        <w:tab/>
      </w:r>
      <w:r w:rsidRPr="00E400E4">
        <w:fldChar w:fldCharType="begin"/>
      </w:r>
      <w:r w:rsidRPr="00E400E4">
        <w:instrText xml:space="preserve"> PAGEREF _Toc20392231 \h </w:instrText>
      </w:r>
      <w:r w:rsidRPr="00E400E4">
        <w:fldChar w:fldCharType="separate"/>
      </w:r>
      <w:r w:rsidR="006C029B">
        <w:t>6</w:t>
      </w:r>
      <w:r w:rsidRPr="00E400E4">
        <w:fldChar w:fldCharType="end"/>
      </w:r>
    </w:p>
    <w:p w:rsidR="00555918" w:rsidRPr="00E400E4" w:rsidRDefault="00555918">
      <w:pPr>
        <w:pStyle w:val="TOC2"/>
        <w:tabs>
          <w:tab w:val="left" w:pos="1100"/>
        </w:tabs>
        <w:rPr>
          <w:rFonts w:eastAsiaTheme="minorEastAsia"/>
          <w:lang w:eastAsia="en-AU"/>
        </w:rPr>
      </w:pPr>
      <w:r w:rsidRPr="00E400E4">
        <w:t>2.2</w:t>
      </w:r>
      <w:r w:rsidRPr="00E400E4">
        <w:rPr>
          <w:rFonts w:eastAsiaTheme="minorEastAsia"/>
          <w:lang w:eastAsia="en-AU"/>
        </w:rPr>
        <w:tab/>
      </w:r>
      <w:r w:rsidRPr="00E400E4">
        <w:t>Stage 2 Pest risk assessment</w:t>
      </w:r>
      <w:r w:rsidRPr="00E400E4">
        <w:tab/>
      </w:r>
      <w:r w:rsidRPr="00E400E4">
        <w:fldChar w:fldCharType="begin"/>
      </w:r>
      <w:r w:rsidRPr="00E400E4">
        <w:instrText xml:space="preserve"> PAGEREF _Toc20392232 \h </w:instrText>
      </w:r>
      <w:r w:rsidRPr="00E400E4">
        <w:fldChar w:fldCharType="separate"/>
      </w:r>
      <w:r w:rsidR="006C029B">
        <w:t>7</w:t>
      </w:r>
      <w:r w:rsidRPr="00E400E4">
        <w:fldChar w:fldCharType="end"/>
      </w:r>
    </w:p>
    <w:p w:rsidR="00555918" w:rsidRPr="00E400E4" w:rsidRDefault="00555918">
      <w:pPr>
        <w:pStyle w:val="TOC2"/>
        <w:tabs>
          <w:tab w:val="left" w:pos="1100"/>
        </w:tabs>
        <w:rPr>
          <w:rFonts w:eastAsiaTheme="minorEastAsia"/>
          <w:lang w:eastAsia="en-AU"/>
        </w:rPr>
      </w:pPr>
      <w:r w:rsidRPr="00E400E4">
        <w:t>2.3</w:t>
      </w:r>
      <w:r w:rsidRPr="00E400E4">
        <w:rPr>
          <w:rFonts w:eastAsiaTheme="minorEastAsia"/>
          <w:lang w:eastAsia="en-AU"/>
        </w:rPr>
        <w:tab/>
      </w:r>
      <w:r w:rsidRPr="00E400E4">
        <w:t>Stage 3 Pest risk management</w:t>
      </w:r>
      <w:r w:rsidRPr="00E400E4">
        <w:tab/>
      </w:r>
      <w:r w:rsidRPr="00E400E4">
        <w:fldChar w:fldCharType="begin"/>
      </w:r>
      <w:r w:rsidRPr="00E400E4">
        <w:instrText xml:space="preserve"> PAGEREF _Toc20392233 \h </w:instrText>
      </w:r>
      <w:r w:rsidRPr="00E400E4">
        <w:fldChar w:fldCharType="separate"/>
      </w:r>
      <w:r w:rsidR="006C029B">
        <w:t>15</w:t>
      </w:r>
      <w:r w:rsidRPr="00E400E4">
        <w:fldChar w:fldCharType="end"/>
      </w:r>
    </w:p>
    <w:p w:rsidR="00555918" w:rsidRPr="00E400E4" w:rsidRDefault="00555918">
      <w:pPr>
        <w:pStyle w:val="TOC1"/>
        <w:rPr>
          <w:rFonts w:eastAsiaTheme="minorEastAsia"/>
          <w:b w:val="0"/>
          <w:lang w:eastAsia="en-AU"/>
        </w:rPr>
      </w:pPr>
      <w:r w:rsidRPr="00E400E4">
        <w:t>3</w:t>
      </w:r>
      <w:r w:rsidRPr="00E400E4">
        <w:rPr>
          <w:rFonts w:eastAsiaTheme="minorEastAsia"/>
          <w:b w:val="0"/>
          <w:lang w:eastAsia="en-AU"/>
        </w:rPr>
        <w:tab/>
      </w:r>
      <w:r w:rsidRPr="00E400E4">
        <w:t>Chile’s commercial production practices for avocados</w:t>
      </w:r>
      <w:r w:rsidRPr="00E400E4">
        <w:tab/>
      </w:r>
      <w:r w:rsidRPr="00E400E4">
        <w:fldChar w:fldCharType="begin"/>
      </w:r>
      <w:r w:rsidRPr="00E400E4">
        <w:instrText xml:space="preserve"> PAGEREF _Toc20392234 \h </w:instrText>
      </w:r>
      <w:r w:rsidRPr="00E400E4">
        <w:fldChar w:fldCharType="separate"/>
      </w:r>
      <w:r w:rsidR="006C029B">
        <w:t>17</w:t>
      </w:r>
      <w:r w:rsidRPr="00E400E4">
        <w:fldChar w:fldCharType="end"/>
      </w:r>
    </w:p>
    <w:p w:rsidR="00555918" w:rsidRPr="00E400E4" w:rsidRDefault="00555918">
      <w:pPr>
        <w:pStyle w:val="TOC2"/>
        <w:tabs>
          <w:tab w:val="left" w:pos="1100"/>
        </w:tabs>
        <w:rPr>
          <w:rFonts w:eastAsiaTheme="minorEastAsia"/>
          <w:lang w:eastAsia="en-AU"/>
        </w:rPr>
      </w:pPr>
      <w:r w:rsidRPr="00E400E4">
        <w:t>3.1</w:t>
      </w:r>
      <w:r w:rsidRPr="00E400E4">
        <w:rPr>
          <w:rFonts w:eastAsiaTheme="minorEastAsia"/>
          <w:lang w:eastAsia="en-AU"/>
        </w:rPr>
        <w:tab/>
      </w:r>
      <w:r w:rsidRPr="00E400E4">
        <w:t>Considerations used in estimating unrestricted risk</w:t>
      </w:r>
      <w:r w:rsidRPr="00E400E4">
        <w:tab/>
      </w:r>
      <w:r w:rsidRPr="00E400E4">
        <w:fldChar w:fldCharType="begin"/>
      </w:r>
      <w:r w:rsidRPr="00E400E4">
        <w:instrText xml:space="preserve"> PAGEREF _Toc20392235 \h </w:instrText>
      </w:r>
      <w:r w:rsidRPr="00E400E4">
        <w:fldChar w:fldCharType="separate"/>
      </w:r>
      <w:r w:rsidR="006C029B">
        <w:t>17</w:t>
      </w:r>
      <w:r w:rsidRPr="00E400E4">
        <w:fldChar w:fldCharType="end"/>
      </w:r>
    </w:p>
    <w:p w:rsidR="00555918" w:rsidRPr="00E400E4" w:rsidRDefault="00555918">
      <w:pPr>
        <w:pStyle w:val="TOC2"/>
        <w:tabs>
          <w:tab w:val="left" w:pos="1100"/>
        </w:tabs>
        <w:rPr>
          <w:rFonts w:eastAsiaTheme="minorEastAsia"/>
          <w:lang w:eastAsia="en-AU"/>
        </w:rPr>
      </w:pPr>
      <w:r w:rsidRPr="00E400E4">
        <w:t>3.2</w:t>
      </w:r>
      <w:r w:rsidRPr="00E400E4">
        <w:rPr>
          <w:rFonts w:eastAsiaTheme="minorEastAsia"/>
          <w:lang w:eastAsia="en-AU"/>
        </w:rPr>
        <w:tab/>
      </w:r>
      <w:r w:rsidRPr="00E400E4">
        <w:t>Avocado production areas</w:t>
      </w:r>
      <w:r w:rsidRPr="00E400E4">
        <w:tab/>
      </w:r>
      <w:r w:rsidRPr="00E400E4">
        <w:fldChar w:fldCharType="begin"/>
      </w:r>
      <w:r w:rsidRPr="00E400E4">
        <w:instrText xml:space="preserve"> PAGEREF _Toc20392236 \h </w:instrText>
      </w:r>
      <w:r w:rsidRPr="00E400E4">
        <w:fldChar w:fldCharType="separate"/>
      </w:r>
      <w:r w:rsidR="006C029B">
        <w:t>17</w:t>
      </w:r>
      <w:r w:rsidRPr="00E400E4">
        <w:fldChar w:fldCharType="end"/>
      </w:r>
    </w:p>
    <w:p w:rsidR="00555918" w:rsidRPr="00E400E4" w:rsidRDefault="00555918">
      <w:pPr>
        <w:pStyle w:val="TOC2"/>
        <w:tabs>
          <w:tab w:val="left" w:pos="1100"/>
        </w:tabs>
        <w:rPr>
          <w:rFonts w:eastAsiaTheme="minorEastAsia"/>
          <w:lang w:eastAsia="en-AU"/>
        </w:rPr>
      </w:pPr>
      <w:r w:rsidRPr="00E400E4">
        <w:t>3.3</w:t>
      </w:r>
      <w:r w:rsidRPr="00E400E4">
        <w:rPr>
          <w:rFonts w:eastAsiaTheme="minorEastAsia"/>
          <w:lang w:eastAsia="en-AU"/>
        </w:rPr>
        <w:tab/>
      </w:r>
      <w:r w:rsidRPr="00E400E4">
        <w:t>Climate in production areas</w:t>
      </w:r>
      <w:r w:rsidRPr="00E400E4">
        <w:tab/>
      </w:r>
      <w:r w:rsidRPr="00E400E4">
        <w:fldChar w:fldCharType="begin"/>
      </w:r>
      <w:r w:rsidRPr="00E400E4">
        <w:instrText xml:space="preserve"> PAGEREF _Toc20392237 \h </w:instrText>
      </w:r>
      <w:r w:rsidRPr="00E400E4">
        <w:fldChar w:fldCharType="separate"/>
      </w:r>
      <w:r w:rsidR="006C029B">
        <w:t>18</w:t>
      </w:r>
      <w:r w:rsidRPr="00E400E4">
        <w:fldChar w:fldCharType="end"/>
      </w:r>
    </w:p>
    <w:p w:rsidR="00555918" w:rsidRPr="00E400E4" w:rsidRDefault="00555918">
      <w:pPr>
        <w:pStyle w:val="TOC2"/>
        <w:tabs>
          <w:tab w:val="left" w:pos="1100"/>
        </w:tabs>
        <w:rPr>
          <w:rFonts w:eastAsiaTheme="minorEastAsia"/>
          <w:lang w:eastAsia="en-AU"/>
        </w:rPr>
      </w:pPr>
      <w:r w:rsidRPr="00E400E4">
        <w:t>3.4</w:t>
      </w:r>
      <w:r w:rsidRPr="00E400E4">
        <w:rPr>
          <w:rFonts w:eastAsiaTheme="minorEastAsia"/>
          <w:lang w:eastAsia="en-AU"/>
        </w:rPr>
        <w:tab/>
      </w:r>
      <w:r w:rsidRPr="00E400E4">
        <w:t>Pre-harvest</w:t>
      </w:r>
      <w:r w:rsidRPr="00E400E4">
        <w:tab/>
      </w:r>
      <w:r w:rsidRPr="00E400E4">
        <w:fldChar w:fldCharType="begin"/>
      </w:r>
      <w:r w:rsidRPr="00E400E4">
        <w:instrText xml:space="preserve"> PAGEREF _Toc20392238 \h </w:instrText>
      </w:r>
      <w:r w:rsidRPr="00E400E4">
        <w:fldChar w:fldCharType="separate"/>
      </w:r>
      <w:r w:rsidR="006C029B">
        <w:t>20</w:t>
      </w:r>
      <w:r w:rsidRPr="00E400E4">
        <w:fldChar w:fldCharType="end"/>
      </w:r>
    </w:p>
    <w:p w:rsidR="00555918" w:rsidRPr="00E400E4" w:rsidRDefault="00555918">
      <w:pPr>
        <w:pStyle w:val="TOC2"/>
        <w:tabs>
          <w:tab w:val="left" w:pos="1100"/>
        </w:tabs>
        <w:rPr>
          <w:rFonts w:eastAsiaTheme="minorEastAsia"/>
          <w:lang w:eastAsia="en-AU"/>
        </w:rPr>
      </w:pPr>
      <w:r w:rsidRPr="00E400E4">
        <w:t>3.5</w:t>
      </w:r>
      <w:r w:rsidRPr="00E400E4">
        <w:rPr>
          <w:rFonts w:eastAsiaTheme="minorEastAsia"/>
          <w:lang w:eastAsia="en-AU"/>
        </w:rPr>
        <w:tab/>
      </w:r>
      <w:r w:rsidRPr="00E400E4">
        <w:t>Harvesting and handling procedures</w:t>
      </w:r>
      <w:r w:rsidRPr="00E400E4">
        <w:tab/>
      </w:r>
      <w:r w:rsidRPr="00E400E4">
        <w:fldChar w:fldCharType="begin"/>
      </w:r>
      <w:r w:rsidRPr="00E400E4">
        <w:instrText xml:space="preserve"> PAGEREF _Toc20392239 \h </w:instrText>
      </w:r>
      <w:r w:rsidRPr="00E400E4">
        <w:fldChar w:fldCharType="separate"/>
      </w:r>
      <w:r w:rsidR="006C029B">
        <w:t>23</w:t>
      </w:r>
      <w:r w:rsidRPr="00E400E4">
        <w:fldChar w:fldCharType="end"/>
      </w:r>
    </w:p>
    <w:p w:rsidR="00555918" w:rsidRPr="00E400E4" w:rsidRDefault="00555918">
      <w:pPr>
        <w:pStyle w:val="TOC2"/>
        <w:tabs>
          <w:tab w:val="left" w:pos="1100"/>
        </w:tabs>
        <w:rPr>
          <w:rFonts w:eastAsiaTheme="minorEastAsia"/>
          <w:lang w:eastAsia="en-AU"/>
        </w:rPr>
      </w:pPr>
      <w:r w:rsidRPr="00E400E4">
        <w:t>3.6</w:t>
      </w:r>
      <w:r w:rsidRPr="00E400E4">
        <w:rPr>
          <w:rFonts w:eastAsiaTheme="minorEastAsia"/>
          <w:lang w:eastAsia="en-AU"/>
        </w:rPr>
        <w:tab/>
      </w:r>
      <w:r w:rsidRPr="00E400E4">
        <w:t>Post-harvest</w:t>
      </w:r>
      <w:r w:rsidRPr="00E400E4">
        <w:tab/>
      </w:r>
      <w:r w:rsidRPr="00E400E4">
        <w:fldChar w:fldCharType="begin"/>
      </w:r>
      <w:r w:rsidRPr="00E400E4">
        <w:instrText xml:space="preserve"> PAGEREF _Toc20392240 \h </w:instrText>
      </w:r>
      <w:r w:rsidRPr="00E400E4">
        <w:fldChar w:fldCharType="separate"/>
      </w:r>
      <w:r w:rsidR="006C029B">
        <w:t>24</w:t>
      </w:r>
      <w:r w:rsidRPr="00E400E4">
        <w:fldChar w:fldCharType="end"/>
      </w:r>
    </w:p>
    <w:p w:rsidR="00555918" w:rsidRPr="00E400E4" w:rsidRDefault="00555918">
      <w:pPr>
        <w:pStyle w:val="TOC2"/>
        <w:tabs>
          <w:tab w:val="left" w:pos="1100"/>
        </w:tabs>
        <w:rPr>
          <w:rFonts w:eastAsiaTheme="minorEastAsia"/>
          <w:lang w:eastAsia="en-AU"/>
        </w:rPr>
      </w:pPr>
      <w:r w:rsidRPr="00E400E4">
        <w:t>3.7</w:t>
      </w:r>
      <w:r w:rsidRPr="00E400E4">
        <w:rPr>
          <w:rFonts w:eastAsiaTheme="minorEastAsia"/>
          <w:lang w:eastAsia="en-AU"/>
        </w:rPr>
        <w:tab/>
      </w:r>
      <w:r w:rsidRPr="00E400E4">
        <w:t>Export capability</w:t>
      </w:r>
      <w:r w:rsidRPr="00E400E4">
        <w:tab/>
      </w:r>
      <w:r w:rsidRPr="00E400E4">
        <w:fldChar w:fldCharType="begin"/>
      </w:r>
      <w:r w:rsidRPr="00E400E4">
        <w:instrText xml:space="preserve"> PAGEREF _Toc20392241 \h </w:instrText>
      </w:r>
      <w:r w:rsidRPr="00E400E4">
        <w:fldChar w:fldCharType="separate"/>
      </w:r>
      <w:r w:rsidR="006C029B">
        <w:t>33</w:t>
      </w:r>
      <w:r w:rsidRPr="00E400E4">
        <w:fldChar w:fldCharType="end"/>
      </w:r>
    </w:p>
    <w:p w:rsidR="00555918" w:rsidRPr="00E400E4" w:rsidRDefault="00555918">
      <w:pPr>
        <w:pStyle w:val="TOC1"/>
        <w:rPr>
          <w:rFonts w:eastAsiaTheme="minorEastAsia"/>
          <w:b w:val="0"/>
          <w:lang w:eastAsia="en-AU"/>
        </w:rPr>
      </w:pPr>
      <w:r w:rsidRPr="00E400E4">
        <w:t>4</w:t>
      </w:r>
      <w:r w:rsidRPr="00E400E4">
        <w:rPr>
          <w:rFonts w:eastAsiaTheme="minorEastAsia"/>
          <w:b w:val="0"/>
          <w:lang w:eastAsia="en-AU"/>
        </w:rPr>
        <w:tab/>
      </w:r>
      <w:r w:rsidRPr="00E400E4">
        <w:t>Pest risk assessments for quarantine pests</w:t>
      </w:r>
      <w:r w:rsidRPr="00E400E4">
        <w:tab/>
      </w:r>
      <w:r w:rsidRPr="00E400E4">
        <w:fldChar w:fldCharType="begin"/>
      </w:r>
      <w:r w:rsidRPr="00E400E4">
        <w:instrText xml:space="preserve"> PAGEREF _Toc20392242 \h </w:instrText>
      </w:r>
      <w:r w:rsidRPr="00E400E4">
        <w:fldChar w:fldCharType="separate"/>
      </w:r>
      <w:r w:rsidR="006C029B">
        <w:t>35</w:t>
      </w:r>
      <w:r w:rsidRPr="00E400E4">
        <w:fldChar w:fldCharType="end"/>
      </w:r>
    </w:p>
    <w:p w:rsidR="00555918" w:rsidRPr="00E400E4" w:rsidRDefault="00555918">
      <w:pPr>
        <w:pStyle w:val="TOC2"/>
        <w:tabs>
          <w:tab w:val="left" w:pos="1100"/>
        </w:tabs>
        <w:rPr>
          <w:rFonts w:eastAsiaTheme="minorEastAsia"/>
          <w:lang w:eastAsia="en-AU"/>
        </w:rPr>
      </w:pPr>
      <w:r w:rsidRPr="00E400E4">
        <w:t>4.1</w:t>
      </w:r>
      <w:r w:rsidRPr="00E400E4">
        <w:rPr>
          <w:rFonts w:eastAsiaTheme="minorEastAsia"/>
          <w:lang w:eastAsia="en-AU"/>
        </w:rPr>
        <w:tab/>
      </w:r>
      <w:r w:rsidRPr="00E400E4">
        <w:t>Mediterranean fruit fly</w:t>
      </w:r>
      <w:r w:rsidRPr="00E400E4">
        <w:tab/>
      </w:r>
      <w:r w:rsidRPr="00E400E4">
        <w:fldChar w:fldCharType="begin"/>
      </w:r>
      <w:r w:rsidRPr="00E400E4">
        <w:instrText xml:space="preserve"> PAGEREF _Toc20392243 \h </w:instrText>
      </w:r>
      <w:r w:rsidRPr="00E400E4">
        <w:fldChar w:fldCharType="separate"/>
      </w:r>
      <w:r w:rsidR="006C029B">
        <w:t>37</w:t>
      </w:r>
      <w:r w:rsidRPr="00E400E4">
        <w:fldChar w:fldCharType="end"/>
      </w:r>
    </w:p>
    <w:p w:rsidR="00555918" w:rsidRPr="00E400E4" w:rsidRDefault="00555918">
      <w:pPr>
        <w:pStyle w:val="TOC2"/>
        <w:tabs>
          <w:tab w:val="left" w:pos="1100"/>
        </w:tabs>
        <w:rPr>
          <w:rFonts w:eastAsiaTheme="minorEastAsia"/>
          <w:lang w:eastAsia="en-AU"/>
        </w:rPr>
      </w:pPr>
      <w:r w:rsidRPr="00E400E4">
        <w:t>4.2</w:t>
      </w:r>
      <w:r w:rsidRPr="00E400E4">
        <w:rPr>
          <w:rFonts w:eastAsiaTheme="minorEastAsia"/>
          <w:lang w:eastAsia="en-AU"/>
        </w:rPr>
        <w:tab/>
      </w:r>
      <w:r w:rsidRPr="00E400E4">
        <w:t>Armoured scales</w:t>
      </w:r>
      <w:r w:rsidRPr="00E400E4">
        <w:tab/>
      </w:r>
      <w:r w:rsidRPr="00E400E4">
        <w:fldChar w:fldCharType="begin"/>
      </w:r>
      <w:r w:rsidRPr="00E400E4">
        <w:instrText xml:space="preserve"> PAGEREF _Toc20392244 \h </w:instrText>
      </w:r>
      <w:r w:rsidRPr="00E400E4">
        <w:fldChar w:fldCharType="separate"/>
      </w:r>
      <w:r w:rsidR="006C029B">
        <w:t>39</w:t>
      </w:r>
      <w:r w:rsidRPr="00E400E4">
        <w:fldChar w:fldCharType="end"/>
      </w:r>
    </w:p>
    <w:p w:rsidR="00555918" w:rsidRPr="00E400E4" w:rsidRDefault="00555918">
      <w:pPr>
        <w:pStyle w:val="TOC2"/>
        <w:tabs>
          <w:tab w:val="left" w:pos="1100"/>
        </w:tabs>
        <w:rPr>
          <w:rFonts w:eastAsiaTheme="minorEastAsia"/>
          <w:lang w:eastAsia="en-AU"/>
        </w:rPr>
      </w:pPr>
      <w:r w:rsidRPr="00E400E4">
        <w:t>4.3</w:t>
      </w:r>
      <w:r w:rsidRPr="00E400E4">
        <w:rPr>
          <w:rFonts w:eastAsiaTheme="minorEastAsia"/>
          <w:lang w:eastAsia="en-AU"/>
        </w:rPr>
        <w:tab/>
      </w:r>
      <w:r w:rsidRPr="00E400E4">
        <w:t>Grape mealybug</w:t>
      </w:r>
      <w:r w:rsidRPr="00E400E4">
        <w:tab/>
      </w:r>
      <w:r w:rsidRPr="00E400E4">
        <w:fldChar w:fldCharType="begin"/>
      </w:r>
      <w:r w:rsidRPr="00E400E4">
        <w:instrText xml:space="preserve"> PAGEREF _Toc20392245 \h </w:instrText>
      </w:r>
      <w:r w:rsidRPr="00E400E4">
        <w:fldChar w:fldCharType="separate"/>
      </w:r>
      <w:r w:rsidR="006C029B">
        <w:t>43</w:t>
      </w:r>
      <w:r w:rsidRPr="00E400E4">
        <w:fldChar w:fldCharType="end"/>
      </w:r>
    </w:p>
    <w:p w:rsidR="00555918" w:rsidRPr="00E400E4" w:rsidRDefault="00555918">
      <w:pPr>
        <w:pStyle w:val="TOC2"/>
        <w:tabs>
          <w:tab w:val="left" w:pos="1100"/>
        </w:tabs>
        <w:rPr>
          <w:rFonts w:eastAsiaTheme="minorEastAsia"/>
          <w:lang w:eastAsia="en-AU"/>
        </w:rPr>
      </w:pPr>
      <w:r w:rsidRPr="00E400E4">
        <w:t>4.4</w:t>
      </w:r>
      <w:r w:rsidRPr="00E400E4">
        <w:rPr>
          <w:rFonts w:eastAsiaTheme="minorEastAsia"/>
          <w:lang w:eastAsia="en-AU"/>
        </w:rPr>
        <w:tab/>
      </w:r>
      <w:r w:rsidRPr="00E400E4">
        <w:t>Thrips</w:t>
      </w:r>
      <w:r w:rsidRPr="00E400E4">
        <w:tab/>
      </w:r>
      <w:r w:rsidRPr="00E400E4">
        <w:fldChar w:fldCharType="begin"/>
      </w:r>
      <w:r w:rsidRPr="00E400E4">
        <w:instrText xml:space="preserve"> PAGEREF _Toc20392246 \h </w:instrText>
      </w:r>
      <w:r w:rsidRPr="00E400E4">
        <w:fldChar w:fldCharType="separate"/>
      </w:r>
      <w:r w:rsidR="006C029B">
        <w:t>45</w:t>
      </w:r>
      <w:r w:rsidRPr="00E400E4">
        <w:fldChar w:fldCharType="end"/>
      </w:r>
    </w:p>
    <w:p w:rsidR="00555918" w:rsidRPr="00E400E4" w:rsidRDefault="00555918">
      <w:pPr>
        <w:pStyle w:val="TOC2"/>
        <w:tabs>
          <w:tab w:val="left" w:pos="1100"/>
        </w:tabs>
        <w:rPr>
          <w:rFonts w:eastAsiaTheme="minorEastAsia"/>
          <w:lang w:eastAsia="en-AU"/>
        </w:rPr>
      </w:pPr>
      <w:r w:rsidRPr="00E400E4">
        <w:t>4.5</w:t>
      </w:r>
      <w:r w:rsidRPr="00E400E4">
        <w:rPr>
          <w:rFonts w:eastAsiaTheme="minorEastAsia"/>
          <w:lang w:eastAsia="en-AU"/>
        </w:rPr>
        <w:tab/>
      </w:r>
      <w:r w:rsidRPr="00E400E4">
        <w:rPr>
          <w:i/>
        </w:rPr>
        <w:t>Oligonychus</w:t>
      </w:r>
      <w:r w:rsidRPr="00E400E4">
        <w:t xml:space="preserve"> spider mites</w:t>
      </w:r>
      <w:r w:rsidRPr="00E400E4">
        <w:tab/>
      </w:r>
      <w:r w:rsidRPr="00E400E4">
        <w:fldChar w:fldCharType="begin"/>
      </w:r>
      <w:r w:rsidRPr="00E400E4">
        <w:instrText xml:space="preserve"> PAGEREF _Toc20392247 \h </w:instrText>
      </w:r>
      <w:r w:rsidRPr="00E400E4">
        <w:fldChar w:fldCharType="separate"/>
      </w:r>
      <w:r w:rsidR="006C029B">
        <w:t>47</w:t>
      </w:r>
      <w:r w:rsidRPr="00E400E4">
        <w:fldChar w:fldCharType="end"/>
      </w:r>
    </w:p>
    <w:p w:rsidR="00555918" w:rsidRPr="00E400E4" w:rsidRDefault="00555918">
      <w:pPr>
        <w:pStyle w:val="TOC2"/>
        <w:tabs>
          <w:tab w:val="left" w:pos="1100"/>
        </w:tabs>
        <w:rPr>
          <w:rFonts w:eastAsiaTheme="minorEastAsia"/>
          <w:lang w:eastAsia="en-AU"/>
        </w:rPr>
      </w:pPr>
      <w:r w:rsidRPr="00E400E4">
        <w:t>4.6</w:t>
      </w:r>
      <w:r w:rsidRPr="00E400E4">
        <w:rPr>
          <w:rFonts w:eastAsiaTheme="minorEastAsia"/>
          <w:lang w:eastAsia="en-AU"/>
        </w:rPr>
        <w:tab/>
      </w:r>
      <w:r w:rsidRPr="00E400E4">
        <w:t>Citrus red mite</w:t>
      </w:r>
      <w:r w:rsidRPr="00E400E4">
        <w:tab/>
      </w:r>
      <w:r w:rsidRPr="00E400E4">
        <w:fldChar w:fldCharType="begin"/>
      </w:r>
      <w:r w:rsidRPr="00E400E4">
        <w:instrText xml:space="preserve"> PAGEREF _Toc20392248 \h </w:instrText>
      </w:r>
      <w:r w:rsidRPr="00E400E4">
        <w:fldChar w:fldCharType="separate"/>
      </w:r>
      <w:r w:rsidR="006C029B">
        <w:t>52</w:t>
      </w:r>
      <w:r w:rsidRPr="00E400E4">
        <w:fldChar w:fldCharType="end"/>
      </w:r>
    </w:p>
    <w:p w:rsidR="00555918" w:rsidRPr="00E400E4" w:rsidRDefault="00555918">
      <w:pPr>
        <w:pStyle w:val="TOC2"/>
        <w:tabs>
          <w:tab w:val="left" w:pos="1100"/>
        </w:tabs>
        <w:rPr>
          <w:rFonts w:eastAsiaTheme="minorEastAsia"/>
          <w:lang w:eastAsia="en-AU"/>
        </w:rPr>
      </w:pPr>
      <w:r w:rsidRPr="00E400E4">
        <w:t>4.7</w:t>
      </w:r>
      <w:r w:rsidRPr="00E400E4">
        <w:rPr>
          <w:rFonts w:eastAsiaTheme="minorEastAsia"/>
          <w:lang w:eastAsia="en-AU"/>
        </w:rPr>
        <w:tab/>
      </w:r>
      <w:r w:rsidRPr="00E400E4">
        <w:t>Pest risk assessment conclusions</w:t>
      </w:r>
      <w:r w:rsidRPr="00E400E4">
        <w:tab/>
      </w:r>
      <w:r w:rsidRPr="00E400E4">
        <w:fldChar w:fldCharType="begin"/>
      </w:r>
      <w:r w:rsidRPr="00E400E4">
        <w:instrText xml:space="preserve"> PAGEREF _Toc20392249 \h </w:instrText>
      </w:r>
      <w:r w:rsidRPr="00E400E4">
        <w:fldChar w:fldCharType="separate"/>
      </w:r>
      <w:r w:rsidR="006C029B">
        <w:t>57</w:t>
      </w:r>
      <w:r w:rsidRPr="00E400E4">
        <w:fldChar w:fldCharType="end"/>
      </w:r>
    </w:p>
    <w:p w:rsidR="00555918" w:rsidRPr="00E400E4" w:rsidRDefault="00555918">
      <w:pPr>
        <w:pStyle w:val="TOC2"/>
        <w:tabs>
          <w:tab w:val="left" w:pos="1100"/>
        </w:tabs>
        <w:rPr>
          <w:rFonts w:eastAsiaTheme="minorEastAsia"/>
          <w:lang w:eastAsia="en-AU"/>
        </w:rPr>
      </w:pPr>
      <w:r w:rsidRPr="00E400E4">
        <w:t>4.8</w:t>
      </w:r>
      <w:r w:rsidRPr="00E400E4">
        <w:rPr>
          <w:rFonts w:eastAsiaTheme="minorEastAsia"/>
          <w:lang w:eastAsia="en-AU"/>
        </w:rPr>
        <w:tab/>
      </w:r>
      <w:r w:rsidRPr="00E400E4">
        <w:t>Summary of assessment of quarantine pests of concern</w:t>
      </w:r>
      <w:r w:rsidRPr="00E400E4">
        <w:tab/>
      </w:r>
      <w:r w:rsidRPr="00E400E4">
        <w:fldChar w:fldCharType="begin"/>
      </w:r>
      <w:r w:rsidRPr="00E400E4">
        <w:instrText xml:space="preserve"> PAGEREF _Toc20392250 \h </w:instrText>
      </w:r>
      <w:r w:rsidRPr="00E400E4">
        <w:fldChar w:fldCharType="separate"/>
      </w:r>
      <w:r w:rsidR="006C029B">
        <w:t>59</w:t>
      </w:r>
      <w:r w:rsidRPr="00E400E4">
        <w:fldChar w:fldCharType="end"/>
      </w:r>
    </w:p>
    <w:p w:rsidR="00555918" w:rsidRPr="00E400E4" w:rsidRDefault="00555918">
      <w:pPr>
        <w:pStyle w:val="TOC1"/>
        <w:rPr>
          <w:rFonts w:eastAsiaTheme="minorEastAsia"/>
          <w:b w:val="0"/>
          <w:lang w:eastAsia="en-AU"/>
        </w:rPr>
      </w:pPr>
      <w:r w:rsidRPr="00E400E4">
        <w:t>5</w:t>
      </w:r>
      <w:r w:rsidRPr="00E400E4">
        <w:rPr>
          <w:rFonts w:eastAsiaTheme="minorEastAsia"/>
          <w:b w:val="0"/>
          <w:lang w:eastAsia="en-AU"/>
        </w:rPr>
        <w:tab/>
      </w:r>
      <w:r w:rsidRPr="00E400E4">
        <w:t>Pest risk management</w:t>
      </w:r>
      <w:r w:rsidRPr="00E400E4">
        <w:tab/>
      </w:r>
      <w:r w:rsidRPr="00E400E4">
        <w:fldChar w:fldCharType="begin"/>
      </w:r>
      <w:r w:rsidRPr="00E400E4">
        <w:instrText xml:space="preserve"> PAGEREF _Toc20392251 \h </w:instrText>
      </w:r>
      <w:r w:rsidRPr="00E400E4">
        <w:fldChar w:fldCharType="separate"/>
      </w:r>
      <w:r w:rsidR="006C029B">
        <w:t>61</w:t>
      </w:r>
      <w:r w:rsidRPr="00E400E4">
        <w:fldChar w:fldCharType="end"/>
      </w:r>
    </w:p>
    <w:p w:rsidR="00555918" w:rsidRPr="00E400E4" w:rsidRDefault="00555918">
      <w:pPr>
        <w:pStyle w:val="TOC2"/>
        <w:tabs>
          <w:tab w:val="left" w:pos="1100"/>
        </w:tabs>
        <w:rPr>
          <w:rFonts w:eastAsiaTheme="minorEastAsia"/>
          <w:lang w:eastAsia="en-AU"/>
        </w:rPr>
      </w:pPr>
      <w:r w:rsidRPr="00E400E4">
        <w:t>5.1</w:t>
      </w:r>
      <w:r w:rsidRPr="00E400E4">
        <w:rPr>
          <w:rFonts w:eastAsiaTheme="minorEastAsia"/>
          <w:lang w:eastAsia="en-AU"/>
        </w:rPr>
        <w:tab/>
      </w:r>
      <w:r w:rsidRPr="00E400E4">
        <w:t>Pest risk management measures and phytosanitary procedures</w:t>
      </w:r>
      <w:r w:rsidRPr="00E400E4">
        <w:tab/>
      </w:r>
      <w:r w:rsidRPr="00E400E4">
        <w:fldChar w:fldCharType="begin"/>
      </w:r>
      <w:r w:rsidRPr="00E400E4">
        <w:instrText xml:space="preserve"> PAGEREF _Toc20392252 \h </w:instrText>
      </w:r>
      <w:r w:rsidRPr="00E400E4">
        <w:fldChar w:fldCharType="separate"/>
      </w:r>
      <w:r w:rsidR="006C029B">
        <w:t>61</w:t>
      </w:r>
      <w:r w:rsidRPr="00E400E4">
        <w:fldChar w:fldCharType="end"/>
      </w:r>
    </w:p>
    <w:p w:rsidR="00555918" w:rsidRPr="00E400E4" w:rsidRDefault="00555918">
      <w:pPr>
        <w:pStyle w:val="TOC2"/>
        <w:tabs>
          <w:tab w:val="left" w:pos="1100"/>
        </w:tabs>
        <w:rPr>
          <w:rFonts w:eastAsiaTheme="minorEastAsia"/>
          <w:lang w:eastAsia="en-AU"/>
        </w:rPr>
      </w:pPr>
      <w:r w:rsidRPr="00E400E4">
        <w:t>5.2</w:t>
      </w:r>
      <w:r w:rsidRPr="00E400E4">
        <w:rPr>
          <w:rFonts w:eastAsiaTheme="minorEastAsia"/>
          <w:lang w:eastAsia="en-AU"/>
        </w:rPr>
        <w:tab/>
      </w:r>
      <w:r w:rsidRPr="00E400E4">
        <w:t>Operational system for the maintenance and verification of phytosanitary status</w:t>
      </w:r>
      <w:r w:rsidRPr="00E400E4">
        <w:tab/>
      </w:r>
      <w:r w:rsidRPr="00E400E4">
        <w:fldChar w:fldCharType="begin"/>
      </w:r>
      <w:r w:rsidRPr="00E400E4">
        <w:instrText xml:space="preserve"> PAGEREF _Toc20392253 \h </w:instrText>
      </w:r>
      <w:r w:rsidRPr="00E400E4">
        <w:fldChar w:fldCharType="separate"/>
      </w:r>
      <w:r w:rsidR="006C029B">
        <w:t>66</w:t>
      </w:r>
      <w:r w:rsidRPr="00E400E4">
        <w:fldChar w:fldCharType="end"/>
      </w:r>
    </w:p>
    <w:p w:rsidR="00555918" w:rsidRPr="00E400E4" w:rsidRDefault="00555918">
      <w:pPr>
        <w:pStyle w:val="TOC2"/>
        <w:tabs>
          <w:tab w:val="left" w:pos="1100"/>
        </w:tabs>
        <w:rPr>
          <w:rFonts w:eastAsiaTheme="minorEastAsia"/>
          <w:lang w:eastAsia="en-AU"/>
        </w:rPr>
      </w:pPr>
      <w:r w:rsidRPr="00E400E4">
        <w:t>5.3</w:t>
      </w:r>
      <w:r w:rsidRPr="00E400E4">
        <w:rPr>
          <w:rFonts w:eastAsiaTheme="minorEastAsia"/>
          <w:lang w:eastAsia="en-AU"/>
        </w:rPr>
        <w:tab/>
      </w:r>
      <w:r w:rsidRPr="00E400E4">
        <w:t>Uncategorised pests</w:t>
      </w:r>
      <w:r w:rsidRPr="00E400E4">
        <w:tab/>
      </w:r>
      <w:r w:rsidRPr="00E400E4">
        <w:fldChar w:fldCharType="begin"/>
      </w:r>
      <w:r w:rsidRPr="00E400E4">
        <w:instrText xml:space="preserve"> PAGEREF _Toc20392254 \h </w:instrText>
      </w:r>
      <w:r w:rsidRPr="00E400E4">
        <w:fldChar w:fldCharType="separate"/>
      </w:r>
      <w:r w:rsidR="006C029B">
        <w:t>69</w:t>
      </w:r>
      <w:r w:rsidRPr="00E400E4">
        <w:fldChar w:fldCharType="end"/>
      </w:r>
    </w:p>
    <w:p w:rsidR="00555918" w:rsidRPr="00E400E4" w:rsidRDefault="00555918">
      <w:pPr>
        <w:pStyle w:val="TOC2"/>
        <w:tabs>
          <w:tab w:val="left" w:pos="1100"/>
        </w:tabs>
        <w:rPr>
          <w:rFonts w:eastAsiaTheme="minorEastAsia"/>
          <w:lang w:eastAsia="en-AU"/>
        </w:rPr>
      </w:pPr>
      <w:r w:rsidRPr="00E400E4">
        <w:t>5.4</w:t>
      </w:r>
      <w:r w:rsidRPr="00E400E4">
        <w:rPr>
          <w:rFonts w:eastAsiaTheme="minorEastAsia"/>
          <w:lang w:eastAsia="en-AU"/>
        </w:rPr>
        <w:tab/>
      </w:r>
      <w:r w:rsidRPr="00E400E4">
        <w:t>Review of processes</w:t>
      </w:r>
      <w:r w:rsidRPr="00E400E4">
        <w:tab/>
      </w:r>
      <w:r w:rsidRPr="00E400E4">
        <w:fldChar w:fldCharType="begin"/>
      </w:r>
      <w:r w:rsidRPr="00E400E4">
        <w:instrText xml:space="preserve"> PAGEREF _Toc20392255 \h </w:instrText>
      </w:r>
      <w:r w:rsidRPr="00E400E4">
        <w:fldChar w:fldCharType="separate"/>
      </w:r>
      <w:r w:rsidR="006C029B">
        <w:t>70</w:t>
      </w:r>
      <w:r w:rsidRPr="00E400E4">
        <w:fldChar w:fldCharType="end"/>
      </w:r>
    </w:p>
    <w:p w:rsidR="00555918" w:rsidRPr="00E400E4" w:rsidRDefault="00555918">
      <w:pPr>
        <w:pStyle w:val="TOC2"/>
        <w:tabs>
          <w:tab w:val="left" w:pos="1100"/>
        </w:tabs>
        <w:rPr>
          <w:rFonts w:eastAsiaTheme="minorEastAsia"/>
          <w:lang w:eastAsia="en-AU"/>
        </w:rPr>
      </w:pPr>
      <w:r w:rsidRPr="00E400E4">
        <w:t>5.5</w:t>
      </w:r>
      <w:r w:rsidRPr="00E400E4">
        <w:rPr>
          <w:rFonts w:eastAsiaTheme="minorEastAsia"/>
          <w:lang w:eastAsia="en-AU"/>
        </w:rPr>
        <w:tab/>
      </w:r>
      <w:r w:rsidRPr="00E400E4">
        <w:t>Meeting Australia’s food laws</w:t>
      </w:r>
      <w:r w:rsidRPr="00E400E4">
        <w:tab/>
      </w:r>
      <w:r w:rsidRPr="00E400E4">
        <w:fldChar w:fldCharType="begin"/>
      </w:r>
      <w:r w:rsidRPr="00E400E4">
        <w:instrText xml:space="preserve"> PAGEREF _Toc20392256 \h </w:instrText>
      </w:r>
      <w:r w:rsidRPr="00E400E4">
        <w:fldChar w:fldCharType="separate"/>
      </w:r>
      <w:r w:rsidR="006C029B">
        <w:t>70</w:t>
      </w:r>
      <w:r w:rsidRPr="00E400E4">
        <w:fldChar w:fldCharType="end"/>
      </w:r>
    </w:p>
    <w:p w:rsidR="00555918" w:rsidRPr="00E400E4" w:rsidRDefault="00555918">
      <w:pPr>
        <w:pStyle w:val="TOC1"/>
        <w:rPr>
          <w:rFonts w:eastAsiaTheme="minorEastAsia"/>
          <w:b w:val="0"/>
          <w:lang w:eastAsia="en-AU"/>
        </w:rPr>
      </w:pPr>
      <w:r w:rsidRPr="00E400E4">
        <w:t>6</w:t>
      </w:r>
      <w:r w:rsidRPr="00E400E4">
        <w:rPr>
          <w:rFonts w:eastAsiaTheme="minorEastAsia"/>
          <w:b w:val="0"/>
          <w:lang w:eastAsia="en-AU"/>
        </w:rPr>
        <w:tab/>
      </w:r>
      <w:r w:rsidRPr="00E400E4">
        <w:t>Conclusion</w:t>
      </w:r>
      <w:r w:rsidRPr="00E400E4">
        <w:tab/>
      </w:r>
      <w:r w:rsidRPr="00E400E4">
        <w:fldChar w:fldCharType="begin"/>
      </w:r>
      <w:r w:rsidRPr="00E400E4">
        <w:instrText xml:space="preserve"> PAGEREF _Toc20392257 \h </w:instrText>
      </w:r>
      <w:r w:rsidRPr="00E400E4">
        <w:fldChar w:fldCharType="separate"/>
      </w:r>
      <w:r w:rsidR="006C029B">
        <w:t>71</w:t>
      </w:r>
      <w:r w:rsidRPr="00E400E4">
        <w:fldChar w:fldCharType="end"/>
      </w:r>
    </w:p>
    <w:p w:rsidR="00555918" w:rsidRPr="00E400E4" w:rsidRDefault="00555918">
      <w:pPr>
        <w:pStyle w:val="TOC1"/>
        <w:rPr>
          <w:rFonts w:eastAsiaTheme="minorEastAsia"/>
          <w:b w:val="0"/>
          <w:lang w:eastAsia="en-AU"/>
        </w:rPr>
      </w:pPr>
      <w:r w:rsidRPr="00E400E4">
        <w:t>Appendix A: Initiation and categorisation for pests of fresh avocado fruit from Chile</w:t>
      </w:r>
      <w:r w:rsidRPr="00E400E4">
        <w:tab/>
      </w:r>
      <w:r w:rsidRPr="00E400E4">
        <w:fldChar w:fldCharType="begin"/>
      </w:r>
      <w:r w:rsidRPr="00E400E4">
        <w:instrText xml:space="preserve"> PAGEREF _Toc20392258 \h </w:instrText>
      </w:r>
      <w:r w:rsidRPr="00E400E4">
        <w:fldChar w:fldCharType="separate"/>
      </w:r>
      <w:r w:rsidR="006C029B">
        <w:t>72</w:t>
      </w:r>
      <w:r w:rsidRPr="00E400E4">
        <w:fldChar w:fldCharType="end"/>
      </w:r>
    </w:p>
    <w:p w:rsidR="00555918" w:rsidRPr="00E400E4" w:rsidRDefault="00555918">
      <w:pPr>
        <w:pStyle w:val="TOC1"/>
        <w:rPr>
          <w:rFonts w:eastAsiaTheme="minorEastAsia"/>
          <w:b w:val="0"/>
          <w:lang w:eastAsia="en-AU"/>
        </w:rPr>
      </w:pPr>
      <w:r w:rsidRPr="00E400E4">
        <w:lastRenderedPageBreak/>
        <w:t>Appendix B: Issues raised in stakeholder comments</w:t>
      </w:r>
      <w:r w:rsidRPr="00E400E4">
        <w:tab/>
      </w:r>
      <w:r w:rsidRPr="00E400E4">
        <w:fldChar w:fldCharType="begin"/>
      </w:r>
      <w:r w:rsidRPr="00E400E4">
        <w:instrText xml:space="preserve"> PAGEREF _Toc20392259 \h </w:instrText>
      </w:r>
      <w:r w:rsidRPr="00E400E4">
        <w:fldChar w:fldCharType="separate"/>
      </w:r>
      <w:r w:rsidR="006C029B">
        <w:t>133</w:t>
      </w:r>
      <w:r w:rsidRPr="00E400E4">
        <w:fldChar w:fldCharType="end"/>
      </w:r>
    </w:p>
    <w:p w:rsidR="00555918" w:rsidRPr="00E400E4" w:rsidRDefault="00555918">
      <w:pPr>
        <w:pStyle w:val="TOC1"/>
        <w:rPr>
          <w:rFonts w:eastAsiaTheme="minorEastAsia"/>
          <w:b w:val="0"/>
          <w:lang w:eastAsia="en-AU"/>
        </w:rPr>
      </w:pPr>
      <w:r w:rsidRPr="00E400E4">
        <w:t>Glossary</w:t>
      </w:r>
      <w:r w:rsidRPr="00E400E4">
        <w:tab/>
      </w:r>
      <w:r w:rsidRPr="00E400E4">
        <w:fldChar w:fldCharType="begin"/>
      </w:r>
      <w:r w:rsidRPr="00E400E4">
        <w:instrText xml:space="preserve"> PAGEREF _Toc20392260 \h </w:instrText>
      </w:r>
      <w:r w:rsidRPr="00E400E4">
        <w:fldChar w:fldCharType="separate"/>
      </w:r>
      <w:r w:rsidR="006C029B">
        <w:t>136</w:t>
      </w:r>
      <w:r w:rsidRPr="00E400E4">
        <w:fldChar w:fldCharType="end"/>
      </w:r>
    </w:p>
    <w:p w:rsidR="00555918" w:rsidRPr="00E400E4" w:rsidRDefault="00555918">
      <w:pPr>
        <w:pStyle w:val="TOC1"/>
        <w:rPr>
          <w:rFonts w:eastAsiaTheme="minorEastAsia"/>
          <w:b w:val="0"/>
          <w:lang w:eastAsia="en-AU"/>
        </w:rPr>
      </w:pPr>
      <w:r w:rsidRPr="00E400E4">
        <w:t>References</w:t>
      </w:r>
      <w:r w:rsidRPr="00E400E4">
        <w:tab/>
      </w:r>
      <w:r w:rsidRPr="00E400E4">
        <w:fldChar w:fldCharType="begin"/>
      </w:r>
      <w:r w:rsidRPr="00E400E4">
        <w:instrText xml:space="preserve"> PAGEREF _Toc20392261 \h </w:instrText>
      </w:r>
      <w:r w:rsidRPr="00E400E4">
        <w:fldChar w:fldCharType="separate"/>
      </w:r>
      <w:r w:rsidR="006C029B">
        <w:t>141</w:t>
      </w:r>
      <w:r w:rsidRPr="00E400E4">
        <w:fldChar w:fldCharType="end"/>
      </w:r>
    </w:p>
    <w:p w:rsidR="00555918" w:rsidRPr="00E400E4" w:rsidRDefault="00555918" w:rsidP="000B1771">
      <w:pPr>
        <w:pStyle w:val="TOCHeading"/>
        <w:keepNext/>
        <w:tabs>
          <w:tab w:val="left" w:pos="6186"/>
        </w:tabs>
      </w:pPr>
      <w:r w:rsidRPr="00E400E4">
        <w:rPr>
          <w:rFonts w:asciiTheme="minorHAnsi" w:eastAsiaTheme="minorHAnsi" w:hAnsiTheme="minorHAnsi" w:cstheme="minorBidi"/>
          <w:bCs w:val="0"/>
          <w:noProof/>
          <w:color w:val="auto"/>
          <w:sz w:val="22"/>
          <w:szCs w:val="24"/>
          <w:lang w:val="en-AU"/>
        </w:rPr>
        <w:fldChar w:fldCharType="end"/>
      </w:r>
      <w:r w:rsidRPr="00E400E4">
        <w:t>Figures</w:t>
      </w:r>
    </w:p>
    <w:p w:rsidR="00555918" w:rsidRDefault="00555918">
      <w:pPr>
        <w:pStyle w:val="TableofFigures"/>
        <w:tabs>
          <w:tab w:val="right" w:leader="dot" w:pos="9060"/>
        </w:tabs>
        <w:rPr>
          <w:rFonts w:eastAsiaTheme="minorEastAsia"/>
          <w:noProof/>
          <w:lang w:eastAsia="en-AU"/>
        </w:rPr>
      </w:pPr>
      <w:r w:rsidRPr="00E400E4">
        <w:fldChar w:fldCharType="begin"/>
      </w:r>
      <w:r w:rsidRPr="00E400E4">
        <w:instrText xml:space="preserve"> TOC \c "Figure" </w:instrText>
      </w:r>
      <w:r w:rsidRPr="00E400E4">
        <w:fldChar w:fldCharType="separate"/>
      </w:r>
      <w:r>
        <w:rPr>
          <w:noProof/>
        </w:rPr>
        <w:t>Figure 1 Diagram of avocado leaf, fruit and flower</w:t>
      </w:r>
      <w:r>
        <w:rPr>
          <w:noProof/>
        </w:rPr>
        <w:tab/>
      </w:r>
      <w:r>
        <w:rPr>
          <w:noProof/>
        </w:rPr>
        <w:fldChar w:fldCharType="begin"/>
      </w:r>
      <w:r>
        <w:rPr>
          <w:noProof/>
        </w:rPr>
        <w:instrText xml:space="preserve"> PAGEREF _Toc24702418 \h </w:instrText>
      </w:r>
      <w:r>
        <w:rPr>
          <w:noProof/>
        </w:rPr>
      </w:r>
      <w:r>
        <w:rPr>
          <w:noProof/>
        </w:rPr>
        <w:fldChar w:fldCharType="separate"/>
      </w:r>
      <w:r w:rsidR="006C029B">
        <w:rPr>
          <w:noProof/>
        </w:rPr>
        <w:t>vii</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2 Avocado orchard in the Metropolitan region (Melipilla province) with hillside plantings</w:t>
      </w:r>
      <w:r>
        <w:rPr>
          <w:noProof/>
        </w:rPr>
        <w:tab/>
      </w:r>
      <w:r>
        <w:rPr>
          <w:noProof/>
        </w:rPr>
        <w:fldChar w:fldCharType="begin"/>
      </w:r>
      <w:r>
        <w:rPr>
          <w:noProof/>
        </w:rPr>
        <w:instrText xml:space="preserve"> PAGEREF _Toc24702419 \h </w:instrText>
      </w:r>
      <w:r>
        <w:rPr>
          <w:noProof/>
        </w:rPr>
      </w:r>
      <w:r>
        <w:rPr>
          <w:noProof/>
        </w:rPr>
        <w:fldChar w:fldCharType="separate"/>
      </w:r>
      <w:r w:rsidR="006C029B">
        <w:rPr>
          <w:noProof/>
        </w:rPr>
        <w:t>19</w:t>
      </w:r>
      <w:r>
        <w:rPr>
          <w:noProof/>
        </w:rPr>
        <w:fldChar w:fldCharType="end"/>
      </w:r>
    </w:p>
    <w:p w:rsidR="00555918" w:rsidRDefault="00555918" w:rsidP="000B1771">
      <w:pPr>
        <w:pStyle w:val="TableofFigures"/>
        <w:tabs>
          <w:tab w:val="right" w:leader="dot" w:pos="9060"/>
        </w:tabs>
        <w:ind w:left="794" w:hanging="794"/>
        <w:rPr>
          <w:rFonts w:eastAsiaTheme="minorEastAsia"/>
          <w:noProof/>
          <w:lang w:eastAsia="en-AU"/>
        </w:rPr>
      </w:pPr>
      <w:r>
        <w:rPr>
          <w:noProof/>
        </w:rPr>
        <w:t>Figure 3 Monthly maximum and minimum temperatures and mean rainfall data in avocado production areas of Chile</w:t>
      </w:r>
      <w:r>
        <w:rPr>
          <w:noProof/>
        </w:rPr>
        <w:tab/>
      </w:r>
      <w:r>
        <w:rPr>
          <w:noProof/>
        </w:rPr>
        <w:fldChar w:fldCharType="begin"/>
      </w:r>
      <w:r>
        <w:rPr>
          <w:noProof/>
        </w:rPr>
        <w:instrText xml:space="preserve"> PAGEREF _Toc24702420 \h </w:instrText>
      </w:r>
      <w:r>
        <w:rPr>
          <w:noProof/>
        </w:rPr>
      </w:r>
      <w:r>
        <w:rPr>
          <w:noProof/>
        </w:rPr>
        <w:fldChar w:fldCharType="separate"/>
      </w:r>
      <w:r w:rsidR="006C029B">
        <w:rPr>
          <w:noProof/>
        </w:rPr>
        <w:t>19</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4 Hass avocado</w:t>
      </w:r>
      <w:r>
        <w:rPr>
          <w:noProof/>
        </w:rPr>
        <w:tab/>
      </w:r>
      <w:r>
        <w:rPr>
          <w:noProof/>
        </w:rPr>
        <w:fldChar w:fldCharType="begin"/>
      </w:r>
      <w:r>
        <w:rPr>
          <w:noProof/>
        </w:rPr>
        <w:instrText xml:space="preserve"> PAGEREF _Toc24702421 \h </w:instrText>
      </w:r>
      <w:r>
        <w:rPr>
          <w:noProof/>
        </w:rPr>
      </w:r>
      <w:r>
        <w:rPr>
          <w:noProof/>
        </w:rPr>
        <w:fldChar w:fldCharType="separate"/>
      </w:r>
      <w:r w:rsidR="006C029B">
        <w:rPr>
          <w:noProof/>
        </w:rPr>
        <w:t>21</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5 Rows of avocado trees in the San Antonio area (Valparaiso region)</w:t>
      </w:r>
      <w:r>
        <w:rPr>
          <w:noProof/>
        </w:rPr>
        <w:tab/>
      </w:r>
      <w:r>
        <w:rPr>
          <w:noProof/>
        </w:rPr>
        <w:fldChar w:fldCharType="begin"/>
      </w:r>
      <w:r>
        <w:rPr>
          <w:noProof/>
        </w:rPr>
        <w:instrText xml:space="preserve"> PAGEREF _Toc24702422 \h </w:instrText>
      </w:r>
      <w:r>
        <w:rPr>
          <w:noProof/>
        </w:rPr>
      </w:r>
      <w:r>
        <w:rPr>
          <w:noProof/>
        </w:rPr>
        <w:fldChar w:fldCharType="separate"/>
      </w:r>
      <w:r w:rsidR="006C029B">
        <w:rPr>
          <w:noProof/>
        </w:rPr>
        <w:t>22</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6 Harvested avocado showing short fruit stem</w:t>
      </w:r>
      <w:r>
        <w:rPr>
          <w:noProof/>
        </w:rPr>
        <w:tab/>
      </w:r>
      <w:r>
        <w:rPr>
          <w:noProof/>
        </w:rPr>
        <w:fldChar w:fldCharType="begin"/>
      </w:r>
      <w:r>
        <w:rPr>
          <w:noProof/>
        </w:rPr>
        <w:instrText xml:space="preserve"> PAGEREF _Toc24702423 \h </w:instrText>
      </w:r>
      <w:r>
        <w:rPr>
          <w:noProof/>
        </w:rPr>
      </w:r>
      <w:r>
        <w:rPr>
          <w:noProof/>
        </w:rPr>
        <w:fldChar w:fldCharType="separate"/>
      </w:r>
      <w:r w:rsidR="006C029B">
        <w:rPr>
          <w:noProof/>
        </w:rPr>
        <w:t>24</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7 Field bins of harvested avocados at the orchard</w:t>
      </w:r>
      <w:r>
        <w:rPr>
          <w:noProof/>
        </w:rPr>
        <w:tab/>
      </w:r>
      <w:r>
        <w:rPr>
          <w:noProof/>
        </w:rPr>
        <w:fldChar w:fldCharType="begin"/>
      </w:r>
      <w:r>
        <w:rPr>
          <w:noProof/>
        </w:rPr>
        <w:instrText xml:space="preserve"> PAGEREF _Toc24702424 \h </w:instrText>
      </w:r>
      <w:r>
        <w:rPr>
          <w:noProof/>
        </w:rPr>
      </w:r>
      <w:r>
        <w:rPr>
          <w:noProof/>
        </w:rPr>
        <w:fldChar w:fldCharType="separate"/>
      </w:r>
      <w:r w:rsidR="006C029B">
        <w:rPr>
          <w:noProof/>
        </w:rPr>
        <w:t>24</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8 Traceability label on field bin</w:t>
      </w:r>
      <w:r>
        <w:rPr>
          <w:noProof/>
        </w:rPr>
        <w:tab/>
      </w:r>
      <w:r>
        <w:rPr>
          <w:noProof/>
        </w:rPr>
        <w:fldChar w:fldCharType="begin"/>
      </w:r>
      <w:r>
        <w:rPr>
          <w:noProof/>
        </w:rPr>
        <w:instrText xml:space="preserve"> PAGEREF _Toc24702425 \h </w:instrText>
      </w:r>
      <w:r>
        <w:rPr>
          <w:noProof/>
        </w:rPr>
      </w:r>
      <w:r>
        <w:rPr>
          <w:noProof/>
        </w:rPr>
        <w:fldChar w:fldCharType="separate"/>
      </w:r>
      <w:r w:rsidR="006C029B">
        <w:rPr>
          <w:noProof/>
        </w:rPr>
        <w:t>25</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9 Avocados being unloaded from a field bin at the packing house</w:t>
      </w:r>
      <w:r>
        <w:rPr>
          <w:noProof/>
        </w:rPr>
        <w:tab/>
      </w:r>
      <w:r>
        <w:rPr>
          <w:noProof/>
        </w:rPr>
        <w:fldChar w:fldCharType="begin"/>
      </w:r>
      <w:r>
        <w:rPr>
          <w:noProof/>
        </w:rPr>
        <w:instrText xml:space="preserve"> PAGEREF _Toc24702426 \h </w:instrText>
      </w:r>
      <w:r>
        <w:rPr>
          <w:noProof/>
        </w:rPr>
      </w:r>
      <w:r>
        <w:rPr>
          <w:noProof/>
        </w:rPr>
        <w:fldChar w:fldCharType="separate"/>
      </w:r>
      <w:r w:rsidR="006C029B">
        <w:rPr>
          <w:noProof/>
        </w:rPr>
        <w:t>26</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10 Manual grading of avocados at the packing house</w:t>
      </w:r>
      <w:r>
        <w:rPr>
          <w:noProof/>
        </w:rPr>
        <w:tab/>
      </w:r>
      <w:r>
        <w:rPr>
          <w:noProof/>
        </w:rPr>
        <w:fldChar w:fldCharType="begin"/>
      </w:r>
      <w:r>
        <w:rPr>
          <w:noProof/>
        </w:rPr>
        <w:instrText xml:space="preserve"> PAGEREF _Toc24702427 \h </w:instrText>
      </w:r>
      <w:r>
        <w:rPr>
          <w:noProof/>
        </w:rPr>
      </w:r>
      <w:r>
        <w:rPr>
          <w:noProof/>
        </w:rPr>
        <w:fldChar w:fldCharType="separate"/>
      </w:r>
      <w:r w:rsidR="006C029B">
        <w:rPr>
          <w:noProof/>
        </w:rPr>
        <w:t>26</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11 Packed avocados with label on box</w:t>
      </w:r>
      <w:r>
        <w:rPr>
          <w:noProof/>
        </w:rPr>
        <w:tab/>
      </w:r>
      <w:r>
        <w:rPr>
          <w:noProof/>
        </w:rPr>
        <w:fldChar w:fldCharType="begin"/>
      </w:r>
      <w:r>
        <w:rPr>
          <w:noProof/>
        </w:rPr>
        <w:instrText xml:space="preserve"> PAGEREF _Toc24702428 \h </w:instrText>
      </w:r>
      <w:r>
        <w:rPr>
          <w:noProof/>
        </w:rPr>
      </w:r>
      <w:r>
        <w:rPr>
          <w:noProof/>
        </w:rPr>
        <w:fldChar w:fldCharType="separate"/>
      </w:r>
      <w:r w:rsidR="006C029B">
        <w:rPr>
          <w:noProof/>
        </w:rPr>
        <w:t>27</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12 Label on box packed with avocados</w:t>
      </w:r>
      <w:r>
        <w:rPr>
          <w:noProof/>
        </w:rPr>
        <w:tab/>
      </w:r>
      <w:r>
        <w:rPr>
          <w:noProof/>
        </w:rPr>
        <w:fldChar w:fldCharType="begin"/>
      </w:r>
      <w:r>
        <w:rPr>
          <w:noProof/>
        </w:rPr>
        <w:instrText xml:space="preserve"> PAGEREF _Toc24702429 \h </w:instrText>
      </w:r>
      <w:r>
        <w:rPr>
          <w:noProof/>
        </w:rPr>
      </w:r>
      <w:r>
        <w:rPr>
          <w:noProof/>
        </w:rPr>
        <w:fldChar w:fldCharType="separate"/>
      </w:r>
      <w:r w:rsidR="006C029B">
        <w:rPr>
          <w:noProof/>
        </w:rPr>
        <w:t>27</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13 Palletised boxes of avocados stored in a cold room at the packing house</w:t>
      </w:r>
      <w:r>
        <w:rPr>
          <w:noProof/>
        </w:rPr>
        <w:tab/>
      </w:r>
      <w:r>
        <w:rPr>
          <w:noProof/>
        </w:rPr>
        <w:fldChar w:fldCharType="begin"/>
      </w:r>
      <w:r>
        <w:rPr>
          <w:noProof/>
        </w:rPr>
        <w:instrText xml:space="preserve"> PAGEREF _Toc24702430 \h </w:instrText>
      </w:r>
      <w:r>
        <w:rPr>
          <w:noProof/>
        </w:rPr>
      </w:r>
      <w:r>
        <w:rPr>
          <w:noProof/>
        </w:rPr>
        <w:fldChar w:fldCharType="separate"/>
      </w:r>
      <w:r w:rsidR="006C029B">
        <w:rPr>
          <w:noProof/>
        </w:rPr>
        <w:t>28</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14 Palletised boxes of avocados being loaded into a shipping container</w:t>
      </w:r>
      <w:r>
        <w:rPr>
          <w:noProof/>
        </w:rPr>
        <w:tab/>
      </w:r>
      <w:r>
        <w:rPr>
          <w:noProof/>
        </w:rPr>
        <w:fldChar w:fldCharType="begin"/>
      </w:r>
      <w:r>
        <w:rPr>
          <w:noProof/>
        </w:rPr>
        <w:instrText xml:space="preserve"> PAGEREF _Toc24702431 \h </w:instrText>
      </w:r>
      <w:r>
        <w:rPr>
          <w:noProof/>
        </w:rPr>
      </w:r>
      <w:r>
        <w:rPr>
          <w:noProof/>
        </w:rPr>
        <w:fldChar w:fldCharType="separate"/>
      </w:r>
      <w:r w:rsidR="006C029B">
        <w:rPr>
          <w:noProof/>
        </w:rPr>
        <w:t>29</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15 Inspection area at a packing house</w:t>
      </w:r>
      <w:r>
        <w:rPr>
          <w:noProof/>
        </w:rPr>
        <w:tab/>
      </w:r>
      <w:r>
        <w:rPr>
          <w:noProof/>
        </w:rPr>
        <w:fldChar w:fldCharType="begin"/>
      </w:r>
      <w:r>
        <w:rPr>
          <w:noProof/>
        </w:rPr>
        <w:instrText xml:space="preserve"> PAGEREF _Toc24702432 \h </w:instrText>
      </w:r>
      <w:r>
        <w:rPr>
          <w:noProof/>
        </w:rPr>
      </w:r>
      <w:r>
        <w:rPr>
          <w:noProof/>
        </w:rPr>
        <w:fldChar w:fldCharType="separate"/>
      </w:r>
      <w:r w:rsidR="006C029B">
        <w:rPr>
          <w:noProof/>
        </w:rPr>
        <w:t>30</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16 Phytosanitary inspection at the packing house</w:t>
      </w:r>
      <w:r>
        <w:rPr>
          <w:noProof/>
        </w:rPr>
        <w:tab/>
      </w:r>
      <w:r>
        <w:rPr>
          <w:noProof/>
        </w:rPr>
        <w:fldChar w:fldCharType="begin"/>
      </w:r>
      <w:r>
        <w:rPr>
          <w:noProof/>
        </w:rPr>
        <w:instrText xml:space="preserve"> PAGEREF _Toc24702433 \h </w:instrText>
      </w:r>
      <w:r>
        <w:rPr>
          <w:noProof/>
        </w:rPr>
      </w:r>
      <w:r>
        <w:rPr>
          <w:noProof/>
        </w:rPr>
        <w:fldChar w:fldCharType="separate"/>
      </w:r>
      <w:r w:rsidR="006C029B">
        <w:rPr>
          <w:noProof/>
        </w:rPr>
        <w:t>31</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17 Summary of orchard and post-harvest steps for avocados grown in Chile for export</w:t>
      </w:r>
      <w:r>
        <w:rPr>
          <w:noProof/>
        </w:rPr>
        <w:tab/>
      </w:r>
      <w:r>
        <w:rPr>
          <w:noProof/>
        </w:rPr>
        <w:fldChar w:fldCharType="begin"/>
      </w:r>
      <w:r>
        <w:rPr>
          <w:noProof/>
        </w:rPr>
        <w:instrText xml:space="preserve"> PAGEREF _Toc24702434 \h </w:instrText>
      </w:r>
      <w:r>
        <w:rPr>
          <w:noProof/>
        </w:rPr>
      </w:r>
      <w:r>
        <w:rPr>
          <w:noProof/>
        </w:rPr>
        <w:fldChar w:fldCharType="separate"/>
      </w:r>
      <w:r w:rsidR="006C029B">
        <w:rPr>
          <w:noProof/>
        </w:rPr>
        <w:t>32</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18 Chile's avocado export volumes per month from 2013 to 2016</w:t>
      </w:r>
      <w:r>
        <w:rPr>
          <w:noProof/>
        </w:rPr>
        <w:tab/>
      </w:r>
      <w:r>
        <w:rPr>
          <w:noProof/>
        </w:rPr>
        <w:fldChar w:fldCharType="begin"/>
      </w:r>
      <w:r>
        <w:rPr>
          <w:noProof/>
        </w:rPr>
        <w:instrText xml:space="preserve"> PAGEREF _Toc24702435 \h </w:instrText>
      </w:r>
      <w:r>
        <w:rPr>
          <w:noProof/>
        </w:rPr>
      </w:r>
      <w:r>
        <w:rPr>
          <w:noProof/>
        </w:rPr>
        <w:fldChar w:fldCharType="separate"/>
      </w:r>
      <w:r w:rsidR="006C029B">
        <w:rPr>
          <w:noProof/>
        </w:rPr>
        <w:t>34</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Figure 19 Summary of assessment of quarantine pests of concern</w:t>
      </w:r>
      <w:r>
        <w:rPr>
          <w:noProof/>
        </w:rPr>
        <w:tab/>
      </w:r>
      <w:r>
        <w:rPr>
          <w:noProof/>
        </w:rPr>
        <w:fldChar w:fldCharType="begin"/>
      </w:r>
      <w:r>
        <w:rPr>
          <w:noProof/>
        </w:rPr>
        <w:instrText xml:space="preserve"> PAGEREF _Toc24702436 \h </w:instrText>
      </w:r>
      <w:r>
        <w:rPr>
          <w:noProof/>
        </w:rPr>
      </w:r>
      <w:r>
        <w:rPr>
          <w:noProof/>
        </w:rPr>
        <w:fldChar w:fldCharType="separate"/>
      </w:r>
      <w:r w:rsidR="006C029B">
        <w:rPr>
          <w:noProof/>
        </w:rPr>
        <w:t>60</w:t>
      </w:r>
      <w:r>
        <w:rPr>
          <w:noProof/>
        </w:rPr>
        <w:fldChar w:fldCharType="end"/>
      </w:r>
    </w:p>
    <w:p w:rsidR="00555918" w:rsidRPr="00E400E4" w:rsidRDefault="00555918">
      <w:pPr>
        <w:pStyle w:val="TOCHeading"/>
      </w:pPr>
      <w:r w:rsidRPr="00E400E4">
        <w:rPr>
          <w:rFonts w:ascii="Cambria" w:hAnsi="Cambria"/>
          <w:color w:val="auto"/>
          <w:sz w:val="22"/>
          <w:szCs w:val="24"/>
        </w:rPr>
        <w:fldChar w:fldCharType="end"/>
      </w:r>
      <w:r w:rsidRPr="00E400E4">
        <w:t>Tables</w:t>
      </w:r>
    </w:p>
    <w:p w:rsidR="00555918" w:rsidRDefault="00555918">
      <w:pPr>
        <w:pStyle w:val="TableofFigures"/>
        <w:tabs>
          <w:tab w:val="right" w:leader="dot" w:pos="9060"/>
        </w:tabs>
        <w:rPr>
          <w:rFonts w:eastAsiaTheme="minorEastAsia"/>
          <w:noProof/>
          <w:lang w:eastAsia="en-AU"/>
        </w:rPr>
      </w:pPr>
      <w:r w:rsidRPr="00E400E4">
        <w:rPr>
          <w:bCs/>
          <w:szCs w:val="24"/>
        </w:rPr>
        <w:fldChar w:fldCharType="begin"/>
      </w:r>
      <w:r w:rsidRPr="00E400E4">
        <w:rPr>
          <w:bCs/>
        </w:rPr>
        <w:instrText xml:space="preserve"> TOC \c "Table" </w:instrText>
      </w:r>
      <w:r w:rsidRPr="00E400E4">
        <w:rPr>
          <w:bCs/>
          <w:szCs w:val="24"/>
        </w:rPr>
        <w:fldChar w:fldCharType="separate"/>
      </w:r>
      <w:r>
        <w:rPr>
          <w:noProof/>
        </w:rPr>
        <w:t>Table 2.1 Nomenclature of likelihoods</w:t>
      </w:r>
      <w:r>
        <w:rPr>
          <w:noProof/>
        </w:rPr>
        <w:tab/>
      </w:r>
      <w:r>
        <w:rPr>
          <w:noProof/>
        </w:rPr>
        <w:fldChar w:fldCharType="begin"/>
      </w:r>
      <w:r>
        <w:rPr>
          <w:noProof/>
        </w:rPr>
        <w:instrText xml:space="preserve"> PAGEREF _Toc24702437 \h </w:instrText>
      </w:r>
      <w:r>
        <w:rPr>
          <w:noProof/>
        </w:rPr>
      </w:r>
      <w:r>
        <w:rPr>
          <w:noProof/>
        </w:rPr>
        <w:fldChar w:fldCharType="separate"/>
      </w:r>
      <w:r w:rsidR="006C029B">
        <w:rPr>
          <w:noProof/>
        </w:rPr>
        <w:t>10</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Table 2.2 Matrix of rules for combining likelihoods</w:t>
      </w:r>
      <w:r>
        <w:rPr>
          <w:noProof/>
        </w:rPr>
        <w:tab/>
      </w:r>
      <w:r>
        <w:rPr>
          <w:noProof/>
        </w:rPr>
        <w:fldChar w:fldCharType="begin"/>
      </w:r>
      <w:r>
        <w:rPr>
          <w:noProof/>
        </w:rPr>
        <w:instrText xml:space="preserve"> PAGEREF _Toc24702438 \h </w:instrText>
      </w:r>
      <w:r>
        <w:rPr>
          <w:noProof/>
        </w:rPr>
      </w:r>
      <w:r>
        <w:rPr>
          <w:noProof/>
        </w:rPr>
        <w:fldChar w:fldCharType="separate"/>
      </w:r>
      <w:r w:rsidR="006C029B">
        <w:rPr>
          <w:noProof/>
        </w:rPr>
        <w:t>11</w:t>
      </w:r>
      <w:r>
        <w:rPr>
          <w:noProof/>
        </w:rPr>
        <w:fldChar w:fldCharType="end"/>
      </w:r>
    </w:p>
    <w:p w:rsidR="00555918" w:rsidRDefault="00555918" w:rsidP="000B1771">
      <w:pPr>
        <w:pStyle w:val="TableofFigures"/>
        <w:tabs>
          <w:tab w:val="right" w:leader="dot" w:pos="9060"/>
        </w:tabs>
        <w:ind w:left="851" w:hanging="851"/>
        <w:rPr>
          <w:rFonts w:eastAsiaTheme="minorEastAsia"/>
          <w:noProof/>
          <w:lang w:eastAsia="en-AU"/>
        </w:rPr>
      </w:pPr>
      <w:r>
        <w:rPr>
          <w:noProof/>
        </w:rPr>
        <w:t>Table 2.3 Decision rules for determining the consequence impact score based on the magnitude of consequences at four geographic scales</w:t>
      </w:r>
      <w:r>
        <w:rPr>
          <w:noProof/>
        </w:rPr>
        <w:tab/>
      </w:r>
      <w:r>
        <w:rPr>
          <w:noProof/>
        </w:rPr>
        <w:fldChar w:fldCharType="begin"/>
      </w:r>
      <w:r>
        <w:rPr>
          <w:noProof/>
        </w:rPr>
        <w:instrText xml:space="preserve"> PAGEREF _Toc24702439 \h </w:instrText>
      </w:r>
      <w:r>
        <w:rPr>
          <w:noProof/>
        </w:rPr>
      </w:r>
      <w:r>
        <w:rPr>
          <w:noProof/>
        </w:rPr>
        <w:fldChar w:fldCharType="separate"/>
      </w:r>
      <w:r w:rsidR="006C029B">
        <w:rPr>
          <w:noProof/>
        </w:rPr>
        <w:t>13</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_Toc24702440 \h </w:instrText>
      </w:r>
      <w:r>
        <w:rPr>
          <w:noProof/>
        </w:rPr>
      </w:r>
      <w:r>
        <w:rPr>
          <w:noProof/>
        </w:rPr>
        <w:fldChar w:fldCharType="separate"/>
      </w:r>
      <w:r w:rsidR="006C029B">
        <w:rPr>
          <w:noProof/>
        </w:rPr>
        <w:t>13</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_Toc24702441 \h </w:instrText>
      </w:r>
      <w:r>
        <w:rPr>
          <w:noProof/>
        </w:rPr>
      </w:r>
      <w:r>
        <w:rPr>
          <w:noProof/>
        </w:rPr>
        <w:fldChar w:fldCharType="separate"/>
      </w:r>
      <w:r w:rsidR="006C029B">
        <w:rPr>
          <w:noProof/>
        </w:rPr>
        <w:t>14</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Table 3.1 Main avocado cultivars by planted area in Chile</w:t>
      </w:r>
      <w:r>
        <w:rPr>
          <w:noProof/>
        </w:rPr>
        <w:tab/>
      </w:r>
      <w:r>
        <w:rPr>
          <w:noProof/>
        </w:rPr>
        <w:fldChar w:fldCharType="begin"/>
      </w:r>
      <w:r>
        <w:rPr>
          <w:noProof/>
        </w:rPr>
        <w:instrText xml:space="preserve"> PAGEREF _Toc24702442 \h </w:instrText>
      </w:r>
      <w:r>
        <w:rPr>
          <w:noProof/>
        </w:rPr>
      </w:r>
      <w:r>
        <w:rPr>
          <w:noProof/>
        </w:rPr>
        <w:fldChar w:fldCharType="separate"/>
      </w:r>
      <w:r w:rsidR="006C029B">
        <w:rPr>
          <w:noProof/>
        </w:rPr>
        <w:t>20</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Table 3.2 Area planted with avocado by region in 2016</w:t>
      </w:r>
      <w:r>
        <w:rPr>
          <w:noProof/>
        </w:rPr>
        <w:tab/>
      </w:r>
      <w:r>
        <w:rPr>
          <w:noProof/>
        </w:rPr>
        <w:fldChar w:fldCharType="begin"/>
      </w:r>
      <w:r>
        <w:rPr>
          <w:noProof/>
        </w:rPr>
        <w:instrText xml:space="preserve"> PAGEREF _Toc24702443 \h </w:instrText>
      </w:r>
      <w:r>
        <w:rPr>
          <w:noProof/>
        </w:rPr>
      </w:r>
      <w:r>
        <w:rPr>
          <w:noProof/>
        </w:rPr>
        <w:fldChar w:fldCharType="separate"/>
      </w:r>
      <w:r w:rsidR="006C029B">
        <w:rPr>
          <w:noProof/>
        </w:rPr>
        <w:t>33</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Table 3.3 Export volumes of avocados from Chile to the top 10 markets from 2013 to 2016</w:t>
      </w:r>
      <w:r>
        <w:rPr>
          <w:noProof/>
        </w:rPr>
        <w:tab/>
      </w:r>
      <w:r>
        <w:rPr>
          <w:noProof/>
        </w:rPr>
        <w:fldChar w:fldCharType="begin"/>
      </w:r>
      <w:r>
        <w:rPr>
          <w:noProof/>
        </w:rPr>
        <w:instrText xml:space="preserve"> PAGEREF _Toc24702444 \h </w:instrText>
      </w:r>
      <w:r>
        <w:rPr>
          <w:noProof/>
        </w:rPr>
      </w:r>
      <w:r>
        <w:rPr>
          <w:noProof/>
        </w:rPr>
        <w:fldChar w:fldCharType="separate"/>
      </w:r>
      <w:r w:rsidR="006C029B">
        <w:rPr>
          <w:noProof/>
        </w:rPr>
        <w:t>33</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Table 4.1 Quarantine pests associated with avocados from Chile</w:t>
      </w:r>
      <w:r>
        <w:rPr>
          <w:noProof/>
        </w:rPr>
        <w:tab/>
      </w:r>
      <w:r>
        <w:rPr>
          <w:noProof/>
        </w:rPr>
        <w:fldChar w:fldCharType="begin"/>
      </w:r>
      <w:r>
        <w:rPr>
          <w:noProof/>
        </w:rPr>
        <w:instrText xml:space="preserve"> PAGEREF _Toc24702445 \h </w:instrText>
      </w:r>
      <w:r>
        <w:rPr>
          <w:noProof/>
        </w:rPr>
      </w:r>
      <w:r>
        <w:rPr>
          <w:noProof/>
        </w:rPr>
        <w:fldChar w:fldCharType="separate"/>
      </w:r>
      <w:r w:rsidR="006C029B">
        <w:rPr>
          <w:noProof/>
        </w:rPr>
        <w:t>36</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Table 4.2 Quarantine and regulated thrips for avocados from Chile</w:t>
      </w:r>
      <w:r>
        <w:rPr>
          <w:noProof/>
        </w:rPr>
        <w:tab/>
      </w:r>
      <w:r>
        <w:rPr>
          <w:noProof/>
        </w:rPr>
        <w:fldChar w:fldCharType="begin"/>
      </w:r>
      <w:r>
        <w:rPr>
          <w:noProof/>
        </w:rPr>
        <w:instrText xml:space="preserve"> PAGEREF _Toc24702446 \h </w:instrText>
      </w:r>
      <w:r>
        <w:rPr>
          <w:noProof/>
        </w:rPr>
      </w:r>
      <w:r>
        <w:rPr>
          <w:noProof/>
        </w:rPr>
        <w:fldChar w:fldCharType="separate"/>
      </w:r>
      <w:r w:rsidR="006C029B">
        <w:rPr>
          <w:noProof/>
        </w:rPr>
        <w:t>45</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lastRenderedPageBreak/>
        <w:t>Table 4.3 Risk estimates for quarantine thrips</w:t>
      </w:r>
      <w:r>
        <w:rPr>
          <w:noProof/>
        </w:rPr>
        <w:tab/>
      </w:r>
      <w:r>
        <w:rPr>
          <w:noProof/>
        </w:rPr>
        <w:fldChar w:fldCharType="begin"/>
      </w:r>
      <w:r>
        <w:rPr>
          <w:noProof/>
        </w:rPr>
        <w:instrText xml:space="preserve"> PAGEREF _Toc24702447 \h </w:instrText>
      </w:r>
      <w:r>
        <w:rPr>
          <w:noProof/>
        </w:rPr>
      </w:r>
      <w:r>
        <w:rPr>
          <w:noProof/>
        </w:rPr>
        <w:fldChar w:fldCharType="separate"/>
      </w:r>
      <w:r w:rsidR="006C029B">
        <w:rPr>
          <w:noProof/>
        </w:rPr>
        <w:t>45</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Table 4.4 Risk estimates for emerging quarantine orthotospoviruses vectored by regulated thrips</w:t>
      </w:r>
      <w:r>
        <w:rPr>
          <w:noProof/>
        </w:rPr>
        <w:tab/>
      </w:r>
      <w:r>
        <w:rPr>
          <w:noProof/>
        </w:rPr>
        <w:fldChar w:fldCharType="begin"/>
      </w:r>
      <w:r>
        <w:rPr>
          <w:noProof/>
        </w:rPr>
        <w:instrText xml:space="preserve"> PAGEREF _Toc24702448 \h </w:instrText>
      </w:r>
      <w:r>
        <w:rPr>
          <w:noProof/>
        </w:rPr>
      </w:r>
      <w:r>
        <w:rPr>
          <w:noProof/>
        </w:rPr>
        <w:fldChar w:fldCharType="separate"/>
      </w:r>
      <w:r w:rsidR="006C029B">
        <w:rPr>
          <w:noProof/>
        </w:rPr>
        <w:t>46</w:t>
      </w:r>
      <w:r>
        <w:rPr>
          <w:noProof/>
        </w:rPr>
        <w:fldChar w:fldCharType="end"/>
      </w:r>
    </w:p>
    <w:p w:rsidR="00555918" w:rsidRDefault="00555918" w:rsidP="000B1771">
      <w:pPr>
        <w:pStyle w:val="TableofFigures"/>
        <w:tabs>
          <w:tab w:val="right" w:leader="dot" w:pos="9060"/>
        </w:tabs>
        <w:ind w:left="851" w:hanging="851"/>
        <w:rPr>
          <w:rFonts w:eastAsiaTheme="minorEastAsia"/>
          <w:noProof/>
          <w:lang w:eastAsia="en-AU"/>
        </w:rPr>
      </w:pPr>
      <w:r>
        <w:rPr>
          <w:noProof/>
        </w:rPr>
        <w:t>Table 4.5 Summary of unrestricted risk estimates for quarantine pests associated with avocados</w:t>
      </w:r>
      <w:r>
        <w:rPr>
          <w:noProof/>
        </w:rPr>
        <w:br/>
        <w:t>from Chile</w:t>
      </w:r>
      <w:r>
        <w:rPr>
          <w:noProof/>
        </w:rPr>
        <w:tab/>
      </w:r>
      <w:r>
        <w:rPr>
          <w:noProof/>
        </w:rPr>
        <w:fldChar w:fldCharType="begin"/>
      </w:r>
      <w:r>
        <w:rPr>
          <w:noProof/>
        </w:rPr>
        <w:instrText xml:space="preserve"> PAGEREF _Toc24702449 \h </w:instrText>
      </w:r>
      <w:r>
        <w:rPr>
          <w:noProof/>
        </w:rPr>
      </w:r>
      <w:r>
        <w:rPr>
          <w:noProof/>
        </w:rPr>
        <w:fldChar w:fldCharType="separate"/>
      </w:r>
      <w:r w:rsidR="006C029B">
        <w:rPr>
          <w:noProof/>
        </w:rPr>
        <w:t>57</w:t>
      </w:r>
      <w:r>
        <w:rPr>
          <w:noProof/>
        </w:rPr>
        <w:fldChar w:fldCharType="end"/>
      </w:r>
    </w:p>
    <w:p w:rsidR="00555918" w:rsidRDefault="00555918" w:rsidP="000B1771">
      <w:pPr>
        <w:pStyle w:val="TableofFigures"/>
        <w:tabs>
          <w:tab w:val="right" w:leader="dot" w:pos="9060"/>
        </w:tabs>
        <w:ind w:left="851" w:hanging="851"/>
        <w:rPr>
          <w:rFonts w:eastAsiaTheme="minorEastAsia"/>
          <w:noProof/>
          <w:lang w:eastAsia="en-AU"/>
        </w:rPr>
      </w:pPr>
      <w:r>
        <w:rPr>
          <w:noProof/>
        </w:rPr>
        <w:t>Table 5.1 Risk management measures recommended for quarantine pests and regulated thrips associated with avocados from Chile</w:t>
      </w:r>
      <w:r>
        <w:rPr>
          <w:noProof/>
        </w:rPr>
        <w:tab/>
      </w:r>
      <w:r>
        <w:rPr>
          <w:noProof/>
        </w:rPr>
        <w:fldChar w:fldCharType="begin"/>
      </w:r>
      <w:r>
        <w:rPr>
          <w:noProof/>
        </w:rPr>
        <w:instrText xml:space="preserve"> PAGEREF _Toc24702450 \h </w:instrText>
      </w:r>
      <w:r>
        <w:rPr>
          <w:noProof/>
        </w:rPr>
      </w:r>
      <w:r>
        <w:rPr>
          <w:noProof/>
        </w:rPr>
        <w:fldChar w:fldCharType="separate"/>
      </w:r>
      <w:r w:rsidR="006C029B">
        <w:rPr>
          <w:noProof/>
        </w:rPr>
        <w:t>62</w:t>
      </w:r>
      <w:r>
        <w:rPr>
          <w:noProof/>
        </w:rPr>
        <w:fldChar w:fldCharType="end"/>
      </w:r>
    </w:p>
    <w:p w:rsidR="00555918" w:rsidRPr="00E400E4" w:rsidRDefault="00555918">
      <w:pPr>
        <w:pStyle w:val="TOCHeading"/>
      </w:pPr>
      <w:r w:rsidRPr="00E400E4">
        <w:fldChar w:fldCharType="end"/>
      </w:r>
      <w:r w:rsidRPr="00E400E4">
        <w:t>Maps</w:t>
      </w:r>
    </w:p>
    <w:p w:rsidR="00555918" w:rsidRDefault="00555918">
      <w:pPr>
        <w:pStyle w:val="TableofFigures"/>
        <w:tabs>
          <w:tab w:val="right" w:leader="dot" w:pos="9060"/>
        </w:tabs>
        <w:rPr>
          <w:rFonts w:eastAsiaTheme="minorEastAsia"/>
          <w:noProof/>
          <w:lang w:eastAsia="en-AU"/>
        </w:rPr>
      </w:pPr>
      <w:r w:rsidRPr="00E400E4">
        <w:fldChar w:fldCharType="begin"/>
      </w:r>
      <w:r w:rsidRPr="00E400E4">
        <w:instrText xml:space="preserve"> TOC \c "Map" </w:instrText>
      </w:r>
      <w:r w:rsidRPr="00E400E4">
        <w:fldChar w:fldCharType="separate"/>
      </w:r>
      <w:r>
        <w:rPr>
          <w:noProof/>
        </w:rPr>
        <w:t>Map 1 Map of Australia</w:t>
      </w:r>
      <w:r>
        <w:rPr>
          <w:noProof/>
        </w:rPr>
        <w:tab/>
      </w:r>
      <w:r>
        <w:rPr>
          <w:noProof/>
        </w:rPr>
        <w:fldChar w:fldCharType="begin"/>
      </w:r>
      <w:r>
        <w:rPr>
          <w:noProof/>
        </w:rPr>
        <w:instrText xml:space="preserve"> PAGEREF _Toc24702451 \h </w:instrText>
      </w:r>
      <w:r>
        <w:rPr>
          <w:noProof/>
        </w:rPr>
      </w:r>
      <w:r>
        <w:rPr>
          <w:noProof/>
        </w:rPr>
        <w:fldChar w:fldCharType="separate"/>
      </w:r>
      <w:r w:rsidR="006C029B">
        <w:rPr>
          <w:noProof/>
        </w:rPr>
        <w:t>vi</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_Toc24702452 \h </w:instrText>
      </w:r>
      <w:r>
        <w:rPr>
          <w:noProof/>
        </w:rPr>
      </w:r>
      <w:r>
        <w:rPr>
          <w:noProof/>
        </w:rPr>
        <w:fldChar w:fldCharType="separate"/>
      </w:r>
      <w:r w:rsidR="006C029B">
        <w:rPr>
          <w:noProof/>
        </w:rPr>
        <w:t>vi</w:t>
      </w:r>
      <w:r>
        <w:rPr>
          <w:noProof/>
        </w:rPr>
        <w:fldChar w:fldCharType="end"/>
      </w:r>
    </w:p>
    <w:p w:rsidR="00555918" w:rsidRDefault="00555918">
      <w:pPr>
        <w:pStyle w:val="TableofFigures"/>
        <w:tabs>
          <w:tab w:val="right" w:leader="dot" w:pos="9060"/>
        </w:tabs>
        <w:rPr>
          <w:rFonts w:eastAsiaTheme="minorEastAsia"/>
          <w:noProof/>
          <w:lang w:eastAsia="en-AU"/>
        </w:rPr>
      </w:pPr>
      <w:r>
        <w:rPr>
          <w:noProof/>
        </w:rPr>
        <w:t>Map 3 Chile's major avocado production regions</w:t>
      </w:r>
      <w:r>
        <w:rPr>
          <w:noProof/>
        </w:rPr>
        <w:tab/>
      </w:r>
      <w:r>
        <w:rPr>
          <w:noProof/>
        </w:rPr>
        <w:fldChar w:fldCharType="begin"/>
      </w:r>
      <w:r>
        <w:rPr>
          <w:noProof/>
        </w:rPr>
        <w:instrText xml:space="preserve"> PAGEREF _Toc24702453 \h </w:instrText>
      </w:r>
      <w:r>
        <w:rPr>
          <w:noProof/>
        </w:rPr>
      </w:r>
      <w:r>
        <w:rPr>
          <w:noProof/>
        </w:rPr>
        <w:fldChar w:fldCharType="separate"/>
      </w:r>
      <w:r w:rsidR="006C029B">
        <w:rPr>
          <w:noProof/>
        </w:rPr>
        <w:t>18</w:t>
      </w:r>
      <w:r>
        <w:rPr>
          <w:noProof/>
        </w:rPr>
        <w:fldChar w:fldCharType="end"/>
      </w:r>
    </w:p>
    <w:p w:rsidR="00555918" w:rsidRPr="00E400E4" w:rsidRDefault="00555918" w:rsidP="000B1771">
      <w:r w:rsidRPr="00E400E4">
        <w:fldChar w:fldCharType="end"/>
      </w:r>
      <w:bookmarkStart w:id="1" w:name="_Toc384979272"/>
      <w:bookmarkStart w:id="2" w:name="_Toc384979287"/>
      <w:bookmarkStart w:id="3" w:name="_Toc450740181"/>
    </w:p>
    <w:p w:rsidR="00555918" w:rsidRPr="00E400E4" w:rsidRDefault="00555918">
      <w:pPr>
        <w:pStyle w:val="Caption"/>
        <w:sectPr w:rsidR="00555918" w:rsidRPr="00E400E4" w:rsidSect="000B1771">
          <w:headerReference w:type="default" r:id="rId18"/>
          <w:footerReference w:type="default" r:id="rId19"/>
          <w:pgSz w:w="11906" w:h="16838"/>
          <w:pgMar w:top="1418" w:right="1418" w:bottom="1418" w:left="1418" w:header="567" w:footer="283" w:gutter="0"/>
          <w:pgNumType w:fmt="lowerRoman"/>
          <w:cols w:space="708"/>
          <w:docGrid w:linePitch="360"/>
        </w:sectPr>
      </w:pPr>
    </w:p>
    <w:p w:rsidR="00555918" w:rsidRPr="00E400E4" w:rsidRDefault="00555918">
      <w:pPr>
        <w:pStyle w:val="Caption"/>
      </w:pPr>
      <w:bookmarkStart w:id="4" w:name="_Toc24702451"/>
      <w:r w:rsidRPr="00E400E4">
        <w:lastRenderedPageBreak/>
        <w:t xml:space="preserve">Map </w:t>
      </w:r>
      <w:r w:rsidRPr="00E400E4">
        <w:rPr>
          <w:noProof/>
        </w:rPr>
        <w:fldChar w:fldCharType="begin"/>
      </w:r>
      <w:r w:rsidRPr="00E400E4">
        <w:rPr>
          <w:noProof/>
        </w:rPr>
        <w:instrText xml:space="preserve"> SEQ Map \* ARABIC </w:instrText>
      </w:r>
      <w:r w:rsidRPr="00E400E4">
        <w:rPr>
          <w:noProof/>
        </w:rPr>
        <w:fldChar w:fldCharType="separate"/>
      </w:r>
      <w:r w:rsidR="006C029B">
        <w:rPr>
          <w:noProof/>
        </w:rPr>
        <w:t>1</w:t>
      </w:r>
      <w:r w:rsidRPr="00E400E4">
        <w:rPr>
          <w:noProof/>
        </w:rPr>
        <w:fldChar w:fldCharType="end"/>
      </w:r>
      <w:r w:rsidRPr="00E400E4">
        <w:t xml:space="preserve"> Map of Australia</w:t>
      </w:r>
      <w:bookmarkEnd w:id="1"/>
      <w:bookmarkEnd w:id="2"/>
      <w:bookmarkEnd w:id="3"/>
      <w:bookmarkEnd w:id="4"/>
    </w:p>
    <w:p w:rsidR="00555918" w:rsidRPr="00E400E4" w:rsidRDefault="00555918">
      <w:r w:rsidRPr="00E400E4">
        <w:rPr>
          <w:noProof/>
          <w:lang w:eastAsia="en-AU"/>
        </w:rPr>
        <w:drawing>
          <wp:inline distT="0" distB="0" distL="0" distR="0" wp14:anchorId="46078D7D" wp14:editId="233865D5">
            <wp:extent cx="4089400" cy="3533140"/>
            <wp:effectExtent l="0" t="0" r="6350" b="0"/>
            <wp:docPr id="4" name="Picture 4" descr="The boundaries for the states and territories of Australia are highlighted and the capital cities for each state and territory is indicated. The six states and two territories are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0"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rsidR="00555918" w:rsidRPr="00E400E4" w:rsidRDefault="00555918">
      <w:pPr>
        <w:pStyle w:val="Caption"/>
      </w:pPr>
      <w:bookmarkStart w:id="5" w:name="_Toc384979273"/>
      <w:bookmarkStart w:id="6" w:name="_Toc384979288"/>
      <w:bookmarkStart w:id="7" w:name="_Toc450740182"/>
      <w:bookmarkStart w:id="8" w:name="_Toc24702452"/>
      <w:r w:rsidRPr="00E400E4">
        <w:t xml:space="preserve">Map </w:t>
      </w:r>
      <w:r w:rsidRPr="00E400E4">
        <w:rPr>
          <w:noProof/>
        </w:rPr>
        <w:fldChar w:fldCharType="begin"/>
      </w:r>
      <w:r w:rsidRPr="00E400E4">
        <w:rPr>
          <w:noProof/>
        </w:rPr>
        <w:instrText xml:space="preserve"> SEQ Map \* ARABIC </w:instrText>
      </w:r>
      <w:r w:rsidRPr="00E400E4">
        <w:rPr>
          <w:noProof/>
        </w:rPr>
        <w:fldChar w:fldCharType="separate"/>
      </w:r>
      <w:r w:rsidR="006C029B">
        <w:rPr>
          <w:noProof/>
        </w:rPr>
        <w:t>2</w:t>
      </w:r>
      <w:r w:rsidRPr="00E400E4">
        <w:rPr>
          <w:noProof/>
        </w:rPr>
        <w:fldChar w:fldCharType="end"/>
      </w:r>
      <w:r w:rsidRPr="00E400E4">
        <w:t xml:space="preserve"> A guide to Australia’s bio-climatic zones</w:t>
      </w:r>
      <w:bookmarkEnd w:id="5"/>
      <w:bookmarkEnd w:id="6"/>
      <w:bookmarkEnd w:id="7"/>
      <w:bookmarkEnd w:id="8"/>
    </w:p>
    <w:p w:rsidR="00555918" w:rsidRPr="00E400E4" w:rsidRDefault="00555918">
      <w:pPr>
        <w:pStyle w:val="Caption"/>
      </w:pPr>
      <w:r w:rsidRPr="00E400E4">
        <w:rPr>
          <w:noProof/>
          <w:lang w:eastAsia="en-AU"/>
        </w:rPr>
        <w:drawing>
          <wp:inline distT="0" distB="0" distL="0" distR="0" wp14:anchorId="46078D7F" wp14:editId="6DFC9F20">
            <wp:extent cx="5106035" cy="3649980"/>
            <wp:effectExtent l="0" t="0" r="0" b="7620"/>
            <wp:doc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part of Australia spanning across Western Australia, South Australia, Northern Territory, Queensland and New South Wales)&#10;- Grassland (surrounding the de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21" cstate="print"/>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rsidR="00555918" w:rsidRPr="00E400E4" w:rsidRDefault="00555918"/>
    <w:p w:rsidR="00555918" w:rsidRPr="00E400E4" w:rsidRDefault="00555918">
      <w:pPr>
        <w:pStyle w:val="Caption"/>
        <w:sectPr w:rsidR="00555918" w:rsidRPr="00E400E4" w:rsidSect="000B1771">
          <w:headerReference w:type="default" r:id="rId22"/>
          <w:pgSz w:w="11906" w:h="16838"/>
          <w:pgMar w:top="1418" w:right="1418" w:bottom="1418" w:left="1418" w:header="567" w:footer="283" w:gutter="0"/>
          <w:pgNumType w:fmt="lowerRoman"/>
          <w:cols w:space="708"/>
          <w:docGrid w:linePitch="360"/>
        </w:sectPr>
      </w:pPr>
      <w:bookmarkStart w:id="9" w:name="_Ref457826879"/>
    </w:p>
    <w:p w:rsidR="00555918" w:rsidRPr="00E400E4" w:rsidRDefault="00555918" w:rsidP="000B1771">
      <w:pPr>
        <w:pStyle w:val="Caption"/>
      </w:pPr>
      <w:bookmarkStart w:id="10" w:name="_Ref511212048"/>
      <w:bookmarkStart w:id="11" w:name="_Toc24702418"/>
      <w:bookmarkEnd w:id="9"/>
      <w:r w:rsidRPr="00E400E4">
        <w:lastRenderedPageBreak/>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1</w:t>
      </w:r>
      <w:r w:rsidRPr="00E400E4">
        <w:rPr>
          <w:noProof/>
        </w:rPr>
        <w:fldChar w:fldCharType="end"/>
      </w:r>
      <w:bookmarkEnd w:id="10"/>
      <w:r w:rsidRPr="00E400E4">
        <w:t xml:space="preserve"> Diagram of avocado leaf, fruit and flower</w:t>
      </w:r>
      <w:bookmarkEnd w:id="11"/>
    </w:p>
    <w:p w:rsidR="00555918" w:rsidRPr="00E400E4" w:rsidRDefault="00555918">
      <w:pPr>
        <w:pStyle w:val="Picture"/>
      </w:pPr>
      <w:r w:rsidRPr="00E400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400E4">
        <w:drawing>
          <wp:inline distT="0" distB="0" distL="0" distR="0" wp14:anchorId="62222860" wp14:editId="48150778">
            <wp:extent cx="4179570" cy="6348095"/>
            <wp:effectExtent l="0" t="0" r="0" b="0"/>
            <wp:docPr id="11" name="Picture 11" descr="C:\Users\Himmelspach Regina\AppData\Local\Microsoft\Windows\INetCache\Content.Outlook\Z11X8L38\diagram of avocado leaf flower fruit_Paull and Duarte 2011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mmelspach Regina\AppData\Local\Microsoft\Windows\INetCache\Content.Outlook\Z11X8L38\diagram of avocado leaf flower fruit_Paull and Duarte 2011 ne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9570" cy="6348095"/>
                    </a:xfrm>
                    <a:prstGeom prst="rect">
                      <a:avLst/>
                    </a:prstGeom>
                    <a:noFill/>
                    <a:ln>
                      <a:noFill/>
                    </a:ln>
                  </pic:spPr>
                </pic:pic>
              </a:graphicData>
            </a:graphic>
          </wp:inline>
        </w:drawing>
      </w:r>
    </w:p>
    <w:p w:rsidR="00555918" w:rsidRPr="00E400E4" w:rsidRDefault="00555918" w:rsidP="000B1771">
      <w:pPr>
        <w:pStyle w:val="FigureTableNoteSource"/>
      </w:pPr>
      <w:r w:rsidRPr="00E400E4">
        <w:t xml:space="preserve">Source: Adapted from </w:t>
      </w:r>
      <w:r>
        <w:rPr>
          <w:noProof/>
        </w:rPr>
        <w:t>Paull and Duarte (2011)</w:t>
      </w:r>
      <w:r w:rsidRPr="00E400E4">
        <w:t>. Flower (a) is from the first opening stage and is female; (b) is the second opening and male, with the anthers semi-erect and dehisced; and (c) is a fully mature flower after dehiscence. Fruit (d).</w:t>
      </w:r>
    </w:p>
    <w:p w:rsidR="00555918" w:rsidRPr="00E400E4" w:rsidRDefault="00555918"/>
    <w:p w:rsidR="00555918" w:rsidRPr="00E400E4" w:rsidRDefault="00555918" w:rsidP="000B1771">
      <w:pPr>
        <w:pStyle w:val="Heading2"/>
        <w:numPr>
          <w:ilvl w:val="0"/>
          <w:numId w:val="0"/>
        </w:numPr>
        <w:sectPr w:rsidR="00555918" w:rsidRPr="00E400E4" w:rsidSect="000B1771">
          <w:headerReference w:type="default" r:id="rId24"/>
          <w:pgSz w:w="11906" w:h="16838"/>
          <w:pgMar w:top="1418" w:right="1418" w:bottom="1418" w:left="1418" w:header="567" w:footer="283" w:gutter="0"/>
          <w:pgNumType w:fmt="lowerRoman"/>
          <w:cols w:space="708"/>
          <w:docGrid w:linePitch="360"/>
        </w:sectPr>
      </w:pPr>
    </w:p>
    <w:p w:rsidR="00555918" w:rsidRPr="00E400E4" w:rsidRDefault="00555918" w:rsidP="000B1771">
      <w:pPr>
        <w:pStyle w:val="Heading2"/>
        <w:numPr>
          <w:ilvl w:val="0"/>
          <w:numId w:val="0"/>
        </w:numPr>
      </w:pPr>
      <w:bookmarkStart w:id="12" w:name="_Toc20392225"/>
      <w:r w:rsidRPr="00E400E4">
        <w:lastRenderedPageBreak/>
        <w:t>Acronyms and abbreviations</w:t>
      </w:r>
      <w:bookmarkEnd w:id="12"/>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55918" w:rsidRPr="00E400E4">
        <w:trPr>
          <w:trHeight w:val="414"/>
          <w:tblHeader/>
        </w:trPr>
        <w:tc>
          <w:tcPr>
            <w:tcW w:w="1335" w:type="pct"/>
          </w:tcPr>
          <w:p w:rsidR="00555918" w:rsidRPr="00E400E4" w:rsidRDefault="00555918">
            <w:pPr>
              <w:pStyle w:val="TableHeading"/>
            </w:pPr>
            <w:r w:rsidRPr="00E400E4">
              <w:t>Term or abbreviation</w:t>
            </w:r>
          </w:p>
        </w:tc>
        <w:tc>
          <w:tcPr>
            <w:tcW w:w="3665" w:type="pct"/>
          </w:tcPr>
          <w:p w:rsidR="00555918" w:rsidRPr="00E400E4" w:rsidRDefault="00555918">
            <w:pPr>
              <w:pStyle w:val="TableHeading"/>
            </w:pPr>
            <w:r w:rsidRPr="00E400E4">
              <w:t>Definition</w:t>
            </w:r>
          </w:p>
        </w:tc>
      </w:tr>
      <w:tr w:rsidR="00555918" w:rsidRPr="00E400E4">
        <w:trPr>
          <w:trHeight w:val="414"/>
        </w:trPr>
        <w:tc>
          <w:tcPr>
            <w:tcW w:w="1335" w:type="pct"/>
          </w:tcPr>
          <w:p w:rsidR="00555918" w:rsidRPr="00E400E4" w:rsidRDefault="00555918">
            <w:pPr>
              <w:pStyle w:val="TableText"/>
            </w:pPr>
            <w:r w:rsidRPr="00E400E4">
              <w:t>ACT</w:t>
            </w:r>
          </w:p>
        </w:tc>
        <w:tc>
          <w:tcPr>
            <w:tcW w:w="3665" w:type="pct"/>
          </w:tcPr>
          <w:p w:rsidR="00555918" w:rsidRPr="00E400E4" w:rsidRDefault="00555918">
            <w:pPr>
              <w:pStyle w:val="TableText"/>
            </w:pPr>
            <w:r w:rsidRPr="00E400E4">
              <w:t>Australian Capital Territory</w:t>
            </w:r>
          </w:p>
        </w:tc>
      </w:tr>
      <w:tr w:rsidR="00555918" w:rsidRPr="00E400E4">
        <w:trPr>
          <w:trHeight w:val="414"/>
        </w:trPr>
        <w:tc>
          <w:tcPr>
            <w:tcW w:w="1335" w:type="pct"/>
          </w:tcPr>
          <w:p w:rsidR="00555918" w:rsidRPr="00E400E4" w:rsidRDefault="00555918">
            <w:pPr>
              <w:pStyle w:val="TableText"/>
            </w:pPr>
            <w:r w:rsidRPr="00E400E4">
              <w:t>ALOP</w:t>
            </w:r>
          </w:p>
        </w:tc>
        <w:tc>
          <w:tcPr>
            <w:tcW w:w="3665" w:type="pct"/>
          </w:tcPr>
          <w:p w:rsidR="00555918" w:rsidRPr="00E400E4" w:rsidRDefault="00555918">
            <w:pPr>
              <w:pStyle w:val="TableText"/>
            </w:pPr>
            <w:r w:rsidRPr="00E400E4">
              <w:t>Appropriate level of protection</w:t>
            </w:r>
          </w:p>
        </w:tc>
      </w:tr>
      <w:tr w:rsidR="00555918" w:rsidRPr="00E400E4">
        <w:trPr>
          <w:trHeight w:val="414"/>
        </w:trPr>
        <w:tc>
          <w:tcPr>
            <w:tcW w:w="1335" w:type="pct"/>
          </w:tcPr>
          <w:p w:rsidR="00555918" w:rsidRPr="00E400E4" w:rsidRDefault="00555918">
            <w:pPr>
              <w:pStyle w:val="TableText"/>
            </w:pPr>
            <w:r w:rsidRPr="00E400E4">
              <w:t>BA</w:t>
            </w:r>
          </w:p>
        </w:tc>
        <w:tc>
          <w:tcPr>
            <w:tcW w:w="3665" w:type="pct"/>
          </w:tcPr>
          <w:p w:rsidR="00555918" w:rsidRPr="00E400E4" w:rsidRDefault="00555918">
            <w:pPr>
              <w:pStyle w:val="TableText"/>
            </w:pPr>
            <w:r w:rsidRPr="00E400E4">
              <w:t>Biosecurity Advice</w:t>
            </w:r>
          </w:p>
        </w:tc>
      </w:tr>
      <w:tr w:rsidR="00555918" w:rsidRPr="00E400E4">
        <w:trPr>
          <w:trHeight w:val="414"/>
        </w:trPr>
        <w:tc>
          <w:tcPr>
            <w:tcW w:w="1335" w:type="pct"/>
          </w:tcPr>
          <w:p w:rsidR="00555918" w:rsidRPr="00E400E4" w:rsidRDefault="00555918">
            <w:pPr>
              <w:pStyle w:val="TableText"/>
            </w:pPr>
            <w:r w:rsidRPr="00E400E4">
              <w:t>BICON</w:t>
            </w:r>
          </w:p>
        </w:tc>
        <w:tc>
          <w:tcPr>
            <w:tcW w:w="3665" w:type="pct"/>
          </w:tcPr>
          <w:p w:rsidR="00555918" w:rsidRPr="00E400E4" w:rsidRDefault="00555918">
            <w:pPr>
              <w:pStyle w:val="TableText"/>
            </w:pPr>
            <w:r w:rsidRPr="00E400E4">
              <w:t>Australia’s Biosecurity Import Conditions System</w:t>
            </w:r>
          </w:p>
        </w:tc>
      </w:tr>
      <w:tr w:rsidR="00555918" w:rsidRPr="00E400E4">
        <w:trPr>
          <w:trHeight w:val="414"/>
        </w:trPr>
        <w:tc>
          <w:tcPr>
            <w:tcW w:w="1335" w:type="pct"/>
          </w:tcPr>
          <w:p w:rsidR="00555918" w:rsidRPr="00E400E4" w:rsidRDefault="00555918">
            <w:pPr>
              <w:pStyle w:val="TableText"/>
            </w:pPr>
            <w:r w:rsidRPr="00E400E4">
              <w:t>BIRA</w:t>
            </w:r>
          </w:p>
        </w:tc>
        <w:tc>
          <w:tcPr>
            <w:tcW w:w="3665" w:type="pct"/>
          </w:tcPr>
          <w:p w:rsidR="00555918" w:rsidRPr="00E400E4" w:rsidRDefault="00555918">
            <w:pPr>
              <w:pStyle w:val="TableText"/>
            </w:pPr>
            <w:r w:rsidRPr="00E400E4">
              <w:t>Biosecurity Import Risk Analysis</w:t>
            </w:r>
          </w:p>
        </w:tc>
      </w:tr>
      <w:tr w:rsidR="00555918" w:rsidRPr="00E400E4">
        <w:trPr>
          <w:trHeight w:val="414"/>
        </w:trPr>
        <w:tc>
          <w:tcPr>
            <w:tcW w:w="1335" w:type="pct"/>
          </w:tcPr>
          <w:p w:rsidR="00555918" w:rsidRPr="00E400E4" w:rsidRDefault="00555918">
            <w:pPr>
              <w:pStyle w:val="TableText"/>
            </w:pPr>
            <w:r w:rsidRPr="00E400E4">
              <w:t>CSIRO</w:t>
            </w:r>
          </w:p>
        </w:tc>
        <w:tc>
          <w:tcPr>
            <w:tcW w:w="3665" w:type="pct"/>
          </w:tcPr>
          <w:p w:rsidR="00555918" w:rsidRPr="00E400E4" w:rsidRDefault="00555918">
            <w:pPr>
              <w:pStyle w:val="TableText"/>
            </w:pPr>
            <w:r w:rsidRPr="00E400E4">
              <w:t>Commonwealth Scientific and Industrial Research Organisation</w:t>
            </w:r>
          </w:p>
        </w:tc>
      </w:tr>
      <w:tr w:rsidR="00555918" w:rsidRPr="00E400E4">
        <w:trPr>
          <w:trHeight w:val="414"/>
        </w:trPr>
        <w:tc>
          <w:tcPr>
            <w:tcW w:w="1335" w:type="pct"/>
          </w:tcPr>
          <w:p w:rsidR="00555918" w:rsidRPr="00E400E4" w:rsidRDefault="00555918">
            <w:pPr>
              <w:pStyle w:val="TableText"/>
            </w:pPr>
            <w:r w:rsidRPr="00E400E4">
              <w:t>EP</w:t>
            </w:r>
          </w:p>
        </w:tc>
        <w:tc>
          <w:tcPr>
            <w:tcW w:w="3665" w:type="pct"/>
          </w:tcPr>
          <w:p w:rsidR="00555918" w:rsidRPr="00E400E4" w:rsidRDefault="00555918">
            <w:pPr>
              <w:pStyle w:val="TableText"/>
            </w:pPr>
            <w:r w:rsidRPr="00E400E4">
              <w:t>Existing policy</w:t>
            </w:r>
          </w:p>
        </w:tc>
      </w:tr>
      <w:tr w:rsidR="00555918" w:rsidRPr="00E400E4">
        <w:trPr>
          <w:trHeight w:val="414"/>
        </w:trPr>
        <w:tc>
          <w:tcPr>
            <w:tcW w:w="1335" w:type="pct"/>
          </w:tcPr>
          <w:p w:rsidR="00555918" w:rsidRPr="00E400E4" w:rsidRDefault="00555918">
            <w:pPr>
              <w:pStyle w:val="TableText"/>
            </w:pPr>
            <w:r w:rsidRPr="00E400E4">
              <w:t>FAO</w:t>
            </w:r>
          </w:p>
        </w:tc>
        <w:tc>
          <w:tcPr>
            <w:tcW w:w="3665" w:type="pct"/>
          </w:tcPr>
          <w:p w:rsidR="00555918" w:rsidRPr="00E400E4" w:rsidRDefault="00555918">
            <w:pPr>
              <w:pStyle w:val="TableText"/>
            </w:pPr>
            <w:r w:rsidRPr="00E400E4">
              <w:t>Food and Agriculture Organization of the United Nations</w:t>
            </w:r>
          </w:p>
        </w:tc>
      </w:tr>
      <w:tr w:rsidR="00555918" w:rsidRPr="00E400E4">
        <w:trPr>
          <w:trHeight w:val="414"/>
        </w:trPr>
        <w:tc>
          <w:tcPr>
            <w:tcW w:w="1335" w:type="pct"/>
          </w:tcPr>
          <w:p w:rsidR="00555918" w:rsidRPr="00E400E4" w:rsidRDefault="00555918">
            <w:pPr>
              <w:pStyle w:val="TableText"/>
            </w:pPr>
            <w:r w:rsidRPr="00E400E4">
              <w:t>FSANZ</w:t>
            </w:r>
          </w:p>
        </w:tc>
        <w:tc>
          <w:tcPr>
            <w:tcW w:w="3665" w:type="pct"/>
          </w:tcPr>
          <w:p w:rsidR="00555918" w:rsidRPr="00E400E4" w:rsidRDefault="00555918" w:rsidP="000B1771">
            <w:pPr>
              <w:pStyle w:val="TableText"/>
            </w:pPr>
            <w:r w:rsidRPr="00E400E4">
              <w:t>Food Standards Australia New Zealand</w:t>
            </w:r>
          </w:p>
        </w:tc>
      </w:tr>
      <w:tr w:rsidR="00555918" w:rsidRPr="00E400E4">
        <w:trPr>
          <w:trHeight w:val="414"/>
        </w:trPr>
        <w:tc>
          <w:tcPr>
            <w:tcW w:w="1335" w:type="pct"/>
          </w:tcPr>
          <w:p w:rsidR="00555918" w:rsidRPr="00E400E4" w:rsidRDefault="00555918">
            <w:pPr>
              <w:pStyle w:val="TableText"/>
            </w:pPr>
            <w:r w:rsidRPr="00E400E4">
              <w:t>GP</w:t>
            </w:r>
          </w:p>
        </w:tc>
        <w:tc>
          <w:tcPr>
            <w:tcW w:w="3665" w:type="pct"/>
          </w:tcPr>
          <w:p w:rsidR="00555918" w:rsidRPr="00E400E4" w:rsidRDefault="00555918" w:rsidP="000B1771">
            <w:pPr>
              <w:pStyle w:val="TableText"/>
            </w:pPr>
            <w:r w:rsidRPr="00E400E4">
              <w:t>Group pest risk analysis</w:t>
            </w:r>
          </w:p>
        </w:tc>
      </w:tr>
      <w:tr w:rsidR="00555918" w:rsidRPr="00E400E4">
        <w:trPr>
          <w:trHeight w:val="414"/>
        </w:trPr>
        <w:tc>
          <w:tcPr>
            <w:tcW w:w="1335" w:type="pct"/>
          </w:tcPr>
          <w:p w:rsidR="00555918" w:rsidRPr="00E400E4" w:rsidRDefault="00555918">
            <w:pPr>
              <w:pStyle w:val="TableText"/>
            </w:pPr>
            <w:r w:rsidRPr="00E400E4">
              <w:t>IPPC</w:t>
            </w:r>
          </w:p>
        </w:tc>
        <w:tc>
          <w:tcPr>
            <w:tcW w:w="3665" w:type="pct"/>
          </w:tcPr>
          <w:p w:rsidR="00555918" w:rsidRPr="00E400E4" w:rsidRDefault="00555918">
            <w:pPr>
              <w:pStyle w:val="TableText"/>
            </w:pPr>
            <w:r w:rsidRPr="00E400E4">
              <w:t>International Plant Protection Convention</w:t>
            </w:r>
          </w:p>
        </w:tc>
      </w:tr>
      <w:tr w:rsidR="00555918" w:rsidRPr="00E400E4">
        <w:trPr>
          <w:trHeight w:val="414"/>
        </w:trPr>
        <w:tc>
          <w:tcPr>
            <w:tcW w:w="1335" w:type="pct"/>
          </w:tcPr>
          <w:p w:rsidR="00555918" w:rsidRPr="00E400E4" w:rsidRDefault="00555918">
            <w:pPr>
              <w:pStyle w:val="TableText"/>
            </w:pPr>
            <w:r w:rsidRPr="00E400E4">
              <w:t>ISPM</w:t>
            </w:r>
          </w:p>
        </w:tc>
        <w:tc>
          <w:tcPr>
            <w:tcW w:w="3665" w:type="pct"/>
          </w:tcPr>
          <w:p w:rsidR="00555918" w:rsidRPr="00E400E4" w:rsidRDefault="00555918">
            <w:pPr>
              <w:pStyle w:val="TableText"/>
            </w:pPr>
            <w:r w:rsidRPr="00E400E4">
              <w:t>International Standard for Phytosanitary Measures</w:t>
            </w:r>
          </w:p>
        </w:tc>
      </w:tr>
      <w:tr w:rsidR="00555918" w:rsidRPr="00E400E4">
        <w:trPr>
          <w:trHeight w:val="414"/>
        </w:trPr>
        <w:tc>
          <w:tcPr>
            <w:tcW w:w="1335" w:type="pct"/>
          </w:tcPr>
          <w:p w:rsidR="00555918" w:rsidRPr="00E400E4" w:rsidRDefault="00555918">
            <w:pPr>
              <w:pStyle w:val="TableText"/>
            </w:pPr>
            <w:r w:rsidRPr="00E400E4">
              <w:t>NSW</w:t>
            </w:r>
          </w:p>
        </w:tc>
        <w:tc>
          <w:tcPr>
            <w:tcW w:w="3665" w:type="pct"/>
          </w:tcPr>
          <w:p w:rsidR="00555918" w:rsidRPr="00E400E4" w:rsidRDefault="00555918">
            <w:pPr>
              <w:pStyle w:val="TableText"/>
            </w:pPr>
            <w:r w:rsidRPr="00E400E4">
              <w:t>New South Wales</w:t>
            </w:r>
          </w:p>
        </w:tc>
      </w:tr>
      <w:tr w:rsidR="00555918" w:rsidRPr="00E400E4">
        <w:trPr>
          <w:trHeight w:val="414"/>
        </w:trPr>
        <w:tc>
          <w:tcPr>
            <w:tcW w:w="1335" w:type="pct"/>
          </w:tcPr>
          <w:p w:rsidR="00555918" w:rsidRPr="00E400E4" w:rsidRDefault="00555918">
            <w:pPr>
              <w:pStyle w:val="TableText"/>
            </w:pPr>
            <w:r w:rsidRPr="00E400E4">
              <w:t>NAPPO</w:t>
            </w:r>
          </w:p>
        </w:tc>
        <w:tc>
          <w:tcPr>
            <w:tcW w:w="3665" w:type="pct"/>
          </w:tcPr>
          <w:p w:rsidR="00555918" w:rsidRPr="00E400E4" w:rsidRDefault="00555918">
            <w:pPr>
              <w:pStyle w:val="TableText"/>
            </w:pPr>
            <w:r w:rsidRPr="00E400E4">
              <w:t>North American Plant Protection Organization (Mexico, USA, Canada)</w:t>
            </w:r>
          </w:p>
        </w:tc>
      </w:tr>
      <w:tr w:rsidR="00555918" w:rsidRPr="00E400E4">
        <w:trPr>
          <w:trHeight w:val="414"/>
        </w:trPr>
        <w:tc>
          <w:tcPr>
            <w:tcW w:w="1335" w:type="pct"/>
          </w:tcPr>
          <w:p w:rsidR="00555918" w:rsidRPr="00E400E4" w:rsidRDefault="00555918">
            <w:pPr>
              <w:pStyle w:val="TableText"/>
            </w:pPr>
            <w:r w:rsidRPr="00E400E4">
              <w:t>NFFDS</w:t>
            </w:r>
          </w:p>
        </w:tc>
        <w:tc>
          <w:tcPr>
            <w:tcW w:w="3665" w:type="pct"/>
          </w:tcPr>
          <w:p w:rsidR="00555918" w:rsidRPr="00E400E4" w:rsidRDefault="00555918">
            <w:pPr>
              <w:pStyle w:val="TableText"/>
            </w:pPr>
            <w:r w:rsidRPr="00E400E4">
              <w:t>National Fruit Fly Detection System</w:t>
            </w:r>
          </w:p>
        </w:tc>
      </w:tr>
      <w:tr w:rsidR="00555918" w:rsidRPr="00E400E4">
        <w:trPr>
          <w:trHeight w:val="414"/>
        </w:trPr>
        <w:tc>
          <w:tcPr>
            <w:tcW w:w="1335" w:type="pct"/>
          </w:tcPr>
          <w:p w:rsidR="00555918" w:rsidRPr="00E400E4" w:rsidRDefault="00555918">
            <w:pPr>
              <w:pStyle w:val="TableText"/>
            </w:pPr>
            <w:r w:rsidRPr="00E400E4">
              <w:t>NPPO</w:t>
            </w:r>
          </w:p>
        </w:tc>
        <w:tc>
          <w:tcPr>
            <w:tcW w:w="3665" w:type="pct"/>
          </w:tcPr>
          <w:p w:rsidR="00555918" w:rsidRPr="00E400E4" w:rsidRDefault="00555918">
            <w:pPr>
              <w:pStyle w:val="TableText"/>
            </w:pPr>
            <w:r w:rsidRPr="00E400E4">
              <w:t>National Plant Protection Organisation</w:t>
            </w:r>
          </w:p>
        </w:tc>
      </w:tr>
      <w:tr w:rsidR="00555918" w:rsidRPr="00E400E4">
        <w:trPr>
          <w:trHeight w:val="414"/>
        </w:trPr>
        <w:tc>
          <w:tcPr>
            <w:tcW w:w="1335" w:type="pct"/>
          </w:tcPr>
          <w:p w:rsidR="00555918" w:rsidRPr="00E400E4" w:rsidRDefault="00555918">
            <w:pPr>
              <w:pStyle w:val="TableText"/>
            </w:pPr>
            <w:r w:rsidRPr="00E400E4">
              <w:t>NT</w:t>
            </w:r>
          </w:p>
        </w:tc>
        <w:tc>
          <w:tcPr>
            <w:tcW w:w="3665" w:type="pct"/>
          </w:tcPr>
          <w:p w:rsidR="00555918" w:rsidRPr="00E400E4" w:rsidRDefault="00555918">
            <w:pPr>
              <w:pStyle w:val="TableText"/>
            </w:pPr>
            <w:r w:rsidRPr="00E400E4">
              <w:t>Northern Territory</w:t>
            </w:r>
          </w:p>
        </w:tc>
      </w:tr>
      <w:tr w:rsidR="00555918" w:rsidRPr="00E400E4">
        <w:trPr>
          <w:trHeight w:val="414"/>
        </w:trPr>
        <w:tc>
          <w:tcPr>
            <w:tcW w:w="1335" w:type="pct"/>
          </w:tcPr>
          <w:p w:rsidR="00555918" w:rsidRPr="00E400E4" w:rsidRDefault="00555918">
            <w:pPr>
              <w:pStyle w:val="TableText"/>
            </w:pPr>
            <w:r w:rsidRPr="00E400E4">
              <w:t>PRA</w:t>
            </w:r>
          </w:p>
        </w:tc>
        <w:tc>
          <w:tcPr>
            <w:tcW w:w="3665" w:type="pct"/>
          </w:tcPr>
          <w:p w:rsidR="00555918" w:rsidRPr="00E400E4" w:rsidRDefault="00555918" w:rsidP="000B1771">
            <w:pPr>
              <w:pStyle w:val="TableText"/>
            </w:pPr>
            <w:r w:rsidRPr="00E400E4">
              <w:t>Pest risk analysis</w:t>
            </w:r>
          </w:p>
        </w:tc>
      </w:tr>
      <w:tr w:rsidR="00555918" w:rsidRPr="00E400E4">
        <w:trPr>
          <w:trHeight w:val="414"/>
        </w:trPr>
        <w:tc>
          <w:tcPr>
            <w:tcW w:w="1335" w:type="pct"/>
          </w:tcPr>
          <w:p w:rsidR="00555918" w:rsidRPr="00E400E4" w:rsidRDefault="00555918">
            <w:pPr>
              <w:pStyle w:val="TableText"/>
            </w:pPr>
            <w:r w:rsidRPr="00E400E4">
              <w:t>Qld</w:t>
            </w:r>
          </w:p>
        </w:tc>
        <w:tc>
          <w:tcPr>
            <w:tcW w:w="3665" w:type="pct"/>
          </w:tcPr>
          <w:p w:rsidR="00555918" w:rsidRPr="00E400E4" w:rsidRDefault="00555918">
            <w:pPr>
              <w:pStyle w:val="TableText"/>
            </w:pPr>
            <w:r w:rsidRPr="00E400E4">
              <w:t>Queensland</w:t>
            </w:r>
          </w:p>
        </w:tc>
      </w:tr>
      <w:tr w:rsidR="00555918" w:rsidRPr="00E400E4">
        <w:trPr>
          <w:trHeight w:val="414"/>
        </w:trPr>
        <w:tc>
          <w:tcPr>
            <w:tcW w:w="1335" w:type="pct"/>
          </w:tcPr>
          <w:p w:rsidR="00555918" w:rsidRPr="00E400E4" w:rsidRDefault="00555918">
            <w:pPr>
              <w:pStyle w:val="TableText"/>
            </w:pPr>
            <w:r w:rsidRPr="00E400E4">
              <w:t>SA</w:t>
            </w:r>
          </w:p>
        </w:tc>
        <w:tc>
          <w:tcPr>
            <w:tcW w:w="3665" w:type="pct"/>
          </w:tcPr>
          <w:p w:rsidR="00555918" w:rsidRPr="00E400E4" w:rsidRDefault="00555918">
            <w:pPr>
              <w:pStyle w:val="TableText"/>
            </w:pPr>
            <w:r w:rsidRPr="00E400E4">
              <w:t>South Australia</w:t>
            </w:r>
          </w:p>
        </w:tc>
      </w:tr>
      <w:tr w:rsidR="00555918" w:rsidRPr="00E400E4">
        <w:trPr>
          <w:trHeight w:val="414"/>
        </w:trPr>
        <w:tc>
          <w:tcPr>
            <w:tcW w:w="1335" w:type="pct"/>
          </w:tcPr>
          <w:p w:rsidR="00555918" w:rsidRPr="00E400E4" w:rsidRDefault="00555918">
            <w:pPr>
              <w:pStyle w:val="TableText"/>
            </w:pPr>
            <w:r w:rsidRPr="00E400E4">
              <w:t>SAG</w:t>
            </w:r>
          </w:p>
        </w:tc>
        <w:tc>
          <w:tcPr>
            <w:tcW w:w="3665" w:type="pct"/>
          </w:tcPr>
          <w:p w:rsidR="00555918" w:rsidRPr="00E400E4" w:rsidRDefault="00555918" w:rsidP="000B1771">
            <w:pPr>
              <w:pStyle w:val="TableText"/>
            </w:pPr>
            <w:r w:rsidRPr="00E400E4">
              <w:t>Servicio Agrícola y Ganadero (Chile’s Agriculture and Livestock Service)</w:t>
            </w:r>
          </w:p>
        </w:tc>
      </w:tr>
      <w:tr w:rsidR="00555918" w:rsidRPr="00E400E4">
        <w:trPr>
          <w:trHeight w:val="414"/>
        </w:trPr>
        <w:tc>
          <w:tcPr>
            <w:tcW w:w="1335" w:type="pct"/>
          </w:tcPr>
          <w:p w:rsidR="00555918" w:rsidRPr="00E400E4" w:rsidRDefault="00555918">
            <w:pPr>
              <w:pStyle w:val="TableText"/>
            </w:pPr>
            <w:r w:rsidRPr="00E400E4">
              <w:t>SPS Agreement</w:t>
            </w:r>
          </w:p>
        </w:tc>
        <w:tc>
          <w:tcPr>
            <w:tcW w:w="3665" w:type="pct"/>
          </w:tcPr>
          <w:p w:rsidR="00555918" w:rsidRPr="00E400E4" w:rsidRDefault="00555918">
            <w:pPr>
              <w:pStyle w:val="TableText"/>
            </w:pPr>
            <w:r w:rsidRPr="00E400E4">
              <w:t>WTO agreement on the Application of Sanitary and Phytosanitary Measures</w:t>
            </w:r>
          </w:p>
        </w:tc>
      </w:tr>
      <w:tr w:rsidR="00555918" w:rsidRPr="00E400E4">
        <w:trPr>
          <w:trHeight w:val="414"/>
        </w:trPr>
        <w:tc>
          <w:tcPr>
            <w:tcW w:w="1335" w:type="pct"/>
          </w:tcPr>
          <w:p w:rsidR="00555918" w:rsidRPr="00E400E4" w:rsidRDefault="00555918">
            <w:pPr>
              <w:pStyle w:val="TableText"/>
            </w:pPr>
            <w:r w:rsidRPr="00E400E4">
              <w:t>Tas.</w:t>
            </w:r>
          </w:p>
        </w:tc>
        <w:tc>
          <w:tcPr>
            <w:tcW w:w="3665" w:type="pct"/>
          </w:tcPr>
          <w:p w:rsidR="00555918" w:rsidRPr="00E400E4" w:rsidRDefault="00555918">
            <w:pPr>
              <w:pStyle w:val="TableText"/>
            </w:pPr>
            <w:r w:rsidRPr="00E400E4">
              <w:t>Tasmania</w:t>
            </w:r>
          </w:p>
        </w:tc>
      </w:tr>
      <w:tr w:rsidR="00555918" w:rsidRPr="00E400E4">
        <w:trPr>
          <w:trHeight w:val="414"/>
        </w:trPr>
        <w:tc>
          <w:tcPr>
            <w:tcW w:w="1335" w:type="pct"/>
          </w:tcPr>
          <w:p w:rsidR="00555918" w:rsidRPr="00E400E4" w:rsidRDefault="00555918" w:rsidP="000B1771">
            <w:pPr>
              <w:pStyle w:val="TableText"/>
            </w:pPr>
            <w:r w:rsidRPr="00E400E4">
              <w:t>the department</w:t>
            </w:r>
          </w:p>
        </w:tc>
        <w:tc>
          <w:tcPr>
            <w:tcW w:w="3665" w:type="pct"/>
          </w:tcPr>
          <w:p w:rsidR="00555918" w:rsidRPr="00E400E4" w:rsidRDefault="00555918" w:rsidP="000B1771">
            <w:pPr>
              <w:pStyle w:val="TableText"/>
            </w:pPr>
            <w:r w:rsidRPr="00E400E4">
              <w:t>The Department of Agriculture</w:t>
            </w:r>
          </w:p>
        </w:tc>
      </w:tr>
      <w:tr w:rsidR="00555918" w:rsidRPr="00E400E4">
        <w:trPr>
          <w:trHeight w:val="414"/>
        </w:trPr>
        <w:tc>
          <w:tcPr>
            <w:tcW w:w="1335" w:type="pct"/>
          </w:tcPr>
          <w:p w:rsidR="00555918" w:rsidRPr="00E400E4" w:rsidRDefault="00555918">
            <w:pPr>
              <w:pStyle w:val="TableText"/>
            </w:pPr>
            <w:r w:rsidRPr="00E400E4">
              <w:t>ULDs</w:t>
            </w:r>
          </w:p>
        </w:tc>
        <w:tc>
          <w:tcPr>
            <w:tcW w:w="3665" w:type="pct"/>
          </w:tcPr>
          <w:p w:rsidR="00555918" w:rsidRPr="00E400E4" w:rsidRDefault="00555918">
            <w:pPr>
              <w:pStyle w:val="TableText"/>
            </w:pPr>
            <w:r w:rsidRPr="00E400E4">
              <w:t>Unit Loading Devices</w:t>
            </w:r>
          </w:p>
        </w:tc>
      </w:tr>
      <w:tr w:rsidR="00555918" w:rsidRPr="00E400E4">
        <w:trPr>
          <w:trHeight w:val="414"/>
        </w:trPr>
        <w:tc>
          <w:tcPr>
            <w:tcW w:w="1335" w:type="pct"/>
          </w:tcPr>
          <w:p w:rsidR="00555918" w:rsidRPr="00E400E4" w:rsidRDefault="00555918">
            <w:pPr>
              <w:pStyle w:val="TableText"/>
            </w:pPr>
            <w:r w:rsidRPr="00E400E4">
              <w:t>Vic.</w:t>
            </w:r>
          </w:p>
        </w:tc>
        <w:tc>
          <w:tcPr>
            <w:tcW w:w="3665" w:type="pct"/>
          </w:tcPr>
          <w:p w:rsidR="00555918" w:rsidRPr="00E400E4" w:rsidRDefault="00555918">
            <w:pPr>
              <w:pStyle w:val="TableText"/>
            </w:pPr>
            <w:r w:rsidRPr="00E400E4">
              <w:t>Victoria</w:t>
            </w:r>
          </w:p>
        </w:tc>
      </w:tr>
      <w:tr w:rsidR="00555918" w:rsidRPr="00E400E4">
        <w:trPr>
          <w:trHeight w:val="414"/>
        </w:trPr>
        <w:tc>
          <w:tcPr>
            <w:tcW w:w="1335" w:type="pct"/>
          </w:tcPr>
          <w:p w:rsidR="00555918" w:rsidRPr="00E400E4" w:rsidRDefault="00555918">
            <w:pPr>
              <w:pStyle w:val="TableText"/>
            </w:pPr>
            <w:r w:rsidRPr="00E400E4">
              <w:t>WA</w:t>
            </w:r>
          </w:p>
        </w:tc>
        <w:tc>
          <w:tcPr>
            <w:tcW w:w="3665" w:type="pct"/>
          </w:tcPr>
          <w:p w:rsidR="00555918" w:rsidRPr="00E400E4" w:rsidRDefault="00555918">
            <w:pPr>
              <w:pStyle w:val="TableText"/>
            </w:pPr>
            <w:r w:rsidRPr="00E400E4">
              <w:t>Western Australia</w:t>
            </w:r>
          </w:p>
        </w:tc>
      </w:tr>
      <w:tr w:rsidR="00555918" w:rsidRPr="00E400E4">
        <w:trPr>
          <w:trHeight w:val="414"/>
        </w:trPr>
        <w:tc>
          <w:tcPr>
            <w:tcW w:w="1335" w:type="pct"/>
          </w:tcPr>
          <w:p w:rsidR="00555918" w:rsidRPr="00E400E4" w:rsidRDefault="00555918">
            <w:pPr>
              <w:pStyle w:val="TableText"/>
            </w:pPr>
            <w:r w:rsidRPr="00E400E4">
              <w:t>WTO</w:t>
            </w:r>
          </w:p>
        </w:tc>
        <w:tc>
          <w:tcPr>
            <w:tcW w:w="3665" w:type="pct"/>
          </w:tcPr>
          <w:p w:rsidR="00555918" w:rsidRPr="00E400E4" w:rsidRDefault="00555918">
            <w:pPr>
              <w:pStyle w:val="TableText"/>
            </w:pPr>
            <w:r w:rsidRPr="00E400E4">
              <w:t>World Trade Organization</w:t>
            </w:r>
          </w:p>
        </w:tc>
      </w:tr>
    </w:tbl>
    <w:p w:rsidR="00555918" w:rsidRPr="00E400E4" w:rsidRDefault="00555918" w:rsidP="000B1771">
      <w:pPr>
        <w:sectPr w:rsidR="00555918" w:rsidRPr="00E400E4" w:rsidSect="000B1771">
          <w:headerReference w:type="default" r:id="rId25"/>
          <w:pgSz w:w="11906" w:h="16838"/>
          <w:pgMar w:top="1418" w:right="1418" w:bottom="1418" w:left="1418" w:header="567" w:footer="283" w:gutter="0"/>
          <w:pgNumType w:fmt="lowerRoman"/>
          <w:cols w:space="708"/>
          <w:docGrid w:linePitch="360"/>
        </w:sectPr>
      </w:pPr>
    </w:p>
    <w:p w:rsidR="00555918" w:rsidRPr="00E400E4" w:rsidRDefault="00555918" w:rsidP="000B1771">
      <w:pPr>
        <w:pStyle w:val="Heading2"/>
        <w:numPr>
          <w:ilvl w:val="0"/>
          <w:numId w:val="0"/>
        </w:numPr>
      </w:pPr>
      <w:bookmarkStart w:id="13" w:name="_Toc20392226"/>
      <w:r w:rsidRPr="00E400E4">
        <w:lastRenderedPageBreak/>
        <w:t>Summary</w:t>
      </w:r>
      <w:bookmarkEnd w:id="13"/>
    </w:p>
    <w:p w:rsidR="00555918" w:rsidRPr="00E400E4" w:rsidRDefault="00555918" w:rsidP="000B1771">
      <w:r w:rsidRPr="00E400E4">
        <w:t>This risk analysis report considers the biosecurity risks for Australia associated with the importation of commercially produced fresh avocado fruit for human consumption from Chile.</w:t>
      </w:r>
    </w:p>
    <w:p w:rsidR="00555918" w:rsidRPr="00E400E4" w:rsidRDefault="00555918" w:rsidP="000B1771">
      <w:r w:rsidRPr="00E400E4">
        <w:t>Currently the importation of fresh avocado fruit for human consumption is permitted into Australia only from New Zealand, provided it meets Australian biosecurity import conditions.</w:t>
      </w:r>
    </w:p>
    <w:p w:rsidR="00555918" w:rsidRPr="00E400E4" w:rsidRDefault="00555918" w:rsidP="000B1771">
      <w:r w:rsidRPr="00E400E4">
        <w:t>This final report recommends that the importation of fresh avocado fruit to Australia from all commercial production areas of Chile be permitted, subject to it meeting a range of biosecurity requirements, as summarised in this report.</w:t>
      </w:r>
    </w:p>
    <w:p w:rsidR="00555918" w:rsidRPr="00E400E4" w:rsidRDefault="00555918" w:rsidP="000B1771">
      <w:r w:rsidRPr="00E400E4">
        <w:t xml:space="preserve">This final report contains details of all known pests with the potential to be associated with the importation of fresh avocado fruit from Chile that may be of biosecurity concern to Australia. It also provides risk assessments for identified quarantine pests, and recommends risk management measures to reduce the biosecurity risk to an acceptable level. </w:t>
      </w:r>
    </w:p>
    <w:p w:rsidR="00555918" w:rsidRPr="00E400E4" w:rsidRDefault="00555918" w:rsidP="000B1771">
      <w:r w:rsidRPr="00E400E4">
        <w:t xml:space="preserve">Seven quarantine pests have been identified in this risk analysis as requiring risk management measures. These pests are: </w:t>
      </w:r>
    </w:p>
    <w:p w:rsidR="00555918" w:rsidRPr="00E400E4" w:rsidRDefault="00555918" w:rsidP="00555918">
      <w:pPr>
        <w:pStyle w:val="ListBullet"/>
        <w:numPr>
          <w:ilvl w:val="0"/>
          <w:numId w:val="7"/>
        </w:numPr>
      </w:pPr>
      <w:r w:rsidRPr="00E400E4">
        <w:t>Fruit fly: Mediterranean fruit fly (</w:t>
      </w:r>
      <w:r w:rsidRPr="00E400E4">
        <w:rPr>
          <w:i/>
        </w:rPr>
        <w:t>Ceratitis capitata</w:t>
      </w:r>
      <w:r w:rsidRPr="00E400E4">
        <w:t>)</w:t>
      </w:r>
    </w:p>
    <w:p w:rsidR="00555918" w:rsidRPr="00E400E4" w:rsidRDefault="00555918" w:rsidP="00555918">
      <w:pPr>
        <w:pStyle w:val="ListBullet"/>
        <w:numPr>
          <w:ilvl w:val="0"/>
          <w:numId w:val="7"/>
        </w:numPr>
      </w:pPr>
      <w:r w:rsidRPr="00E400E4">
        <w:t>Mealybug: grape mealybug (</w:t>
      </w:r>
      <w:r w:rsidRPr="00E400E4">
        <w:rPr>
          <w:i/>
        </w:rPr>
        <w:t>Pseudococcus maritimus</w:t>
      </w:r>
      <w:r w:rsidRPr="00E400E4">
        <w:t>)</w:t>
      </w:r>
    </w:p>
    <w:p w:rsidR="00555918" w:rsidRPr="00E400E4" w:rsidRDefault="00555918" w:rsidP="00555918">
      <w:pPr>
        <w:pStyle w:val="ListBullet"/>
        <w:numPr>
          <w:ilvl w:val="0"/>
          <w:numId w:val="7"/>
        </w:numPr>
      </w:pPr>
      <w:r w:rsidRPr="00E400E4">
        <w:t>Thrips: Chilean flower thrips (</w:t>
      </w:r>
      <w:r w:rsidRPr="00E400E4">
        <w:rPr>
          <w:i/>
        </w:rPr>
        <w:t>Frankliniella australis</w:t>
      </w:r>
      <w:r w:rsidRPr="00E400E4">
        <w:t>), tamarugo thrips (</w:t>
      </w:r>
      <w:r w:rsidRPr="00E400E4">
        <w:rPr>
          <w:i/>
        </w:rPr>
        <w:t>Frankliniella gemina</w:t>
      </w:r>
      <w:r w:rsidRPr="00E400E4">
        <w:t>) and western flower thrips (</w:t>
      </w:r>
      <w:r w:rsidRPr="00E400E4">
        <w:rPr>
          <w:i/>
        </w:rPr>
        <w:t>Frankliniella occidentalis</w:t>
      </w:r>
      <w:r w:rsidRPr="00E400E4">
        <w:t>)</w:t>
      </w:r>
    </w:p>
    <w:p w:rsidR="00555918" w:rsidRPr="00E400E4" w:rsidRDefault="00555918" w:rsidP="00555918">
      <w:pPr>
        <w:pStyle w:val="ListBullet"/>
        <w:numPr>
          <w:ilvl w:val="0"/>
          <w:numId w:val="7"/>
        </w:numPr>
      </w:pPr>
      <w:r w:rsidRPr="00E400E4">
        <w:rPr>
          <w:i/>
        </w:rPr>
        <w:t>Oligonychus</w:t>
      </w:r>
      <w:r w:rsidRPr="00E400E4">
        <w:t xml:space="preserve"> spider mites: avocado brown mite (</w:t>
      </w:r>
      <w:r w:rsidRPr="00E400E4">
        <w:rPr>
          <w:i/>
        </w:rPr>
        <w:t>Oligonychus punicae</w:t>
      </w:r>
      <w:r w:rsidRPr="00E400E4">
        <w:t>) and avocado red mite (</w:t>
      </w:r>
      <w:r w:rsidRPr="00E400E4">
        <w:rPr>
          <w:i/>
        </w:rPr>
        <w:t>Oligonychus yothersi</w:t>
      </w:r>
      <w:r w:rsidRPr="00E400E4">
        <w:t xml:space="preserve">). </w:t>
      </w:r>
    </w:p>
    <w:p w:rsidR="00555918" w:rsidRPr="00E400E4" w:rsidRDefault="00555918" w:rsidP="000B1771">
      <w:r w:rsidRPr="00E400E4">
        <w:t>These seven identified species are the same, or of the same pest groups, as those associated with other horticultural commodities that have been previously assessed by the department.</w:t>
      </w:r>
    </w:p>
    <w:p w:rsidR="00555918" w:rsidRPr="00E400E4" w:rsidRDefault="00555918" w:rsidP="000B1771">
      <w:r w:rsidRPr="00E400E4">
        <w:t>Recommended risk management measures take account of regional differences within Australia. One pest, western flower thrips</w:t>
      </w:r>
      <w:r w:rsidRPr="00E400E4">
        <w:rPr>
          <w:i/>
        </w:rPr>
        <w:t xml:space="preserve"> </w:t>
      </w:r>
      <w:r w:rsidRPr="00E400E4">
        <w:t>(</w:t>
      </w:r>
      <w:r w:rsidRPr="00E400E4">
        <w:rPr>
          <w:i/>
        </w:rPr>
        <w:t>Frankliniella occidentalis</w:t>
      </w:r>
      <w:r w:rsidRPr="00E400E4">
        <w:t>), has been identified as a regional quarantine pest for the Northern Territory because interstate quarantine regulations and enforcement are in place for this species. Western flower thrips</w:t>
      </w:r>
      <w:r w:rsidRPr="00E400E4" w:rsidDel="00BD0986">
        <w:rPr>
          <w:i/>
        </w:rPr>
        <w:t xml:space="preserve"> </w:t>
      </w:r>
      <w:r w:rsidRPr="00E400E4">
        <w:t>was also assessed as a regulated article for all of Australia, as it is capable of harbouring and spreading emerging orthotospoviruses that are quarantine pests for Australia, and therefore requires risk management measures for all of Australia.</w:t>
      </w:r>
    </w:p>
    <w:p w:rsidR="00555918" w:rsidRPr="00E400E4" w:rsidRDefault="00555918" w:rsidP="000B1771">
      <w:r w:rsidRPr="00E400E4">
        <w:t xml:space="preserve">This </w:t>
      </w:r>
      <w:r w:rsidRPr="00E400E4">
        <w:rPr>
          <w:color w:val="000000" w:themeColor="text1"/>
        </w:rPr>
        <w:t>final</w:t>
      </w:r>
      <w:r w:rsidRPr="00E400E4">
        <w:t xml:space="preserve"> report </w:t>
      </w:r>
      <w:r w:rsidRPr="00E400E4">
        <w:rPr>
          <w:color w:val="000000" w:themeColor="text1"/>
        </w:rPr>
        <w:t>recommends</w:t>
      </w:r>
      <w:r w:rsidRPr="00E400E4">
        <w:t xml:space="preserve"> a range of risk management measures, combined with an operational system, to ensure biosecurity standards are met. The recommended risk management measures will reduce the risks posed by the seven identified quarantine pests, so as to achieve the appropriate level of protection for Australia. These measures are:</w:t>
      </w:r>
    </w:p>
    <w:p w:rsidR="00555918" w:rsidRPr="00E400E4" w:rsidRDefault="00555918" w:rsidP="00555918">
      <w:pPr>
        <w:pStyle w:val="ListBullet"/>
        <w:numPr>
          <w:ilvl w:val="0"/>
          <w:numId w:val="7"/>
        </w:numPr>
      </w:pPr>
      <w:r w:rsidRPr="00E400E4">
        <w:t>area freedom or fruit treatment (such as cold disinfestation treatment) for all cultivars, or hard condition of fruit for the Hass cultivar only, for Mediterranean fruit fly</w:t>
      </w:r>
    </w:p>
    <w:p w:rsidR="00555918" w:rsidRPr="00E400E4" w:rsidRDefault="00555918" w:rsidP="00555918">
      <w:pPr>
        <w:pStyle w:val="ListBullet"/>
        <w:numPr>
          <w:ilvl w:val="0"/>
          <w:numId w:val="7"/>
        </w:numPr>
      </w:pPr>
      <w:r w:rsidRPr="00E400E4">
        <w:t xml:space="preserve">pre-export visual inspection and, if found, remedial action for grape mealybug, </w:t>
      </w:r>
      <w:r w:rsidRPr="00E400E4">
        <w:rPr>
          <w:i/>
        </w:rPr>
        <w:t>Oligonychus</w:t>
      </w:r>
      <w:r w:rsidRPr="00E400E4">
        <w:t xml:space="preserve"> spider mites and thrips.</w:t>
      </w:r>
    </w:p>
    <w:p w:rsidR="00555918" w:rsidRPr="00E400E4" w:rsidRDefault="00555918" w:rsidP="000B1771">
      <w:pPr>
        <w:pStyle w:val="ListBullet"/>
        <w:tabs>
          <w:tab w:val="clear" w:pos="567"/>
        </w:tabs>
        <w:ind w:left="0" w:firstLine="0"/>
      </w:pPr>
      <w:r w:rsidRPr="00E400E4">
        <w:t xml:space="preserve">The department recognises Chile as free from Mediterranean fruit fly. However, in the case of an outbreak of Mediterranean fruit fly, should Chile wish to use one or more of the recommended measures of cold disinfestation treatment for all cultivars or hard condition of fruit for the Hass </w:t>
      </w:r>
      <w:r w:rsidRPr="00E400E4">
        <w:lastRenderedPageBreak/>
        <w:t>cultivar only to manage the risk posed by Mediterranean fruit fly, SAG would need to provide an appropriate technical submission to the department for its consideration.</w:t>
      </w:r>
    </w:p>
    <w:p w:rsidR="00555918" w:rsidRPr="00E400E4" w:rsidRDefault="00555918" w:rsidP="000B1771">
      <w:r w:rsidRPr="00E400E4">
        <w:t xml:space="preserve">Upon finalisation of this policy, Chile must be able to demonstrate to the department that processes and procedures are in place to implement the recommended risk management measures. This will ensure safe trade in fresh avocados from Chile. Import conditions can then be published in the Australian Government’s Biosecurity Import Conditions (BICON) system on the department’s website, which can be accessed at </w:t>
      </w:r>
      <w:hyperlink r:id="rId26" w:history="1">
        <w:r w:rsidRPr="00E400E4">
          <w:rPr>
            <w:rStyle w:val="Hyperlink"/>
          </w:rPr>
          <w:t>bicon.agriculture.gov.au/BiconWeb4.0</w:t>
        </w:r>
      </w:hyperlink>
      <w:r w:rsidRPr="00E400E4">
        <w:t>.</w:t>
      </w:r>
    </w:p>
    <w:p w:rsidR="00555918" w:rsidRPr="00E400E4" w:rsidRDefault="00555918" w:rsidP="000B1771">
      <w:r w:rsidRPr="00E400E4">
        <w:t>Written submissions on the draft report were received from seven stakeholders. In addition, a number of issues were raised by stakeholders through the risk analysis process. The department has made a number of changes to the report following consideration of all the technical comments raised by stakeholders, and subsequent review of the literature. These changes include:</w:t>
      </w:r>
    </w:p>
    <w:p w:rsidR="00555918" w:rsidRPr="00E400E4" w:rsidRDefault="00555918" w:rsidP="00555918">
      <w:pPr>
        <w:pStyle w:val="ListBullet"/>
        <w:numPr>
          <w:ilvl w:val="0"/>
          <w:numId w:val="7"/>
        </w:numPr>
      </w:pPr>
      <w:r w:rsidRPr="00E400E4">
        <w:t>Amendments to ‘Appendix A: Initiation and categorisation for pests of fresh avocado fruit from Chile’ following review of further scientific literature and/or consultation with experts, including to the taxonomic status of some of the species of pathogens (</w:t>
      </w:r>
      <w:r w:rsidRPr="00E400E4">
        <w:rPr>
          <w:i/>
        </w:rPr>
        <w:t>Neofusicoccum ribis</w:t>
      </w:r>
      <w:r w:rsidRPr="00E400E4">
        <w:t xml:space="preserve">, </w:t>
      </w:r>
      <w:r w:rsidRPr="00E400E4">
        <w:rPr>
          <w:i/>
        </w:rPr>
        <w:t>Dothiorella iberica</w:t>
      </w:r>
      <w:r w:rsidRPr="00E400E4">
        <w:t xml:space="preserve"> and </w:t>
      </w:r>
      <w:r w:rsidRPr="00E400E4">
        <w:rPr>
          <w:i/>
        </w:rPr>
        <w:t>Calonectria cylindrospora</w:t>
      </w:r>
      <w:r w:rsidRPr="00E400E4">
        <w:t>) and one mite (</w:t>
      </w:r>
      <w:r w:rsidRPr="00E400E4">
        <w:rPr>
          <w:i/>
        </w:rPr>
        <w:t>Eotetranychus sexmaculatus</w:t>
      </w:r>
      <w:r w:rsidRPr="00E400E4">
        <w:t xml:space="preserve">). </w:t>
      </w:r>
    </w:p>
    <w:p w:rsidR="00555918" w:rsidRPr="00E400E4" w:rsidRDefault="00555918" w:rsidP="00555918">
      <w:pPr>
        <w:pStyle w:val="ListBullet2"/>
        <w:numPr>
          <w:ilvl w:val="1"/>
          <w:numId w:val="7"/>
        </w:numPr>
        <w:ind w:left="794" w:hanging="397"/>
        <w:contextualSpacing w:val="0"/>
      </w:pPr>
      <w:r w:rsidRPr="00E400E4">
        <w:rPr>
          <w:i/>
        </w:rPr>
        <w:t>Neofusicoccum ribis</w:t>
      </w:r>
      <w:r w:rsidRPr="00E400E4">
        <w:t xml:space="preserve"> has been removed from the pest categorisation on the basis that it only infects </w:t>
      </w:r>
      <w:r w:rsidRPr="00E400E4">
        <w:rPr>
          <w:i/>
        </w:rPr>
        <w:t>Ribes</w:t>
      </w:r>
      <w:r w:rsidRPr="00E400E4">
        <w:t xml:space="preserve"> species and is not associated with avocado. </w:t>
      </w:r>
    </w:p>
    <w:p w:rsidR="00555918" w:rsidRPr="00E400E4" w:rsidRDefault="00555918" w:rsidP="00555918">
      <w:pPr>
        <w:pStyle w:val="ListBullet2"/>
        <w:numPr>
          <w:ilvl w:val="1"/>
          <w:numId w:val="7"/>
        </w:numPr>
        <w:ind w:left="794" w:hanging="397"/>
        <w:contextualSpacing w:val="0"/>
      </w:pPr>
      <w:r w:rsidRPr="00E400E4">
        <w:rPr>
          <w:i/>
        </w:rPr>
        <w:t>Dothiorella iberica</w:t>
      </w:r>
      <w:r w:rsidRPr="00E400E4">
        <w:t xml:space="preserve"> has been added to the pest categorisation as it is present in Chile and can be associated with avocado fruit. This species was subsequently assessed as present in Australia and therefore was not assessed further.</w:t>
      </w:r>
    </w:p>
    <w:p w:rsidR="00555918" w:rsidRPr="00E400E4" w:rsidRDefault="00555918" w:rsidP="00555918">
      <w:pPr>
        <w:pStyle w:val="ListBullet2"/>
        <w:numPr>
          <w:ilvl w:val="1"/>
          <w:numId w:val="7"/>
        </w:numPr>
        <w:ind w:left="794" w:hanging="397"/>
      </w:pPr>
      <w:r w:rsidRPr="00E400E4">
        <w:t xml:space="preserve">The pest statuses of </w:t>
      </w:r>
      <w:r w:rsidRPr="00E400E4">
        <w:rPr>
          <w:i/>
        </w:rPr>
        <w:t>Calonectria cylindrospora</w:t>
      </w:r>
      <w:r w:rsidRPr="00E400E4">
        <w:t xml:space="preserve"> and </w:t>
      </w:r>
      <w:r w:rsidRPr="00E400E4">
        <w:rPr>
          <w:i/>
        </w:rPr>
        <w:t xml:space="preserve">Eotetranychus sexmaculatus </w:t>
      </w:r>
      <w:r w:rsidRPr="00E400E4">
        <w:t>in Australia have been revised to 'not present', and as a result the potential</w:t>
      </w:r>
      <w:r>
        <w:t xml:space="preserve"> of these pests</w:t>
      </w:r>
      <w:r w:rsidRPr="00E400E4">
        <w:t xml:space="preserve"> to be on the pathway </w:t>
      </w:r>
      <w:r>
        <w:t>was</w:t>
      </w:r>
      <w:r w:rsidRPr="00E400E4">
        <w:t xml:space="preserve"> assessed. Both pests were assessed as not being associated with the avocado fruit export pathway.</w:t>
      </w:r>
    </w:p>
    <w:p w:rsidR="00555918" w:rsidRPr="00E400E4" w:rsidRDefault="00555918" w:rsidP="00555918">
      <w:pPr>
        <w:pStyle w:val="ListBullet"/>
        <w:numPr>
          <w:ilvl w:val="0"/>
          <w:numId w:val="7"/>
        </w:numPr>
      </w:pPr>
      <w:r w:rsidRPr="00E400E4">
        <w:t xml:space="preserve">Addition of further information in ‘Section 4.3 Grape mealybug’, following further consideration of the scientific literature on </w:t>
      </w:r>
      <w:r w:rsidRPr="00E400E4">
        <w:rPr>
          <w:i/>
        </w:rPr>
        <w:t>Pseudococcus</w:t>
      </w:r>
      <w:r w:rsidRPr="00E400E4">
        <w:t xml:space="preserve"> species in Chile, to acknowledge contradictory evidence and uncertainty about the pest status of </w:t>
      </w:r>
      <w:r w:rsidRPr="00E400E4">
        <w:rPr>
          <w:i/>
        </w:rPr>
        <w:t>Pseudococcus</w:t>
      </w:r>
      <w:r w:rsidRPr="00E400E4">
        <w:t xml:space="preserve"> </w:t>
      </w:r>
      <w:r w:rsidRPr="00E400E4">
        <w:rPr>
          <w:i/>
        </w:rPr>
        <w:t>maritimus</w:t>
      </w:r>
      <w:r w:rsidRPr="00E400E4">
        <w:t xml:space="preserve"> in Chile.</w:t>
      </w:r>
    </w:p>
    <w:p w:rsidR="00555918" w:rsidRPr="00E400E4" w:rsidRDefault="00555918" w:rsidP="00555918">
      <w:pPr>
        <w:pStyle w:val="ListBullet"/>
        <w:numPr>
          <w:ilvl w:val="0"/>
          <w:numId w:val="7"/>
        </w:numPr>
      </w:pPr>
      <w:r w:rsidRPr="00E400E4">
        <w:t xml:space="preserve">Addition of ‘Appendix B: Issues raised in stakeholder comments’ which summarises the key technical issues raised by stakeholders, and how they were considered by the department. </w:t>
      </w:r>
    </w:p>
    <w:p w:rsidR="00555918" w:rsidRPr="00E400E4" w:rsidRDefault="00555918" w:rsidP="00555918">
      <w:pPr>
        <w:pStyle w:val="ListBullet"/>
        <w:numPr>
          <w:ilvl w:val="0"/>
          <w:numId w:val="7"/>
        </w:numPr>
      </w:pPr>
      <w:r w:rsidRPr="00E400E4">
        <w:t>Minor corrections, rewording, and editorial changes for consistency, clarity, and web–accessibility.</w:t>
      </w:r>
    </w:p>
    <w:p w:rsidR="00555918" w:rsidRPr="00E400E4" w:rsidRDefault="00555918" w:rsidP="000B1771"/>
    <w:p w:rsidR="00555918" w:rsidRPr="00E400E4" w:rsidRDefault="00555918" w:rsidP="000B1771">
      <w:pPr>
        <w:pStyle w:val="Heading2"/>
        <w:sectPr w:rsidR="00555918" w:rsidRPr="00E400E4" w:rsidSect="000B1771">
          <w:headerReference w:type="default" r:id="rId27"/>
          <w:footerReference w:type="default" r:id="rId28"/>
          <w:pgSz w:w="11906" w:h="16838"/>
          <w:pgMar w:top="1418" w:right="1418" w:bottom="1418" w:left="1418" w:header="567" w:footer="283" w:gutter="0"/>
          <w:pgNumType w:start="1"/>
          <w:cols w:space="708"/>
          <w:docGrid w:linePitch="360"/>
        </w:sectPr>
      </w:pPr>
    </w:p>
    <w:p w:rsidR="00555918" w:rsidRPr="00E400E4" w:rsidRDefault="00555918" w:rsidP="000B1771">
      <w:pPr>
        <w:pStyle w:val="Heading2"/>
      </w:pPr>
      <w:bookmarkStart w:id="14" w:name="_Toc20392227"/>
      <w:r w:rsidRPr="00E400E4">
        <w:lastRenderedPageBreak/>
        <w:t>Introduction</w:t>
      </w:r>
      <w:bookmarkEnd w:id="14"/>
    </w:p>
    <w:p w:rsidR="00555918" w:rsidRPr="00E400E4" w:rsidRDefault="00555918" w:rsidP="000B1771">
      <w:pPr>
        <w:pStyle w:val="Heading3"/>
      </w:pPr>
      <w:bookmarkStart w:id="15" w:name="_Toc20392228"/>
      <w:r w:rsidRPr="00E400E4">
        <w:t>Australia’s biosecurity policy framework</w:t>
      </w:r>
      <w:bookmarkEnd w:id="15"/>
    </w:p>
    <w:p w:rsidR="00555918" w:rsidRPr="00E400E4" w:rsidRDefault="00555918" w:rsidP="000B1771">
      <w:r w:rsidRPr="00E400E4">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rsidR="00555918" w:rsidRPr="00E400E4" w:rsidRDefault="00555918" w:rsidP="000B1771">
      <w:r w:rsidRPr="00E400E4">
        <w:t>The risk analysis process is an important part of Australia’s biosecurity policy development. It enables the Australian Government to formally consider the level of biosecurity risk that may be associated with proposals to import goods into Australia. If the biosecurity risks do not achieve the appropriate level of protection (ALOP) for Australia, risk management measures are recommended to reduce the risks to an acceptable level. If the risks cannot be reduced to an acceptable level, the goods will not be imported into Australia until suitable measures are identified.</w:t>
      </w:r>
    </w:p>
    <w:p w:rsidR="00555918" w:rsidRPr="00E400E4" w:rsidRDefault="00555918" w:rsidP="000B1771">
      <w:r w:rsidRPr="00E400E4">
        <w:t xml:space="preserve">Successive Australian governments have maintained a stringent, but not a zero risk, approach to the management of biosecurity risks. This approach is expressed in terms of the ALOP for Australia, which is defined in the </w:t>
      </w:r>
      <w:r w:rsidRPr="00E400E4">
        <w:rPr>
          <w:i/>
        </w:rPr>
        <w:t>Biosecurity Act 2015</w:t>
      </w:r>
      <w:r w:rsidRPr="00E400E4">
        <w:t xml:space="preserve"> as providing a high level of protection aimed at reducing risk to a very low level, but not to zero.</w:t>
      </w:r>
    </w:p>
    <w:p w:rsidR="00555918" w:rsidRPr="00E400E4" w:rsidRDefault="00555918" w:rsidP="000B1771">
      <w:r w:rsidRPr="00E400E4">
        <w:t xml:space="preserve">Australia’s risk analyses are undertaken by the Department of Agriculture using technical and scientific experts in relevant fields and involve consultation with stakeholders at various stages during the process. </w:t>
      </w:r>
    </w:p>
    <w:p w:rsidR="00555918" w:rsidRPr="00E400E4" w:rsidRDefault="00555918" w:rsidP="000B1771">
      <w:r w:rsidRPr="00E400E4">
        <w:t>Risk analyses may take the form of a biosecurity import risk analysis (BIRA) or a review of biosecurity import requirements</w:t>
      </w:r>
      <w:r w:rsidRPr="00E400E4">
        <w:rPr>
          <w:color w:val="000000" w:themeColor="text1"/>
        </w:rPr>
        <w:t xml:space="preserve"> (such as scientific review of existing policy and import conditions, pest-specific assessments, weed risk assessments, biological control agent assessments or scientific advice</w:t>
      </w:r>
      <w:r w:rsidRPr="00E400E4">
        <w:t>).</w:t>
      </w:r>
    </w:p>
    <w:p w:rsidR="00555918" w:rsidRPr="00E400E4" w:rsidRDefault="00555918" w:rsidP="000B1771">
      <w:r w:rsidRPr="00E400E4">
        <w:t xml:space="preserve">Further information about Australia’s biosecurity framework is provided in the </w:t>
      </w:r>
      <w:r w:rsidRPr="00E400E4">
        <w:rPr>
          <w:i/>
          <w:iCs/>
        </w:rPr>
        <w:t>Biosecurity</w:t>
      </w:r>
      <w:r w:rsidRPr="00E400E4">
        <w:t xml:space="preserve"> </w:t>
      </w:r>
      <w:r w:rsidRPr="00E400E4">
        <w:rPr>
          <w:i/>
          <w:iCs/>
        </w:rPr>
        <w:t>Import Risk Analysis Guidelines 2016</w:t>
      </w:r>
      <w:r w:rsidRPr="00E400E4">
        <w:t xml:space="preserve"> located on the Department of Agriculture website at</w:t>
      </w:r>
      <w:r w:rsidRPr="00E400E4">
        <w:rPr>
          <w:rStyle w:val="Hyperlink"/>
        </w:rPr>
        <w:t xml:space="preserve"> </w:t>
      </w:r>
      <w:hyperlink r:id="rId29" w:history="1">
        <w:r w:rsidRPr="00E400E4">
          <w:rPr>
            <w:rStyle w:val="Hyperlink"/>
          </w:rPr>
          <w:t>http://www.agriculture.gov.au/biosecurity/risk-analysis/guidelines</w:t>
        </w:r>
      </w:hyperlink>
      <w:r w:rsidRPr="00E400E4">
        <w:t>.</w:t>
      </w:r>
    </w:p>
    <w:p w:rsidR="00555918" w:rsidRPr="00E400E4" w:rsidRDefault="00555918" w:rsidP="000B1771">
      <w:pPr>
        <w:pStyle w:val="Heading3"/>
      </w:pPr>
      <w:bookmarkStart w:id="16" w:name="_Toc20392229"/>
      <w:r w:rsidRPr="00E400E4">
        <w:t>This risk analysis</w:t>
      </w:r>
      <w:bookmarkEnd w:id="16"/>
    </w:p>
    <w:p w:rsidR="00555918" w:rsidRPr="00E400E4" w:rsidRDefault="00555918" w:rsidP="000B1771">
      <w:pPr>
        <w:pStyle w:val="Heading4"/>
      </w:pPr>
      <w:r w:rsidRPr="00E400E4">
        <w:t>Background</w:t>
      </w:r>
    </w:p>
    <w:p w:rsidR="00555918" w:rsidRPr="00E400E4" w:rsidRDefault="00555918" w:rsidP="000B1771">
      <w:r w:rsidRPr="00E400E4">
        <w:t xml:space="preserve">Chile’s Servicio Agrícola y Ganadero (SAG, Chile’s Agriculture and Livestock Service) formally requested market access to Australia for avocados for human consumption in a submission received in October 2006. This submission included information on the pests associated with avocado crops in Chile, including the plant part(s) affected, and the standard commercial production practices for fresh avocado fruit in Chile. </w:t>
      </w:r>
    </w:p>
    <w:p w:rsidR="00555918" w:rsidRPr="00E400E4" w:rsidRDefault="00555918" w:rsidP="000B1771">
      <w:r w:rsidRPr="00E400E4">
        <w:t>In January 2012 and October 2017, officers from the department visited avocado production areas in Chile. The objectives of these visits were to observe commercial production, pest management and other export practices.</w:t>
      </w:r>
    </w:p>
    <w:p w:rsidR="00555918" w:rsidRPr="00E400E4" w:rsidRDefault="00555918" w:rsidP="000B1771">
      <w:r w:rsidRPr="00E400E4">
        <w:t xml:space="preserve">On 23 March 2018, the department announced the commencement of this risk analysis, advising that it would be progressed as a review of biosecurity import requirements. This analysis has been conducted in accordance with the </w:t>
      </w:r>
      <w:r w:rsidRPr="00E400E4">
        <w:rPr>
          <w:i/>
        </w:rPr>
        <w:t>Biosecurity Act 2015</w:t>
      </w:r>
      <w:r w:rsidRPr="00E400E4">
        <w:t>.</w:t>
      </w:r>
    </w:p>
    <w:p w:rsidR="00555918" w:rsidRPr="00E400E4" w:rsidRDefault="00555918" w:rsidP="000B1771">
      <w:pPr>
        <w:pStyle w:val="Heading4"/>
      </w:pPr>
      <w:r w:rsidRPr="00E400E4">
        <w:lastRenderedPageBreak/>
        <w:t>Scope</w:t>
      </w:r>
    </w:p>
    <w:p w:rsidR="00555918" w:rsidRPr="00E400E4" w:rsidRDefault="00555918" w:rsidP="000B1771">
      <w:r w:rsidRPr="00E400E4">
        <w:t>The scope of this risk analysis is to consider the biosecurity risk that may be associated with the pathway of fresh avocado fruit (henceforth avocados) (</w:t>
      </w:r>
      <w:r w:rsidRPr="00E400E4">
        <w:rPr>
          <w:i/>
        </w:rPr>
        <w:t>Persea americana</w:t>
      </w:r>
      <w:r w:rsidRPr="00E400E4">
        <w:t>) grown in Chile using standard commercial production practices and packing procedures, as described in ‘Chapter 3: Chile’s commercial production practices for avocados</w:t>
      </w:r>
      <w:r>
        <w:t>’</w:t>
      </w:r>
      <w:r w:rsidRPr="00E400E4">
        <w:t>, for import into Australia for human consumption.</w:t>
      </w:r>
    </w:p>
    <w:p w:rsidR="00555918" w:rsidRPr="00E400E4" w:rsidRDefault="00555918" w:rsidP="000B1771">
      <w:r w:rsidRPr="00E400E4">
        <w:t>For the purposes of this risk analysis, avocados are defined as the entire fruit with the skin, flesh, seed and a small portion of the stem (</w:t>
      </w:r>
      <w:r w:rsidRPr="00E400E4">
        <w:fldChar w:fldCharType="begin"/>
      </w:r>
      <w:r w:rsidRPr="00E400E4">
        <w:instrText xml:space="preserve"> REF _Ref511212048 \h  \* MERGEFORMAT </w:instrText>
      </w:r>
      <w:r w:rsidRPr="00E400E4">
        <w:fldChar w:fldCharType="separate"/>
      </w:r>
      <w:r w:rsidR="006C029B" w:rsidRPr="00E400E4">
        <w:t xml:space="preserve">Figure </w:t>
      </w:r>
      <w:r w:rsidR="006C029B">
        <w:rPr>
          <w:noProof/>
        </w:rPr>
        <w:t>1</w:t>
      </w:r>
      <w:r w:rsidRPr="00E400E4">
        <w:fldChar w:fldCharType="end"/>
      </w:r>
      <w:r w:rsidRPr="00E400E4">
        <w:t xml:space="preserve">). This risk analysis assesses commercially produced avocados of all cultivars/varieties from all regions of Chile in which they are grown for export. </w:t>
      </w:r>
    </w:p>
    <w:p w:rsidR="00555918" w:rsidRPr="00E400E4" w:rsidRDefault="00555918" w:rsidP="000B1771">
      <w:pPr>
        <w:pStyle w:val="Heading4"/>
      </w:pPr>
      <w:r w:rsidRPr="00E400E4">
        <w:t>Existing policy</w:t>
      </w:r>
    </w:p>
    <w:p w:rsidR="00555918" w:rsidRPr="00E400E4" w:rsidRDefault="00555918" w:rsidP="000B1771">
      <w:pPr>
        <w:pStyle w:val="Heading5"/>
      </w:pPr>
      <w:r w:rsidRPr="00E400E4">
        <w:t>International policy</w:t>
      </w:r>
    </w:p>
    <w:p w:rsidR="00555918" w:rsidRPr="00E400E4" w:rsidRDefault="00555918" w:rsidP="000B1771">
      <w:r w:rsidRPr="00E400E4">
        <w:t xml:space="preserve">Import policy exists for avocados from New Zealand into Australia. For Chile, import policy exists for table grapes </w:t>
      </w:r>
      <w:r>
        <w:rPr>
          <w:noProof/>
        </w:rPr>
        <w:t>(Biosecurity Australia 2005b)</w:t>
      </w:r>
      <w:r w:rsidRPr="00E400E4">
        <w:t>. The potential pests of biosecurity concern identified for fresh avocado fruit from Chile are the same as, or similar to, those identified for commodities for which import conditions already exist.</w:t>
      </w:r>
    </w:p>
    <w:p w:rsidR="00555918" w:rsidRPr="00E400E4" w:rsidRDefault="00555918" w:rsidP="000B1771">
      <w:r w:rsidRPr="00E400E4">
        <w:t xml:space="preserve">The import requirements for these commodity pathways can be found at the department’s Biosecurity Import Conditions (BICON) system on the department’s website at </w:t>
      </w:r>
      <w:hyperlink r:id="rId30" w:history="1">
        <w:r w:rsidRPr="00E400E4">
          <w:rPr>
            <w:rStyle w:val="Hyperlink"/>
          </w:rPr>
          <w:t>https://bicon.agriculture.gov.au/BiconWeb4.0</w:t>
        </w:r>
      </w:hyperlink>
      <w:r w:rsidRPr="00E400E4">
        <w:t xml:space="preserve">. </w:t>
      </w:r>
    </w:p>
    <w:p w:rsidR="00555918" w:rsidRPr="00E400E4" w:rsidRDefault="00555918" w:rsidP="000B1771">
      <w:r w:rsidRPr="00E400E4">
        <w:t xml:space="preserve">The department has considered all the pests and pest groups previously identified in existing policies and, where relevant, the information in those assessments has been taken into account in this risk analysis. The department has also reviewed the latest literature to ensure that information in previous assessments is still valid. The biosecurity risk posed by thrips, and the orthotospoviruses they transmit, from all countries was previously assessed in the </w:t>
      </w:r>
      <w:r w:rsidRPr="00E400E4">
        <w:rPr>
          <w:i/>
        </w:rPr>
        <w:t>Final group pest risk analysis for thrips and orthotospoviruses on fresh fruit, vegetable, cut-flower and foliage imports</w:t>
      </w:r>
      <w:r w:rsidRPr="00E400E4">
        <w:t xml:space="preserve"> </w:t>
      </w:r>
      <w:r>
        <w:rPr>
          <w:noProof/>
        </w:rPr>
        <w:t>(Australian Government Department of Agriculture and Water Resources 2017)</w:t>
      </w:r>
      <w:r w:rsidRPr="00E400E4">
        <w:t xml:space="preserve"> (thrips </w:t>
      </w:r>
      <w:r>
        <w:t>G</w:t>
      </w:r>
      <w:r w:rsidRPr="00E400E4">
        <w:t>roup PRA), which is applicable to avocados from Chile. The department has determined that the information in those assessments can be adopted for the species under consideration in this risk analysis.</w:t>
      </w:r>
    </w:p>
    <w:p w:rsidR="00555918" w:rsidRPr="00E400E4" w:rsidRDefault="00555918" w:rsidP="000B1771">
      <w:r w:rsidRPr="00E400E4">
        <w:t xml:space="preserve">The </w:t>
      </w:r>
      <w:r w:rsidRPr="00E400E4">
        <w:rPr>
          <w:i/>
        </w:rPr>
        <w:t>Final group pest risk analysis for mealybugs and the viruses they transmit on fresh fruit, vegetable, cut flower and foliage imports</w:t>
      </w:r>
      <w:r w:rsidRPr="00E400E4">
        <w:t xml:space="preserve"> was finalised in January 2019. As the group policy was finalised close to the release of the draft report for avocados from Chile, the group policy was not adopted for this risk analysis. However, its assessments and recommended risk management measures are consistent with the present analysis.</w:t>
      </w:r>
    </w:p>
    <w:p w:rsidR="00555918" w:rsidRPr="00E400E4" w:rsidRDefault="00555918" w:rsidP="000B1771">
      <w:pPr>
        <w:pStyle w:val="Heading5"/>
      </w:pPr>
      <w:r w:rsidRPr="00E400E4">
        <w:t>Domestic arrangements</w:t>
      </w:r>
    </w:p>
    <w:p w:rsidR="00555918" w:rsidRPr="00E400E4" w:rsidRDefault="00555918">
      <w:r w:rsidRPr="00E400E4">
        <w:t xml:space="preserve">The Australian Government is responsible for regulating the movement of goods such as plants and plant products into and out of Australia. However, 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After imported plants and plant products have been cleared by Australian Government biosecurity officers, they may be subject </w:t>
      </w:r>
      <w:r w:rsidRPr="00E400E4">
        <w:lastRenderedPageBreak/>
        <w:t>to interstate movement regulations/arrangements. It is the importer’s responsibility to identify and ensure compliance with all requirements.</w:t>
      </w:r>
    </w:p>
    <w:p w:rsidR="00555918" w:rsidRPr="00E400E4" w:rsidRDefault="00555918" w:rsidP="000B1771">
      <w:pPr>
        <w:pStyle w:val="Heading4"/>
      </w:pPr>
      <w:r w:rsidRPr="00E400E4">
        <w:t>Contaminating pests</w:t>
      </w:r>
    </w:p>
    <w:p w:rsidR="00555918" w:rsidRPr="00E400E4" w:rsidRDefault="00555918" w:rsidP="000B1771">
      <w:r w:rsidRPr="00E400E4">
        <w:t>In addition to the pests of avocados from Chile that are assessed in this risk analysis, other organisms may arrive with the imported commodity. These organisms may include pests considered not to be associated with the fruit pathway, pests of other crops, or predators and parasitoids of other arthropods. For example, brown marmorated stinkbug (</w:t>
      </w:r>
      <w:r w:rsidRPr="00E400E4">
        <w:rPr>
          <w:i/>
        </w:rPr>
        <w:t>Halyomorpha halys</w:t>
      </w:r>
      <w:r w:rsidRPr="00E400E4">
        <w:t>), which has recently been detected in Chile but is not considered associated with avocado fruit, could arrive with avocados from Chile as it may be associated with packaging material. The department considers these organisms to be contaminating pests that could pose sanitary risks (to human or animal life or health) or phytosanitary risks (to plant life or health). These risks are identified and addressed using existing operational procedures that require a random 600 unit inspection of all consignments on arrival, or equivalent procedures. The department will investigate if any pest identified through these processes may be of biosecurity concern to Australia, and thus may require remedial action.</w:t>
      </w:r>
    </w:p>
    <w:p w:rsidR="00555918" w:rsidRPr="00E400E4" w:rsidRDefault="00555918" w:rsidP="000B1771">
      <w:pPr>
        <w:pStyle w:val="Heading4"/>
      </w:pPr>
      <w:r w:rsidRPr="00E400E4">
        <w:t>Consultation</w:t>
      </w:r>
    </w:p>
    <w:p w:rsidR="00555918" w:rsidRPr="00E400E4" w:rsidRDefault="00555918" w:rsidP="000B1771">
      <w:r w:rsidRPr="00E400E4">
        <w:t>On 23 March 2018, the department notified stakeholders (Biosecurity Advice 2018/05) of the commencement of a review of biosecurity import requirements for fresh avocado fruit from Chile.</w:t>
      </w:r>
    </w:p>
    <w:p w:rsidR="00555918" w:rsidRPr="00E400E4" w:rsidRDefault="00555918" w:rsidP="000B1771">
      <w:r w:rsidRPr="00E400E4">
        <w:t>Prior to and after the announcement of this risk analysis, the department engaged with the Australian avocado industry regarding the process and technical aspects of this risk analysis.</w:t>
      </w:r>
    </w:p>
    <w:p w:rsidR="00555918" w:rsidRPr="00E400E4" w:rsidRDefault="00555918" w:rsidP="000B1771">
      <w:r w:rsidRPr="00E400E4">
        <w:t>The department has also consulted with Chile’s SAG and Australian state and territory governments during the preparation of this report.</w:t>
      </w:r>
    </w:p>
    <w:p w:rsidR="00555918" w:rsidRPr="00E400E4" w:rsidRDefault="00555918" w:rsidP="000B1771">
      <w:r w:rsidRPr="00E400E4">
        <w:t>The draft report was released on 28 February 2019 (Plant Biosecurity Advice 2019/P03) for comment by stakeholders, for a consultation period of 60 days that concluded on 29 April 2019.</w:t>
      </w:r>
    </w:p>
    <w:p w:rsidR="00555918" w:rsidRPr="00E400E4" w:rsidDel="009950D5" w:rsidRDefault="00555918" w:rsidP="000B1771">
      <w:r w:rsidRPr="00E400E4">
        <w:t>The department received seven written submissions on the draft report. All submissions received, and issues raised by domestic stakeholders during the consultation period, were carefully considered and, where relevant, changes were made to the final report. A summary of key technical stakeholder comments and how they were considered is provided in Appendix B.</w:t>
      </w:r>
    </w:p>
    <w:p w:rsidR="00555918" w:rsidRPr="00E400E4" w:rsidRDefault="00555918" w:rsidP="000B1771">
      <w:pPr>
        <w:pStyle w:val="Heading4"/>
      </w:pPr>
      <w:r w:rsidRPr="00E400E4">
        <w:t>Next Steps</w:t>
      </w:r>
    </w:p>
    <w:p w:rsidR="00555918" w:rsidRPr="00E400E4" w:rsidRDefault="00555918">
      <w:r w:rsidRPr="00E400E4">
        <w:t xml:space="preserve">The final report will be published on the department’s website, along with a notice advising stakeholders of its release. The department will also notify Chile’s SAG, registered stakeholders and the WTO Secretariat of the release of the final report. Publication of the final report represents the end of the risk analysis process. </w:t>
      </w:r>
    </w:p>
    <w:p w:rsidR="00555918" w:rsidRPr="00E400E4" w:rsidRDefault="00555918">
      <w:r w:rsidRPr="00E400E4">
        <w:t>Before any trade in fresh avocados from Chile commences, the department will verify that Chile can implement the required pest risk management measures, and the system of operational procedures necessary to maintain and verify the phytosanitary status of fresh avocados for export to Australia from Chile (as specified in Chapter 5: Pest risk management of this report). On verification of these requirements, the import conditions for fresh avocados from Chile will be published in the department’s Biosecurity Import Conditions (BICON) system.</w:t>
      </w:r>
    </w:p>
    <w:p w:rsidR="00555918" w:rsidRPr="00E400E4" w:rsidRDefault="00555918" w:rsidP="000B1771">
      <w:pPr>
        <w:pStyle w:val="Heading2"/>
        <w:sectPr w:rsidR="00555918" w:rsidRPr="00E400E4" w:rsidSect="000B1771">
          <w:headerReference w:type="default" r:id="rId31"/>
          <w:pgSz w:w="11906" w:h="16838"/>
          <w:pgMar w:top="1418" w:right="1418" w:bottom="1418" w:left="1418" w:header="567" w:footer="283" w:gutter="0"/>
          <w:cols w:space="708"/>
          <w:docGrid w:linePitch="360"/>
        </w:sectPr>
      </w:pPr>
    </w:p>
    <w:p w:rsidR="00555918" w:rsidRPr="00E400E4" w:rsidRDefault="00555918" w:rsidP="000B1771">
      <w:pPr>
        <w:pStyle w:val="Heading2"/>
      </w:pPr>
      <w:bookmarkStart w:id="17" w:name="_Toc20392230"/>
      <w:r w:rsidRPr="00E400E4">
        <w:lastRenderedPageBreak/>
        <w:t>Method for pest risk analysis</w:t>
      </w:r>
      <w:bookmarkEnd w:id="17"/>
    </w:p>
    <w:p w:rsidR="00555918" w:rsidRPr="00E400E4" w:rsidRDefault="00555918">
      <w:r w:rsidRPr="00E400E4">
        <w:t xml:space="preserve">This chapter sets out the method used for the pest risk analysis (PRA) in this report. The Department of Agriculture has conducted this PRA in accordance with the International Standards for Phytosanitary Measures (ISPMs), including ISPM 2: </w:t>
      </w:r>
      <w:r w:rsidRPr="00E400E4">
        <w:rPr>
          <w:i/>
        </w:rPr>
        <w:t>Framework for pest risk analysis</w:t>
      </w:r>
      <w:r w:rsidRPr="00E400E4">
        <w:t xml:space="preserve"> </w:t>
      </w:r>
      <w:r>
        <w:rPr>
          <w:noProof/>
        </w:rPr>
        <w:t>(FAO 2016a)</w:t>
      </w:r>
      <w:r w:rsidRPr="00E400E4">
        <w:t xml:space="preserve"> and ISPM 11: </w:t>
      </w:r>
      <w:r w:rsidRPr="00E400E4">
        <w:rPr>
          <w:i/>
        </w:rPr>
        <w:t>Pest risk analysis for quarantine pests</w:t>
      </w:r>
      <w:r w:rsidRPr="00E400E4">
        <w:t xml:space="preserve"> </w:t>
      </w:r>
      <w:r>
        <w:rPr>
          <w:noProof/>
        </w:rPr>
        <w:t>(FAO 2019c)</w:t>
      </w:r>
      <w:r w:rsidRPr="00E400E4">
        <w:t xml:space="preserve"> that have been developed under the SPS Agreement </w:t>
      </w:r>
      <w:r>
        <w:rPr>
          <w:noProof/>
        </w:rPr>
        <w:t>(WTO 1995)</w:t>
      </w:r>
      <w:r w:rsidRPr="00E400E4">
        <w:t>.</w:t>
      </w:r>
    </w:p>
    <w:p w:rsidR="00555918" w:rsidRPr="00E400E4" w:rsidRDefault="00555918">
      <w:r w:rsidRPr="00E400E4">
        <w:t xml:space="preserve">A PRA is ‘the process of evaluating biological or other scientific and economic evidence to determine whether an organism is a pest, whether it should be regulated, and the strength of any phytosanitary measures to be taken against it’ </w:t>
      </w:r>
      <w:r>
        <w:rPr>
          <w:noProof/>
        </w:rPr>
        <w:t>(FAO 2019b)</w:t>
      </w:r>
      <w:r w:rsidRPr="00E400E4">
        <w:t xml:space="preserve">. A pest is ‘any species, strain or biotype of plant, animal, or pathogenic agent injurious to plants or plant products’ </w:t>
      </w:r>
      <w:r>
        <w:rPr>
          <w:noProof/>
        </w:rPr>
        <w:t>(FAO 2019b)</w:t>
      </w:r>
      <w:r w:rsidRPr="00E400E4">
        <w:t xml:space="preserve">. This definition is also applied in the </w:t>
      </w:r>
      <w:r w:rsidRPr="00E400E4">
        <w:rPr>
          <w:i/>
        </w:rPr>
        <w:t>Biosecurity Act 2015</w:t>
      </w:r>
      <w:r w:rsidRPr="00E400E4">
        <w:t>.</w:t>
      </w:r>
    </w:p>
    <w:p w:rsidR="00555918" w:rsidRPr="00E400E4" w:rsidRDefault="00555918">
      <w:r w:rsidRPr="00E400E4">
        <w:t>Biosecurity risk consists of two major components: the likelihood of a pest entering, establishing and spreading in Australia from imports, and the consequences should this happen. These two components are combined to give an overall estimate of the risk.</w:t>
      </w:r>
    </w:p>
    <w:p w:rsidR="00555918" w:rsidRPr="00E400E4" w:rsidRDefault="00555918">
      <w:r w:rsidRPr="00E400E4">
        <w:t>Unrestricted risk is estimated taking into account the existing commercial production practices of Chile and recognition that, on arrival in Australia, the department will verify that the consignment received is as described on the commercial documents and its integrity has been maintained.</w:t>
      </w:r>
    </w:p>
    <w:p w:rsidR="00555918" w:rsidRPr="00E400E4" w:rsidRDefault="00555918">
      <w:r w:rsidRPr="00E400E4">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w:t>
      </w:r>
      <w:r>
        <w:rPr>
          <w:noProof/>
        </w:rPr>
        <w:t>(FAO 2019b)</w:t>
      </w:r>
      <w:r w:rsidRPr="00E400E4">
        <w:t>.</w:t>
      </w:r>
    </w:p>
    <w:p w:rsidR="00555918" w:rsidRPr="00E400E4" w:rsidRDefault="00555918">
      <w:r w:rsidRPr="00E400E4">
        <w:t>A glossary of the terms used in the risk analysis is provided at the end of this report.</w:t>
      </w:r>
    </w:p>
    <w:p w:rsidR="00555918" w:rsidRPr="00E400E4" w:rsidRDefault="00555918">
      <w:r w:rsidRPr="00E400E4">
        <w:t>The PRAs are conducted in the following three consecutive stages: initiation, pest risk assessment and pest risk management.</w:t>
      </w:r>
    </w:p>
    <w:p w:rsidR="00555918" w:rsidRPr="00E400E4" w:rsidRDefault="00555918" w:rsidP="000B1771">
      <w:pPr>
        <w:pStyle w:val="Heading3"/>
      </w:pPr>
      <w:bookmarkStart w:id="18" w:name="_Toc20392231"/>
      <w:r w:rsidRPr="00E400E4">
        <w:t>Stage 1 Initiation</w:t>
      </w:r>
      <w:bookmarkEnd w:id="18"/>
    </w:p>
    <w:p w:rsidR="00555918" w:rsidRPr="00E400E4" w:rsidRDefault="00555918" w:rsidP="000B1771">
      <w:r w:rsidRPr="00E400E4">
        <w:t>Initiation identifies the pest(s) and pathway(s) that are of biosecurity concern and should be considered for risk analysis in relation to the identified PRA area.</w:t>
      </w:r>
    </w:p>
    <w:p w:rsidR="00555918" w:rsidRPr="00E400E4" w:rsidRDefault="00555918" w:rsidP="000B1771">
      <w:r w:rsidRPr="00E400E4">
        <w:t xml:space="preserve">Appendix A of this risk analysis report lists the pests with the potential to be associated with the exported commodity produced using commercial production and packing procedures. Appendix 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 </w:t>
      </w:r>
    </w:p>
    <w:p w:rsidR="00555918" w:rsidRPr="00E400E4" w:rsidRDefault="00555918" w:rsidP="000B1771">
      <w:r w:rsidRPr="00E400E4">
        <w:t>The identity of the pests is given in Appendix A. The species name is used in most instances but a lower taxonomic level is used where appropriate. Synonyms are provided where the current scientific name differs from that provided by the exporting country’s National Plant Protection Organisation (NPPO) or where the cited literature used a different scientific name.</w:t>
      </w:r>
    </w:p>
    <w:p w:rsidR="00555918" w:rsidRPr="00E400E4" w:rsidRDefault="00555918" w:rsidP="000B1771">
      <w:r w:rsidRPr="00E400E4">
        <w:lastRenderedPageBreak/>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rsidR="00555918" w:rsidRPr="00E400E4" w:rsidRDefault="00555918" w:rsidP="000B1771">
      <w:r w:rsidRPr="00E400E4">
        <w:t>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previous risk assessments were taken into consideration in this risk analysis.</w:t>
      </w:r>
    </w:p>
    <w:p w:rsidR="00555918" w:rsidRPr="00E400E4" w:rsidRDefault="00555918" w:rsidP="000B1771">
      <w:r w:rsidRPr="00E400E4">
        <w:t>A Group Pest Risk Analysis (Group PRA) has been applied in this risk analysis, as explained in Section </w:t>
      </w:r>
      <w:r w:rsidRPr="00E400E4">
        <w:fldChar w:fldCharType="begin"/>
      </w:r>
      <w:r w:rsidRPr="00E400E4">
        <w:instrText xml:space="preserve"> REF _Ref521486026 \r \h  \* MERGEFORMAT </w:instrText>
      </w:r>
      <w:r w:rsidRPr="00E400E4">
        <w:fldChar w:fldCharType="separate"/>
      </w:r>
      <w:r w:rsidR="006C029B">
        <w:t>2.2.7</w:t>
      </w:r>
      <w:r w:rsidRPr="00E400E4">
        <w:fldChar w:fldCharType="end"/>
      </w:r>
      <w:r w:rsidRPr="00E400E4">
        <w:t>.</w:t>
      </w:r>
    </w:p>
    <w:p w:rsidR="00555918" w:rsidRPr="00E400E4" w:rsidRDefault="00555918" w:rsidP="000B1771">
      <w:pPr>
        <w:pStyle w:val="Heading3"/>
      </w:pPr>
      <w:bookmarkStart w:id="19" w:name="_Toc20392232"/>
      <w:r w:rsidRPr="00E400E4">
        <w:t>Stage 2 Pest risk assessment</w:t>
      </w:r>
      <w:bookmarkEnd w:id="19"/>
    </w:p>
    <w:p w:rsidR="00555918" w:rsidRPr="00E400E4" w:rsidRDefault="00555918">
      <w:r w:rsidRPr="00E400E4">
        <w:t xml:space="preserve">A pest risk assessment (for quarantine pests) is the ‘evaluation of the probability of the introduction and spread of a pest and of the magnitude of the associated potential economic consequences’ </w:t>
      </w:r>
      <w:r>
        <w:rPr>
          <w:noProof/>
        </w:rPr>
        <w:t>(FAO 2019b)</w:t>
      </w:r>
      <w:r w:rsidRPr="00E400E4">
        <w:t>.</w:t>
      </w:r>
    </w:p>
    <w:p w:rsidR="00555918" w:rsidRPr="00E400E4" w:rsidRDefault="00555918">
      <w:r w:rsidRPr="00E400E4">
        <w:t>The following three, consecutive steps were used in pest risk assessment:</w:t>
      </w:r>
    </w:p>
    <w:p w:rsidR="00555918" w:rsidRPr="00E400E4" w:rsidRDefault="00555918" w:rsidP="000B1771">
      <w:pPr>
        <w:pStyle w:val="Heading4"/>
      </w:pPr>
      <w:r w:rsidRPr="00E400E4">
        <w:t>Pest categorisation</w:t>
      </w:r>
    </w:p>
    <w:p w:rsidR="00555918" w:rsidRPr="00E400E4" w:rsidRDefault="00555918" w:rsidP="000B1771">
      <w:r w:rsidRPr="00E400E4">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Pr>
          <w:noProof/>
        </w:rPr>
        <w:t>(FAO 2019b)</w:t>
      </w:r>
      <w:r w:rsidRPr="00E400E4">
        <w:t>.</w:t>
      </w:r>
    </w:p>
    <w:p w:rsidR="00555918" w:rsidRPr="00E400E4" w:rsidRDefault="00555918" w:rsidP="000B1771">
      <w:r w:rsidRPr="00E400E4">
        <w:t>The pests identified in Stage 1 were categorised using the following primary elements to identify the quarantine pests for the commodity being assessed:</w:t>
      </w:r>
    </w:p>
    <w:p w:rsidR="00555918" w:rsidRPr="00E400E4" w:rsidRDefault="00555918" w:rsidP="00555918">
      <w:pPr>
        <w:pStyle w:val="ListBullet"/>
        <w:numPr>
          <w:ilvl w:val="0"/>
          <w:numId w:val="7"/>
        </w:numPr>
      </w:pPr>
      <w:r w:rsidRPr="00E400E4">
        <w:t>identity of the pest</w:t>
      </w:r>
    </w:p>
    <w:p w:rsidR="00555918" w:rsidRPr="00E400E4" w:rsidRDefault="00555918" w:rsidP="00555918">
      <w:pPr>
        <w:pStyle w:val="ListBullet"/>
        <w:numPr>
          <w:ilvl w:val="0"/>
          <w:numId w:val="7"/>
        </w:numPr>
      </w:pPr>
      <w:r w:rsidRPr="00E400E4">
        <w:t xml:space="preserve">presence or absence in the PRA area </w:t>
      </w:r>
    </w:p>
    <w:p w:rsidR="00555918" w:rsidRPr="00E400E4" w:rsidRDefault="00555918" w:rsidP="00555918">
      <w:pPr>
        <w:pStyle w:val="ListBullet"/>
        <w:numPr>
          <w:ilvl w:val="0"/>
          <w:numId w:val="7"/>
        </w:numPr>
      </w:pPr>
      <w:r w:rsidRPr="00E400E4">
        <w:t xml:space="preserve">regulatory status </w:t>
      </w:r>
    </w:p>
    <w:p w:rsidR="00555918" w:rsidRPr="00E400E4" w:rsidRDefault="00555918" w:rsidP="00555918">
      <w:pPr>
        <w:pStyle w:val="ListBullet"/>
        <w:numPr>
          <w:ilvl w:val="0"/>
          <w:numId w:val="7"/>
        </w:numPr>
      </w:pPr>
      <w:r w:rsidRPr="00E400E4">
        <w:t xml:space="preserve">potential for establishment and spread in the PRA area </w:t>
      </w:r>
    </w:p>
    <w:p w:rsidR="00555918" w:rsidRPr="00E400E4" w:rsidRDefault="00555918" w:rsidP="00555918">
      <w:pPr>
        <w:pStyle w:val="ListBullet"/>
        <w:numPr>
          <w:ilvl w:val="0"/>
          <w:numId w:val="7"/>
        </w:numPr>
      </w:pPr>
      <w:r w:rsidRPr="00E400E4">
        <w:t>potential for economic consequences (including environmental consequences) in the PRA area.</w:t>
      </w:r>
    </w:p>
    <w:p w:rsidR="00555918" w:rsidRPr="00E400E4" w:rsidRDefault="00555918" w:rsidP="000B1771">
      <w:r w:rsidRPr="00E400E4">
        <w:t xml:space="preserve">The results of pest categorisation are set out in Appendix A. The quarantine pests identified during categorisation were carried forward for pest risk assessment and are listed in </w:t>
      </w:r>
      <w:r w:rsidRPr="00E400E4">
        <w:fldChar w:fldCharType="begin"/>
      </w:r>
      <w:r w:rsidRPr="00E400E4">
        <w:instrText xml:space="preserve"> REF _Ref511218100 \h  \* MERGEFORMAT </w:instrText>
      </w:r>
      <w:r w:rsidRPr="00E400E4">
        <w:fldChar w:fldCharType="separate"/>
      </w:r>
      <w:r w:rsidR="006C029B" w:rsidRPr="00E400E4">
        <w:t xml:space="preserve">Table </w:t>
      </w:r>
      <w:r w:rsidR="006C029B">
        <w:rPr>
          <w:noProof/>
        </w:rPr>
        <w:t>4</w:t>
      </w:r>
      <w:r w:rsidR="006C029B" w:rsidRPr="00E400E4">
        <w:rPr>
          <w:noProof/>
        </w:rPr>
        <w:t>.</w:t>
      </w:r>
      <w:r w:rsidR="006C029B">
        <w:rPr>
          <w:noProof/>
        </w:rPr>
        <w:t>1</w:t>
      </w:r>
      <w:r w:rsidRPr="00E400E4">
        <w:fldChar w:fldCharType="end"/>
      </w:r>
      <w:r w:rsidRPr="00E400E4">
        <w:t>.</w:t>
      </w:r>
    </w:p>
    <w:p w:rsidR="00555918" w:rsidRPr="00E400E4" w:rsidRDefault="00555918" w:rsidP="000B1771">
      <w:pPr>
        <w:pStyle w:val="Heading4"/>
      </w:pPr>
      <w:r w:rsidRPr="00E400E4">
        <w:t>Assessment of the probability of entry, establishment and spread</w:t>
      </w:r>
    </w:p>
    <w:p w:rsidR="00555918" w:rsidRPr="00E400E4" w:rsidRDefault="00555918">
      <w:r w:rsidRPr="00E400E4">
        <w:t xml:space="preserve">Details of how to assess the ‘probability of entry’, ‘probability of establishment’ and ‘probability of spread’ of a pest are given in ISPM 11 </w:t>
      </w:r>
      <w:r>
        <w:rPr>
          <w:noProof/>
        </w:rPr>
        <w:t>(FAO 2019c)</w:t>
      </w:r>
      <w:r w:rsidRPr="00E400E4">
        <w:t xml:space="preserve">. The SPS Agreement </w:t>
      </w:r>
      <w:r>
        <w:rPr>
          <w:noProof/>
        </w:rPr>
        <w:t>(WTO 1995)</w:t>
      </w:r>
      <w:r w:rsidRPr="00E400E4">
        <w:t xml:space="preserve"> uses the term ‘likelihood’ rather than ‘probability’ for these estimates. In qualitative PRAs, the department uses the term ‘likelihood’ for the descriptors it uses for its estimates of likelihood of entry, establishment and spread. The use of the term ‘probability’ is limited to the direct quotation of ISPM definitions. </w:t>
      </w:r>
    </w:p>
    <w:p w:rsidR="00555918" w:rsidRPr="00E400E4" w:rsidRDefault="00555918">
      <w:r w:rsidRPr="00E400E4">
        <w:lastRenderedPageBreak/>
        <w:t>A summary of this process is given here, followed by a description of the qualitative methodology used in this risk analysis.</w:t>
      </w:r>
    </w:p>
    <w:p w:rsidR="00555918" w:rsidRPr="00E400E4" w:rsidRDefault="00555918" w:rsidP="000B1771">
      <w:pPr>
        <w:pStyle w:val="Heading5"/>
      </w:pPr>
      <w:r w:rsidRPr="00E400E4">
        <w:t>Likelihood of entry</w:t>
      </w:r>
    </w:p>
    <w:p w:rsidR="00555918" w:rsidRPr="00E400E4" w:rsidRDefault="00555918" w:rsidP="000B1771">
      <w:r w:rsidRPr="00E400E4">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rsidR="00555918" w:rsidRPr="00E400E4" w:rsidRDefault="00555918" w:rsidP="000B1771">
      <w:r w:rsidRPr="00E400E4">
        <w:t>The likelihood of entry estimates for the quarantine pests for a commodity are based on the use of the existing commercial production, packaging and shipping practices of the exporting country. Details of the existing commercial production practices for the commodity are set out in Chapter 3. These practices are taken into consideration by the department when estimating the likelihood of entry.</w:t>
      </w:r>
    </w:p>
    <w:p w:rsidR="00555918" w:rsidRPr="00E400E4" w:rsidRDefault="00555918" w:rsidP="000B1771">
      <w:r w:rsidRPr="00E400E4">
        <w:t>For the purpose of considering the likelihood of entry, the department divides this step into two components:</w:t>
      </w:r>
    </w:p>
    <w:p w:rsidR="00555918" w:rsidRPr="00E400E4" w:rsidRDefault="00555918" w:rsidP="00555918">
      <w:pPr>
        <w:pStyle w:val="ListBullet"/>
        <w:numPr>
          <w:ilvl w:val="0"/>
          <w:numId w:val="7"/>
        </w:numPr>
      </w:pPr>
      <w:r w:rsidRPr="00E400E4">
        <w:rPr>
          <w:rStyle w:val="Strong"/>
        </w:rPr>
        <w:t>Likelihood of importation</w:t>
      </w:r>
      <w:r w:rsidRPr="00E400E4">
        <w:t>—the likelihood that a pest will arrive in Australia when a given commodity is imported.</w:t>
      </w:r>
    </w:p>
    <w:p w:rsidR="00555918" w:rsidRPr="00E400E4" w:rsidRDefault="00555918" w:rsidP="00555918">
      <w:pPr>
        <w:pStyle w:val="ListBullet"/>
        <w:numPr>
          <w:ilvl w:val="0"/>
          <w:numId w:val="7"/>
        </w:numPr>
      </w:pPr>
      <w:r w:rsidRPr="00E400E4">
        <w:rPr>
          <w:rStyle w:val="Strong"/>
        </w:rPr>
        <w:t>Likelihood of distribution</w:t>
      </w:r>
      <w:r w:rsidRPr="00E400E4">
        <w:t>—the likelihood that the pest will be distributed, as a result of the processing, sale or disposal of the commodity, in the PRA area and subsequently transfer to a susceptible part of a host.</w:t>
      </w:r>
    </w:p>
    <w:p w:rsidR="00555918" w:rsidRPr="00E400E4" w:rsidRDefault="00555918" w:rsidP="000B1771">
      <w:r w:rsidRPr="00E400E4">
        <w:t>Factors to be considered in the likelihood of importation may include:</w:t>
      </w:r>
    </w:p>
    <w:p w:rsidR="00555918" w:rsidRPr="00E400E4" w:rsidRDefault="00555918" w:rsidP="00555918">
      <w:pPr>
        <w:pStyle w:val="ListBullet"/>
        <w:numPr>
          <w:ilvl w:val="0"/>
          <w:numId w:val="7"/>
        </w:numPr>
      </w:pPr>
      <w:r w:rsidRPr="00E400E4">
        <w:t>distribution and incidence of the pest in the source area</w:t>
      </w:r>
    </w:p>
    <w:p w:rsidR="00555918" w:rsidRPr="00E400E4" w:rsidRDefault="00555918" w:rsidP="00555918">
      <w:pPr>
        <w:pStyle w:val="ListBullet"/>
        <w:numPr>
          <w:ilvl w:val="0"/>
          <w:numId w:val="7"/>
        </w:numPr>
      </w:pPr>
      <w:r w:rsidRPr="00E400E4">
        <w:t>occurrence of the pest in a life-stage that would be associated with the commodity</w:t>
      </w:r>
    </w:p>
    <w:p w:rsidR="00555918" w:rsidRPr="00E400E4" w:rsidRDefault="00555918" w:rsidP="00555918">
      <w:pPr>
        <w:pStyle w:val="ListBullet"/>
        <w:numPr>
          <w:ilvl w:val="0"/>
          <w:numId w:val="7"/>
        </w:numPr>
      </w:pPr>
      <w:r w:rsidRPr="00E400E4">
        <w:t>mode of trade (for example, bulk, packed)</w:t>
      </w:r>
    </w:p>
    <w:p w:rsidR="00555918" w:rsidRPr="00E400E4" w:rsidRDefault="00555918" w:rsidP="00555918">
      <w:pPr>
        <w:pStyle w:val="ListBullet"/>
        <w:numPr>
          <w:ilvl w:val="0"/>
          <w:numId w:val="7"/>
        </w:numPr>
      </w:pPr>
      <w:r w:rsidRPr="00E400E4">
        <w:t>volume and frequency of movement of the commodity along each pathway</w:t>
      </w:r>
    </w:p>
    <w:p w:rsidR="00555918" w:rsidRPr="00E400E4" w:rsidRDefault="00555918" w:rsidP="00555918">
      <w:pPr>
        <w:pStyle w:val="ListBullet"/>
        <w:numPr>
          <w:ilvl w:val="0"/>
          <w:numId w:val="7"/>
        </w:numPr>
      </w:pPr>
      <w:r w:rsidRPr="00E400E4">
        <w:t>seasonal timing of imports</w:t>
      </w:r>
    </w:p>
    <w:p w:rsidR="00555918" w:rsidRPr="00E400E4" w:rsidRDefault="00555918" w:rsidP="00555918">
      <w:pPr>
        <w:pStyle w:val="ListBullet"/>
        <w:numPr>
          <w:ilvl w:val="0"/>
          <w:numId w:val="7"/>
        </w:numPr>
      </w:pPr>
      <w:r w:rsidRPr="00E400E4">
        <w:t>pest management, cultural and commercial procedures applied at the place of origin</w:t>
      </w:r>
    </w:p>
    <w:p w:rsidR="00555918" w:rsidRPr="00E400E4" w:rsidRDefault="00555918" w:rsidP="00555918">
      <w:pPr>
        <w:pStyle w:val="ListBullet"/>
        <w:numPr>
          <w:ilvl w:val="0"/>
          <w:numId w:val="7"/>
        </w:numPr>
      </w:pPr>
      <w:r w:rsidRPr="00E400E4">
        <w:t>speed of transport and conditions of storage compared with the duration of the lifecycle of the pest</w:t>
      </w:r>
    </w:p>
    <w:p w:rsidR="00555918" w:rsidRPr="00E400E4" w:rsidRDefault="00555918" w:rsidP="00555918">
      <w:pPr>
        <w:pStyle w:val="ListBullet"/>
        <w:numPr>
          <w:ilvl w:val="0"/>
          <w:numId w:val="7"/>
        </w:numPr>
      </w:pPr>
      <w:r w:rsidRPr="00E400E4">
        <w:t>vulnerability of the life-stages of the pest during transport or storage</w:t>
      </w:r>
    </w:p>
    <w:p w:rsidR="00555918" w:rsidRPr="00E400E4" w:rsidRDefault="00555918" w:rsidP="00555918">
      <w:pPr>
        <w:pStyle w:val="ListBullet"/>
        <w:numPr>
          <w:ilvl w:val="0"/>
          <w:numId w:val="7"/>
        </w:numPr>
      </w:pPr>
      <w:r w:rsidRPr="00E400E4">
        <w:t>incidence of the pest likely to be associated with a consignment</w:t>
      </w:r>
    </w:p>
    <w:p w:rsidR="00555918" w:rsidRPr="00E400E4" w:rsidRDefault="00555918" w:rsidP="00555918">
      <w:pPr>
        <w:pStyle w:val="ListBullet"/>
        <w:numPr>
          <w:ilvl w:val="0"/>
          <w:numId w:val="7"/>
        </w:numPr>
      </w:pPr>
      <w:r w:rsidRPr="00E400E4">
        <w:t>commercial procedures (for example, refrigeration) applied to consignments during transport and storage in the country of origin, and during transport to Australia.</w:t>
      </w:r>
    </w:p>
    <w:p w:rsidR="00555918" w:rsidRPr="00E400E4" w:rsidRDefault="00555918" w:rsidP="000B1771">
      <w:r w:rsidRPr="00E400E4">
        <w:t>Factors to be considered in the likelihood of distribution may include:</w:t>
      </w:r>
    </w:p>
    <w:p w:rsidR="00555918" w:rsidRPr="00E400E4" w:rsidRDefault="00555918" w:rsidP="00555918">
      <w:pPr>
        <w:pStyle w:val="ListBullet"/>
        <w:numPr>
          <w:ilvl w:val="0"/>
          <w:numId w:val="7"/>
        </w:numPr>
      </w:pPr>
      <w:r w:rsidRPr="00E400E4">
        <w:t>commercial procedures (for example, refrigeration) applied to consignments during distribution in Australia</w:t>
      </w:r>
    </w:p>
    <w:p w:rsidR="00555918" w:rsidRPr="00E400E4" w:rsidRDefault="00555918" w:rsidP="00555918">
      <w:pPr>
        <w:pStyle w:val="ListBullet"/>
        <w:numPr>
          <w:ilvl w:val="0"/>
          <w:numId w:val="7"/>
        </w:numPr>
      </w:pPr>
      <w:r w:rsidRPr="00E400E4">
        <w:t>dispersal mechanisms of the pest, including vectors, to allow movement from the pathway to a host</w:t>
      </w:r>
    </w:p>
    <w:p w:rsidR="00555918" w:rsidRPr="00E400E4" w:rsidRDefault="00555918" w:rsidP="00555918">
      <w:pPr>
        <w:pStyle w:val="ListBullet"/>
        <w:numPr>
          <w:ilvl w:val="0"/>
          <w:numId w:val="7"/>
        </w:numPr>
      </w:pPr>
      <w:r w:rsidRPr="00E400E4">
        <w:lastRenderedPageBreak/>
        <w:t>whether the imported commodity is to be sent to a few or many destination points in the PRA area</w:t>
      </w:r>
    </w:p>
    <w:p w:rsidR="00555918" w:rsidRPr="00E400E4" w:rsidRDefault="00555918" w:rsidP="00555918">
      <w:pPr>
        <w:pStyle w:val="ListBullet"/>
        <w:numPr>
          <w:ilvl w:val="0"/>
          <w:numId w:val="7"/>
        </w:numPr>
      </w:pPr>
      <w:r w:rsidRPr="00E400E4">
        <w:t>proximity of entry, transit and destination points to hosts</w:t>
      </w:r>
    </w:p>
    <w:p w:rsidR="00555918" w:rsidRPr="00E400E4" w:rsidRDefault="00555918" w:rsidP="00555918">
      <w:pPr>
        <w:pStyle w:val="ListBullet"/>
        <w:numPr>
          <w:ilvl w:val="0"/>
          <w:numId w:val="7"/>
        </w:numPr>
      </w:pPr>
      <w:r w:rsidRPr="00E400E4">
        <w:t>time of year at which import takes place</w:t>
      </w:r>
    </w:p>
    <w:p w:rsidR="00555918" w:rsidRPr="00E400E4" w:rsidRDefault="00555918" w:rsidP="00555918">
      <w:pPr>
        <w:pStyle w:val="ListBullet"/>
        <w:numPr>
          <w:ilvl w:val="0"/>
          <w:numId w:val="7"/>
        </w:numPr>
      </w:pPr>
      <w:r w:rsidRPr="00E400E4">
        <w:t>intended use of the commodity (for example, for planting, processing or consumption)</w:t>
      </w:r>
    </w:p>
    <w:p w:rsidR="00555918" w:rsidRPr="00E400E4" w:rsidRDefault="00555918" w:rsidP="00555918">
      <w:pPr>
        <w:pStyle w:val="ListBullet"/>
        <w:numPr>
          <w:ilvl w:val="0"/>
          <w:numId w:val="7"/>
        </w:numPr>
      </w:pPr>
      <w:r w:rsidRPr="00E400E4">
        <w:t>risks from by-products and waste.</w:t>
      </w:r>
    </w:p>
    <w:p w:rsidR="00555918" w:rsidRPr="00E400E4" w:rsidRDefault="00555918" w:rsidP="000B1771">
      <w:pPr>
        <w:pStyle w:val="Heading5"/>
      </w:pPr>
      <w:r w:rsidRPr="00E400E4">
        <w:t>Likelihood of establishment</w:t>
      </w:r>
    </w:p>
    <w:p w:rsidR="00555918" w:rsidRPr="00E400E4" w:rsidRDefault="00555918" w:rsidP="000B1771">
      <w:r w:rsidRPr="00E400E4">
        <w:t xml:space="preserve">Establishment is defined as the ‘perpetuation for the foreseeable future, of a pest within an area after entry’ </w:t>
      </w:r>
      <w:r>
        <w:rPr>
          <w:noProof/>
        </w:rPr>
        <w:t>(FAO 2019b)</w:t>
      </w:r>
      <w:r w:rsidRPr="00E400E4">
        <w:t>. In order to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rsidR="00555918" w:rsidRPr="00E400E4" w:rsidRDefault="00555918" w:rsidP="000B1771">
      <w:r w:rsidRPr="00E400E4">
        <w:t>Factors to be considered in the likelihood of establishment in the PRA area may include:</w:t>
      </w:r>
    </w:p>
    <w:p w:rsidR="00555918" w:rsidRPr="00E400E4" w:rsidRDefault="00555918" w:rsidP="00555918">
      <w:pPr>
        <w:pStyle w:val="ListBullet"/>
        <w:numPr>
          <w:ilvl w:val="0"/>
          <w:numId w:val="7"/>
        </w:numPr>
      </w:pPr>
      <w:r w:rsidRPr="00E400E4">
        <w:t>availability of hosts, alternative hosts and vectors</w:t>
      </w:r>
    </w:p>
    <w:p w:rsidR="00555918" w:rsidRPr="00E400E4" w:rsidRDefault="00555918" w:rsidP="00555918">
      <w:pPr>
        <w:pStyle w:val="ListBullet"/>
        <w:numPr>
          <w:ilvl w:val="0"/>
          <w:numId w:val="7"/>
        </w:numPr>
      </w:pPr>
      <w:r w:rsidRPr="00E400E4">
        <w:t>suitability of the environment</w:t>
      </w:r>
    </w:p>
    <w:p w:rsidR="00555918" w:rsidRPr="00E400E4" w:rsidRDefault="00555918" w:rsidP="00555918">
      <w:pPr>
        <w:pStyle w:val="ListBullet"/>
        <w:numPr>
          <w:ilvl w:val="0"/>
          <w:numId w:val="7"/>
        </w:numPr>
      </w:pPr>
      <w:r w:rsidRPr="00E400E4">
        <w:t>reproductive strategy and potential for adaptation</w:t>
      </w:r>
    </w:p>
    <w:p w:rsidR="00555918" w:rsidRPr="00E400E4" w:rsidRDefault="00555918" w:rsidP="00555918">
      <w:pPr>
        <w:pStyle w:val="ListBullet"/>
        <w:numPr>
          <w:ilvl w:val="0"/>
          <w:numId w:val="7"/>
        </w:numPr>
      </w:pPr>
      <w:r w:rsidRPr="00E400E4">
        <w:t>minimum population needed for establishment</w:t>
      </w:r>
    </w:p>
    <w:p w:rsidR="00555918" w:rsidRPr="00E400E4" w:rsidRDefault="00555918" w:rsidP="00555918">
      <w:pPr>
        <w:pStyle w:val="ListBullet"/>
        <w:numPr>
          <w:ilvl w:val="0"/>
          <w:numId w:val="7"/>
        </w:numPr>
      </w:pPr>
      <w:r w:rsidRPr="00E400E4">
        <w:t>cultural practices and control measures.</w:t>
      </w:r>
    </w:p>
    <w:p w:rsidR="00555918" w:rsidRPr="00E400E4" w:rsidRDefault="00555918" w:rsidP="000B1771">
      <w:pPr>
        <w:pStyle w:val="Heading5"/>
      </w:pPr>
      <w:r w:rsidRPr="00E400E4">
        <w:t>Likelihood of spread</w:t>
      </w:r>
    </w:p>
    <w:p w:rsidR="00555918" w:rsidRPr="00E400E4" w:rsidRDefault="00555918" w:rsidP="000B1771">
      <w:r w:rsidRPr="00E400E4">
        <w:t xml:space="preserve">Spread is defined as ‘the expansion of the geographical distribution of a pest within an area’ </w:t>
      </w:r>
      <w:r>
        <w:rPr>
          <w:noProof/>
        </w:rPr>
        <w:t>(FAO 2019b)</w:t>
      </w:r>
      <w:r w:rsidRPr="00E400E4">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rsidR="00555918" w:rsidRPr="00E400E4" w:rsidRDefault="00555918" w:rsidP="000B1771">
      <w:r w:rsidRPr="00E400E4">
        <w:t>Factors to be considered in the likelihood of spread may include:</w:t>
      </w:r>
    </w:p>
    <w:p w:rsidR="00555918" w:rsidRPr="00E400E4" w:rsidRDefault="00555918" w:rsidP="00555918">
      <w:pPr>
        <w:pStyle w:val="ListBullet"/>
        <w:numPr>
          <w:ilvl w:val="0"/>
          <w:numId w:val="7"/>
        </w:numPr>
      </w:pPr>
      <w:r w:rsidRPr="00E400E4">
        <w:t>suitability of the natural and/or managed environment for natural spread of the pest</w:t>
      </w:r>
    </w:p>
    <w:p w:rsidR="00555918" w:rsidRPr="00E400E4" w:rsidRDefault="00555918" w:rsidP="00555918">
      <w:pPr>
        <w:pStyle w:val="ListBullet"/>
        <w:numPr>
          <w:ilvl w:val="0"/>
          <w:numId w:val="7"/>
        </w:numPr>
      </w:pPr>
      <w:r w:rsidRPr="00E400E4">
        <w:t>presence of natural barriers</w:t>
      </w:r>
    </w:p>
    <w:p w:rsidR="00555918" w:rsidRPr="00E400E4" w:rsidRDefault="00555918" w:rsidP="00555918">
      <w:pPr>
        <w:pStyle w:val="ListBullet"/>
        <w:numPr>
          <w:ilvl w:val="0"/>
          <w:numId w:val="7"/>
        </w:numPr>
      </w:pPr>
      <w:r w:rsidRPr="00E400E4">
        <w:t>potential for movement with commodities, conveyances or by vectors</w:t>
      </w:r>
    </w:p>
    <w:p w:rsidR="00555918" w:rsidRPr="00E400E4" w:rsidRDefault="00555918" w:rsidP="00555918">
      <w:pPr>
        <w:pStyle w:val="ListBullet"/>
        <w:numPr>
          <w:ilvl w:val="0"/>
          <w:numId w:val="7"/>
        </w:numPr>
      </w:pPr>
      <w:r w:rsidRPr="00E400E4">
        <w:t>intended use of the commodity</w:t>
      </w:r>
    </w:p>
    <w:p w:rsidR="00555918" w:rsidRPr="00E400E4" w:rsidRDefault="00555918" w:rsidP="00555918">
      <w:pPr>
        <w:pStyle w:val="ListBullet"/>
        <w:numPr>
          <w:ilvl w:val="0"/>
          <w:numId w:val="7"/>
        </w:numPr>
      </w:pPr>
      <w:r w:rsidRPr="00E400E4">
        <w:t>potential vectors of the pest in the PRA area</w:t>
      </w:r>
    </w:p>
    <w:p w:rsidR="00555918" w:rsidRPr="00E400E4" w:rsidRDefault="00555918" w:rsidP="00555918">
      <w:pPr>
        <w:pStyle w:val="ListBullet"/>
        <w:numPr>
          <w:ilvl w:val="0"/>
          <w:numId w:val="7"/>
        </w:numPr>
      </w:pPr>
      <w:r w:rsidRPr="00E400E4">
        <w:t>potential natural enemies of the pest in the PRA area.</w:t>
      </w:r>
    </w:p>
    <w:p w:rsidR="00555918" w:rsidRPr="00E400E4" w:rsidRDefault="00555918" w:rsidP="000B1771">
      <w:pPr>
        <w:pStyle w:val="Heading5"/>
      </w:pPr>
      <w:r w:rsidRPr="00E400E4">
        <w:t>Assigning likelihoods for entry, establishment and spread</w:t>
      </w:r>
    </w:p>
    <w:p w:rsidR="00555918" w:rsidRPr="00E400E4" w:rsidRDefault="00555918" w:rsidP="000B1771">
      <w:r w:rsidRPr="00E400E4">
        <w:t>Likelihoods are assigned to each step of entry, establishment and spread. Six descriptors are used: high; moderate; low; very low; extremely low; and negligible (</w:t>
      </w:r>
      <w:r w:rsidRPr="00E400E4">
        <w:fldChar w:fldCharType="begin"/>
      </w:r>
      <w:r w:rsidRPr="00E400E4">
        <w:instrText xml:space="preserve"> REF _Ref457826303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1</w:t>
      </w:r>
      <w:r w:rsidRPr="00E400E4">
        <w:fldChar w:fldCharType="end"/>
      </w:r>
      <w:r w:rsidRPr="00E400E4">
        <w:t xml:space="preserve">). Definitions for these descriptors and their indicative probability ranges are given in </w:t>
      </w:r>
      <w:r w:rsidRPr="00E400E4">
        <w:fldChar w:fldCharType="begin"/>
      </w:r>
      <w:r w:rsidRPr="00E400E4">
        <w:instrText xml:space="preserve"> REF _Ref457826303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1</w:t>
      </w:r>
      <w:r w:rsidRPr="00E400E4">
        <w:fldChar w:fldCharType="end"/>
      </w:r>
      <w:r w:rsidRPr="00E400E4">
        <w:t xml:space="preserve">. The indicative </w:t>
      </w:r>
      <w:r w:rsidRPr="00E400E4">
        <w:lastRenderedPageBreak/>
        <w:t>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rsidR="00555918" w:rsidRPr="00E400E4" w:rsidRDefault="00555918" w:rsidP="000B1771">
      <w:pPr>
        <w:pStyle w:val="Caption"/>
      </w:pPr>
      <w:bookmarkStart w:id="20" w:name="_Ref457826303"/>
      <w:bookmarkStart w:id="21" w:name="_Toc24702437"/>
      <w:r w:rsidRPr="00E400E4">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2</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1</w:t>
      </w:r>
      <w:r w:rsidRPr="00E400E4">
        <w:rPr>
          <w:noProof/>
        </w:rPr>
        <w:fldChar w:fldCharType="end"/>
      </w:r>
      <w:bookmarkEnd w:id="20"/>
      <w:r w:rsidRPr="00E400E4">
        <w:t xml:space="preserve"> Nomenclature of likelihoods</w:t>
      </w:r>
      <w:bookmarkEnd w:id="21"/>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555918" w:rsidRPr="00E400E4">
        <w:tc>
          <w:tcPr>
            <w:tcW w:w="1051" w:type="pct"/>
          </w:tcPr>
          <w:p w:rsidR="00555918" w:rsidRPr="00E400E4" w:rsidRDefault="00555918" w:rsidP="000B1771">
            <w:pPr>
              <w:pStyle w:val="TableHeading"/>
            </w:pPr>
            <w:r w:rsidRPr="00E400E4">
              <w:t>Likelihood</w:t>
            </w:r>
          </w:p>
        </w:tc>
        <w:tc>
          <w:tcPr>
            <w:tcW w:w="2282" w:type="pct"/>
          </w:tcPr>
          <w:p w:rsidR="00555918" w:rsidRPr="00E400E4" w:rsidRDefault="00555918" w:rsidP="000B1771">
            <w:pPr>
              <w:pStyle w:val="TableHeading"/>
            </w:pPr>
            <w:r w:rsidRPr="00E400E4">
              <w:t>Descriptive definition</w:t>
            </w:r>
          </w:p>
        </w:tc>
        <w:tc>
          <w:tcPr>
            <w:tcW w:w="1667" w:type="pct"/>
          </w:tcPr>
          <w:p w:rsidR="00555918" w:rsidRPr="00E400E4" w:rsidRDefault="00555918" w:rsidP="000B1771">
            <w:pPr>
              <w:pStyle w:val="TableHeading"/>
            </w:pPr>
            <w:r w:rsidRPr="00E400E4">
              <w:t>Indicative range</w:t>
            </w:r>
          </w:p>
        </w:tc>
      </w:tr>
      <w:tr w:rsidR="00555918" w:rsidRPr="00E400E4">
        <w:tc>
          <w:tcPr>
            <w:tcW w:w="1051" w:type="pct"/>
          </w:tcPr>
          <w:p w:rsidR="00555918" w:rsidRPr="00E400E4" w:rsidRDefault="00555918" w:rsidP="000B1771">
            <w:pPr>
              <w:pStyle w:val="TableText"/>
            </w:pPr>
            <w:r w:rsidRPr="00E400E4">
              <w:t>High</w:t>
            </w:r>
          </w:p>
        </w:tc>
        <w:tc>
          <w:tcPr>
            <w:tcW w:w="2282" w:type="pct"/>
          </w:tcPr>
          <w:p w:rsidR="00555918" w:rsidRPr="00E400E4" w:rsidRDefault="00555918" w:rsidP="000B1771">
            <w:pPr>
              <w:pStyle w:val="TableText"/>
            </w:pPr>
            <w:r w:rsidRPr="00E400E4">
              <w:t>The event would be very likely to occur</w:t>
            </w:r>
          </w:p>
        </w:tc>
        <w:tc>
          <w:tcPr>
            <w:tcW w:w="1667" w:type="pct"/>
          </w:tcPr>
          <w:p w:rsidR="00555918" w:rsidRPr="00E400E4" w:rsidRDefault="00555918" w:rsidP="000B1771">
            <w:pPr>
              <w:pStyle w:val="TableText"/>
            </w:pPr>
            <w:r w:rsidRPr="00E400E4">
              <w:t>0.7 &lt; to ≤ 1</w:t>
            </w:r>
          </w:p>
        </w:tc>
      </w:tr>
      <w:tr w:rsidR="00555918" w:rsidRPr="00E400E4">
        <w:tc>
          <w:tcPr>
            <w:tcW w:w="1051" w:type="pct"/>
          </w:tcPr>
          <w:p w:rsidR="00555918" w:rsidRPr="00E400E4" w:rsidRDefault="00555918" w:rsidP="000B1771">
            <w:pPr>
              <w:pStyle w:val="TableText"/>
            </w:pPr>
            <w:r w:rsidRPr="00E400E4">
              <w:t>Moderate</w:t>
            </w:r>
          </w:p>
        </w:tc>
        <w:tc>
          <w:tcPr>
            <w:tcW w:w="2282" w:type="pct"/>
          </w:tcPr>
          <w:p w:rsidR="00555918" w:rsidRPr="00E400E4" w:rsidRDefault="00555918" w:rsidP="000B1771">
            <w:pPr>
              <w:pStyle w:val="TableText"/>
            </w:pPr>
            <w:r w:rsidRPr="00E400E4">
              <w:t>The event would occur with an even likelihood</w:t>
            </w:r>
          </w:p>
        </w:tc>
        <w:tc>
          <w:tcPr>
            <w:tcW w:w="1667" w:type="pct"/>
          </w:tcPr>
          <w:p w:rsidR="00555918" w:rsidRPr="00E400E4" w:rsidRDefault="00555918" w:rsidP="000B1771">
            <w:pPr>
              <w:pStyle w:val="TableText"/>
            </w:pPr>
            <w:r w:rsidRPr="00E400E4">
              <w:t>0.3 &lt; to ≤ 0.7</w:t>
            </w:r>
          </w:p>
        </w:tc>
      </w:tr>
      <w:tr w:rsidR="00555918" w:rsidRPr="00E400E4">
        <w:tc>
          <w:tcPr>
            <w:tcW w:w="1051" w:type="pct"/>
          </w:tcPr>
          <w:p w:rsidR="00555918" w:rsidRPr="00E400E4" w:rsidRDefault="00555918" w:rsidP="000B1771">
            <w:pPr>
              <w:pStyle w:val="TableText"/>
            </w:pPr>
            <w:r w:rsidRPr="00E400E4">
              <w:t>Low</w:t>
            </w:r>
          </w:p>
        </w:tc>
        <w:tc>
          <w:tcPr>
            <w:tcW w:w="2282" w:type="pct"/>
          </w:tcPr>
          <w:p w:rsidR="00555918" w:rsidRPr="00E400E4" w:rsidRDefault="00555918" w:rsidP="000B1771">
            <w:pPr>
              <w:pStyle w:val="TableText"/>
            </w:pPr>
            <w:r w:rsidRPr="00E400E4">
              <w:t>The event would be unlikely to occur</w:t>
            </w:r>
          </w:p>
        </w:tc>
        <w:tc>
          <w:tcPr>
            <w:tcW w:w="1667" w:type="pct"/>
          </w:tcPr>
          <w:p w:rsidR="00555918" w:rsidRPr="00E400E4" w:rsidRDefault="00555918" w:rsidP="000B1771">
            <w:pPr>
              <w:pStyle w:val="TableText"/>
            </w:pPr>
            <w:r w:rsidRPr="00E400E4">
              <w:t>0.05 &lt; to ≤ 0.3</w:t>
            </w:r>
          </w:p>
        </w:tc>
      </w:tr>
      <w:tr w:rsidR="00555918" w:rsidRPr="00E400E4">
        <w:tc>
          <w:tcPr>
            <w:tcW w:w="1051" w:type="pct"/>
          </w:tcPr>
          <w:p w:rsidR="00555918" w:rsidRPr="00E400E4" w:rsidRDefault="00555918" w:rsidP="000B1771">
            <w:pPr>
              <w:pStyle w:val="TableText"/>
            </w:pPr>
            <w:r w:rsidRPr="00E400E4">
              <w:t>Very low</w:t>
            </w:r>
          </w:p>
        </w:tc>
        <w:tc>
          <w:tcPr>
            <w:tcW w:w="2282" w:type="pct"/>
          </w:tcPr>
          <w:p w:rsidR="00555918" w:rsidRPr="00E400E4" w:rsidRDefault="00555918" w:rsidP="000B1771">
            <w:pPr>
              <w:pStyle w:val="TableText"/>
            </w:pPr>
            <w:r w:rsidRPr="00E400E4">
              <w:t>The event would be very unlikely to occur</w:t>
            </w:r>
          </w:p>
        </w:tc>
        <w:tc>
          <w:tcPr>
            <w:tcW w:w="1667" w:type="pct"/>
          </w:tcPr>
          <w:p w:rsidR="00555918" w:rsidRPr="00E400E4" w:rsidRDefault="00555918" w:rsidP="000B1771">
            <w:pPr>
              <w:pStyle w:val="TableText"/>
            </w:pPr>
            <w:r w:rsidRPr="00E400E4">
              <w:t>0.001 &lt; to ≤ 0.05</w:t>
            </w:r>
          </w:p>
        </w:tc>
      </w:tr>
      <w:tr w:rsidR="00555918" w:rsidRPr="00E400E4">
        <w:tc>
          <w:tcPr>
            <w:tcW w:w="1051" w:type="pct"/>
          </w:tcPr>
          <w:p w:rsidR="00555918" w:rsidRPr="00E400E4" w:rsidRDefault="00555918" w:rsidP="000B1771">
            <w:pPr>
              <w:pStyle w:val="TableText"/>
            </w:pPr>
            <w:r w:rsidRPr="00E400E4">
              <w:t>Extremely low</w:t>
            </w:r>
          </w:p>
        </w:tc>
        <w:tc>
          <w:tcPr>
            <w:tcW w:w="2282" w:type="pct"/>
          </w:tcPr>
          <w:p w:rsidR="00555918" w:rsidRPr="00E400E4" w:rsidRDefault="00555918" w:rsidP="000B1771">
            <w:pPr>
              <w:pStyle w:val="TableText"/>
            </w:pPr>
            <w:r w:rsidRPr="00E400E4">
              <w:t>The event would be extremely unlikely to occur</w:t>
            </w:r>
          </w:p>
        </w:tc>
        <w:tc>
          <w:tcPr>
            <w:tcW w:w="1667" w:type="pct"/>
          </w:tcPr>
          <w:p w:rsidR="00555918" w:rsidRPr="00E400E4" w:rsidRDefault="00555918" w:rsidP="000B1771">
            <w:pPr>
              <w:pStyle w:val="TableText"/>
            </w:pPr>
            <w:r w:rsidRPr="00E400E4">
              <w:t>0.000001 &lt; to ≤ 0.001</w:t>
            </w:r>
          </w:p>
        </w:tc>
      </w:tr>
      <w:tr w:rsidR="00555918" w:rsidRPr="00E400E4">
        <w:tc>
          <w:tcPr>
            <w:tcW w:w="1051" w:type="pct"/>
          </w:tcPr>
          <w:p w:rsidR="00555918" w:rsidRPr="00E400E4" w:rsidRDefault="00555918" w:rsidP="000B1771">
            <w:pPr>
              <w:pStyle w:val="TableText"/>
            </w:pPr>
            <w:r w:rsidRPr="00E400E4">
              <w:t>Negligible</w:t>
            </w:r>
          </w:p>
        </w:tc>
        <w:tc>
          <w:tcPr>
            <w:tcW w:w="2282" w:type="pct"/>
          </w:tcPr>
          <w:p w:rsidR="00555918" w:rsidRPr="00E400E4" w:rsidRDefault="00555918" w:rsidP="000B1771">
            <w:pPr>
              <w:pStyle w:val="TableText"/>
            </w:pPr>
            <w:r w:rsidRPr="00E400E4">
              <w:t>The event would almost certainly not occur</w:t>
            </w:r>
          </w:p>
        </w:tc>
        <w:tc>
          <w:tcPr>
            <w:tcW w:w="1667" w:type="pct"/>
          </w:tcPr>
          <w:p w:rsidR="00555918" w:rsidRPr="00E400E4" w:rsidRDefault="00555918" w:rsidP="000B1771">
            <w:pPr>
              <w:pStyle w:val="TableText"/>
            </w:pPr>
            <w:r w:rsidRPr="00E400E4">
              <w:t>0 &lt; to ≤ 0.000001</w:t>
            </w:r>
          </w:p>
        </w:tc>
      </w:tr>
    </w:tbl>
    <w:p w:rsidR="00555918" w:rsidRPr="00E400E4" w:rsidRDefault="00555918" w:rsidP="000B1771">
      <w:pPr>
        <w:pStyle w:val="Heading5"/>
      </w:pPr>
      <w:r w:rsidRPr="00E400E4">
        <w:t>Combining likelihoods</w:t>
      </w:r>
    </w:p>
    <w:p w:rsidR="00555918" w:rsidRPr="00E400E4" w:rsidRDefault="00555918" w:rsidP="000B1771">
      <w:r w:rsidRPr="00E400E4">
        <w:t>The likelihood of entry is determined by combining the likelihood that the pest will be imported into the PRA area and the likelihood that the pest will be distributed within the PRA area, using a matrix of rules (</w:t>
      </w:r>
      <w:r w:rsidRPr="00E400E4">
        <w:fldChar w:fldCharType="begin"/>
      </w:r>
      <w:r w:rsidRPr="00E400E4">
        <w:instrText xml:space="preserve"> REF _Ref457826328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2</w:t>
      </w:r>
      <w:r w:rsidRPr="00E400E4">
        <w:fldChar w:fldCharType="end"/>
      </w:r>
      <w:r w:rsidRPr="00E400E4">
        <w:t>). This matrix is then used to combine the likelihood of entry and the likelihood of establishment, and the likelihood of entry and establishment is then combined with the likelihood of spread to determine the overall likelihood of entry, establishment and spread.</w:t>
      </w:r>
    </w:p>
    <w:p w:rsidR="00555918" w:rsidRPr="00E400E4" w:rsidRDefault="00555918" w:rsidP="000B1771">
      <w:r w:rsidRPr="00E400E4">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rsidR="00555918" w:rsidRPr="00E400E4" w:rsidRDefault="00555918" w:rsidP="000B1771">
      <w:pPr>
        <w:tabs>
          <w:tab w:val="left" w:pos="4395"/>
        </w:tabs>
      </w:pPr>
      <w:r w:rsidRPr="00E400E4">
        <w:t>importation x distribution = entry [E]</w:t>
      </w:r>
      <w:r w:rsidRPr="00E400E4">
        <w:tab/>
      </w:r>
      <w:r w:rsidRPr="00E400E4">
        <w:rPr>
          <w:rStyle w:val="Strong"/>
        </w:rPr>
        <w:t>low x moderate = low</w:t>
      </w:r>
    </w:p>
    <w:p w:rsidR="00555918" w:rsidRPr="00E400E4" w:rsidRDefault="00555918" w:rsidP="000B1771">
      <w:pPr>
        <w:tabs>
          <w:tab w:val="left" w:pos="4395"/>
        </w:tabs>
      </w:pPr>
      <w:r w:rsidRPr="00E400E4">
        <w:t xml:space="preserve">entry x establishment = [EE] </w:t>
      </w:r>
      <w:r w:rsidRPr="00E400E4">
        <w:tab/>
      </w:r>
      <w:r w:rsidRPr="00E400E4">
        <w:rPr>
          <w:rStyle w:val="Strong"/>
        </w:rPr>
        <w:t>low x high = low</w:t>
      </w:r>
    </w:p>
    <w:p w:rsidR="00555918" w:rsidRPr="00E400E4" w:rsidRDefault="00555918" w:rsidP="000B1771">
      <w:pPr>
        <w:tabs>
          <w:tab w:val="left" w:pos="4395"/>
        </w:tabs>
        <w:rPr>
          <w:rStyle w:val="Strong"/>
        </w:rPr>
      </w:pPr>
      <w:r w:rsidRPr="00E400E4">
        <w:t xml:space="preserve">[EE] x spread = [EES] </w:t>
      </w:r>
      <w:r w:rsidRPr="00E400E4">
        <w:tab/>
      </w:r>
      <w:r w:rsidRPr="00E400E4">
        <w:rPr>
          <w:rStyle w:val="Strong"/>
        </w:rPr>
        <w:t>low x very low = very low</w:t>
      </w:r>
      <w:r w:rsidRPr="00E400E4">
        <w:rPr>
          <w:rStyle w:val="Strong"/>
        </w:rPr>
        <w:br w:type="page"/>
      </w:r>
    </w:p>
    <w:p w:rsidR="00555918" w:rsidRPr="00E400E4" w:rsidRDefault="00555918" w:rsidP="000B1771">
      <w:pPr>
        <w:pStyle w:val="Caption"/>
      </w:pPr>
      <w:bookmarkStart w:id="22" w:name="_Ref457826328"/>
      <w:bookmarkStart w:id="23" w:name="_Toc24702438"/>
      <w:r w:rsidRPr="00E400E4">
        <w:lastRenderedPageBreak/>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2</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2</w:t>
      </w:r>
      <w:r w:rsidRPr="00E400E4">
        <w:rPr>
          <w:noProof/>
        </w:rPr>
        <w:fldChar w:fldCharType="end"/>
      </w:r>
      <w:bookmarkEnd w:id="22"/>
      <w:r w:rsidRPr="00E400E4">
        <w:t xml:space="preserve"> Matrix of rules for combining likelihoods</w:t>
      </w:r>
      <w:bookmarkEnd w:id="23"/>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555918" w:rsidRPr="00E400E4">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rsidR="00555918" w:rsidRPr="00E400E4" w:rsidRDefault="00555918" w:rsidP="000B1771">
            <w:pPr>
              <w:pStyle w:val="TableText"/>
            </w:pPr>
          </w:p>
        </w:tc>
        <w:tc>
          <w:tcPr>
            <w:tcW w:w="723" w:type="pct"/>
            <w:tcBorders>
              <w:top w:val="single" w:sz="8" w:space="0" w:color="auto"/>
              <w:left w:val="nil"/>
              <w:bottom w:val="single" w:sz="8" w:space="0" w:color="C0C0C0"/>
            </w:tcBorders>
            <w:shd w:val="clear" w:color="auto" w:fill="auto"/>
          </w:tcPr>
          <w:p w:rsidR="00555918" w:rsidRPr="00E400E4" w:rsidRDefault="00555918" w:rsidP="000B1771">
            <w:pPr>
              <w:pStyle w:val="TableText"/>
            </w:pPr>
            <w:r w:rsidRPr="00E400E4">
              <w:t>High</w:t>
            </w:r>
          </w:p>
        </w:tc>
        <w:tc>
          <w:tcPr>
            <w:tcW w:w="724" w:type="pct"/>
            <w:tcBorders>
              <w:top w:val="single" w:sz="8" w:space="0" w:color="auto"/>
              <w:bottom w:val="single" w:sz="8" w:space="0" w:color="C0C0C0"/>
            </w:tcBorders>
            <w:shd w:val="clear" w:color="auto" w:fill="auto"/>
          </w:tcPr>
          <w:p w:rsidR="00555918" w:rsidRPr="00E400E4" w:rsidRDefault="00555918" w:rsidP="000B1771">
            <w:pPr>
              <w:pStyle w:val="TableText"/>
            </w:pPr>
            <w:r w:rsidRPr="00E400E4">
              <w:t>Moderate</w:t>
            </w:r>
          </w:p>
        </w:tc>
        <w:tc>
          <w:tcPr>
            <w:tcW w:w="723" w:type="pct"/>
            <w:tcBorders>
              <w:top w:val="single" w:sz="8" w:space="0" w:color="auto"/>
              <w:bottom w:val="single" w:sz="8" w:space="0" w:color="C0C0C0"/>
            </w:tcBorders>
            <w:shd w:val="clear" w:color="auto" w:fill="auto"/>
          </w:tcPr>
          <w:p w:rsidR="00555918" w:rsidRPr="00E400E4" w:rsidRDefault="00555918" w:rsidP="000B1771">
            <w:pPr>
              <w:pStyle w:val="TableText"/>
            </w:pPr>
            <w:r w:rsidRPr="00E400E4">
              <w:t>Low</w:t>
            </w:r>
          </w:p>
        </w:tc>
        <w:tc>
          <w:tcPr>
            <w:tcW w:w="723" w:type="pct"/>
            <w:tcBorders>
              <w:top w:val="single" w:sz="8" w:space="0" w:color="auto"/>
              <w:bottom w:val="single" w:sz="8" w:space="0" w:color="C0C0C0"/>
            </w:tcBorders>
            <w:shd w:val="clear" w:color="auto" w:fill="auto"/>
          </w:tcPr>
          <w:p w:rsidR="00555918" w:rsidRPr="00E400E4" w:rsidRDefault="00555918" w:rsidP="000B1771">
            <w:pPr>
              <w:pStyle w:val="TableText"/>
            </w:pPr>
            <w:r w:rsidRPr="00E400E4">
              <w:t>Very low</w:t>
            </w:r>
          </w:p>
        </w:tc>
        <w:tc>
          <w:tcPr>
            <w:tcW w:w="724" w:type="pct"/>
            <w:tcBorders>
              <w:top w:val="single" w:sz="8" w:space="0" w:color="auto"/>
              <w:bottom w:val="single" w:sz="8" w:space="0" w:color="C0C0C0"/>
            </w:tcBorders>
            <w:shd w:val="clear" w:color="auto" w:fill="auto"/>
          </w:tcPr>
          <w:p w:rsidR="00555918" w:rsidRPr="00E400E4" w:rsidRDefault="00555918" w:rsidP="000B1771">
            <w:pPr>
              <w:pStyle w:val="TableText"/>
            </w:pPr>
            <w:r w:rsidRPr="00E400E4">
              <w:t>Extremely low</w:t>
            </w:r>
          </w:p>
        </w:tc>
        <w:tc>
          <w:tcPr>
            <w:tcW w:w="723" w:type="pct"/>
            <w:tcBorders>
              <w:top w:val="single" w:sz="8" w:space="0" w:color="auto"/>
              <w:bottom w:val="single" w:sz="8" w:space="0" w:color="C0C0C0"/>
              <w:right w:val="single" w:sz="8" w:space="0" w:color="auto"/>
            </w:tcBorders>
            <w:shd w:val="clear" w:color="auto" w:fill="auto"/>
          </w:tcPr>
          <w:p w:rsidR="00555918" w:rsidRPr="00E400E4" w:rsidRDefault="00555918" w:rsidP="000B1771">
            <w:pPr>
              <w:pStyle w:val="TableText"/>
            </w:pPr>
            <w:r w:rsidRPr="00E400E4">
              <w:t>Negligible</w:t>
            </w:r>
          </w:p>
        </w:tc>
      </w:tr>
      <w:tr w:rsidR="00555918" w:rsidRPr="00E400E4">
        <w:trPr>
          <w:cantSplit/>
        </w:trPr>
        <w:tc>
          <w:tcPr>
            <w:tcW w:w="660" w:type="pct"/>
            <w:tcBorders>
              <w:top w:val="nil"/>
              <w:left w:val="single" w:sz="8" w:space="0" w:color="auto"/>
              <w:bottom w:val="single" w:sz="8" w:space="0" w:color="C0C0C0"/>
            </w:tcBorders>
            <w:vAlign w:val="center"/>
          </w:tcPr>
          <w:p w:rsidR="00555918" w:rsidRPr="00E400E4" w:rsidRDefault="00555918" w:rsidP="000B1771">
            <w:pPr>
              <w:pStyle w:val="TableText"/>
            </w:pPr>
            <w:r w:rsidRPr="00E400E4">
              <w:t>High</w:t>
            </w:r>
          </w:p>
        </w:tc>
        <w:tc>
          <w:tcPr>
            <w:tcW w:w="723" w:type="pct"/>
            <w:tcBorders>
              <w:top w:val="single" w:sz="8" w:space="0" w:color="C0C0C0"/>
              <w:bottom w:val="single" w:sz="8" w:space="0" w:color="C0C0C0"/>
            </w:tcBorders>
            <w:shd w:val="clear" w:color="auto" w:fill="FF99CC"/>
            <w:vAlign w:val="center"/>
          </w:tcPr>
          <w:p w:rsidR="00555918" w:rsidRPr="00E400E4" w:rsidRDefault="00555918" w:rsidP="000B1771">
            <w:pPr>
              <w:pStyle w:val="TableText"/>
              <w:rPr>
                <w:snapToGrid w:val="0"/>
              </w:rPr>
            </w:pPr>
            <w:r w:rsidRPr="00E400E4">
              <w:rPr>
                <w:snapToGrid w:val="0"/>
              </w:rPr>
              <w:t>High</w:t>
            </w:r>
          </w:p>
        </w:tc>
        <w:tc>
          <w:tcPr>
            <w:tcW w:w="724" w:type="pct"/>
            <w:tcBorders>
              <w:top w:val="single" w:sz="8" w:space="0" w:color="C0C0C0"/>
            </w:tcBorders>
            <w:shd w:val="clear" w:color="auto" w:fill="FFCC99"/>
            <w:vAlign w:val="center"/>
          </w:tcPr>
          <w:p w:rsidR="00555918" w:rsidRPr="00E400E4" w:rsidRDefault="00555918" w:rsidP="000B1771">
            <w:pPr>
              <w:pStyle w:val="TableText"/>
              <w:rPr>
                <w:snapToGrid w:val="0"/>
              </w:rPr>
            </w:pPr>
            <w:r w:rsidRPr="00E400E4">
              <w:rPr>
                <w:snapToGrid w:val="0"/>
              </w:rPr>
              <w:t>Moderate</w:t>
            </w:r>
          </w:p>
        </w:tc>
        <w:tc>
          <w:tcPr>
            <w:tcW w:w="723" w:type="pct"/>
            <w:tcBorders>
              <w:top w:val="single" w:sz="8" w:space="0" w:color="C0C0C0"/>
            </w:tcBorders>
            <w:shd w:val="clear" w:color="auto" w:fill="FFFF99"/>
            <w:vAlign w:val="center"/>
          </w:tcPr>
          <w:p w:rsidR="00555918" w:rsidRPr="00E400E4" w:rsidRDefault="00555918" w:rsidP="000B1771">
            <w:pPr>
              <w:pStyle w:val="TableText"/>
              <w:rPr>
                <w:snapToGrid w:val="0"/>
              </w:rPr>
            </w:pPr>
            <w:r w:rsidRPr="00E400E4">
              <w:rPr>
                <w:snapToGrid w:val="0"/>
              </w:rPr>
              <w:t>Low</w:t>
            </w:r>
          </w:p>
        </w:tc>
        <w:tc>
          <w:tcPr>
            <w:tcW w:w="723" w:type="pct"/>
            <w:tcBorders>
              <w:top w:val="single" w:sz="8" w:space="0" w:color="C0C0C0"/>
            </w:tcBorders>
            <w:shd w:val="clear" w:color="auto" w:fill="CCFFCC"/>
            <w:vAlign w:val="center"/>
          </w:tcPr>
          <w:p w:rsidR="00555918" w:rsidRPr="00E400E4" w:rsidRDefault="00555918" w:rsidP="000B1771">
            <w:pPr>
              <w:pStyle w:val="TableText"/>
              <w:rPr>
                <w:snapToGrid w:val="0"/>
              </w:rPr>
            </w:pPr>
            <w:r w:rsidRPr="00E400E4">
              <w:rPr>
                <w:snapToGrid w:val="0"/>
              </w:rPr>
              <w:t>Very low</w:t>
            </w:r>
          </w:p>
        </w:tc>
        <w:tc>
          <w:tcPr>
            <w:tcW w:w="724" w:type="pct"/>
            <w:tcBorders>
              <w:top w:val="single" w:sz="8" w:space="0" w:color="C0C0C0"/>
            </w:tcBorders>
            <w:shd w:val="clear" w:color="auto" w:fill="CCFFFF"/>
            <w:vAlign w:val="center"/>
          </w:tcPr>
          <w:p w:rsidR="00555918" w:rsidRPr="00E400E4" w:rsidRDefault="00555918" w:rsidP="000B1771">
            <w:pPr>
              <w:pStyle w:val="TableText"/>
              <w:rPr>
                <w:snapToGrid w:val="0"/>
              </w:rPr>
            </w:pPr>
            <w:r w:rsidRPr="00E400E4">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rsidR="00555918" w:rsidRPr="00E400E4" w:rsidRDefault="00555918" w:rsidP="000B1771">
            <w:pPr>
              <w:pStyle w:val="TableText"/>
              <w:rPr>
                <w:rFonts w:cs="Arial"/>
                <w:snapToGrid w:val="0"/>
                <w:szCs w:val="18"/>
              </w:rPr>
            </w:pPr>
            <w:r w:rsidRPr="00E400E4">
              <w:rPr>
                <w:rFonts w:cs="Arial"/>
                <w:snapToGrid w:val="0"/>
                <w:szCs w:val="18"/>
              </w:rPr>
              <w:t>Negligible</w:t>
            </w:r>
          </w:p>
        </w:tc>
      </w:tr>
      <w:tr w:rsidR="00555918" w:rsidRPr="00E400E4">
        <w:trPr>
          <w:cantSplit/>
        </w:trPr>
        <w:tc>
          <w:tcPr>
            <w:tcW w:w="1382" w:type="pct"/>
            <w:gridSpan w:val="2"/>
            <w:tcBorders>
              <w:top w:val="single" w:sz="8" w:space="0" w:color="C0C0C0"/>
              <w:left w:val="single" w:sz="8" w:space="0" w:color="auto"/>
              <w:bottom w:val="single" w:sz="8" w:space="0" w:color="C0C0C0"/>
            </w:tcBorders>
            <w:vAlign w:val="center"/>
          </w:tcPr>
          <w:p w:rsidR="00555918" w:rsidRPr="00E400E4" w:rsidRDefault="00555918" w:rsidP="000B1771">
            <w:pPr>
              <w:pStyle w:val="TableText"/>
            </w:pPr>
            <w:r w:rsidRPr="00E400E4">
              <w:t>Moderate</w:t>
            </w:r>
          </w:p>
        </w:tc>
        <w:tc>
          <w:tcPr>
            <w:tcW w:w="724" w:type="pct"/>
            <w:tcBorders>
              <w:bottom w:val="single" w:sz="8" w:space="0" w:color="C0C0C0"/>
            </w:tcBorders>
            <w:shd w:val="clear" w:color="auto" w:fill="FFFF99"/>
            <w:vAlign w:val="center"/>
          </w:tcPr>
          <w:p w:rsidR="00555918" w:rsidRPr="00E400E4" w:rsidRDefault="00555918" w:rsidP="000B1771">
            <w:pPr>
              <w:pStyle w:val="TableText"/>
              <w:rPr>
                <w:snapToGrid w:val="0"/>
              </w:rPr>
            </w:pPr>
            <w:r w:rsidRPr="00E400E4">
              <w:rPr>
                <w:snapToGrid w:val="0"/>
              </w:rPr>
              <w:t>Low</w:t>
            </w:r>
          </w:p>
        </w:tc>
        <w:tc>
          <w:tcPr>
            <w:tcW w:w="723" w:type="pct"/>
            <w:shd w:val="clear" w:color="auto" w:fill="FFFF99"/>
            <w:vAlign w:val="center"/>
          </w:tcPr>
          <w:p w:rsidR="00555918" w:rsidRPr="00E400E4" w:rsidRDefault="00555918" w:rsidP="000B1771">
            <w:pPr>
              <w:pStyle w:val="TableText"/>
              <w:rPr>
                <w:snapToGrid w:val="0"/>
              </w:rPr>
            </w:pPr>
            <w:r w:rsidRPr="00E400E4">
              <w:rPr>
                <w:snapToGrid w:val="0"/>
              </w:rPr>
              <w:t>Low</w:t>
            </w:r>
          </w:p>
        </w:tc>
        <w:tc>
          <w:tcPr>
            <w:tcW w:w="723" w:type="pct"/>
            <w:shd w:val="clear" w:color="auto" w:fill="CCFFCC"/>
            <w:vAlign w:val="center"/>
          </w:tcPr>
          <w:p w:rsidR="00555918" w:rsidRPr="00E400E4" w:rsidRDefault="00555918" w:rsidP="000B1771">
            <w:pPr>
              <w:pStyle w:val="TableText"/>
              <w:rPr>
                <w:snapToGrid w:val="0"/>
              </w:rPr>
            </w:pPr>
            <w:r w:rsidRPr="00E400E4">
              <w:rPr>
                <w:snapToGrid w:val="0"/>
              </w:rPr>
              <w:t>Very low</w:t>
            </w:r>
          </w:p>
        </w:tc>
        <w:tc>
          <w:tcPr>
            <w:tcW w:w="724" w:type="pct"/>
            <w:shd w:val="clear" w:color="auto" w:fill="CCFFFF"/>
            <w:vAlign w:val="center"/>
          </w:tcPr>
          <w:p w:rsidR="00555918" w:rsidRPr="00E400E4" w:rsidRDefault="00555918" w:rsidP="000B1771">
            <w:pPr>
              <w:pStyle w:val="TableText"/>
              <w:rPr>
                <w:snapToGrid w:val="0"/>
              </w:rPr>
            </w:pPr>
            <w:r w:rsidRPr="00E400E4">
              <w:rPr>
                <w:snapToGrid w:val="0"/>
              </w:rPr>
              <w:t>Extremely low</w:t>
            </w:r>
          </w:p>
        </w:tc>
        <w:tc>
          <w:tcPr>
            <w:tcW w:w="723" w:type="pct"/>
            <w:tcBorders>
              <w:right w:val="single" w:sz="8" w:space="0" w:color="auto"/>
            </w:tcBorders>
            <w:shd w:val="clear" w:color="auto" w:fill="F2F2F2" w:themeFill="background1" w:themeFillShade="F2"/>
            <w:vAlign w:val="center"/>
          </w:tcPr>
          <w:p w:rsidR="00555918" w:rsidRPr="00E400E4" w:rsidRDefault="00555918" w:rsidP="000B1771">
            <w:pPr>
              <w:pStyle w:val="TableText"/>
              <w:rPr>
                <w:rFonts w:cs="Arial"/>
                <w:snapToGrid w:val="0"/>
                <w:szCs w:val="18"/>
              </w:rPr>
            </w:pPr>
            <w:r w:rsidRPr="00E400E4">
              <w:rPr>
                <w:rFonts w:cs="Arial"/>
                <w:snapToGrid w:val="0"/>
                <w:szCs w:val="18"/>
              </w:rPr>
              <w:t>Negligible</w:t>
            </w:r>
          </w:p>
        </w:tc>
      </w:tr>
      <w:tr w:rsidR="00555918" w:rsidRPr="00E400E4">
        <w:trPr>
          <w:cantSplit/>
        </w:trPr>
        <w:tc>
          <w:tcPr>
            <w:tcW w:w="2106" w:type="pct"/>
            <w:gridSpan w:val="3"/>
            <w:tcBorders>
              <w:top w:val="single" w:sz="8" w:space="0" w:color="C0C0C0"/>
              <w:left w:val="single" w:sz="8" w:space="0" w:color="auto"/>
              <w:bottom w:val="single" w:sz="8" w:space="0" w:color="C0C0C0"/>
            </w:tcBorders>
            <w:vAlign w:val="center"/>
          </w:tcPr>
          <w:p w:rsidR="00555918" w:rsidRPr="00E400E4" w:rsidRDefault="00555918" w:rsidP="000B1771">
            <w:pPr>
              <w:pStyle w:val="TableText"/>
            </w:pPr>
            <w:r w:rsidRPr="00E400E4">
              <w:t>Low</w:t>
            </w:r>
          </w:p>
        </w:tc>
        <w:tc>
          <w:tcPr>
            <w:tcW w:w="723" w:type="pct"/>
            <w:tcBorders>
              <w:bottom w:val="single" w:sz="8" w:space="0" w:color="C0C0C0"/>
            </w:tcBorders>
            <w:shd w:val="clear" w:color="auto" w:fill="CCFFCC"/>
            <w:vAlign w:val="center"/>
          </w:tcPr>
          <w:p w:rsidR="00555918" w:rsidRPr="00E400E4" w:rsidRDefault="00555918" w:rsidP="000B1771">
            <w:pPr>
              <w:pStyle w:val="TableText"/>
              <w:rPr>
                <w:snapToGrid w:val="0"/>
              </w:rPr>
            </w:pPr>
            <w:r w:rsidRPr="00E400E4">
              <w:rPr>
                <w:snapToGrid w:val="0"/>
              </w:rPr>
              <w:t>Very low</w:t>
            </w:r>
          </w:p>
        </w:tc>
        <w:tc>
          <w:tcPr>
            <w:tcW w:w="723" w:type="pct"/>
            <w:shd w:val="clear" w:color="auto" w:fill="CCFFCC"/>
            <w:vAlign w:val="center"/>
          </w:tcPr>
          <w:p w:rsidR="00555918" w:rsidRPr="00E400E4" w:rsidRDefault="00555918" w:rsidP="000B1771">
            <w:pPr>
              <w:pStyle w:val="TableText"/>
              <w:rPr>
                <w:snapToGrid w:val="0"/>
              </w:rPr>
            </w:pPr>
            <w:r w:rsidRPr="00E400E4">
              <w:rPr>
                <w:snapToGrid w:val="0"/>
              </w:rPr>
              <w:t>Very low</w:t>
            </w:r>
          </w:p>
        </w:tc>
        <w:tc>
          <w:tcPr>
            <w:tcW w:w="724" w:type="pct"/>
            <w:shd w:val="clear" w:color="auto" w:fill="CCFFFF"/>
            <w:vAlign w:val="center"/>
          </w:tcPr>
          <w:p w:rsidR="00555918" w:rsidRPr="00E400E4" w:rsidRDefault="00555918" w:rsidP="000B1771">
            <w:pPr>
              <w:pStyle w:val="TableText"/>
              <w:rPr>
                <w:snapToGrid w:val="0"/>
              </w:rPr>
            </w:pPr>
            <w:r w:rsidRPr="00E400E4">
              <w:rPr>
                <w:snapToGrid w:val="0"/>
              </w:rPr>
              <w:t>Extremely low</w:t>
            </w:r>
          </w:p>
        </w:tc>
        <w:tc>
          <w:tcPr>
            <w:tcW w:w="723" w:type="pct"/>
            <w:tcBorders>
              <w:right w:val="single" w:sz="8" w:space="0" w:color="auto"/>
            </w:tcBorders>
            <w:shd w:val="clear" w:color="auto" w:fill="F2F2F2" w:themeFill="background1" w:themeFillShade="F2"/>
            <w:vAlign w:val="center"/>
          </w:tcPr>
          <w:p w:rsidR="00555918" w:rsidRPr="00E400E4" w:rsidRDefault="00555918" w:rsidP="000B1771">
            <w:pPr>
              <w:pStyle w:val="TableText"/>
              <w:rPr>
                <w:rFonts w:cs="Arial"/>
                <w:snapToGrid w:val="0"/>
                <w:szCs w:val="18"/>
              </w:rPr>
            </w:pPr>
            <w:r w:rsidRPr="00E400E4">
              <w:rPr>
                <w:rFonts w:cs="Arial"/>
                <w:snapToGrid w:val="0"/>
                <w:szCs w:val="18"/>
              </w:rPr>
              <w:t>Negligible</w:t>
            </w:r>
          </w:p>
        </w:tc>
      </w:tr>
      <w:tr w:rsidR="00555918" w:rsidRPr="00E400E4">
        <w:trPr>
          <w:cantSplit/>
        </w:trPr>
        <w:tc>
          <w:tcPr>
            <w:tcW w:w="2830" w:type="pct"/>
            <w:gridSpan w:val="4"/>
            <w:tcBorders>
              <w:top w:val="single" w:sz="8" w:space="0" w:color="C0C0C0"/>
              <w:left w:val="single" w:sz="8" w:space="0" w:color="auto"/>
              <w:bottom w:val="single" w:sz="8" w:space="0" w:color="C0C0C0"/>
            </w:tcBorders>
            <w:vAlign w:val="center"/>
          </w:tcPr>
          <w:p w:rsidR="00555918" w:rsidRPr="00E400E4" w:rsidRDefault="00555918" w:rsidP="000B1771">
            <w:pPr>
              <w:pStyle w:val="TableText"/>
            </w:pPr>
            <w:r w:rsidRPr="00E400E4">
              <w:t>Very low</w:t>
            </w:r>
          </w:p>
        </w:tc>
        <w:tc>
          <w:tcPr>
            <w:tcW w:w="723" w:type="pct"/>
            <w:tcBorders>
              <w:bottom w:val="single" w:sz="8" w:space="0" w:color="C0C0C0"/>
            </w:tcBorders>
            <w:shd w:val="clear" w:color="auto" w:fill="CCFFFF"/>
            <w:vAlign w:val="center"/>
          </w:tcPr>
          <w:p w:rsidR="00555918" w:rsidRPr="00E400E4" w:rsidRDefault="00555918" w:rsidP="000B1771">
            <w:pPr>
              <w:pStyle w:val="TableText"/>
              <w:rPr>
                <w:snapToGrid w:val="0"/>
              </w:rPr>
            </w:pPr>
            <w:r w:rsidRPr="00E400E4">
              <w:rPr>
                <w:snapToGrid w:val="0"/>
              </w:rPr>
              <w:t>Extremely low</w:t>
            </w:r>
          </w:p>
        </w:tc>
        <w:tc>
          <w:tcPr>
            <w:tcW w:w="724" w:type="pct"/>
            <w:shd w:val="clear" w:color="auto" w:fill="CCFFFF"/>
            <w:vAlign w:val="center"/>
          </w:tcPr>
          <w:p w:rsidR="00555918" w:rsidRPr="00E400E4" w:rsidRDefault="00555918" w:rsidP="000B1771">
            <w:pPr>
              <w:pStyle w:val="TableText"/>
              <w:rPr>
                <w:snapToGrid w:val="0"/>
              </w:rPr>
            </w:pPr>
            <w:r w:rsidRPr="00E400E4">
              <w:rPr>
                <w:snapToGrid w:val="0"/>
              </w:rPr>
              <w:t>Extremely low</w:t>
            </w:r>
          </w:p>
        </w:tc>
        <w:tc>
          <w:tcPr>
            <w:tcW w:w="723" w:type="pct"/>
            <w:tcBorders>
              <w:right w:val="single" w:sz="8" w:space="0" w:color="auto"/>
            </w:tcBorders>
            <w:shd w:val="clear" w:color="auto" w:fill="F2F2F2" w:themeFill="background1" w:themeFillShade="F2"/>
            <w:vAlign w:val="center"/>
          </w:tcPr>
          <w:p w:rsidR="00555918" w:rsidRPr="00E400E4" w:rsidRDefault="00555918" w:rsidP="000B1771">
            <w:pPr>
              <w:pStyle w:val="TableText"/>
              <w:rPr>
                <w:rFonts w:cs="Arial"/>
                <w:snapToGrid w:val="0"/>
                <w:szCs w:val="18"/>
              </w:rPr>
            </w:pPr>
            <w:r w:rsidRPr="00E400E4">
              <w:rPr>
                <w:rFonts w:cs="Arial"/>
                <w:snapToGrid w:val="0"/>
                <w:szCs w:val="18"/>
              </w:rPr>
              <w:t>Negligible</w:t>
            </w:r>
          </w:p>
        </w:tc>
      </w:tr>
      <w:tr w:rsidR="00555918" w:rsidRPr="00E400E4">
        <w:trPr>
          <w:cantSplit/>
        </w:trPr>
        <w:tc>
          <w:tcPr>
            <w:tcW w:w="3553" w:type="pct"/>
            <w:gridSpan w:val="5"/>
            <w:tcBorders>
              <w:top w:val="single" w:sz="8" w:space="0" w:color="C0C0C0"/>
              <w:left w:val="single" w:sz="8" w:space="0" w:color="auto"/>
              <w:bottom w:val="single" w:sz="8" w:space="0" w:color="C0C0C0"/>
            </w:tcBorders>
            <w:vAlign w:val="center"/>
          </w:tcPr>
          <w:p w:rsidR="00555918" w:rsidRPr="00E400E4" w:rsidRDefault="00555918" w:rsidP="000B1771">
            <w:pPr>
              <w:pStyle w:val="TableText"/>
            </w:pPr>
            <w:r w:rsidRPr="00E400E4">
              <w:t>Extremely low</w:t>
            </w:r>
          </w:p>
        </w:tc>
        <w:tc>
          <w:tcPr>
            <w:tcW w:w="724" w:type="pct"/>
            <w:tcBorders>
              <w:bottom w:val="single" w:sz="8" w:space="0" w:color="C0C0C0"/>
            </w:tcBorders>
            <w:shd w:val="clear" w:color="auto" w:fill="F2F2F2" w:themeFill="background1" w:themeFillShade="F2"/>
            <w:vAlign w:val="center"/>
          </w:tcPr>
          <w:p w:rsidR="00555918" w:rsidRPr="00E400E4" w:rsidRDefault="00555918" w:rsidP="000B1771">
            <w:pPr>
              <w:pStyle w:val="TableText"/>
              <w:rPr>
                <w:snapToGrid w:val="0"/>
              </w:rPr>
            </w:pPr>
            <w:r w:rsidRPr="00E400E4">
              <w:rPr>
                <w:snapToGrid w:val="0"/>
              </w:rPr>
              <w:t>Negligible</w:t>
            </w:r>
          </w:p>
        </w:tc>
        <w:tc>
          <w:tcPr>
            <w:tcW w:w="723" w:type="pct"/>
            <w:tcBorders>
              <w:right w:val="single" w:sz="8" w:space="0" w:color="auto"/>
            </w:tcBorders>
            <w:shd w:val="clear" w:color="auto" w:fill="F2F2F2" w:themeFill="background1" w:themeFillShade="F2"/>
            <w:vAlign w:val="center"/>
          </w:tcPr>
          <w:p w:rsidR="00555918" w:rsidRPr="00E400E4" w:rsidRDefault="00555918" w:rsidP="000B1771">
            <w:pPr>
              <w:pStyle w:val="TableText"/>
              <w:rPr>
                <w:rFonts w:cs="Arial"/>
                <w:snapToGrid w:val="0"/>
                <w:szCs w:val="18"/>
              </w:rPr>
            </w:pPr>
            <w:r w:rsidRPr="00E400E4">
              <w:rPr>
                <w:rFonts w:cs="Arial"/>
                <w:snapToGrid w:val="0"/>
                <w:szCs w:val="18"/>
              </w:rPr>
              <w:t>Negligible</w:t>
            </w:r>
          </w:p>
        </w:tc>
      </w:tr>
      <w:tr w:rsidR="00555918" w:rsidRPr="00E400E4">
        <w:trPr>
          <w:cantSplit/>
        </w:trPr>
        <w:tc>
          <w:tcPr>
            <w:tcW w:w="4277" w:type="pct"/>
            <w:gridSpan w:val="6"/>
            <w:tcBorders>
              <w:top w:val="single" w:sz="8" w:space="0" w:color="C0C0C0"/>
              <w:left w:val="single" w:sz="8" w:space="0" w:color="auto"/>
              <w:bottom w:val="single" w:sz="8" w:space="0" w:color="auto"/>
            </w:tcBorders>
            <w:vAlign w:val="center"/>
          </w:tcPr>
          <w:p w:rsidR="00555918" w:rsidRPr="00E400E4" w:rsidRDefault="00555918" w:rsidP="000B1771">
            <w:pPr>
              <w:pStyle w:val="TableText"/>
            </w:pPr>
            <w:r w:rsidRPr="00E400E4">
              <w:t>Negligible</w:t>
            </w:r>
          </w:p>
        </w:tc>
        <w:tc>
          <w:tcPr>
            <w:tcW w:w="723" w:type="pct"/>
            <w:tcBorders>
              <w:bottom w:val="single" w:sz="8" w:space="0" w:color="auto"/>
              <w:right w:val="single" w:sz="8" w:space="0" w:color="auto"/>
            </w:tcBorders>
            <w:shd w:val="clear" w:color="auto" w:fill="F2F2F2" w:themeFill="background1" w:themeFillShade="F2"/>
            <w:vAlign w:val="center"/>
          </w:tcPr>
          <w:p w:rsidR="00555918" w:rsidRPr="00E400E4" w:rsidRDefault="00555918" w:rsidP="000B1771">
            <w:pPr>
              <w:pStyle w:val="TableText"/>
              <w:rPr>
                <w:rFonts w:cs="Arial"/>
                <w:szCs w:val="18"/>
              </w:rPr>
            </w:pPr>
            <w:r w:rsidRPr="00E400E4">
              <w:rPr>
                <w:rFonts w:cs="Arial"/>
                <w:snapToGrid w:val="0"/>
                <w:szCs w:val="18"/>
              </w:rPr>
              <w:t>Negligible</w:t>
            </w:r>
          </w:p>
        </w:tc>
      </w:tr>
    </w:tbl>
    <w:p w:rsidR="00555918" w:rsidRPr="00E400E4" w:rsidRDefault="00555918" w:rsidP="000B1771">
      <w:pPr>
        <w:pStyle w:val="Heading5"/>
      </w:pPr>
      <w:r w:rsidRPr="00E400E4">
        <w:t>Time and volume of trade</w:t>
      </w:r>
    </w:p>
    <w:p w:rsidR="00555918" w:rsidRPr="00E400E4" w:rsidRDefault="00555918">
      <w:r w:rsidRPr="00E400E4">
        <w:t>One factor affecting the likelihood of entry is the volume and duration of trade. If all other conditions remain the same, the overall likelihood of entry will increase as time passes and the overall volume of trade increases.</w:t>
      </w:r>
    </w:p>
    <w:p w:rsidR="00555918" w:rsidRPr="00E400E4" w:rsidRDefault="00555918">
      <w:r w:rsidRPr="00E400E4">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rsidR="00555918" w:rsidRPr="00E400E4" w:rsidRDefault="00555918">
      <w:r w:rsidRPr="00E400E4">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rsidR="00555918" w:rsidRPr="00E400E4" w:rsidRDefault="00555918" w:rsidP="000B1771">
      <w:r w:rsidRPr="00E400E4">
        <w:t>In assessing the volume of trade in this risk analysis, the department assumed that a substantial volume of trade will occur.</w:t>
      </w:r>
    </w:p>
    <w:p w:rsidR="00555918" w:rsidRPr="00E400E4" w:rsidRDefault="00555918" w:rsidP="000B1771">
      <w:pPr>
        <w:pStyle w:val="Heading4"/>
      </w:pPr>
      <w:r w:rsidRPr="00E400E4">
        <w:t>Assessment of potential consequences</w:t>
      </w:r>
    </w:p>
    <w:p w:rsidR="00555918" w:rsidRPr="00E400E4" w:rsidRDefault="00555918" w:rsidP="000B1771">
      <w:r w:rsidRPr="00E400E4">
        <w:t xml:space="preserve">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
      </w:r>
      <w:r>
        <w:rPr>
          <w:noProof/>
        </w:rPr>
        <w:t>(WTO 1995)</w:t>
      </w:r>
      <w:r w:rsidRPr="00E400E4">
        <w:t xml:space="preserve">, ISPM 5 </w:t>
      </w:r>
      <w:r>
        <w:rPr>
          <w:noProof/>
        </w:rPr>
        <w:t>(FAO 2019b)</w:t>
      </w:r>
      <w:r w:rsidRPr="00E400E4">
        <w:t xml:space="preserve"> and ISPM 11 </w:t>
      </w:r>
      <w:r>
        <w:rPr>
          <w:noProof/>
        </w:rPr>
        <w:t>(FAO 2019c)</w:t>
      </w:r>
      <w:r w:rsidRPr="00E400E4">
        <w:t>.</w:t>
      </w:r>
    </w:p>
    <w:p w:rsidR="00555918" w:rsidRPr="00E400E4" w:rsidRDefault="00555918" w:rsidP="000B1771">
      <w:pPr>
        <w:keepNext/>
      </w:pPr>
      <w:r w:rsidRPr="00E400E4">
        <w:lastRenderedPageBreak/>
        <w:t>Direct pest effects are considered in the context of the effects on:</w:t>
      </w:r>
    </w:p>
    <w:p w:rsidR="00555918" w:rsidRPr="00E400E4" w:rsidRDefault="00555918" w:rsidP="00555918">
      <w:pPr>
        <w:pStyle w:val="ListBullet"/>
        <w:numPr>
          <w:ilvl w:val="0"/>
          <w:numId w:val="7"/>
        </w:numPr>
      </w:pPr>
      <w:r w:rsidRPr="00E400E4">
        <w:t>plant life or health</w:t>
      </w:r>
    </w:p>
    <w:p w:rsidR="00555918" w:rsidRPr="00E400E4" w:rsidRDefault="00555918" w:rsidP="00555918">
      <w:pPr>
        <w:pStyle w:val="ListBullet"/>
        <w:numPr>
          <w:ilvl w:val="0"/>
          <w:numId w:val="7"/>
        </w:numPr>
      </w:pPr>
      <w:r w:rsidRPr="00E400E4">
        <w:t>other aspects of the environment.</w:t>
      </w:r>
    </w:p>
    <w:p w:rsidR="00555918" w:rsidRPr="00E400E4" w:rsidRDefault="00555918" w:rsidP="000B1771">
      <w:pPr>
        <w:keepNext/>
      </w:pPr>
      <w:r w:rsidRPr="00E400E4">
        <w:t>Indirect pest effects are considered in the context of the effects on:</w:t>
      </w:r>
    </w:p>
    <w:p w:rsidR="00555918" w:rsidRPr="00E400E4" w:rsidRDefault="00555918" w:rsidP="00555918">
      <w:pPr>
        <w:pStyle w:val="ListBullet"/>
        <w:numPr>
          <w:ilvl w:val="0"/>
          <w:numId w:val="7"/>
        </w:numPr>
      </w:pPr>
      <w:r w:rsidRPr="00E400E4">
        <w:t>eradication, control</w:t>
      </w:r>
    </w:p>
    <w:p w:rsidR="00555918" w:rsidRPr="00E400E4" w:rsidRDefault="00555918" w:rsidP="00555918">
      <w:pPr>
        <w:pStyle w:val="ListBullet"/>
        <w:numPr>
          <w:ilvl w:val="0"/>
          <w:numId w:val="7"/>
        </w:numPr>
      </w:pPr>
      <w:r w:rsidRPr="00E400E4">
        <w:t>domestic trade</w:t>
      </w:r>
    </w:p>
    <w:p w:rsidR="00555918" w:rsidRPr="00E400E4" w:rsidRDefault="00555918" w:rsidP="00555918">
      <w:pPr>
        <w:pStyle w:val="ListBullet"/>
        <w:numPr>
          <w:ilvl w:val="0"/>
          <w:numId w:val="7"/>
        </w:numPr>
      </w:pPr>
      <w:r w:rsidRPr="00E400E4">
        <w:t>international trade</w:t>
      </w:r>
    </w:p>
    <w:p w:rsidR="00555918" w:rsidRPr="00E400E4" w:rsidRDefault="00555918" w:rsidP="00555918">
      <w:pPr>
        <w:pStyle w:val="ListBullet"/>
        <w:numPr>
          <w:ilvl w:val="0"/>
          <w:numId w:val="7"/>
        </w:numPr>
      </w:pPr>
      <w:r w:rsidRPr="00E400E4">
        <w:t>non-commercial and environmental.</w:t>
      </w:r>
    </w:p>
    <w:p w:rsidR="00555918" w:rsidRPr="00E400E4" w:rsidRDefault="00555918" w:rsidP="000B1771">
      <w:pPr>
        <w:keepNext/>
      </w:pPr>
      <w:r w:rsidRPr="00E400E4">
        <w:t>For each of these six criteria, the consequences were estimated over four geographic levels, defined as:</w:t>
      </w:r>
    </w:p>
    <w:p w:rsidR="00555918" w:rsidRPr="00E400E4" w:rsidRDefault="00555918" w:rsidP="000B1771">
      <w:r w:rsidRPr="00E400E4">
        <w:rPr>
          <w:rStyle w:val="Strong"/>
        </w:rPr>
        <w:t>Local</w:t>
      </w:r>
      <w:r w:rsidRPr="00E400E4">
        <w:t>—an aggregate of households or enterprises (a rural community, a town or a local government area).</w:t>
      </w:r>
    </w:p>
    <w:p w:rsidR="00555918" w:rsidRPr="00E400E4" w:rsidRDefault="00555918" w:rsidP="000B1771">
      <w:r w:rsidRPr="00E400E4">
        <w:rPr>
          <w:rStyle w:val="Strong"/>
        </w:rPr>
        <w:t>District</w:t>
      </w:r>
      <w:r w:rsidRPr="00E400E4">
        <w:t>—a geographically or geopolitically associated collection of aggregates (generally a recognised section of a state or territory, such as ‘Far North Queensland’).</w:t>
      </w:r>
    </w:p>
    <w:p w:rsidR="00555918" w:rsidRPr="00E400E4" w:rsidRDefault="00555918" w:rsidP="000B1771">
      <w:r w:rsidRPr="00E400E4">
        <w:rPr>
          <w:rStyle w:val="Strong"/>
        </w:rPr>
        <w:t>Regional</w:t>
      </w:r>
      <w:r w:rsidRPr="00E400E4">
        <w:t>—a geographically or geopolitically associated collection of districts in a geographic area (generally a state or territory, although there may be exceptions with larger states such as Western Australia).</w:t>
      </w:r>
    </w:p>
    <w:p w:rsidR="00555918" w:rsidRPr="00E400E4" w:rsidRDefault="00555918" w:rsidP="000B1771">
      <w:r w:rsidRPr="00E400E4">
        <w:rPr>
          <w:rStyle w:val="Strong"/>
        </w:rPr>
        <w:t>National</w:t>
      </w:r>
      <w:r w:rsidRPr="00E400E4">
        <w:t>—Australia wide (Australian mainland states and territories and Tasmania).</w:t>
      </w:r>
    </w:p>
    <w:p w:rsidR="00555918" w:rsidRPr="00E400E4" w:rsidRDefault="00555918" w:rsidP="000B1771">
      <w:pPr>
        <w:keepNext/>
      </w:pPr>
      <w:r w:rsidRPr="00E400E4">
        <w:t>For each criterion, the magnitude of the potential consequence at each of these levels was described using four categories, defined as:</w:t>
      </w:r>
    </w:p>
    <w:p w:rsidR="00555918" w:rsidRPr="00E400E4" w:rsidRDefault="00555918" w:rsidP="000B1771">
      <w:r w:rsidRPr="00E400E4">
        <w:rPr>
          <w:rStyle w:val="Strong"/>
        </w:rPr>
        <w:t>Indiscernible</w:t>
      </w:r>
      <w:r w:rsidRPr="00E400E4">
        <w:t>—pest impact unlikely to be noticeable.</w:t>
      </w:r>
    </w:p>
    <w:p w:rsidR="00555918" w:rsidRPr="00E400E4" w:rsidRDefault="00555918" w:rsidP="000B1771">
      <w:r w:rsidRPr="00E400E4">
        <w:rPr>
          <w:rStyle w:val="Strong"/>
        </w:rPr>
        <w:t>Minor significance</w:t>
      </w:r>
      <w:r w:rsidRPr="00E400E4">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rsidR="00555918" w:rsidRPr="00E400E4" w:rsidRDefault="00555918" w:rsidP="000B1771">
      <w:r w:rsidRPr="00E400E4">
        <w:rPr>
          <w:b/>
        </w:rPr>
        <w:t>Significant</w:t>
      </w:r>
      <w:r w:rsidRPr="00E400E4">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rsidR="00555918" w:rsidRPr="00E400E4" w:rsidRDefault="00555918" w:rsidP="000B1771">
      <w:r w:rsidRPr="00E400E4">
        <w:rPr>
          <w:b/>
        </w:rPr>
        <w:t>Major significance</w:t>
      </w:r>
      <w:r w:rsidRPr="00E400E4">
        <w:t>—expected to threaten the economic viability through a large increase in mortality/morbidity of hosts, or a large decrease in production. Expected to severely or irreversibly damage the intrinsic ‘value’ of non-commercial criteria.</w:t>
      </w:r>
    </w:p>
    <w:p w:rsidR="00555918" w:rsidRPr="00E400E4" w:rsidRDefault="00555918" w:rsidP="000B1771">
      <w:r w:rsidRPr="00E400E4">
        <w:t>The estimates of the magnitude of the potential consequences over the four geographic levels were translated into a qualitative impact score (A</w:t>
      </w:r>
      <w:r w:rsidRPr="00E400E4">
        <w:noBreakHyphen/>
        <w:t xml:space="preserve">G) using </w:t>
      </w:r>
      <w:r w:rsidRPr="00E400E4">
        <w:fldChar w:fldCharType="begin"/>
      </w:r>
      <w:r w:rsidRPr="00E400E4">
        <w:instrText xml:space="preserve"> REF _Ref457826350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3</w:t>
      </w:r>
      <w:r w:rsidRPr="00E400E4">
        <w:fldChar w:fldCharType="end"/>
      </w:r>
      <w:r w:rsidRPr="00E400E4">
        <w:t>. For example, a consequence with a magnitude of ‘significant’ at the ‘district’ level will have a consequence impact score of D.</w:t>
      </w:r>
    </w:p>
    <w:p w:rsidR="00555918" w:rsidRPr="00E400E4" w:rsidRDefault="00555918" w:rsidP="000B1771">
      <w:pPr>
        <w:pStyle w:val="Caption"/>
      </w:pPr>
      <w:bookmarkStart w:id="24" w:name="_Ref457826350"/>
      <w:bookmarkStart w:id="25" w:name="_Toc384979278"/>
      <w:bookmarkStart w:id="26" w:name="_Toc24702439"/>
      <w:r w:rsidRPr="00E400E4">
        <w:lastRenderedPageBreak/>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2</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3</w:t>
      </w:r>
      <w:r w:rsidRPr="00E400E4">
        <w:rPr>
          <w:noProof/>
        </w:rPr>
        <w:fldChar w:fldCharType="end"/>
      </w:r>
      <w:bookmarkEnd w:id="24"/>
      <w:r w:rsidRPr="00E400E4">
        <w:t xml:space="preserve"> Decision rules for determining the consequence impact score based on the magnitude of consequences at four geographic scales</w:t>
      </w:r>
      <w:bookmarkEnd w:id="25"/>
      <w:bookmarkEnd w:id="26"/>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555918" w:rsidRPr="00E400E4">
        <w:trPr>
          <w:cantSplit/>
        </w:trPr>
        <w:tc>
          <w:tcPr>
            <w:tcW w:w="1158" w:type="pct"/>
            <w:vMerge w:val="restart"/>
            <w:tcBorders>
              <w:top w:val="single" w:sz="4" w:space="0" w:color="000000" w:themeColor="text1"/>
              <w:bottom w:val="nil"/>
              <w:right w:val="nil"/>
              <w:tl2br w:val="nil"/>
            </w:tcBorders>
            <w:vAlign w:val="bottom"/>
          </w:tcPr>
          <w:p w:rsidR="00555918" w:rsidRPr="00E400E4" w:rsidRDefault="00555918" w:rsidP="000B1771">
            <w:pPr>
              <w:pStyle w:val="TableText"/>
            </w:pPr>
            <w:r w:rsidRPr="00E400E4">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rsidR="00555918" w:rsidRPr="00E400E4" w:rsidRDefault="00555918" w:rsidP="000B1771">
            <w:pPr>
              <w:pStyle w:val="TableText"/>
            </w:pPr>
            <w:r w:rsidRPr="00E400E4">
              <w:t>Geographic scale</w:t>
            </w:r>
          </w:p>
        </w:tc>
      </w:tr>
      <w:tr w:rsidR="00555918" w:rsidRPr="00E400E4">
        <w:trPr>
          <w:cantSplit/>
        </w:trPr>
        <w:tc>
          <w:tcPr>
            <w:tcW w:w="1158" w:type="pct"/>
            <w:vMerge/>
            <w:tcBorders>
              <w:top w:val="single" w:sz="4" w:space="0" w:color="auto"/>
              <w:bottom w:val="single" w:sz="4" w:space="0" w:color="BFBFBF" w:themeColor="background1" w:themeShade="BF"/>
              <w:right w:val="nil"/>
              <w:tl2br w:val="nil"/>
            </w:tcBorders>
          </w:tcPr>
          <w:p w:rsidR="00555918" w:rsidRPr="00E400E4" w:rsidRDefault="00555918" w:rsidP="000B1771">
            <w:pPr>
              <w:pStyle w:val="TableText"/>
            </w:pPr>
          </w:p>
        </w:tc>
        <w:tc>
          <w:tcPr>
            <w:tcW w:w="961" w:type="pct"/>
            <w:tcBorders>
              <w:top w:val="single" w:sz="4" w:space="0" w:color="BFBFBF" w:themeColor="background1" w:themeShade="BF"/>
              <w:left w:val="nil"/>
              <w:bottom w:val="single" w:sz="4" w:space="0" w:color="BFBFBF" w:themeColor="background1" w:themeShade="BF"/>
            </w:tcBorders>
          </w:tcPr>
          <w:p w:rsidR="00555918" w:rsidRPr="00E400E4" w:rsidRDefault="00555918" w:rsidP="000B1771">
            <w:pPr>
              <w:pStyle w:val="TableText"/>
            </w:pPr>
            <w:r w:rsidRPr="00E400E4">
              <w:t>Local</w:t>
            </w:r>
          </w:p>
        </w:tc>
        <w:tc>
          <w:tcPr>
            <w:tcW w:w="961" w:type="pct"/>
            <w:tcBorders>
              <w:top w:val="single" w:sz="4" w:space="0" w:color="BFBFBF" w:themeColor="background1" w:themeShade="BF"/>
              <w:bottom w:val="single" w:sz="4" w:space="0" w:color="BFBFBF" w:themeColor="background1" w:themeShade="BF"/>
            </w:tcBorders>
          </w:tcPr>
          <w:p w:rsidR="00555918" w:rsidRPr="00E400E4" w:rsidRDefault="00555918" w:rsidP="000B1771">
            <w:pPr>
              <w:pStyle w:val="TableText"/>
            </w:pPr>
            <w:r w:rsidRPr="00E400E4">
              <w:t>District</w:t>
            </w:r>
          </w:p>
        </w:tc>
        <w:tc>
          <w:tcPr>
            <w:tcW w:w="960" w:type="pct"/>
            <w:tcBorders>
              <w:top w:val="single" w:sz="4" w:space="0" w:color="BFBFBF" w:themeColor="background1" w:themeShade="BF"/>
              <w:bottom w:val="single" w:sz="4" w:space="0" w:color="BFBFBF" w:themeColor="background1" w:themeShade="BF"/>
            </w:tcBorders>
          </w:tcPr>
          <w:p w:rsidR="00555918" w:rsidRPr="00E400E4" w:rsidRDefault="00555918" w:rsidP="000B1771">
            <w:pPr>
              <w:pStyle w:val="TableText"/>
            </w:pPr>
            <w:r w:rsidRPr="00E400E4">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rsidR="00555918" w:rsidRPr="00E400E4" w:rsidRDefault="00555918" w:rsidP="000B1771">
            <w:pPr>
              <w:pStyle w:val="TableText"/>
            </w:pPr>
            <w:r w:rsidRPr="00E400E4">
              <w:t>Nation</w:t>
            </w:r>
          </w:p>
        </w:tc>
      </w:tr>
      <w:tr w:rsidR="00555918" w:rsidRPr="00E400E4">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555918" w:rsidRPr="00E400E4" w:rsidRDefault="00555918" w:rsidP="000B1771">
            <w:pPr>
              <w:pStyle w:val="TableText"/>
            </w:pPr>
            <w:r w:rsidRPr="00E400E4">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555918" w:rsidRPr="00E400E4" w:rsidRDefault="00555918" w:rsidP="000B1771">
            <w:pPr>
              <w:pStyle w:val="TableText"/>
            </w:pPr>
            <w:r w:rsidRPr="00E400E4">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555918" w:rsidRPr="00E400E4" w:rsidRDefault="00555918" w:rsidP="000B1771">
            <w:pPr>
              <w:pStyle w:val="TableText"/>
            </w:pPr>
            <w:r w:rsidRPr="00E400E4">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555918" w:rsidRPr="00E400E4" w:rsidRDefault="00555918" w:rsidP="000B1771">
            <w:pPr>
              <w:pStyle w:val="TableText"/>
            </w:pPr>
            <w:r w:rsidRPr="00E400E4">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rsidR="00555918" w:rsidRPr="00E400E4" w:rsidRDefault="00555918" w:rsidP="000B1771">
            <w:pPr>
              <w:pStyle w:val="TableText"/>
            </w:pPr>
            <w:r w:rsidRPr="00E400E4">
              <w:t>A</w:t>
            </w:r>
          </w:p>
        </w:tc>
      </w:tr>
      <w:tr w:rsidR="00555918" w:rsidRPr="00E400E4">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555918" w:rsidRPr="00E400E4" w:rsidRDefault="00555918" w:rsidP="000B1771">
            <w:pPr>
              <w:pStyle w:val="TableText"/>
            </w:pPr>
            <w:r w:rsidRPr="00E400E4">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rsidR="00555918" w:rsidRPr="00E400E4" w:rsidRDefault="00555918" w:rsidP="000B1771">
            <w:pPr>
              <w:pStyle w:val="TableText"/>
              <w:rPr>
                <w:rFonts w:cs="Arial"/>
                <w:snapToGrid w:val="0"/>
                <w:szCs w:val="18"/>
              </w:rPr>
            </w:pPr>
            <w:r w:rsidRPr="00E400E4">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rsidR="00555918" w:rsidRPr="00E400E4" w:rsidRDefault="00555918" w:rsidP="000B1771">
            <w:pPr>
              <w:pStyle w:val="TableText"/>
              <w:rPr>
                <w:rFonts w:cs="Arial"/>
                <w:snapToGrid w:val="0"/>
                <w:szCs w:val="18"/>
              </w:rPr>
            </w:pPr>
            <w:r w:rsidRPr="00E400E4">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rsidR="00555918" w:rsidRPr="00E400E4" w:rsidRDefault="00555918" w:rsidP="000B1771">
            <w:pPr>
              <w:pStyle w:val="TableText"/>
              <w:rPr>
                <w:rFonts w:cs="Arial"/>
                <w:snapToGrid w:val="0"/>
                <w:szCs w:val="18"/>
              </w:rPr>
            </w:pPr>
            <w:r w:rsidRPr="00E400E4">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rsidR="00555918" w:rsidRPr="00E400E4" w:rsidRDefault="00555918" w:rsidP="000B1771">
            <w:pPr>
              <w:pStyle w:val="TableText"/>
            </w:pPr>
            <w:r w:rsidRPr="00E400E4">
              <w:t>E</w:t>
            </w:r>
          </w:p>
        </w:tc>
      </w:tr>
      <w:tr w:rsidR="00555918" w:rsidRPr="00E400E4">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555918" w:rsidRPr="00E400E4" w:rsidRDefault="00555918" w:rsidP="000B1771">
            <w:pPr>
              <w:pStyle w:val="TableText"/>
            </w:pPr>
            <w:r w:rsidRPr="00E400E4">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rsidR="00555918" w:rsidRPr="00E400E4" w:rsidRDefault="00555918" w:rsidP="000B1771">
            <w:pPr>
              <w:pStyle w:val="TableText"/>
              <w:rPr>
                <w:rFonts w:cs="Arial"/>
                <w:snapToGrid w:val="0"/>
                <w:szCs w:val="18"/>
              </w:rPr>
            </w:pPr>
            <w:r w:rsidRPr="00E400E4">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rsidR="00555918" w:rsidRPr="00E400E4" w:rsidRDefault="00555918" w:rsidP="000B1771">
            <w:pPr>
              <w:pStyle w:val="TableText"/>
              <w:rPr>
                <w:rFonts w:cs="Arial"/>
                <w:snapToGrid w:val="0"/>
                <w:szCs w:val="18"/>
              </w:rPr>
            </w:pPr>
            <w:r w:rsidRPr="00E400E4">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rsidR="00555918" w:rsidRPr="00E400E4" w:rsidRDefault="00555918" w:rsidP="000B1771">
            <w:pPr>
              <w:pStyle w:val="TableText"/>
            </w:pPr>
            <w:r w:rsidRPr="00E400E4">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rsidR="00555918" w:rsidRPr="00E400E4" w:rsidRDefault="00555918" w:rsidP="000B1771">
            <w:pPr>
              <w:pStyle w:val="TableText"/>
            </w:pPr>
            <w:r w:rsidRPr="00E400E4">
              <w:t>F</w:t>
            </w:r>
          </w:p>
        </w:tc>
      </w:tr>
      <w:tr w:rsidR="00555918" w:rsidRPr="00E400E4">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rsidR="00555918" w:rsidRPr="00E400E4" w:rsidRDefault="00555918" w:rsidP="000B1771">
            <w:pPr>
              <w:pStyle w:val="TableText"/>
            </w:pPr>
            <w:r w:rsidRPr="00E400E4">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rsidR="00555918" w:rsidRPr="00E400E4" w:rsidRDefault="00555918" w:rsidP="000B1771">
            <w:pPr>
              <w:pStyle w:val="TableText"/>
              <w:rPr>
                <w:rFonts w:cs="Arial"/>
                <w:snapToGrid w:val="0"/>
                <w:szCs w:val="18"/>
              </w:rPr>
            </w:pPr>
            <w:r w:rsidRPr="00E400E4">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rsidR="00555918" w:rsidRPr="00E400E4" w:rsidRDefault="00555918" w:rsidP="000B1771">
            <w:pPr>
              <w:pStyle w:val="TableText"/>
            </w:pPr>
            <w:r w:rsidRPr="00E400E4">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rsidR="00555918" w:rsidRPr="00E400E4" w:rsidRDefault="00555918" w:rsidP="000B1771">
            <w:pPr>
              <w:pStyle w:val="TableText"/>
            </w:pPr>
            <w:r w:rsidRPr="00E400E4">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rsidR="00555918" w:rsidRPr="00E400E4" w:rsidRDefault="00555918" w:rsidP="000B1771">
            <w:pPr>
              <w:pStyle w:val="TableText"/>
            </w:pPr>
            <w:r w:rsidRPr="00E400E4">
              <w:t>G</w:t>
            </w:r>
          </w:p>
        </w:tc>
      </w:tr>
    </w:tbl>
    <w:p w:rsidR="00555918" w:rsidRPr="00E400E4" w:rsidRDefault="00555918" w:rsidP="000B1771">
      <w:pPr>
        <w:pStyle w:val="FigureTableNoteSource"/>
      </w:pPr>
      <w:r w:rsidRPr="00E400E4">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rsidRPr="00E400E4">
        <w:noBreakHyphen/>
        <w:t xml:space="preserve">G and a new lowest category A (‘indiscernible’ at all four levels) was added. The rules for combining impacts in </w:t>
      </w:r>
      <w:r w:rsidRPr="00E400E4">
        <w:fldChar w:fldCharType="begin"/>
      </w:r>
      <w:r w:rsidRPr="00E400E4">
        <w:instrText xml:space="preserve"> REF _Ref457826361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4</w:t>
      </w:r>
      <w:r w:rsidRPr="00E400E4">
        <w:fldChar w:fldCharType="end"/>
      </w:r>
      <w:r w:rsidRPr="00E400E4">
        <w:t xml:space="preserve"> were adjusted accordingly. </w:t>
      </w:r>
    </w:p>
    <w:p w:rsidR="00555918" w:rsidRPr="00E400E4" w:rsidRDefault="00555918" w:rsidP="000B1771">
      <w:r w:rsidRPr="00E400E4">
        <w:t>The overall consequence for each pest is achieved by combining the qualitative impact scores (A–G) for each direct and indirect consequence using a series of decision rules (</w:t>
      </w:r>
      <w:r w:rsidRPr="00E400E4">
        <w:fldChar w:fldCharType="begin"/>
      </w:r>
      <w:r w:rsidRPr="00E400E4">
        <w:instrText xml:space="preserve"> REF _Ref457826361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4</w:t>
      </w:r>
      <w:r w:rsidRPr="00E400E4">
        <w:fldChar w:fldCharType="end"/>
      </w:r>
      <w:r w:rsidRPr="00E400E4">
        <w:t>). These rules are mutually exclusive, and are assessed in numerical order until one applies.</w:t>
      </w:r>
    </w:p>
    <w:p w:rsidR="00555918" w:rsidRPr="00E400E4" w:rsidRDefault="00555918" w:rsidP="000B1771">
      <w:pPr>
        <w:pStyle w:val="Caption"/>
      </w:pPr>
      <w:bookmarkStart w:id="27" w:name="_Ref457826361"/>
      <w:bookmarkStart w:id="28" w:name="_Toc384979279"/>
      <w:bookmarkStart w:id="29" w:name="_Toc24702440"/>
      <w:r w:rsidRPr="00E400E4">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2</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4</w:t>
      </w:r>
      <w:r w:rsidRPr="00E400E4">
        <w:rPr>
          <w:noProof/>
        </w:rPr>
        <w:fldChar w:fldCharType="end"/>
      </w:r>
      <w:bookmarkEnd w:id="27"/>
      <w:r w:rsidRPr="00E400E4">
        <w:t xml:space="preserve"> Decision rules for determining the overall consequence rating for each pest</w:t>
      </w:r>
      <w:bookmarkEnd w:id="28"/>
      <w:bookmarkEnd w:id="29"/>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555918" w:rsidRPr="00E400E4">
        <w:trPr>
          <w:trHeight w:val="414"/>
        </w:trPr>
        <w:tc>
          <w:tcPr>
            <w:tcW w:w="440" w:type="pct"/>
          </w:tcPr>
          <w:p w:rsidR="00555918" w:rsidRPr="00E400E4" w:rsidRDefault="00555918" w:rsidP="000B1771">
            <w:pPr>
              <w:pStyle w:val="TableText"/>
            </w:pPr>
            <w:r w:rsidRPr="00E400E4">
              <w:t>Rule</w:t>
            </w:r>
          </w:p>
        </w:tc>
        <w:tc>
          <w:tcPr>
            <w:tcW w:w="3206" w:type="pct"/>
          </w:tcPr>
          <w:p w:rsidR="00555918" w:rsidRPr="00E400E4" w:rsidRDefault="00555918" w:rsidP="000B1771">
            <w:pPr>
              <w:pStyle w:val="TableText"/>
            </w:pPr>
            <w:r w:rsidRPr="00E400E4">
              <w:t>The impact scores for consequences of direct and indirect criteria</w:t>
            </w:r>
          </w:p>
        </w:tc>
        <w:tc>
          <w:tcPr>
            <w:tcW w:w="1354" w:type="pct"/>
          </w:tcPr>
          <w:p w:rsidR="00555918" w:rsidRPr="00E400E4" w:rsidRDefault="00555918" w:rsidP="000B1771">
            <w:pPr>
              <w:pStyle w:val="TableText"/>
            </w:pPr>
            <w:r w:rsidRPr="00E400E4">
              <w:t>Overall consequence rating</w:t>
            </w:r>
          </w:p>
        </w:tc>
      </w:tr>
      <w:tr w:rsidR="00555918" w:rsidRPr="00E400E4">
        <w:trPr>
          <w:trHeight w:val="414"/>
        </w:trPr>
        <w:tc>
          <w:tcPr>
            <w:tcW w:w="440" w:type="pct"/>
          </w:tcPr>
          <w:p w:rsidR="00555918" w:rsidRPr="00E400E4" w:rsidRDefault="00555918" w:rsidP="000B1771">
            <w:pPr>
              <w:pStyle w:val="TableText"/>
            </w:pPr>
            <w:r w:rsidRPr="00E400E4">
              <w:t>1</w:t>
            </w:r>
          </w:p>
        </w:tc>
        <w:tc>
          <w:tcPr>
            <w:tcW w:w="3206" w:type="pct"/>
          </w:tcPr>
          <w:p w:rsidR="00555918" w:rsidRPr="00E400E4" w:rsidRDefault="00555918" w:rsidP="000B1771">
            <w:pPr>
              <w:pStyle w:val="TableText"/>
            </w:pPr>
            <w:r w:rsidRPr="00E400E4">
              <w:t>Any criterion has an impact of ‘G’; or</w:t>
            </w:r>
            <w:r w:rsidRPr="00E400E4">
              <w:br/>
              <w:t>more than one criterion has an impact of ‘F’; or</w:t>
            </w:r>
            <w:r w:rsidRPr="00E400E4">
              <w:br/>
              <w:t>a single criterion has an impact of ‘F’ and each remaining criterion an ‘E’.</w:t>
            </w:r>
          </w:p>
        </w:tc>
        <w:tc>
          <w:tcPr>
            <w:tcW w:w="1354" w:type="pct"/>
          </w:tcPr>
          <w:p w:rsidR="00555918" w:rsidRPr="00E400E4" w:rsidRDefault="00555918" w:rsidP="000B1771">
            <w:pPr>
              <w:pStyle w:val="TableText"/>
            </w:pPr>
            <w:r w:rsidRPr="00E400E4">
              <w:t>Extreme</w:t>
            </w:r>
          </w:p>
        </w:tc>
      </w:tr>
      <w:tr w:rsidR="00555918" w:rsidRPr="00E400E4">
        <w:trPr>
          <w:trHeight w:val="414"/>
        </w:trPr>
        <w:tc>
          <w:tcPr>
            <w:tcW w:w="440" w:type="pct"/>
          </w:tcPr>
          <w:p w:rsidR="00555918" w:rsidRPr="00E400E4" w:rsidRDefault="00555918" w:rsidP="000B1771">
            <w:pPr>
              <w:pStyle w:val="TableText"/>
            </w:pPr>
            <w:r w:rsidRPr="00E400E4">
              <w:t>2</w:t>
            </w:r>
          </w:p>
        </w:tc>
        <w:tc>
          <w:tcPr>
            <w:tcW w:w="3206" w:type="pct"/>
          </w:tcPr>
          <w:p w:rsidR="00555918" w:rsidRPr="00E400E4" w:rsidRDefault="00555918" w:rsidP="000B1771">
            <w:pPr>
              <w:pStyle w:val="TableText"/>
            </w:pPr>
            <w:r w:rsidRPr="00E400E4">
              <w:t>A single criterion has an impact of ‘F’; or</w:t>
            </w:r>
            <w:r w:rsidRPr="00E400E4">
              <w:br/>
              <w:t>all criteria have an impact of ‘E’.</w:t>
            </w:r>
          </w:p>
        </w:tc>
        <w:tc>
          <w:tcPr>
            <w:tcW w:w="1354" w:type="pct"/>
          </w:tcPr>
          <w:p w:rsidR="00555918" w:rsidRPr="00E400E4" w:rsidRDefault="00555918" w:rsidP="000B1771">
            <w:pPr>
              <w:pStyle w:val="TableText"/>
            </w:pPr>
            <w:r w:rsidRPr="00E400E4">
              <w:t>High</w:t>
            </w:r>
          </w:p>
        </w:tc>
      </w:tr>
      <w:tr w:rsidR="00555918" w:rsidRPr="00E400E4">
        <w:trPr>
          <w:trHeight w:val="414"/>
        </w:trPr>
        <w:tc>
          <w:tcPr>
            <w:tcW w:w="440" w:type="pct"/>
          </w:tcPr>
          <w:p w:rsidR="00555918" w:rsidRPr="00E400E4" w:rsidRDefault="00555918" w:rsidP="000B1771">
            <w:pPr>
              <w:pStyle w:val="TableText"/>
            </w:pPr>
            <w:r w:rsidRPr="00E400E4">
              <w:t>3</w:t>
            </w:r>
          </w:p>
        </w:tc>
        <w:tc>
          <w:tcPr>
            <w:tcW w:w="3206" w:type="pct"/>
          </w:tcPr>
          <w:p w:rsidR="00555918" w:rsidRPr="00E400E4" w:rsidRDefault="00555918" w:rsidP="000B1771">
            <w:pPr>
              <w:pStyle w:val="TableText"/>
            </w:pPr>
            <w:r w:rsidRPr="00E400E4">
              <w:t>One or more criteria have an impact of ‘E’; or</w:t>
            </w:r>
            <w:r w:rsidRPr="00E400E4">
              <w:br/>
              <w:t>all criteria have an impact of ‘D’.</w:t>
            </w:r>
          </w:p>
        </w:tc>
        <w:tc>
          <w:tcPr>
            <w:tcW w:w="1354" w:type="pct"/>
          </w:tcPr>
          <w:p w:rsidR="00555918" w:rsidRPr="00E400E4" w:rsidRDefault="00555918" w:rsidP="000B1771">
            <w:pPr>
              <w:pStyle w:val="TableText"/>
            </w:pPr>
            <w:r w:rsidRPr="00E400E4">
              <w:t>Moderate</w:t>
            </w:r>
          </w:p>
        </w:tc>
      </w:tr>
      <w:tr w:rsidR="00555918" w:rsidRPr="00E400E4">
        <w:trPr>
          <w:trHeight w:val="414"/>
        </w:trPr>
        <w:tc>
          <w:tcPr>
            <w:tcW w:w="440" w:type="pct"/>
          </w:tcPr>
          <w:p w:rsidR="00555918" w:rsidRPr="00E400E4" w:rsidRDefault="00555918" w:rsidP="000B1771">
            <w:pPr>
              <w:pStyle w:val="TableText"/>
            </w:pPr>
            <w:r w:rsidRPr="00E400E4">
              <w:t>4</w:t>
            </w:r>
          </w:p>
        </w:tc>
        <w:tc>
          <w:tcPr>
            <w:tcW w:w="3206" w:type="pct"/>
          </w:tcPr>
          <w:p w:rsidR="00555918" w:rsidRPr="00E400E4" w:rsidRDefault="00555918" w:rsidP="000B1771">
            <w:pPr>
              <w:pStyle w:val="TableText"/>
            </w:pPr>
            <w:r w:rsidRPr="00E400E4">
              <w:t>One or more criteria have an impact of ‘D’; or</w:t>
            </w:r>
            <w:r w:rsidRPr="00E400E4">
              <w:br/>
              <w:t>all criteria have an impact of ‘C’.</w:t>
            </w:r>
          </w:p>
        </w:tc>
        <w:tc>
          <w:tcPr>
            <w:tcW w:w="1354" w:type="pct"/>
          </w:tcPr>
          <w:p w:rsidR="00555918" w:rsidRPr="00E400E4" w:rsidRDefault="00555918" w:rsidP="000B1771">
            <w:pPr>
              <w:pStyle w:val="TableText"/>
            </w:pPr>
            <w:r w:rsidRPr="00E400E4">
              <w:t>Low</w:t>
            </w:r>
          </w:p>
        </w:tc>
      </w:tr>
      <w:tr w:rsidR="00555918" w:rsidRPr="00E400E4">
        <w:trPr>
          <w:trHeight w:val="414"/>
        </w:trPr>
        <w:tc>
          <w:tcPr>
            <w:tcW w:w="440" w:type="pct"/>
          </w:tcPr>
          <w:p w:rsidR="00555918" w:rsidRPr="00E400E4" w:rsidRDefault="00555918" w:rsidP="000B1771">
            <w:pPr>
              <w:pStyle w:val="TableText"/>
            </w:pPr>
            <w:r w:rsidRPr="00E400E4">
              <w:t>5</w:t>
            </w:r>
          </w:p>
        </w:tc>
        <w:tc>
          <w:tcPr>
            <w:tcW w:w="3206" w:type="pct"/>
          </w:tcPr>
          <w:p w:rsidR="00555918" w:rsidRPr="00E400E4" w:rsidRDefault="00555918" w:rsidP="000B1771">
            <w:pPr>
              <w:pStyle w:val="TableText"/>
            </w:pPr>
            <w:r w:rsidRPr="00E400E4">
              <w:t>One or more criteria have an impact of ‘C’; or</w:t>
            </w:r>
            <w:r w:rsidRPr="00E400E4">
              <w:br/>
              <w:t>all criteria have an impact of ‘B’.</w:t>
            </w:r>
          </w:p>
        </w:tc>
        <w:tc>
          <w:tcPr>
            <w:tcW w:w="1354" w:type="pct"/>
          </w:tcPr>
          <w:p w:rsidR="00555918" w:rsidRPr="00E400E4" w:rsidRDefault="00555918" w:rsidP="000B1771">
            <w:pPr>
              <w:pStyle w:val="TableText"/>
            </w:pPr>
            <w:r w:rsidRPr="00E400E4">
              <w:t>Very Low</w:t>
            </w:r>
          </w:p>
        </w:tc>
      </w:tr>
      <w:tr w:rsidR="00555918" w:rsidRPr="00E400E4">
        <w:trPr>
          <w:trHeight w:val="414"/>
        </w:trPr>
        <w:tc>
          <w:tcPr>
            <w:tcW w:w="440" w:type="pct"/>
          </w:tcPr>
          <w:p w:rsidR="00555918" w:rsidRPr="00E400E4" w:rsidRDefault="00555918" w:rsidP="000B1771">
            <w:pPr>
              <w:pStyle w:val="TableText"/>
            </w:pPr>
            <w:r w:rsidRPr="00E400E4">
              <w:t>6</w:t>
            </w:r>
          </w:p>
        </w:tc>
        <w:tc>
          <w:tcPr>
            <w:tcW w:w="3206" w:type="pct"/>
          </w:tcPr>
          <w:p w:rsidR="00555918" w:rsidRPr="00E400E4" w:rsidRDefault="00555918" w:rsidP="000B1771">
            <w:pPr>
              <w:pStyle w:val="TableText"/>
            </w:pPr>
            <w:r w:rsidRPr="00E400E4">
              <w:t>One or more but not all criteria have an impact of ‘B’, and</w:t>
            </w:r>
            <w:r w:rsidRPr="00E400E4">
              <w:br/>
              <w:t>all remaining criteria have an impact of ‘A’.</w:t>
            </w:r>
          </w:p>
        </w:tc>
        <w:tc>
          <w:tcPr>
            <w:tcW w:w="1354" w:type="pct"/>
          </w:tcPr>
          <w:p w:rsidR="00555918" w:rsidRPr="00E400E4" w:rsidRDefault="00555918" w:rsidP="000B1771">
            <w:pPr>
              <w:pStyle w:val="TableText"/>
            </w:pPr>
            <w:r w:rsidRPr="00E400E4">
              <w:t>Negligible</w:t>
            </w:r>
          </w:p>
        </w:tc>
      </w:tr>
    </w:tbl>
    <w:p w:rsidR="00555918" w:rsidRPr="00E400E4" w:rsidRDefault="00555918" w:rsidP="000B1771">
      <w:pPr>
        <w:pStyle w:val="Heading4"/>
      </w:pPr>
      <w:r w:rsidRPr="00E400E4">
        <w:t>Estimation of the unrestricted risk</w:t>
      </w:r>
    </w:p>
    <w:p w:rsidR="00555918" w:rsidRPr="00E400E4" w:rsidRDefault="00555918" w:rsidP="000B1771">
      <w:r w:rsidRPr="00E400E4">
        <w:t>Once the assessment of the likelihood of entry, establishment and spread and for potential consequences are completed, the unrestricted risk can be determined for each pest or groups of pests. This is determined by using a risk estimation matrix (</w:t>
      </w:r>
      <w:r w:rsidRPr="00E400E4">
        <w:fldChar w:fldCharType="begin"/>
      </w:r>
      <w:r w:rsidRPr="00E400E4">
        <w:instrText xml:space="preserve"> REF _Ref457826369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5</w:t>
      </w:r>
      <w:r w:rsidRPr="00E400E4">
        <w:fldChar w:fldCharType="end"/>
      </w:r>
      <w:r w:rsidRPr="00E400E4">
        <w:t>) to combine the estimates of the likelihood of entry, establishment and spread and the overall consequences of pest establishment and spread. Therefore, risk is the combination of likelihood and consequence.</w:t>
      </w:r>
    </w:p>
    <w:p w:rsidR="00555918" w:rsidRPr="00E400E4" w:rsidRDefault="00555918" w:rsidP="000B1771">
      <w:r w:rsidRPr="00E400E4">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30" w:name="_Toc384979280"/>
    </w:p>
    <w:p w:rsidR="00555918" w:rsidRPr="00E400E4" w:rsidRDefault="00555918" w:rsidP="000B1771">
      <w:pPr>
        <w:pStyle w:val="Caption"/>
      </w:pPr>
      <w:bookmarkStart w:id="31" w:name="_Ref457826369"/>
      <w:bookmarkStart w:id="32" w:name="_Toc389741475"/>
      <w:bookmarkStart w:id="33" w:name="_Toc24702441"/>
      <w:r w:rsidRPr="00E400E4">
        <w:lastRenderedPageBreak/>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2</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5</w:t>
      </w:r>
      <w:r w:rsidRPr="00E400E4">
        <w:rPr>
          <w:noProof/>
        </w:rPr>
        <w:fldChar w:fldCharType="end"/>
      </w:r>
      <w:bookmarkEnd w:id="31"/>
      <w:r w:rsidRPr="00E400E4">
        <w:t xml:space="preserve"> Risk estimation matrix</w:t>
      </w:r>
      <w:bookmarkEnd w:id="30"/>
      <w:bookmarkEnd w:id="32"/>
      <w:bookmarkEnd w:id="33"/>
    </w:p>
    <w:tbl>
      <w:tblPr>
        <w:tblW w:w="5000" w:type="pct"/>
        <w:tblLook w:val="0000" w:firstRow="0" w:lastRow="0" w:firstColumn="0" w:lastColumn="0" w:noHBand="0" w:noVBand="0"/>
      </w:tblPr>
      <w:tblGrid>
        <w:gridCol w:w="1438"/>
        <w:gridCol w:w="1270"/>
        <w:gridCol w:w="1270"/>
        <w:gridCol w:w="1272"/>
        <w:gridCol w:w="1270"/>
        <w:gridCol w:w="1270"/>
        <w:gridCol w:w="1270"/>
      </w:tblGrid>
      <w:tr w:rsidR="00555918" w:rsidRPr="00E400E4">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rsidR="00555918" w:rsidRPr="00E400E4" w:rsidRDefault="00555918" w:rsidP="000B1771">
            <w:pPr>
              <w:pStyle w:val="TableText"/>
              <w:keepNext/>
            </w:pPr>
            <w:r w:rsidRPr="00E400E4">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rsidR="00555918" w:rsidRPr="00E400E4" w:rsidRDefault="00555918" w:rsidP="000B1771">
            <w:pPr>
              <w:pStyle w:val="TableText"/>
              <w:keepNext/>
            </w:pPr>
            <w:r w:rsidRPr="00E400E4">
              <w:t>Consequences of pest entry, establishment and spread</w:t>
            </w:r>
          </w:p>
        </w:tc>
      </w:tr>
      <w:tr w:rsidR="00555918" w:rsidRPr="00E400E4">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rsidR="00555918" w:rsidRPr="00E400E4" w:rsidRDefault="00555918" w:rsidP="000B1771">
            <w:pPr>
              <w:pStyle w:val="TableText"/>
              <w:keepN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rsidR="00555918" w:rsidRPr="00E400E4" w:rsidRDefault="00555918" w:rsidP="000B1771">
            <w:pPr>
              <w:pStyle w:val="TableText"/>
              <w:keepNext/>
            </w:pPr>
            <w:r w:rsidRPr="00E400E4">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rsidR="00555918" w:rsidRPr="00E400E4" w:rsidRDefault="00555918" w:rsidP="000B1771">
            <w:pPr>
              <w:pStyle w:val="TableText"/>
              <w:keepNext/>
            </w:pPr>
            <w:r w:rsidRPr="00E400E4">
              <w:t>Very low</w:t>
            </w:r>
          </w:p>
        </w:tc>
        <w:tc>
          <w:tcPr>
            <w:tcW w:w="702" w:type="pct"/>
            <w:tcBorders>
              <w:top w:val="single" w:sz="4" w:space="0" w:color="BFBFBF" w:themeColor="background1" w:themeShade="BF"/>
              <w:bottom w:val="single" w:sz="8" w:space="0" w:color="C0C0C0"/>
            </w:tcBorders>
            <w:shd w:val="clear" w:color="auto" w:fill="auto"/>
            <w:vAlign w:val="bottom"/>
          </w:tcPr>
          <w:p w:rsidR="00555918" w:rsidRPr="00E400E4" w:rsidRDefault="00555918" w:rsidP="000B1771">
            <w:pPr>
              <w:pStyle w:val="TableText"/>
              <w:keepNext/>
            </w:pPr>
            <w:r w:rsidRPr="00E400E4">
              <w:t xml:space="preserve">Low </w:t>
            </w:r>
          </w:p>
        </w:tc>
        <w:tc>
          <w:tcPr>
            <w:tcW w:w="701" w:type="pct"/>
            <w:tcBorders>
              <w:top w:val="single" w:sz="4" w:space="0" w:color="BFBFBF" w:themeColor="background1" w:themeShade="BF"/>
              <w:bottom w:val="single" w:sz="8" w:space="0" w:color="C0C0C0"/>
            </w:tcBorders>
            <w:shd w:val="clear" w:color="auto" w:fill="auto"/>
            <w:vAlign w:val="bottom"/>
          </w:tcPr>
          <w:p w:rsidR="00555918" w:rsidRPr="00E400E4" w:rsidRDefault="00555918" w:rsidP="000B1771">
            <w:pPr>
              <w:pStyle w:val="TableText"/>
              <w:keepNext/>
            </w:pPr>
            <w:r w:rsidRPr="00E400E4">
              <w:t>Moderate</w:t>
            </w:r>
          </w:p>
        </w:tc>
        <w:tc>
          <w:tcPr>
            <w:tcW w:w="701" w:type="pct"/>
            <w:tcBorders>
              <w:top w:val="single" w:sz="4" w:space="0" w:color="BFBFBF" w:themeColor="background1" w:themeShade="BF"/>
              <w:bottom w:val="single" w:sz="8" w:space="0" w:color="C0C0C0"/>
            </w:tcBorders>
            <w:shd w:val="clear" w:color="auto" w:fill="auto"/>
            <w:vAlign w:val="bottom"/>
          </w:tcPr>
          <w:p w:rsidR="00555918" w:rsidRPr="00E400E4" w:rsidRDefault="00555918" w:rsidP="000B1771">
            <w:pPr>
              <w:pStyle w:val="TableText"/>
              <w:keepNext/>
            </w:pPr>
            <w:r w:rsidRPr="00E400E4">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rsidR="00555918" w:rsidRPr="00E400E4" w:rsidRDefault="00555918" w:rsidP="000B1771">
            <w:pPr>
              <w:pStyle w:val="TableText"/>
              <w:keepNext/>
            </w:pPr>
            <w:r w:rsidRPr="00E400E4">
              <w:t xml:space="preserve">Extreme </w:t>
            </w:r>
          </w:p>
        </w:tc>
      </w:tr>
      <w:tr w:rsidR="00555918" w:rsidRPr="00E400E4">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55918" w:rsidRPr="00E400E4" w:rsidRDefault="00555918" w:rsidP="000B1771">
            <w:pPr>
              <w:pStyle w:val="TableText"/>
              <w:keepNext/>
            </w:pPr>
            <w:r w:rsidRPr="00E400E4">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rsidR="00555918" w:rsidRPr="00E400E4" w:rsidRDefault="00555918" w:rsidP="000B1771">
            <w:pPr>
              <w:pStyle w:val="TableText"/>
              <w:keepNext/>
            </w:pPr>
            <w:r w:rsidRPr="00E400E4">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rsidR="00555918" w:rsidRPr="00E400E4" w:rsidRDefault="00555918" w:rsidP="000B1771">
            <w:pPr>
              <w:pStyle w:val="TableText"/>
              <w:keepNext/>
              <w:rPr>
                <w:color w:val="FFFFFF"/>
              </w:rPr>
            </w:pPr>
            <w:r w:rsidRPr="00E400E4">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rsidR="00555918" w:rsidRPr="00E400E4" w:rsidRDefault="00555918" w:rsidP="000B1771">
            <w:pPr>
              <w:pStyle w:val="TableText"/>
              <w:keepNext/>
            </w:pPr>
            <w:r w:rsidRPr="00E400E4">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rsidR="00555918" w:rsidRPr="00E400E4" w:rsidRDefault="00555918" w:rsidP="000B1771">
            <w:pPr>
              <w:pStyle w:val="TableText"/>
              <w:keepNext/>
            </w:pPr>
            <w:r w:rsidRPr="00E400E4">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rsidR="00555918" w:rsidRPr="00E400E4" w:rsidRDefault="00555918" w:rsidP="000B1771">
            <w:pPr>
              <w:pStyle w:val="TableText"/>
              <w:keepNext/>
            </w:pPr>
            <w:r w:rsidRPr="00E400E4">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rsidR="00555918" w:rsidRPr="00E400E4" w:rsidRDefault="00555918" w:rsidP="000B1771">
            <w:pPr>
              <w:pStyle w:val="TableText"/>
              <w:keepNext/>
            </w:pPr>
            <w:r w:rsidRPr="00E400E4">
              <w:t>Extreme risk</w:t>
            </w:r>
          </w:p>
        </w:tc>
      </w:tr>
      <w:tr w:rsidR="00555918" w:rsidRPr="00E400E4">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55918" w:rsidRPr="00E400E4" w:rsidRDefault="00555918" w:rsidP="000B1771">
            <w:pPr>
              <w:pStyle w:val="TableText"/>
              <w:keepNext/>
            </w:pPr>
            <w:r w:rsidRPr="00E400E4">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555918" w:rsidRPr="00E400E4" w:rsidRDefault="00555918" w:rsidP="000B1771">
            <w:pPr>
              <w:pStyle w:val="TableText"/>
              <w:keepNext/>
            </w:pPr>
            <w:r w:rsidRPr="00E400E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555918" w:rsidRPr="00E400E4" w:rsidRDefault="00555918" w:rsidP="000B1771">
            <w:pPr>
              <w:pStyle w:val="TableText"/>
              <w:keepNext/>
              <w:rPr>
                <w:color w:val="FFFFFF"/>
              </w:rPr>
            </w:pPr>
            <w:r w:rsidRPr="00E400E4">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rsidR="00555918" w:rsidRPr="00E400E4" w:rsidRDefault="00555918" w:rsidP="000B1771">
            <w:pPr>
              <w:pStyle w:val="TableText"/>
              <w:keepNext/>
            </w:pPr>
            <w:r w:rsidRPr="00E400E4">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555918" w:rsidRPr="00E400E4" w:rsidRDefault="00555918" w:rsidP="000B1771">
            <w:pPr>
              <w:pStyle w:val="TableText"/>
              <w:keepNext/>
            </w:pPr>
            <w:r w:rsidRPr="00E400E4">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rsidR="00555918" w:rsidRPr="00E400E4" w:rsidRDefault="00555918" w:rsidP="000B1771">
            <w:pPr>
              <w:pStyle w:val="TableText"/>
              <w:keepNext/>
            </w:pPr>
            <w:r w:rsidRPr="00E400E4">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rsidR="00555918" w:rsidRPr="00E400E4" w:rsidRDefault="00555918" w:rsidP="000B1771">
            <w:pPr>
              <w:pStyle w:val="TableText"/>
              <w:keepNext/>
            </w:pPr>
            <w:r w:rsidRPr="00E400E4">
              <w:t>Extreme risk</w:t>
            </w:r>
          </w:p>
        </w:tc>
      </w:tr>
      <w:tr w:rsidR="00555918" w:rsidRPr="00E400E4">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55918" w:rsidRPr="00E400E4" w:rsidRDefault="00555918" w:rsidP="000B1771">
            <w:pPr>
              <w:pStyle w:val="TableText"/>
              <w:keepNext/>
            </w:pPr>
            <w:r w:rsidRPr="00E400E4">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555918" w:rsidRPr="00E400E4" w:rsidRDefault="00555918" w:rsidP="000B1771">
            <w:pPr>
              <w:pStyle w:val="TableText"/>
              <w:keepNext/>
            </w:pPr>
            <w:r w:rsidRPr="00E400E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55918" w:rsidRPr="00E400E4" w:rsidRDefault="00555918" w:rsidP="000B1771">
            <w:pPr>
              <w:pStyle w:val="TableText"/>
              <w:keepNext/>
            </w:pPr>
            <w:r w:rsidRPr="00E400E4">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rsidR="00555918" w:rsidRPr="00E400E4" w:rsidRDefault="00555918" w:rsidP="000B1771">
            <w:pPr>
              <w:pStyle w:val="TableText"/>
              <w:keepNext/>
              <w:rPr>
                <w:color w:val="FFFFFF"/>
              </w:rPr>
            </w:pPr>
            <w:r w:rsidRPr="00E400E4">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555918" w:rsidRPr="00E400E4" w:rsidRDefault="00555918" w:rsidP="000B1771">
            <w:pPr>
              <w:pStyle w:val="TableText"/>
              <w:keepNext/>
            </w:pPr>
            <w:r w:rsidRPr="00E400E4">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555918" w:rsidRPr="00E400E4" w:rsidRDefault="00555918" w:rsidP="000B1771">
            <w:pPr>
              <w:pStyle w:val="TableText"/>
              <w:keepNext/>
            </w:pPr>
            <w:r w:rsidRPr="00E400E4">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rsidR="00555918" w:rsidRPr="00E400E4" w:rsidRDefault="00555918" w:rsidP="000B1771">
            <w:pPr>
              <w:pStyle w:val="TableText"/>
              <w:keepNext/>
            </w:pPr>
            <w:r w:rsidRPr="00E400E4">
              <w:t>High risk</w:t>
            </w:r>
          </w:p>
        </w:tc>
      </w:tr>
      <w:tr w:rsidR="00555918" w:rsidRPr="00E400E4">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55918" w:rsidRPr="00E400E4" w:rsidRDefault="00555918" w:rsidP="000B1771">
            <w:pPr>
              <w:pStyle w:val="TableText"/>
              <w:keepNext/>
            </w:pPr>
            <w:r w:rsidRPr="00E400E4">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555918" w:rsidRPr="00E400E4" w:rsidRDefault="00555918" w:rsidP="000B1771">
            <w:pPr>
              <w:pStyle w:val="TableText"/>
              <w:keepNext/>
            </w:pPr>
            <w:r w:rsidRPr="00E400E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55918" w:rsidRPr="00E400E4" w:rsidRDefault="00555918" w:rsidP="000B1771">
            <w:pPr>
              <w:pStyle w:val="TableText"/>
              <w:keepNext/>
            </w:pPr>
            <w:r w:rsidRPr="00E400E4">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55918" w:rsidRPr="00E400E4" w:rsidRDefault="00555918" w:rsidP="000B1771">
            <w:pPr>
              <w:pStyle w:val="TableText"/>
              <w:keepNext/>
            </w:pPr>
            <w:r w:rsidRPr="00E400E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555918" w:rsidRPr="00E400E4" w:rsidRDefault="00555918" w:rsidP="000B1771">
            <w:pPr>
              <w:pStyle w:val="TableText"/>
              <w:keepNext/>
              <w:rPr>
                <w:color w:val="FFFFFF"/>
              </w:rPr>
            </w:pPr>
            <w:r w:rsidRPr="00E400E4">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555918" w:rsidRPr="00E400E4" w:rsidRDefault="00555918" w:rsidP="000B1771">
            <w:pPr>
              <w:pStyle w:val="TableText"/>
              <w:keepNext/>
            </w:pPr>
            <w:r w:rsidRPr="00E400E4">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rsidR="00555918" w:rsidRPr="00E400E4" w:rsidRDefault="00555918" w:rsidP="000B1771">
            <w:pPr>
              <w:pStyle w:val="TableText"/>
              <w:keepNext/>
            </w:pPr>
            <w:r w:rsidRPr="00E400E4">
              <w:t>Moderate risk</w:t>
            </w:r>
          </w:p>
        </w:tc>
      </w:tr>
      <w:tr w:rsidR="00555918" w:rsidRPr="00E400E4">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55918" w:rsidRPr="00E400E4" w:rsidRDefault="00555918" w:rsidP="000B1771">
            <w:pPr>
              <w:pStyle w:val="TableText"/>
              <w:keepNext/>
            </w:pPr>
            <w:r w:rsidRPr="00E400E4">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555918" w:rsidRPr="00E400E4" w:rsidRDefault="00555918" w:rsidP="000B1771">
            <w:pPr>
              <w:pStyle w:val="TableText"/>
              <w:keepNext/>
            </w:pPr>
            <w:r w:rsidRPr="00E400E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55918" w:rsidRPr="00E400E4" w:rsidRDefault="00555918" w:rsidP="000B1771">
            <w:pPr>
              <w:pStyle w:val="TableText"/>
              <w:keepNext/>
            </w:pPr>
            <w:r w:rsidRPr="00E400E4">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55918" w:rsidRPr="00E400E4" w:rsidRDefault="00555918" w:rsidP="000B1771">
            <w:pPr>
              <w:pStyle w:val="TableText"/>
              <w:keepNext/>
            </w:pPr>
            <w:r w:rsidRPr="00E400E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55918" w:rsidRPr="00E400E4" w:rsidRDefault="00555918" w:rsidP="000B1771">
            <w:pPr>
              <w:pStyle w:val="TableText"/>
              <w:keepNext/>
            </w:pPr>
            <w:r w:rsidRPr="00E400E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555918" w:rsidRPr="00E400E4" w:rsidRDefault="00555918" w:rsidP="000B1771">
            <w:pPr>
              <w:pStyle w:val="TableText"/>
              <w:keepNext/>
              <w:rPr>
                <w:color w:val="FFFFFF"/>
              </w:rPr>
            </w:pPr>
            <w:r w:rsidRPr="00E400E4">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rsidR="00555918" w:rsidRPr="00E400E4" w:rsidRDefault="00555918" w:rsidP="000B1771">
            <w:pPr>
              <w:pStyle w:val="TableText"/>
              <w:keepNext/>
            </w:pPr>
            <w:r w:rsidRPr="00E400E4">
              <w:t>Low risk</w:t>
            </w:r>
          </w:p>
        </w:tc>
      </w:tr>
      <w:tr w:rsidR="00555918" w:rsidRPr="00E400E4">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rsidR="00555918" w:rsidRPr="00E400E4" w:rsidRDefault="00555918" w:rsidP="000B1771">
            <w:pPr>
              <w:pStyle w:val="TableText"/>
            </w:pPr>
            <w:r w:rsidRPr="00E400E4">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rsidR="00555918" w:rsidRPr="00E400E4" w:rsidRDefault="00555918" w:rsidP="000B1771">
            <w:pPr>
              <w:pStyle w:val="TableText"/>
            </w:pPr>
            <w:r w:rsidRPr="00E400E4">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555918" w:rsidRPr="00E400E4" w:rsidRDefault="00555918" w:rsidP="000B1771">
            <w:pPr>
              <w:pStyle w:val="TableText"/>
            </w:pPr>
            <w:r w:rsidRPr="00E400E4">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555918" w:rsidRPr="00E400E4" w:rsidRDefault="00555918" w:rsidP="000B1771">
            <w:pPr>
              <w:pStyle w:val="TableText"/>
            </w:pPr>
            <w:r w:rsidRPr="00E400E4">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555918" w:rsidRPr="00E400E4" w:rsidRDefault="00555918" w:rsidP="000B1771">
            <w:pPr>
              <w:pStyle w:val="TableText"/>
            </w:pPr>
            <w:r w:rsidRPr="00E400E4">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555918" w:rsidRPr="00E400E4" w:rsidRDefault="00555918" w:rsidP="000B1771">
            <w:pPr>
              <w:pStyle w:val="TableText"/>
            </w:pPr>
            <w:r w:rsidRPr="00E400E4">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rsidR="00555918" w:rsidRPr="00E400E4" w:rsidRDefault="00555918" w:rsidP="000B1771">
            <w:pPr>
              <w:pStyle w:val="TableText"/>
              <w:rPr>
                <w:color w:val="FFFFFF"/>
              </w:rPr>
            </w:pPr>
            <w:r w:rsidRPr="00E400E4">
              <w:rPr>
                <w:color w:val="FFFFFF"/>
              </w:rPr>
              <w:t>Very low risk</w:t>
            </w:r>
          </w:p>
        </w:tc>
      </w:tr>
    </w:tbl>
    <w:p w:rsidR="00555918" w:rsidRPr="00E400E4" w:rsidRDefault="00555918" w:rsidP="000B1771">
      <w:pPr>
        <w:pStyle w:val="Heading4"/>
      </w:pPr>
      <w:r w:rsidRPr="00E400E4">
        <w:t>The appropriate level of protection (ALOP) for Australia</w:t>
      </w:r>
    </w:p>
    <w:p w:rsidR="00555918" w:rsidRPr="00E400E4" w:rsidRDefault="00555918">
      <w:r w:rsidRPr="00E400E4">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rsidR="00555918" w:rsidRPr="00E400E4" w:rsidRDefault="00555918">
      <w:r w:rsidRPr="00E400E4">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Pr="00E400E4">
        <w:fldChar w:fldCharType="begin"/>
      </w:r>
      <w:r w:rsidRPr="00E400E4">
        <w:instrText xml:space="preserve"> REF _Ref457826369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5</w:t>
      </w:r>
      <w:r w:rsidRPr="00E400E4">
        <w:fldChar w:fldCharType="end"/>
      </w:r>
      <w:r w:rsidRPr="00E400E4">
        <w:t xml:space="preserve"> marked ‘very low risk’ represents the ALOP for Australia.</w:t>
      </w:r>
    </w:p>
    <w:p w:rsidR="00555918" w:rsidRPr="00E400E4" w:rsidRDefault="00555918" w:rsidP="000B1771">
      <w:pPr>
        <w:pStyle w:val="Heading4"/>
      </w:pPr>
      <w:bookmarkStart w:id="34" w:name="_Ref520890448"/>
      <w:r w:rsidRPr="00E400E4">
        <w:t>Adoption of outcomes from previous assessments</w:t>
      </w:r>
      <w:bookmarkEnd w:id="34"/>
    </w:p>
    <w:p w:rsidR="00555918" w:rsidRPr="00E400E4" w:rsidRDefault="00555918" w:rsidP="000B1771">
      <w:r w:rsidRPr="00E400E4">
        <w:t>Outcomes of previous risk assessments have been adopted in this assessment for pests for which the risk profile is assessed as comparable to previously assessed situations.</w:t>
      </w:r>
    </w:p>
    <w:p w:rsidR="00555918" w:rsidRPr="00E400E4" w:rsidRDefault="00555918" w:rsidP="000B1771">
      <w:r w:rsidRPr="00E400E4">
        <w:t>The prospective adoption of previous risk assessment ratings is considered on a case-by-case basis by comparing factors relevant to the current commodity/country pathway with those assessed previously. For assessment of the likelihood of importation, factors considered/compared include the commodity type, the prevalence of the pest and commercial production practices, whereas for assessment of the likelihood of distribution of a pest the factors include the commodity type, the time of year when importation occurs, and the availability and susceptibility of hosts at that time. After comparing these factors and reviewing the latest literature, previously determined ratings may be adopted if the department considers the likelihoods to be comparable to those assigned in the previous assessment(s).</w:t>
      </w:r>
    </w:p>
    <w:p w:rsidR="00555918" w:rsidRPr="00E400E4" w:rsidRDefault="00555918" w:rsidP="000B1771">
      <w:r w:rsidRPr="00E400E4">
        <w:t xml:space="preserve">The likelihoods of establishment and of spread of a pest species in the PRA area (in this instance, Australia) will be comparable between risk assessments, regardless of the commodity/country pathway through which the pest is imported, as these likelihoods relate specifically to conditions and events that occur in the PRA area, and are independent of the import pathway. Similarly, the estimate of potential consequences associated with a pest species is also independent of the </w:t>
      </w:r>
      <w:r w:rsidRPr="00E400E4">
        <w:lastRenderedPageBreak/>
        <w:t>import pathway. Therefore, the likelihoods of establishment and of spread of a pest, and the estimate of potential consequences, are directly comparable between assessments, and may be adopted with confidence.</w:t>
      </w:r>
    </w:p>
    <w:p w:rsidR="00555918" w:rsidRPr="00E400E4" w:rsidRDefault="00555918" w:rsidP="000B1771">
      <w:pPr>
        <w:pStyle w:val="Heading4"/>
      </w:pPr>
      <w:bookmarkStart w:id="35" w:name="_Ref521486026"/>
      <w:r w:rsidRPr="00E400E4">
        <w:t>Application of a Group PRA</w:t>
      </w:r>
      <w:bookmarkEnd w:id="35"/>
    </w:p>
    <w:p w:rsidR="00555918" w:rsidRPr="00E400E4" w:rsidRDefault="00555918" w:rsidP="000B1771">
      <w:r w:rsidRPr="00E400E4">
        <w:t>Risk estimates derived from a Group PRA are ‘indicative’ in character. This is because the likelihood of entry (the combined likelihoods of importation and distribution) can be influenced by a range of pathway-specific factors, as explained in Section 2.2.6. Therefore, the indicative likelihood of entry from a Group PRA needs to be verified on a case-by-case basis.</w:t>
      </w:r>
    </w:p>
    <w:p w:rsidR="00555918" w:rsidRPr="00E400E4" w:rsidRDefault="00555918" w:rsidP="000B1771">
      <w:r w:rsidRPr="00E400E4">
        <w:t>In contrast, and as noted in Section 2.2.6,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a Group PRA assessment can be applied as the default outcome for any pest species on a plant import pathway once the previously assigned likelihood of entry has been verified.</w:t>
      </w:r>
    </w:p>
    <w:p w:rsidR="00555918" w:rsidRPr="00E400E4" w:rsidRDefault="00555918" w:rsidP="000B1771">
      <w:r w:rsidRPr="00E400E4">
        <w:t>In a scenario where the likelihood of entry for a pest species on a commodity is assessed as different to the indicative estimate, the Group PRA-derived likelihoods of establishment and spread and the estimate of consequences can still be used, but the overall risk rating may change.</w:t>
      </w:r>
    </w:p>
    <w:p w:rsidR="00555918" w:rsidRPr="00E400E4" w:rsidRDefault="00555918" w:rsidP="000B1771">
      <w:r w:rsidRPr="00E400E4">
        <w:t>The Group PRA that was applied to this risk analysis is:</w:t>
      </w:r>
    </w:p>
    <w:p w:rsidR="00555918" w:rsidRPr="00E400E4" w:rsidRDefault="00555918" w:rsidP="00555918">
      <w:pPr>
        <w:pStyle w:val="ListBullet"/>
        <w:numPr>
          <w:ilvl w:val="0"/>
          <w:numId w:val="7"/>
        </w:numPr>
      </w:pPr>
      <w:r w:rsidRPr="00E400E4">
        <w:rPr>
          <w:i/>
        </w:rPr>
        <w:t>The Final group pest risk analysis for thrips and orthotospoviruses on fresh fruit, vegetable, cut-flower and foliage imports</w:t>
      </w:r>
      <w:r w:rsidRPr="00E400E4">
        <w:t xml:space="preserve"> </w:t>
      </w:r>
      <w:r>
        <w:rPr>
          <w:noProof/>
        </w:rPr>
        <w:t>(Australian Government Department of Agriculture and Water Resources 2017)</w:t>
      </w:r>
      <w:r w:rsidRPr="00E400E4">
        <w:t xml:space="preserve">, which is referred to as the ‘thrips </w:t>
      </w:r>
      <w:r>
        <w:t>G</w:t>
      </w:r>
      <w:r w:rsidRPr="00E400E4">
        <w:t>roup PRA’.</w:t>
      </w:r>
    </w:p>
    <w:p w:rsidR="00555918" w:rsidRPr="00E400E4" w:rsidRDefault="00555918" w:rsidP="000B1771">
      <w:pPr>
        <w:pStyle w:val="ListBullet"/>
        <w:tabs>
          <w:tab w:val="clear" w:pos="567"/>
        </w:tabs>
        <w:ind w:left="0" w:firstLine="0"/>
      </w:pPr>
      <w:r w:rsidRPr="00E400E4">
        <w:t xml:space="preserve">The </w:t>
      </w:r>
      <w:r w:rsidRPr="00E400E4">
        <w:rPr>
          <w:i/>
        </w:rPr>
        <w:t>Final group pest risk analysis for mealybugs and the viruses they transmit on fresh fruit, vegetable, cut flower and foliage imports</w:t>
      </w:r>
      <w:r w:rsidRPr="00E400E4">
        <w:t xml:space="preserve"> was finalised in January 2019. As the group policy was finalised close to the release of the draft report for avocados from Chile, the group policy was not adopted for this risk analysis. However, its assessments and recommended risk management measures are consistent with the present analysis.</w:t>
      </w:r>
    </w:p>
    <w:p w:rsidR="00555918" w:rsidRPr="00E400E4" w:rsidRDefault="00555918" w:rsidP="000B1771">
      <w:pPr>
        <w:pStyle w:val="Heading3"/>
      </w:pPr>
      <w:bookmarkStart w:id="36" w:name="_Toc389741444"/>
      <w:bookmarkStart w:id="37" w:name="_Toc20392233"/>
      <w:r w:rsidRPr="00E400E4">
        <w:t>Stage 3 Pest risk management</w:t>
      </w:r>
      <w:bookmarkEnd w:id="36"/>
      <w:bookmarkEnd w:id="37"/>
    </w:p>
    <w:p w:rsidR="00555918" w:rsidRPr="00E400E4" w:rsidRDefault="00555918">
      <w:r w:rsidRPr="00E400E4">
        <w:t>Pest risk management describes the process of identifying and implementing phytosanitary measures to manage risks to achieve the ALOP for Australia, while ensuring that any negative effects on trade are minimised.</w:t>
      </w:r>
    </w:p>
    <w:p w:rsidR="00555918" w:rsidRPr="00E400E4" w:rsidRDefault="00555918">
      <w:r w:rsidRPr="00E400E4">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recommended phytosanitary measures (or combination of measures) is evaluated, using the same approach as used to evaluate the unrestricted risk, to ensure the restricted risk for the relevant pest or pests achieves the ALOP for Australia.</w:t>
      </w:r>
    </w:p>
    <w:p w:rsidR="00555918" w:rsidRPr="00E400E4" w:rsidRDefault="00555918">
      <w:r w:rsidRPr="00E400E4">
        <w:lastRenderedPageBreak/>
        <w:t xml:space="preserve">ISPM 11 </w:t>
      </w:r>
      <w:r>
        <w:rPr>
          <w:noProof/>
        </w:rPr>
        <w:t>(FAO 2019c)</w:t>
      </w:r>
      <w:r w:rsidRPr="00E400E4">
        <w:t xml:space="preserve"> provides details on the identification and selection of appropriate risk management options and notes that the choice of measures should be based on their effectiveness in reducing the likelihood of entry of the pest.</w:t>
      </w:r>
    </w:p>
    <w:p w:rsidR="00555918" w:rsidRPr="00E400E4" w:rsidRDefault="00555918" w:rsidP="000B1771">
      <w:pPr>
        <w:keepNext/>
      </w:pPr>
      <w:r w:rsidRPr="00E400E4">
        <w:t>Examples given of measures commonly applied to traded commodities include:</w:t>
      </w:r>
    </w:p>
    <w:p w:rsidR="00555918" w:rsidRPr="00E400E4" w:rsidRDefault="00555918" w:rsidP="00555918">
      <w:pPr>
        <w:pStyle w:val="ListBullet"/>
        <w:numPr>
          <w:ilvl w:val="0"/>
          <w:numId w:val="7"/>
        </w:numPr>
      </w:pPr>
      <w:r w:rsidRPr="00E400E4">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rsidR="00555918" w:rsidRPr="00E400E4" w:rsidRDefault="00555918" w:rsidP="00555918">
      <w:pPr>
        <w:pStyle w:val="ListBullet"/>
        <w:numPr>
          <w:ilvl w:val="0"/>
          <w:numId w:val="7"/>
        </w:numPr>
      </w:pPr>
      <w:r w:rsidRPr="00E400E4">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rsidR="00555918" w:rsidRPr="00E400E4" w:rsidRDefault="00555918" w:rsidP="00555918">
      <w:pPr>
        <w:pStyle w:val="ListBullet"/>
        <w:numPr>
          <w:ilvl w:val="0"/>
          <w:numId w:val="7"/>
        </w:numPr>
      </w:pPr>
      <w:r w:rsidRPr="00E400E4">
        <w:t>options ensuring that the area, place or site of production or crop is free from the pest—for example, pest-free area, pest-free place of production or pest-free production site</w:t>
      </w:r>
    </w:p>
    <w:p w:rsidR="00555918" w:rsidRPr="00E400E4" w:rsidRDefault="00555918" w:rsidP="00555918">
      <w:pPr>
        <w:pStyle w:val="ListBullet"/>
        <w:numPr>
          <w:ilvl w:val="0"/>
          <w:numId w:val="7"/>
        </w:numPr>
      </w:pPr>
      <w:r w:rsidRPr="00E400E4">
        <w:t>options for other types of pathways—for example, consider natural spread, measures for human travellers and their baggage, cleaning or disinfestations of contaminated machinery</w:t>
      </w:r>
    </w:p>
    <w:p w:rsidR="00555918" w:rsidRPr="00E400E4" w:rsidRDefault="00555918" w:rsidP="00555918">
      <w:pPr>
        <w:pStyle w:val="ListBullet"/>
        <w:numPr>
          <w:ilvl w:val="0"/>
          <w:numId w:val="7"/>
        </w:numPr>
      </w:pPr>
      <w:r w:rsidRPr="00E400E4">
        <w:t>options within the importing country—for example, surveillance and eradication programs</w:t>
      </w:r>
    </w:p>
    <w:p w:rsidR="00555918" w:rsidRPr="00E400E4" w:rsidRDefault="00555918" w:rsidP="00555918">
      <w:pPr>
        <w:pStyle w:val="ListBullet"/>
        <w:numPr>
          <w:ilvl w:val="0"/>
          <w:numId w:val="7"/>
        </w:numPr>
      </w:pPr>
      <w:r w:rsidRPr="00E400E4">
        <w:t>prohibition of commodities—if no satisfactory measure can be found.</w:t>
      </w:r>
    </w:p>
    <w:p w:rsidR="00555918" w:rsidRPr="00E400E4" w:rsidRDefault="00555918">
      <w:r w:rsidRPr="00E400E4">
        <w:t xml:space="preserve">Risk management measures are identified for each quarantine pest where the level of biosecurity risk does not achieve the ALOP for Australia. These are presented in Chapter 5: Pest risk management, of this report. </w:t>
      </w:r>
    </w:p>
    <w:p w:rsidR="00555918" w:rsidRPr="00E400E4" w:rsidRDefault="00555918"/>
    <w:p w:rsidR="00555918" w:rsidRPr="00E400E4" w:rsidRDefault="00555918" w:rsidP="000B1771">
      <w:pPr>
        <w:pStyle w:val="Heading2"/>
        <w:sectPr w:rsidR="00555918" w:rsidRPr="00E400E4" w:rsidSect="000B1771">
          <w:headerReference w:type="default" r:id="rId32"/>
          <w:pgSz w:w="11906" w:h="16838"/>
          <w:pgMar w:top="1418" w:right="1418" w:bottom="1418" w:left="1418" w:header="567" w:footer="283" w:gutter="0"/>
          <w:cols w:space="708"/>
          <w:docGrid w:linePitch="360"/>
        </w:sectPr>
      </w:pPr>
      <w:bookmarkStart w:id="38" w:name="_Toc389741445"/>
    </w:p>
    <w:p w:rsidR="00555918" w:rsidRPr="00E400E4" w:rsidRDefault="00555918" w:rsidP="000B1771">
      <w:pPr>
        <w:pStyle w:val="Heading2"/>
      </w:pPr>
      <w:bookmarkStart w:id="39" w:name="_Toc20392234"/>
      <w:r w:rsidRPr="00E400E4">
        <w:lastRenderedPageBreak/>
        <w:t xml:space="preserve">Chile’s commercial production practices for </w:t>
      </w:r>
      <w:bookmarkEnd w:id="38"/>
      <w:r w:rsidRPr="00E400E4">
        <w:t>avocados</w:t>
      </w:r>
      <w:bookmarkEnd w:id="39"/>
    </w:p>
    <w:p w:rsidR="00555918" w:rsidRPr="00E400E4" w:rsidRDefault="00555918">
      <w:r w:rsidRPr="00E400E4">
        <w:t>This chapter provides information on the pre-harvest, harvest and post-harvest practices considered to be standard practices in Chile for the production of avocados for export. The export capability of Chile is also outlined.</w:t>
      </w:r>
    </w:p>
    <w:p w:rsidR="00555918" w:rsidRPr="00E400E4" w:rsidRDefault="00555918" w:rsidP="000B1771">
      <w:pPr>
        <w:pStyle w:val="Heading3"/>
      </w:pPr>
      <w:bookmarkStart w:id="40" w:name="_Toc389741446"/>
      <w:bookmarkStart w:id="41" w:name="_Toc20392235"/>
      <w:r w:rsidRPr="00E400E4">
        <w:t>Considerations used in estimating unrestricted risk</w:t>
      </w:r>
      <w:bookmarkEnd w:id="40"/>
      <w:bookmarkEnd w:id="41"/>
    </w:p>
    <w:p w:rsidR="00555918" w:rsidRPr="00E400E4" w:rsidRDefault="00555918" w:rsidP="000B1771">
      <w:r w:rsidRPr="00E400E4">
        <w:t>Chile provided Australia with information on the standard commercial practices used in the production of avocados in different regions of Chile. This information has been complemented with data from other sources such as published literature and observations during visits to Chile, all of which have been taken into consideration when estimating the unrestricted risks of pests that may be associated with the import of this commodity.</w:t>
      </w:r>
    </w:p>
    <w:p w:rsidR="00555918" w:rsidRPr="00E400E4" w:rsidRDefault="00555918" w:rsidP="000B1771">
      <w:r w:rsidRPr="00E400E4">
        <w:t>In January 2012 and October 2017, officers from the department visited avocado production areas in Chile, in the regions of Valparaiso and Metropolitan. The objectives of these visits were to observe commercial production, pest management and other export practices. The department’s observations and additional information provided during the visits confirmed the production and processing procedures described in this chapter as standard commercial production practices for avocados for export.</w:t>
      </w:r>
    </w:p>
    <w:p w:rsidR="00555918" w:rsidRPr="00E400E4" w:rsidRDefault="00555918" w:rsidP="000B1771">
      <w:r w:rsidRPr="00E400E4">
        <w:t>In estimating the likelihood of pest introduction to Australia it has been assumed that the pre-harvest, harvest and post-harvest production practices for avocado as described in this chapter are implemented for all regions and for all avocados within the scope of this analysis. Where a specific practice described in this chapter has not been used to estimate the unrestricted risk, it is clearly identified and explained in Chapter 4.</w:t>
      </w:r>
    </w:p>
    <w:p w:rsidR="00555918" w:rsidRPr="00E400E4" w:rsidRDefault="00555918" w:rsidP="000B1771">
      <w:pPr>
        <w:pStyle w:val="Heading3"/>
      </w:pPr>
      <w:bookmarkStart w:id="42" w:name="_Toc20392236"/>
      <w:bookmarkStart w:id="43" w:name="_Toc389741447"/>
      <w:r w:rsidRPr="00E400E4">
        <w:t>Avocado production areas</w:t>
      </w:r>
      <w:bookmarkEnd w:id="42"/>
    </w:p>
    <w:p w:rsidR="00555918" w:rsidRPr="00E400E4" w:rsidRDefault="00555918" w:rsidP="000B1771">
      <w:r w:rsidRPr="00E400E4">
        <w:t xml:space="preserve">Chile’s main avocado production areas are located in the regions of Valparaiso (accounting for over 65 per cent of the total area planted), Coquimbo (accounting for 15 per cent of the total area planted) and Metropolitan (accounting for 15 per cent of the total area planted). </w:t>
      </w:r>
    </w:p>
    <w:p w:rsidR="00555918" w:rsidRPr="00E400E4" w:rsidRDefault="00555918" w:rsidP="000B1771">
      <w:r w:rsidRPr="00E400E4">
        <w:t xml:space="preserve">The main avocado production regions are depicted in </w:t>
      </w:r>
      <w:r w:rsidRPr="00E400E4">
        <w:fldChar w:fldCharType="begin"/>
      </w:r>
      <w:r w:rsidRPr="00E400E4">
        <w:instrText xml:space="preserve"> REF _Ref512840790 \h  \* MERGEFORMAT </w:instrText>
      </w:r>
      <w:r w:rsidRPr="00E400E4">
        <w:fldChar w:fldCharType="separate"/>
      </w:r>
      <w:r w:rsidR="006C029B" w:rsidRPr="00E400E4">
        <w:t xml:space="preserve">Map </w:t>
      </w:r>
      <w:r w:rsidR="006C029B">
        <w:rPr>
          <w:noProof/>
        </w:rPr>
        <w:t>3</w:t>
      </w:r>
      <w:r w:rsidRPr="00E400E4">
        <w:fldChar w:fldCharType="end"/>
      </w:r>
      <w:r w:rsidRPr="00E400E4">
        <w:t>.</w:t>
      </w:r>
    </w:p>
    <w:p w:rsidR="00555918" w:rsidRPr="00E400E4" w:rsidRDefault="00555918" w:rsidP="000B1771">
      <w:pPr>
        <w:pStyle w:val="Caption"/>
      </w:pPr>
      <w:bookmarkStart w:id="44" w:name="_Ref512840790"/>
      <w:bookmarkStart w:id="45" w:name="_Toc24702453"/>
      <w:r w:rsidRPr="00E400E4">
        <w:lastRenderedPageBreak/>
        <w:t xml:space="preserve">Map </w:t>
      </w:r>
      <w:r w:rsidRPr="00E400E4">
        <w:rPr>
          <w:noProof/>
        </w:rPr>
        <w:fldChar w:fldCharType="begin"/>
      </w:r>
      <w:r w:rsidRPr="00E400E4">
        <w:rPr>
          <w:noProof/>
        </w:rPr>
        <w:instrText xml:space="preserve"> SEQ Map \* ARABIC </w:instrText>
      </w:r>
      <w:r w:rsidRPr="00E400E4">
        <w:rPr>
          <w:noProof/>
        </w:rPr>
        <w:fldChar w:fldCharType="separate"/>
      </w:r>
      <w:r w:rsidR="006C029B">
        <w:rPr>
          <w:noProof/>
        </w:rPr>
        <w:t>3</w:t>
      </w:r>
      <w:r w:rsidRPr="00E400E4">
        <w:rPr>
          <w:noProof/>
        </w:rPr>
        <w:fldChar w:fldCharType="end"/>
      </w:r>
      <w:bookmarkEnd w:id="44"/>
      <w:r w:rsidRPr="00E400E4">
        <w:t xml:space="preserve"> Chile's major avocado production regions</w:t>
      </w:r>
      <w:bookmarkEnd w:id="45"/>
    </w:p>
    <w:p w:rsidR="00555918" w:rsidRPr="00E400E4" w:rsidRDefault="00555918" w:rsidP="000B1771">
      <w:r w:rsidRPr="00E400E4">
        <w:rPr>
          <w:noProof/>
          <w:lang w:eastAsia="en-AU"/>
        </w:rPr>
        <w:drawing>
          <wp:inline distT="0" distB="0" distL="0" distR="0" wp14:anchorId="3DDEF944" wp14:editId="0AC43862">
            <wp:extent cx="4582800" cy="3369600"/>
            <wp:effectExtent l="0" t="0" r="8255" b="2540"/>
            <wp:docPr id="14" name="Picture 14" descr="a) Map of parts of South America with Chile in green. &#10;b) Central part of Chile enlarged with major avocado producing regions (Coquimbo, Valparaiso and Metropolitan)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Himmelspach Regina\AppData\Local\Microsoft\Windows\INetCache\Content.Word\location and region combined_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2800" cy="3369600"/>
                    </a:xfrm>
                    <a:prstGeom prst="rect">
                      <a:avLst/>
                    </a:prstGeom>
                    <a:noFill/>
                    <a:ln>
                      <a:noFill/>
                    </a:ln>
                  </pic:spPr>
                </pic:pic>
              </a:graphicData>
            </a:graphic>
          </wp:inline>
        </w:drawing>
      </w:r>
    </w:p>
    <w:p w:rsidR="00555918" w:rsidRPr="00E400E4" w:rsidRDefault="00555918" w:rsidP="000B1771">
      <w:pPr>
        <w:pStyle w:val="FigureTableNoteSource"/>
      </w:pPr>
      <w:r w:rsidRPr="00E400E4">
        <w:t>a) Chile (in green) and neighbouring countries. The black box indicates the area enlarged in (b).</w:t>
      </w:r>
    </w:p>
    <w:p w:rsidR="00555918" w:rsidRPr="00E400E4" w:rsidRDefault="00555918" w:rsidP="000B1771">
      <w:pPr>
        <w:pStyle w:val="FigureTableNoteSource"/>
      </w:pPr>
      <w:r w:rsidRPr="00E400E4">
        <w:t>b) The three major avocado-producing regions, Coquimbo, Valparaiso and Metropolitan (Región Metropolitana), are shown in green.</w:t>
      </w:r>
    </w:p>
    <w:p w:rsidR="00555918" w:rsidRPr="00E400E4" w:rsidRDefault="00555918" w:rsidP="000B1771">
      <w:pPr>
        <w:pStyle w:val="FigureTableNoteSource"/>
      </w:pPr>
      <w:r w:rsidRPr="00E400E4">
        <w:t xml:space="preserve">Source: Adapted from </w:t>
      </w:r>
      <w:hyperlink r:id="rId34" w:history="1">
        <w:r w:rsidRPr="00E400E4">
          <w:rPr>
            <w:rStyle w:val="Hyperlink"/>
          </w:rPr>
          <w:t>www.wpclipart.com</w:t>
        </w:r>
      </w:hyperlink>
      <w:r w:rsidRPr="00E400E4">
        <w:t xml:space="preserve">. Modified based on information from </w:t>
      </w:r>
      <w:r>
        <w:rPr>
          <w:noProof/>
        </w:rPr>
        <w:t>Gonzalez (2017)</w:t>
      </w:r>
      <w:r w:rsidRPr="00E400E4">
        <w:t>.</w:t>
      </w:r>
    </w:p>
    <w:p w:rsidR="00555918" w:rsidRPr="00E400E4" w:rsidRDefault="00555918" w:rsidP="000B1771">
      <w:pPr>
        <w:pStyle w:val="Heading3"/>
      </w:pPr>
      <w:bookmarkStart w:id="46" w:name="_Toc20392237"/>
      <w:r w:rsidRPr="00E400E4">
        <w:t>Climate in production areas</w:t>
      </w:r>
      <w:bookmarkEnd w:id="43"/>
      <w:bookmarkEnd w:id="46"/>
    </w:p>
    <w:p w:rsidR="00555918" w:rsidRPr="00E400E4" w:rsidRDefault="00555918" w:rsidP="000B1771">
      <w:bookmarkStart w:id="47" w:name="_Toc384979281"/>
      <w:bookmarkStart w:id="48" w:name="_Toc384979290"/>
      <w:r w:rsidRPr="00E400E4">
        <w:t xml:space="preserve">Chile has 15 administrative regions with a distance of around 4,500 km from the northernmost to the southernmost point of the country. The main avocado production regions are Valparaiso, Metropolitan and Coquimbo which are located in the centre of the country. </w:t>
      </w:r>
    </w:p>
    <w:p w:rsidR="00555918" w:rsidRPr="00E400E4" w:rsidRDefault="00555918" w:rsidP="000B1771">
      <w:r w:rsidRPr="00E400E4">
        <w:t>The climate in these regions is Mediterranean with long, warm to hot, dry summers (December, January, February) and rain mainly occurring during the cool winters (June, July, August). There is some variation in the climate from west to east, between areas close to the coast and inland areas. Local temperatures of inland areas are also influenced by perpendicularly crossing river valleys.</w:t>
      </w:r>
    </w:p>
    <w:p w:rsidR="00555918" w:rsidRPr="00E400E4" w:rsidRDefault="00555918" w:rsidP="000B1771">
      <w:r w:rsidRPr="00E400E4">
        <w:t>Recent avocado plantings are preferably located on the hillsides to avoid the frost in the valleys (</w:t>
      </w:r>
      <w:r w:rsidRPr="00E400E4">
        <w:fldChar w:fldCharType="begin"/>
      </w:r>
      <w:r w:rsidRPr="00E400E4">
        <w:instrText xml:space="preserve"> REF _Ref512841035 \h  \* MERGEFORMAT </w:instrText>
      </w:r>
      <w:r w:rsidRPr="00E400E4">
        <w:fldChar w:fldCharType="separate"/>
      </w:r>
      <w:r w:rsidR="006C029B" w:rsidRPr="00E400E4">
        <w:t xml:space="preserve">Figure </w:t>
      </w:r>
      <w:r w:rsidR="006C029B">
        <w:rPr>
          <w:noProof/>
        </w:rPr>
        <w:t>2</w:t>
      </w:r>
      <w:r w:rsidRPr="00E400E4">
        <w:fldChar w:fldCharType="end"/>
      </w:r>
      <w:r w:rsidRPr="00E400E4">
        <w:t>). Orchards that are located in valleys use wind generators to move the cold air and minimise frost damage.</w:t>
      </w:r>
    </w:p>
    <w:p w:rsidR="00555918" w:rsidRPr="00E400E4" w:rsidRDefault="00555918" w:rsidP="000B1771">
      <w:pPr>
        <w:pStyle w:val="Caption"/>
      </w:pPr>
      <w:bookmarkStart w:id="49" w:name="_Ref512841035"/>
      <w:bookmarkStart w:id="50" w:name="_Toc24702419"/>
      <w:r w:rsidRPr="00E400E4">
        <w:lastRenderedPageBreak/>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2</w:t>
      </w:r>
      <w:r w:rsidRPr="00E400E4">
        <w:rPr>
          <w:noProof/>
        </w:rPr>
        <w:fldChar w:fldCharType="end"/>
      </w:r>
      <w:bookmarkEnd w:id="49"/>
      <w:r w:rsidRPr="00E400E4">
        <w:t xml:space="preserve"> Avocado orchard in the Metropolitan region (Melipilla province) with hillside plantings</w:t>
      </w:r>
      <w:bookmarkEnd w:id="50"/>
    </w:p>
    <w:p w:rsidR="00555918" w:rsidRPr="00E400E4" w:rsidRDefault="00555918" w:rsidP="000B1771">
      <w:r w:rsidRPr="00E400E4">
        <w:rPr>
          <w:noProof/>
          <w:lang w:eastAsia="en-AU"/>
        </w:rPr>
        <w:drawing>
          <wp:inline distT="0" distB="0" distL="0" distR="0" wp14:anchorId="608E0E78" wp14:editId="2D5D590C">
            <wp:extent cx="5759450" cy="4081780"/>
            <wp:effectExtent l="0" t="0" r="0" b="0"/>
            <wp:docPr id="22" name="Picture 22" descr="Picture showing avocado orchards some of which are located on the hill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040156.JPG"/>
                    <pic:cNvPicPr/>
                  </pic:nvPicPr>
                  <pic:blipFill rotWithShape="1">
                    <a:blip r:embed="rId35" cstate="print">
                      <a:extLst>
                        <a:ext uri="{28A0092B-C50C-407E-A947-70E740481C1C}">
                          <a14:useLocalDpi xmlns:a14="http://schemas.microsoft.com/office/drawing/2010/main" val="0"/>
                        </a:ext>
                      </a:extLst>
                    </a:blip>
                    <a:srcRect t="5512"/>
                    <a:stretch/>
                  </pic:blipFill>
                  <pic:spPr bwMode="auto">
                    <a:xfrm>
                      <a:off x="0" y="0"/>
                      <a:ext cx="5759450" cy="4081780"/>
                    </a:xfrm>
                    <a:prstGeom prst="rect">
                      <a:avLst/>
                    </a:prstGeom>
                    <a:ln>
                      <a:noFill/>
                    </a:ln>
                    <a:extLst>
                      <a:ext uri="{53640926-AAD7-44D8-BBD7-CCE9431645EC}">
                        <a14:shadowObscured xmlns:a14="http://schemas.microsoft.com/office/drawing/2010/main"/>
                      </a:ext>
                    </a:extLst>
                  </pic:spPr>
                </pic:pic>
              </a:graphicData>
            </a:graphic>
          </wp:inline>
        </w:drawing>
      </w:r>
    </w:p>
    <w:bookmarkEnd w:id="47"/>
    <w:bookmarkEnd w:id="48"/>
    <w:p w:rsidR="00555918" w:rsidRPr="00E400E4" w:rsidRDefault="00555918" w:rsidP="000B1771">
      <w:r w:rsidRPr="00E400E4">
        <w:t xml:space="preserve">Annual mean monthly rainfall, as well as minimum and maximum temperatures for some locations in avocado-producing areas in the three major avocado production regions are shown in </w:t>
      </w:r>
      <w:r w:rsidRPr="00E400E4">
        <w:fldChar w:fldCharType="begin"/>
      </w:r>
      <w:r w:rsidRPr="00E400E4">
        <w:instrText xml:space="preserve"> REF _Ref512841437 \h  \* MERGEFORMAT </w:instrText>
      </w:r>
      <w:r w:rsidRPr="00E400E4">
        <w:fldChar w:fldCharType="separate"/>
      </w:r>
      <w:r w:rsidR="006C029B" w:rsidRPr="00E400E4">
        <w:t xml:space="preserve">Figure </w:t>
      </w:r>
      <w:r w:rsidR="006C029B">
        <w:rPr>
          <w:noProof/>
        </w:rPr>
        <w:t>3</w:t>
      </w:r>
      <w:r w:rsidRPr="00E400E4">
        <w:fldChar w:fldCharType="end"/>
      </w:r>
      <w:r w:rsidRPr="00E400E4">
        <w:t>.</w:t>
      </w:r>
    </w:p>
    <w:p w:rsidR="00555918" w:rsidRPr="00E400E4" w:rsidRDefault="00555918" w:rsidP="000B1771">
      <w:pPr>
        <w:pStyle w:val="Caption"/>
      </w:pPr>
      <w:bookmarkStart w:id="51" w:name="_Ref512841437"/>
      <w:bookmarkStart w:id="52" w:name="_Toc24702420"/>
      <w:r w:rsidRPr="00E400E4">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3</w:t>
      </w:r>
      <w:r w:rsidRPr="00E400E4">
        <w:rPr>
          <w:noProof/>
        </w:rPr>
        <w:fldChar w:fldCharType="end"/>
      </w:r>
      <w:bookmarkEnd w:id="51"/>
      <w:r w:rsidRPr="00E400E4">
        <w:t xml:space="preserve"> Monthly maximum and minimum temperatures and mean rainfall data in avocado production areas of Chile</w:t>
      </w:r>
      <w:bookmarkEnd w:id="52"/>
    </w:p>
    <w:p w:rsidR="00555918" w:rsidRPr="00E400E4" w:rsidRDefault="00555918" w:rsidP="000B1771">
      <w:r w:rsidRPr="00E400E4">
        <w:rPr>
          <w:noProof/>
          <w:lang w:eastAsia="en-AU"/>
        </w:rPr>
        <w:drawing>
          <wp:inline distT="0" distB="0" distL="0" distR="0" wp14:anchorId="58F649B8" wp14:editId="223043D3">
            <wp:extent cx="2862000" cy="2278800"/>
            <wp:effectExtent l="0" t="0" r="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400E4">
        <w:rPr>
          <w:noProof/>
          <w:lang w:eastAsia="en-AU"/>
        </w:rPr>
        <w:drawing>
          <wp:inline distT="0" distB="0" distL="0" distR="0" wp14:anchorId="28A257E7" wp14:editId="16AAE211">
            <wp:extent cx="2862000" cy="2278800"/>
            <wp:effectExtent l="0" t="0" r="0"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55918" w:rsidRPr="00E400E4" w:rsidRDefault="00555918" w:rsidP="000B1771">
      <w:r w:rsidRPr="00E400E4">
        <w:rPr>
          <w:noProof/>
          <w:lang w:eastAsia="en-AU"/>
        </w:rPr>
        <w:lastRenderedPageBreak/>
        <w:drawing>
          <wp:inline distT="0" distB="0" distL="0" distR="0" wp14:anchorId="2951E7DB" wp14:editId="4CA9A94A">
            <wp:extent cx="2802890" cy="2267132"/>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E400E4">
        <w:rPr>
          <w:noProof/>
          <w:lang w:eastAsia="en-AU"/>
        </w:rPr>
        <w:drawing>
          <wp:inline distT="0" distB="0" distL="0" distR="0" wp14:anchorId="4B327238" wp14:editId="5D731D7D">
            <wp:extent cx="2862000" cy="22716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55918" w:rsidRPr="00E400E4" w:rsidRDefault="00555918" w:rsidP="000B1771">
      <w:pPr>
        <w:pStyle w:val="FigureTableNoteSource"/>
      </w:pPr>
      <w:r w:rsidRPr="00E400E4">
        <w:t>Monthly mean maximum (</w:t>
      </w:r>
      <w:r w:rsidRPr="00E400E4">
        <w:rPr>
          <w:color w:val="C00000"/>
        </w:rPr>
        <w:t>—</w:t>
      </w:r>
      <w:r w:rsidRPr="00E400E4">
        <w:rPr>
          <w:rFonts w:ascii="Segoe UI Symbol" w:hAnsi="Segoe UI Symbol" w:cs="Segoe UI Symbol"/>
          <w:color w:val="C00000"/>
        </w:rPr>
        <w:t>♦</w:t>
      </w:r>
      <w:r w:rsidRPr="00E400E4">
        <w:rPr>
          <w:rFonts w:cs="Calibri"/>
          <w:color w:val="C00000"/>
        </w:rPr>
        <w:t>—</w:t>
      </w:r>
      <w:r w:rsidRPr="00E400E4">
        <w:t>) and minimum (</w:t>
      </w:r>
      <w:r w:rsidRPr="00E400E4">
        <w:rPr>
          <w:color w:val="0070C0"/>
        </w:rPr>
        <w:t>—</w:t>
      </w:r>
      <w:r w:rsidRPr="00E400E4">
        <w:rPr>
          <w:rFonts w:ascii="Arial" w:hAnsi="Arial" w:cs="Arial"/>
          <w:color w:val="0070C0"/>
        </w:rPr>
        <w:t>■</w:t>
      </w:r>
      <w:r w:rsidRPr="00E400E4">
        <w:rPr>
          <w:rFonts w:cs="Calibri"/>
          <w:color w:val="0070C0"/>
        </w:rPr>
        <w:t>—</w:t>
      </w:r>
      <w:r w:rsidRPr="00E400E4">
        <w:t>) temperatures (°C) and mean monthly rainfall (</w:t>
      </w:r>
      <w:r w:rsidRPr="00E400E4">
        <w:rPr>
          <w:color w:val="92D050"/>
        </w:rPr>
        <w:t>—</w:t>
      </w:r>
      <w:r w:rsidRPr="00E400E4">
        <w:rPr>
          <w:rFonts w:ascii="Arial" w:hAnsi="Arial" w:cs="Arial"/>
          <w:color w:val="92D050"/>
        </w:rPr>
        <w:t>▲</w:t>
      </w:r>
      <w:r w:rsidRPr="00E400E4">
        <w:rPr>
          <w:rFonts w:cs="Calibri"/>
          <w:color w:val="92D050"/>
        </w:rPr>
        <w:t>—</w:t>
      </w:r>
      <w:r w:rsidRPr="00E400E4">
        <w:t xml:space="preserve">) (millimetres) from climate data collected between 1982 and 2012 </w:t>
      </w:r>
      <w:r>
        <w:rPr>
          <w:noProof/>
        </w:rPr>
        <w:t>(Climate-data.org 2017)</w:t>
      </w:r>
      <w:r w:rsidRPr="00E400E4">
        <w:t xml:space="preserve"> in avocado production areas of the regions of Coquimbo, Valparaiso and Metropolitan in Chile.</w:t>
      </w:r>
    </w:p>
    <w:p w:rsidR="00555918" w:rsidRPr="00E400E4" w:rsidRDefault="00555918" w:rsidP="000B1771">
      <w:pPr>
        <w:pStyle w:val="Heading3"/>
      </w:pPr>
      <w:bookmarkStart w:id="53" w:name="_Toc389741448"/>
      <w:bookmarkStart w:id="54" w:name="_Toc20392238"/>
      <w:r w:rsidRPr="00E400E4">
        <w:t>Pre-harvest</w:t>
      </w:r>
      <w:bookmarkEnd w:id="53"/>
      <w:bookmarkEnd w:id="54"/>
    </w:p>
    <w:p w:rsidR="00555918" w:rsidRPr="00E400E4" w:rsidRDefault="00555918" w:rsidP="000B1771">
      <w:pPr>
        <w:pStyle w:val="Heading4"/>
      </w:pPr>
      <w:r w:rsidRPr="00E400E4">
        <w:t>Cultivars</w:t>
      </w:r>
    </w:p>
    <w:p w:rsidR="00555918" w:rsidRPr="00E400E4" w:rsidRDefault="00555918" w:rsidP="000B1771">
      <w:r w:rsidRPr="00E400E4">
        <w:t xml:space="preserve">The main avocado cultivar grown in Chile is Hass, which accounts for over 88 per cent of the total planted area. Other avocado cultivars grown in Chile are Bacon, Edranol, Fuerte and Negra de La Cruz </w:t>
      </w:r>
      <w:r>
        <w:rPr>
          <w:noProof/>
        </w:rPr>
        <w:t>(Gonzalez 2016; Lemus et al. 2010; Paull &amp; Duarte 2011)</w:t>
      </w:r>
      <w:r w:rsidRPr="00E400E4">
        <w:t xml:space="preserve">. Some cultivars such as Bacon, Edranol and Zutano are specifically planted as pollinisers alongside Hass </w:t>
      </w:r>
      <w:r>
        <w:rPr>
          <w:noProof/>
        </w:rPr>
        <w:t>(Crane et al. 2013; Newett 2015)</w:t>
      </w:r>
      <w:r w:rsidRPr="00E400E4">
        <w:t xml:space="preserve">. The main cultivars and their respective planted areas are shown in </w:t>
      </w:r>
      <w:r w:rsidRPr="00E400E4">
        <w:fldChar w:fldCharType="begin"/>
      </w:r>
      <w:r w:rsidRPr="00E400E4">
        <w:instrText xml:space="preserve"> REF _Ref512842146 \h  \* MERGEFORMAT </w:instrText>
      </w:r>
      <w:r w:rsidRPr="00E400E4">
        <w:fldChar w:fldCharType="separate"/>
      </w:r>
      <w:r w:rsidR="006C029B" w:rsidRPr="00E400E4">
        <w:t xml:space="preserve">Table </w:t>
      </w:r>
      <w:r w:rsidR="006C029B">
        <w:rPr>
          <w:noProof/>
        </w:rPr>
        <w:t>3</w:t>
      </w:r>
      <w:r w:rsidR="006C029B" w:rsidRPr="00E400E4">
        <w:rPr>
          <w:noProof/>
        </w:rPr>
        <w:t>.</w:t>
      </w:r>
      <w:r w:rsidR="006C029B">
        <w:rPr>
          <w:noProof/>
        </w:rPr>
        <w:t>1</w:t>
      </w:r>
      <w:r w:rsidRPr="00E400E4">
        <w:fldChar w:fldCharType="end"/>
      </w:r>
      <w:r w:rsidRPr="00E400E4">
        <w:t>.</w:t>
      </w:r>
    </w:p>
    <w:p w:rsidR="00555918" w:rsidRPr="00E400E4" w:rsidRDefault="00555918" w:rsidP="000B1771">
      <w:pPr>
        <w:pStyle w:val="Caption"/>
      </w:pPr>
      <w:bookmarkStart w:id="55" w:name="_Ref512842146"/>
      <w:bookmarkStart w:id="56" w:name="_Toc24702442"/>
      <w:r w:rsidRPr="00E400E4">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3</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1</w:t>
      </w:r>
      <w:r w:rsidRPr="00E400E4">
        <w:rPr>
          <w:noProof/>
        </w:rPr>
        <w:fldChar w:fldCharType="end"/>
      </w:r>
      <w:bookmarkEnd w:id="55"/>
      <w:r w:rsidRPr="00E400E4">
        <w:t xml:space="preserve"> Main avocado cultivars by planted area in Chile</w:t>
      </w:r>
      <w:bookmarkEnd w:id="5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555918" w:rsidRPr="00E400E4" w:rsidTr="000B1771">
        <w:tc>
          <w:tcPr>
            <w:tcW w:w="3020" w:type="dxa"/>
          </w:tcPr>
          <w:p w:rsidR="00555918" w:rsidRPr="00E400E4" w:rsidRDefault="00555918" w:rsidP="000B1771">
            <w:pPr>
              <w:pStyle w:val="TableHeading"/>
            </w:pPr>
            <w:r w:rsidRPr="00E400E4">
              <w:t>Cultivars</w:t>
            </w:r>
          </w:p>
        </w:tc>
        <w:tc>
          <w:tcPr>
            <w:tcW w:w="3020" w:type="dxa"/>
          </w:tcPr>
          <w:p w:rsidR="00555918" w:rsidRPr="00E400E4" w:rsidRDefault="00555918" w:rsidP="000B1771">
            <w:pPr>
              <w:pStyle w:val="TableHeading"/>
              <w:jc w:val="right"/>
            </w:pPr>
            <w:r w:rsidRPr="00E400E4">
              <w:t>Area (ha)</w:t>
            </w:r>
          </w:p>
        </w:tc>
        <w:tc>
          <w:tcPr>
            <w:tcW w:w="3020" w:type="dxa"/>
          </w:tcPr>
          <w:p w:rsidR="00555918" w:rsidRPr="00E400E4" w:rsidRDefault="00555918" w:rsidP="000B1771">
            <w:pPr>
              <w:pStyle w:val="TableHeading"/>
              <w:jc w:val="right"/>
            </w:pPr>
            <w:r w:rsidRPr="00E400E4">
              <w:t>Percentage (%)</w:t>
            </w:r>
          </w:p>
        </w:tc>
      </w:tr>
      <w:tr w:rsidR="00555918" w:rsidRPr="00E400E4" w:rsidTr="000B1771">
        <w:tc>
          <w:tcPr>
            <w:tcW w:w="3020" w:type="dxa"/>
          </w:tcPr>
          <w:p w:rsidR="00555918" w:rsidRPr="00E400E4" w:rsidRDefault="00555918" w:rsidP="000B1771">
            <w:pPr>
              <w:pStyle w:val="TableText"/>
            </w:pPr>
            <w:r w:rsidRPr="00E400E4">
              <w:t>Hass</w:t>
            </w:r>
          </w:p>
        </w:tc>
        <w:tc>
          <w:tcPr>
            <w:tcW w:w="3020" w:type="dxa"/>
          </w:tcPr>
          <w:p w:rsidR="00555918" w:rsidRPr="00E400E4" w:rsidRDefault="00555918" w:rsidP="000B1771">
            <w:pPr>
              <w:pStyle w:val="TableText"/>
              <w:jc w:val="right"/>
            </w:pPr>
            <w:r w:rsidRPr="00E400E4">
              <w:t>26,419.99</w:t>
            </w:r>
          </w:p>
        </w:tc>
        <w:tc>
          <w:tcPr>
            <w:tcW w:w="3020" w:type="dxa"/>
          </w:tcPr>
          <w:p w:rsidR="00555918" w:rsidRPr="00E400E4" w:rsidRDefault="00555918" w:rsidP="000B1771">
            <w:pPr>
              <w:pStyle w:val="TableText"/>
              <w:jc w:val="right"/>
            </w:pPr>
            <w:r w:rsidRPr="00E400E4">
              <w:t>88.26</w:t>
            </w:r>
          </w:p>
        </w:tc>
      </w:tr>
      <w:tr w:rsidR="00555918" w:rsidRPr="00E400E4" w:rsidTr="000B1771">
        <w:tc>
          <w:tcPr>
            <w:tcW w:w="3020" w:type="dxa"/>
          </w:tcPr>
          <w:p w:rsidR="00555918" w:rsidRPr="00E400E4" w:rsidRDefault="00555918" w:rsidP="000B1771">
            <w:pPr>
              <w:pStyle w:val="TableText"/>
            </w:pPr>
            <w:r w:rsidRPr="00E400E4">
              <w:t>Edranol</w:t>
            </w:r>
          </w:p>
        </w:tc>
        <w:tc>
          <w:tcPr>
            <w:tcW w:w="3020" w:type="dxa"/>
          </w:tcPr>
          <w:p w:rsidR="00555918" w:rsidRPr="00E400E4" w:rsidRDefault="00555918" w:rsidP="000B1771">
            <w:pPr>
              <w:pStyle w:val="TableText"/>
              <w:jc w:val="right"/>
            </w:pPr>
            <w:r w:rsidRPr="00E400E4">
              <w:t>1,098.68</w:t>
            </w:r>
          </w:p>
        </w:tc>
        <w:tc>
          <w:tcPr>
            <w:tcW w:w="3020" w:type="dxa"/>
          </w:tcPr>
          <w:p w:rsidR="00555918" w:rsidRPr="00E400E4" w:rsidRDefault="00555918" w:rsidP="000B1771">
            <w:pPr>
              <w:pStyle w:val="TableText"/>
              <w:jc w:val="right"/>
            </w:pPr>
            <w:r w:rsidRPr="00E400E4">
              <w:t>3.67</w:t>
            </w:r>
          </w:p>
        </w:tc>
      </w:tr>
      <w:tr w:rsidR="00555918" w:rsidRPr="00E400E4" w:rsidTr="000B1771">
        <w:tc>
          <w:tcPr>
            <w:tcW w:w="3020" w:type="dxa"/>
          </w:tcPr>
          <w:p w:rsidR="00555918" w:rsidRPr="00E400E4" w:rsidRDefault="00555918" w:rsidP="000B1771">
            <w:pPr>
              <w:pStyle w:val="TableText"/>
            </w:pPr>
            <w:r w:rsidRPr="00E400E4">
              <w:t>Negra de la Cruz</w:t>
            </w:r>
          </w:p>
        </w:tc>
        <w:tc>
          <w:tcPr>
            <w:tcW w:w="3020" w:type="dxa"/>
          </w:tcPr>
          <w:p w:rsidR="00555918" w:rsidRPr="00E400E4" w:rsidRDefault="00555918" w:rsidP="000B1771">
            <w:pPr>
              <w:pStyle w:val="TableText"/>
              <w:jc w:val="right"/>
            </w:pPr>
            <w:r w:rsidRPr="00E400E4">
              <w:t>821.16</w:t>
            </w:r>
          </w:p>
        </w:tc>
        <w:tc>
          <w:tcPr>
            <w:tcW w:w="3020" w:type="dxa"/>
          </w:tcPr>
          <w:p w:rsidR="00555918" w:rsidRPr="00E400E4" w:rsidRDefault="00555918" w:rsidP="000B1771">
            <w:pPr>
              <w:pStyle w:val="TableText"/>
              <w:jc w:val="right"/>
            </w:pPr>
            <w:r w:rsidRPr="00E400E4">
              <w:t>2.74</w:t>
            </w:r>
          </w:p>
        </w:tc>
      </w:tr>
      <w:tr w:rsidR="00555918" w:rsidRPr="00E400E4" w:rsidTr="000B1771">
        <w:tc>
          <w:tcPr>
            <w:tcW w:w="3020" w:type="dxa"/>
          </w:tcPr>
          <w:p w:rsidR="00555918" w:rsidRPr="00E400E4" w:rsidRDefault="00555918" w:rsidP="000B1771">
            <w:pPr>
              <w:pStyle w:val="TableText"/>
            </w:pPr>
            <w:r w:rsidRPr="00E400E4">
              <w:t>Fuerte</w:t>
            </w:r>
          </w:p>
        </w:tc>
        <w:tc>
          <w:tcPr>
            <w:tcW w:w="3020" w:type="dxa"/>
          </w:tcPr>
          <w:p w:rsidR="00555918" w:rsidRPr="00E400E4" w:rsidRDefault="00555918" w:rsidP="000B1771">
            <w:pPr>
              <w:pStyle w:val="TableText"/>
              <w:jc w:val="right"/>
            </w:pPr>
            <w:r w:rsidRPr="00E400E4">
              <w:t>557.26</w:t>
            </w:r>
          </w:p>
        </w:tc>
        <w:tc>
          <w:tcPr>
            <w:tcW w:w="3020" w:type="dxa"/>
          </w:tcPr>
          <w:p w:rsidR="00555918" w:rsidRPr="00E400E4" w:rsidRDefault="00555918" w:rsidP="000B1771">
            <w:pPr>
              <w:pStyle w:val="TableText"/>
              <w:jc w:val="right"/>
            </w:pPr>
            <w:r w:rsidRPr="00E400E4">
              <w:t>1.86</w:t>
            </w:r>
          </w:p>
        </w:tc>
      </w:tr>
      <w:tr w:rsidR="00555918" w:rsidRPr="00E400E4" w:rsidTr="000B1771">
        <w:tc>
          <w:tcPr>
            <w:tcW w:w="3020" w:type="dxa"/>
            <w:tcBorders>
              <w:bottom w:val="single" w:sz="4" w:space="0" w:color="D9D9D9" w:themeColor="background1" w:themeShade="D9"/>
            </w:tcBorders>
          </w:tcPr>
          <w:p w:rsidR="00555918" w:rsidRPr="00E400E4" w:rsidRDefault="00555918" w:rsidP="000B1771">
            <w:pPr>
              <w:pStyle w:val="TableText"/>
            </w:pPr>
            <w:r w:rsidRPr="00E400E4">
              <w:t>Bacon</w:t>
            </w:r>
          </w:p>
        </w:tc>
        <w:tc>
          <w:tcPr>
            <w:tcW w:w="3020" w:type="dxa"/>
            <w:tcBorders>
              <w:bottom w:val="single" w:sz="4" w:space="0" w:color="D9D9D9" w:themeColor="background1" w:themeShade="D9"/>
            </w:tcBorders>
          </w:tcPr>
          <w:p w:rsidR="00555918" w:rsidRPr="00E400E4" w:rsidRDefault="00555918" w:rsidP="000B1771">
            <w:pPr>
              <w:pStyle w:val="TableText"/>
              <w:jc w:val="right"/>
            </w:pPr>
            <w:r w:rsidRPr="00E400E4">
              <w:t>291.86</w:t>
            </w:r>
          </w:p>
        </w:tc>
        <w:tc>
          <w:tcPr>
            <w:tcW w:w="3020" w:type="dxa"/>
            <w:tcBorders>
              <w:bottom w:val="single" w:sz="4" w:space="0" w:color="D9D9D9" w:themeColor="background1" w:themeShade="D9"/>
            </w:tcBorders>
          </w:tcPr>
          <w:p w:rsidR="00555918" w:rsidRPr="00E400E4" w:rsidRDefault="00555918" w:rsidP="000B1771">
            <w:pPr>
              <w:pStyle w:val="TableText"/>
              <w:jc w:val="right"/>
            </w:pPr>
            <w:r w:rsidRPr="00E400E4">
              <w:t>0.97</w:t>
            </w:r>
          </w:p>
        </w:tc>
      </w:tr>
      <w:tr w:rsidR="00555918" w:rsidRPr="00E400E4" w:rsidTr="000B1771">
        <w:tc>
          <w:tcPr>
            <w:tcW w:w="3020" w:type="dxa"/>
            <w:tcBorders>
              <w:top w:val="single" w:sz="4" w:space="0" w:color="D9D9D9" w:themeColor="background1" w:themeShade="D9"/>
              <w:bottom w:val="single" w:sz="4" w:space="0" w:color="auto"/>
            </w:tcBorders>
          </w:tcPr>
          <w:p w:rsidR="00555918" w:rsidRPr="00E400E4" w:rsidRDefault="00555918" w:rsidP="000B1771">
            <w:pPr>
              <w:pStyle w:val="TableText"/>
            </w:pPr>
            <w:r w:rsidRPr="00E400E4">
              <w:t>Total</w:t>
            </w:r>
          </w:p>
        </w:tc>
        <w:tc>
          <w:tcPr>
            <w:tcW w:w="3020" w:type="dxa"/>
            <w:tcBorders>
              <w:top w:val="single" w:sz="4" w:space="0" w:color="D9D9D9" w:themeColor="background1" w:themeShade="D9"/>
              <w:bottom w:val="single" w:sz="4" w:space="0" w:color="auto"/>
            </w:tcBorders>
          </w:tcPr>
          <w:p w:rsidR="00555918" w:rsidRPr="00E400E4" w:rsidRDefault="00555918" w:rsidP="000B1771">
            <w:pPr>
              <w:pStyle w:val="TableText"/>
              <w:jc w:val="right"/>
            </w:pPr>
            <w:r w:rsidRPr="00E400E4">
              <w:t>29,188.95</w:t>
            </w:r>
          </w:p>
        </w:tc>
        <w:tc>
          <w:tcPr>
            <w:tcW w:w="3020" w:type="dxa"/>
            <w:tcBorders>
              <w:top w:val="single" w:sz="4" w:space="0" w:color="D9D9D9" w:themeColor="background1" w:themeShade="D9"/>
              <w:bottom w:val="single" w:sz="4" w:space="0" w:color="auto"/>
            </w:tcBorders>
          </w:tcPr>
          <w:p w:rsidR="00555918" w:rsidRPr="00E400E4" w:rsidRDefault="00555918" w:rsidP="000B1771">
            <w:pPr>
              <w:pStyle w:val="TableText"/>
              <w:jc w:val="right"/>
            </w:pPr>
            <w:r w:rsidRPr="00E400E4">
              <w:t>97.5</w:t>
            </w:r>
          </w:p>
        </w:tc>
      </w:tr>
    </w:tbl>
    <w:p w:rsidR="00555918" w:rsidRPr="00E400E4" w:rsidRDefault="00555918" w:rsidP="000B1771">
      <w:pPr>
        <w:pStyle w:val="TableNotes"/>
      </w:pPr>
    </w:p>
    <w:p w:rsidR="00555918" w:rsidRPr="00E400E4" w:rsidRDefault="00555918" w:rsidP="000B1771">
      <w:r w:rsidRPr="00E400E4">
        <w:t xml:space="preserve">Hass is the main cultivar exported from Chile </w:t>
      </w:r>
      <w:r>
        <w:rPr>
          <w:noProof/>
        </w:rPr>
        <w:t>(Gonzalez 2016)</w:t>
      </w:r>
      <w:r w:rsidRPr="00E400E4">
        <w:t xml:space="preserve"> and is expected to be the only cultivar exported to Australia. The characteristics of this cultivar are described here.</w:t>
      </w:r>
    </w:p>
    <w:p w:rsidR="00555918" w:rsidRPr="00E400E4" w:rsidRDefault="00555918" w:rsidP="000B1771">
      <w:pPr>
        <w:pStyle w:val="Heading5"/>
      </w:pPr>
      <w:r w:rsidRPr="00E400E4">
        <w:t>Hass</w:t>
      </w:r>
    </w:p>
    <w:p w:rsidR="00555918" w:rsidRPr="00E400E4" w:rsidRDefault="00555918" w:rsidP="000B1771">
      <w:r w:rsidRPr="00E400E4">
        <w:t>The fruit of the Hass cultivar is ovate or pyriform shaped, depending on growing conditions, and has a dark green, rough skin (</w:t>
      </w:r>
      <w:r w:rsidRPr="00E400E4">
        <w:fldChar w:fldCharType="begin"/>
      </w:r>
      <w:r w:rsidRPr="00E400E4">
        <w:instrText xml:space="preserve"> REF _Ref525810641 \h  \* MERGEFORMAT </w:instrText>
      </w:r>
      <w:r w:rsidRPr="00E400E4">
        <w:fldChar w:fldCharType="separate"/>
      </w:r>
      <w:r w:rsidR="006C029B" w:rsidRPr="00E400E4">
        <w:t xml:space="preserve">Figure </w:t>
      </w:r>
      <w:r w:rsidR="006C029B">
        <w:rPr>
          <w:noProof/>
        </w:rPr>
        <w:t>4</w:t>
      </w:r>
      <w:r w:rsidRPr="00E400E4">
        <w:fldChar w:fldCharType="end"/>
      </w:r>
      <w:r w:rsidRPr="00E400E4">
        <w:t xml:space="preserve">), which darkens when the fruit is mature. During ripening, the skin colour changes from green to purple/black. The fruit is small to medium in size, weighing on average 250 to 350 grams, with a medium-sized round seed. As the fruit matures, its oil content increases and its moisture content decreases. The mature fruit has a typical oil content of 18 to 20 per cent and a minimum dry matter content of 20.8 per cent </w:t>
      </w:r>
      <w:r>
        <w:rPr>
          <w:noProof/>
        </w:rPr>
        <w:t>(Crane et al. 2013; Paull &amp; Duarte 2011)</w:t>
      </w:r>
      <w:r w:rsidRPr="00E400E4">
        <w:t xml:space="preserve">. The flesh is creamy and yellow with a rich and nutty flavour. The </w:t>
      </w:r>
      <w:r w:rsidRPr="00E400E4">
        <w:lastRenderedPageBreak/>
        <w:t xml:space="preserve">fruit can be left on the tree for several months after it has reached physiological maturity and so the tree can act as a fruit storage plant. Ripening starts once the fruit has been harvested </w:t>
      </w:r>
      <w:r>
        <w:rPr>
          <w:noProof/>
        </w:rPr>
        <w:t>(CHAC 2015; Crane et al. 2013; Paull &amp; Duarte 2011)</w:t>
      </w:r>
      <w:r w:rsidRPr="00E400E4">
        <w:t>.</w:t>
      </w:r>
    </w:p>
    <w:p w:rsidR="00555918" w:rsidRPr="00E400E4" w:rsidRDefault="00555918" w:rsidP="000B1771">
      <w:pPr>
        <w:pStyle w:val="Caption"/>
      </w:pPr>
      <w:bookmarkStart w:id="57" w:name="_Ref525810641"/>
      <w:bookmarkStart w:id="58" w:name="_Toc24702421"/>
      <w:r w:rsidRPr="00E400E4">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4</w:t>
      </w:r>
      <w:r w:rsidRPr="00E400E4">
        <w:rPr>
          <w:noProof/>
        </w:rPr>
        <w:fldChar w:fldCharType="end"/>
      </w:r>
      <w:bookmarkEnd w:id="57"/>
      <w:r w:rsidRPr="00E400E4">
        <w:t xml:space="preserve"> Hass avocado</w:t>
      </w:r>
      <w:bookmarkEnd w:id="58"/>
    </w:p>
    <w:p w:rsidR="00555918" w:rsidRPr="00E400E4" w:rsidRDefault="00555918" w:rsidP="000B1771">
      <w:r w:rsidRPr="00E400E4">
        <w:rPr>
          <w:noProof/>
          <w:lang w:eastAsia="en-AU"/>
        </w:rPr>
        <w:drawing>
          <wp:inline distT="0" distB="0" distL="0" distR="0" wp14:anchorId="16767C52" wp14:editId="1DB29D04">
            <wp:extent cx="2548800" cy="3988800"/>
            <wp:effectExtent l="0" t="0" r="4445" b="0"/>
            <wp:docPr id="7" name="Picture 7" descr="Picture shows a Hass avocado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ss avocado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48800" cy="3988800"/>
                    </a:xfrm>
                    <a:prstGeom prst="rect">
                      <a:avLst/>
                    </a:prstGeom>
                  </pic:spPr>
                </pic:pic>
              </a:graphicData>
            </a:graphic>
          </wp:inline>
        </w:drawing>
      </w:r>
    </w:p>
    <w:p w:rsidR="00555918" w:rsidRPr="00E400E4" w:rsidRDefault="00555918" w:rsidP="000B1771">
      <w:pPr>
        <w:pStyle w:val="Heading4"/>
      </w:pPr>
      <w:r w:rsidRPr="00E400E4">
        <w:t>Cultivation practices</w:t>
      </w:r>
    </w:p>
    <w:p w:rsidR="00555918" w:rsidRPr="00E400E4" w:rsidRDefault="00555918" w:rsidP="000B1771">
      <w:pPr>
        <w:pStyle w:val="Heading5"/>
      </w:pPr>
      <w:r w:rsidRPr="00E400E4">
        <w:t>Planting materials</w:t>
      </w:r>
    </w:p>
    <w:p w:rsidR="00555918" w:rsidRPr="00E400E4" w:rsidRDefault="00555918" w:rsidP="000B1771">
      <w:r w:rsidRPr="00E400E4">
        <w:t xml:space="preserve">Scions (cuttings) of commercial avocado cultivars are grafted onto seedling rootstocks. Characteristics sought in avocado rootstock are resistance to salinity, resistance to Phytophthora root rot, small stature trees and high sustainable yields of quality fruit </w:t>
      </w:r>
      <w:r>
        <w:rPr>
          <w:noProof/>
        </w:rPr>
        <w:t>(Crane et al. 2013; Paull &amp; Duarte 2011)</w:t>
      </w:r>
      <w:r w:rsidRPr="00E400E4">
        <w:t xml:space="preserve">. Cultivars used as rootstock in Chile include Mexicola, Nabal, Zutano and Velvick, with Mexicola being the main cultivar used </w:t>
      </w:r>
      <w:r>
        <w:rPr>
          <w:noProof/>
        </w:rPr>
        <w:t>(Crane et al. 2013)</w:t>
      </w:r>
      <w:r w:rsidRPr="00E400E4">
        <w:t xml:space="preserve">. </w:t>
      </w:r>
    </w:p>
    <w:p w:rsidR="00555918" w:rsidRPr="00E400E4" w:rsidRDefault="00555918" w:rsidP="000B1771">
      <w:r w:rsidRPr="00E400E4">
        <w:t xml:space="preserve">Particularly for high-density plantings, seedlings of commercial avocado cultivars, without grafting, are also used as Phytophthora root rot is still at a low level in Chile and grafting onto Phytophthora resistant rootstock is not essential </w:t>
      </w:r>
      <w:r>
        <w:rPr>
          <w:noProof/>
        </w:rPr>
        <w:t>(Whiley, Wolstenholme &amp; Faber 2013)</w:t>
      </w:r>
      <w:r w:rsidRPr="00E400E4">
        <w:t>.</w:t>
      </w:r>
    </w:p>
    <w:p w:rsidR="00555918" w:rsidRPr="00E400E4" w:rsidRDefault="00555918" w:rsidP="000B1771">
      <w:pPr>
        <w:pStyle w:val="Heading5"/>
      </w:pPr>
      <w:r w:rsidRPr="00E400E4">
        <w:t>Cultivation</w:t>
      </w:r>
    </w:p>
    <w:p w:rsidR="00555918" w:rsidRPr="00E400E4" w:rsidRDefault="00555918" w:rsidP="000B1771">
      <w:r w:rsidRPr="00E400E4">
        <w:t xml:space="preserve">Avocado trees are planted on mounds to prevent waterlogging of the roots. In older avocado plantings, tree density is generally low and trees are arranged in a square pattern with spacing between trees of around 10 metres by 10 metres or 8 metres by 8 metres. Trees in these low-density plantings are generally not pruned. Other planting densities which have been used in Chile are tree spacing of 6 metres by 2 metres, 6 metres by 3 metres or 3 metres by 3 metres </w:t>
      </w:r>
      <w:r>
        <w:rPr>
          <w:noProof/>
        </w:rPr>
        <w:t>(Gardiazabal &amp; Mena 2011; Paull &amp; Duarte 2011)</w:t>
      </w:r>
      <w:r w:rsidRPr="00E400E4">
        <w:t>.</w:t>
      </w:r>
    </w:p>
    <w:p w:rsidR="00555918" w:rsidRPr="00E400E4" w:rsidRDefault="00555918" w:rsidP="000B1771">
      <w:r w:rsidRPr="00E400E4">
        <w:lastRenderedPageBreak/>
        <w:t xml:space="preserve">In recent years, avocado production in Chile has moved to high-density plantings which come quickly into production and produce high yields. These high-density plantings, which are arranged in a square pattern, have a spacing between trees ranging from around 2.3 meters by 2.3 metres to around 1.2 metres by 1.2 metres </w:t>
      </w:r>
      <w:r>
        <w:rPr>
          <w:noProof/>
        </w:rPr>
        <w:t>(Newett 2015; Rolshausen, Arpaia &amp; Faber 2016)</w:t>
      </w:r>
      <w:r w:rsidRPr="00E400E4">
        <w:t xml:space="preserve">. An example of a densely planted avocado orchard is shown in </w:t>
      </w:r>
      <w:r w:rsidRPr="00E400E4">
        <w:fldChar w:fldCharType="begin"/>
      </w:r>
      <w:r w:rsidRPr="00E400E4">
        <w:instrText xml:space="preserve"> REF _Ref529265824 \h  \* MERGEFORMAT </w:instrText>
      </w:r>
      <w:r w:rsidRPr="00E400E4">
        <w:fldChar w:fldCharType="separate"/>
      </w:r>
      <w:r w:rsidR="006C029B" w:rsidRPr="00E400E4">
        <w:t xml:space="preserve">Figure </w:t>
      </w:r>
      <w:r w:rsidR="006C029B">
        <w:rPr>
          <w:noProof/>
        </w:rPr>
        <w:t>5</w:t>
      </w:r>
      <w:r w:rsidRPr="00E400E4">
        <w:fldChar w:fldCharType="end"/>
      </w:r>
      <w:r w:rsidRPr="00E400E4">
        <w:t>.</w:t>
      </w:r>
    </w:p>
    <w:p w:rsidR="00555918" w:rsidRPr="00E400E4" w:rsidRDefault="00555918" w:rsidP="000B1771">
      <w:pPr>
        <w:pStyle w:val="Caption"/>
      </w:pPr>
      <w:bookmarkStart w:id="59" w:name="_Ref529265824"/>
      <w:bookmarkStart w:id="60" w:name="_Toc24702422"/>
      <w:r w:rsidRPr="00E400E4">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5</w:t>
      </w:r>
      <w:r w:rsidRPr="00E400E4">
        <w:rPr>
          <w:noProof/>
        </w:rPr>
        <w:fldChar w:fldCharType="end"/>
      </w:r>
      <w:bookmarkEnd w:id="59"/>
      <w:r w:rsidRPr="00E400E4">
        <w:t xml:space="preserve"> Rows of avocado trees in the San Antonio area (Valparaiso region)</w:t>
      </w:r>
      <w:bookmarkEnd w:id="60"/>
      <w:r w:rsidRPr="00E400E4">
        <w:t xml:space="preserve"> </w:t>
      </w:r>
    </w:p>
    <w:p w:rsidR="00555918" w:rsidRPr="00E400E4" w:rsidRDefault="00555918" w:rsidP="000B1771">
      <w:r w:rsidRPr="00E400E4">
        <w:rPr>
          <w:noProof/>
          <w:lang w:eastAsia="en-AU"/>
        </w:rPr>
        <w:drawing>
          <wp:inline distT="0" distB="0" distL="0" distR="0" wp14:anchorId="6BB8B725" wp14:editId="54FD8451">
            <wp:extent cx="5529600" cy="3200400"/>
            <wp:effectExtent l="0" t="0" r="0" b="0"/>
            <wp:docPr id="12" name="Picture 12" descr="Picture shows two rows of avocado plants densly pl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immelspach Regina\AppData\Local\Microsoft\Windows\INetCache\Content.Word\PA06028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02" t="15878" r="-602" b="7047"/>
                    <a:stretch/>
                  </pic:blipFill>
                  <pic:spPr bwMode="auto">
                    <a:xfrm>
                      <a:off x="0" y="0"/>
                      <a:ext cx="552960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555918" w:rsidRPr="00E400E4" w:rsidRDefault="00555918" w:rsidP="000B1771">
      <w:r w:rsidRPr="00E400E4">
        <w:t xml:space="preserve">As these high-density plantings get older, some trees are removed to allow sufficient sunlight penetration. Pruning, including tree topping and cutting side branches to reduce shading, is an important management tool with this high-density planting. The trees are generally kept to a height of about two metres to simplify harvesting and keep costs down. Pruning is generally done in spring right after harvest and again in autumn </w:t>
      </w:r>
      <w:r>
        <w:rPr>
          <w:noProof/>
        </w:rPr>
        <w:t>(Rolshausen, Arpaia &amp; Faber 2016)</w:t>
      </w:r>
      <w:r w:rsidRPr="00E400E4">
        <w:t xml:space="preserve">. </w:t>
      </w:r>
    </w:p>
    <w:p w:rsidR="00555918" w:rsidRPr="00E400E4" w:rsidRDefault="00555918" w:rsidP="000B1771">
      <w:r w:rsidRPr="00E400E4">
        <w:t xml:space="preserve">Many of the new plantings are located on steep hillsides where land costs are lower, orchard sizes are larger, frost risk is reduced, climatic conditions for fruit set are better, and fruit matures earlier compared to the orchards planted in river valleys </w:t>
      </w:r>
      <w:r>
        <w:rPr>
          <w:noProof/>
        </w:rPr>
        <w:t>(Gardiazabal &amp; Mena 2011; Whiley, Wolstenholme &amp; Faber 2013)</w:t>
      </w:r>
      <w:r w:rsidRPr="00E400E4">
        <w:t xml:space="preserve">. </w:t>
      </w:r>
    </w:p>
    <w:p w:rsidR="00555918" w:rsidRPr="00E400E4" w:rsidRDefault="00555918" w:rsidP="000B1771">
      <w:r w:rsidRPr="00E400E4">
        <w:t xml:space="preserve">Application of plant growth regulators plays an increasingly important role in avocado production and is commonly used in Chile </w:t>
      </w:r>
      <w:r>
        <w:rPr>
          <w:noProof/>
        </w:rPr>
        <w:t>(Rolshausen, Arpaia &amp; Faber 2016; Whiley, Wolstenholme &amp; Faber 2013)</w:t>
      </w:r>
      <w:r w:rsidRPr="00E400E4">
        <w:t>. Other management tools used to optimise production include girdling (cutting through the bark), a method used to temporarily reduce or stop the flow of sap via the bark or phloem to the lower parts of the tree.</w:t>
      </w:r>
    </w:p>
    <w:p w:rsidR="00555918" w:rsidRPr="00E400E4" w:rsidRDefault="00555918" w:rsidP="000B1771">
      <w:r w:rsidRPr="00E400E4">
        <w:t xml:space="preserve">Nutrients such as nitrogen, zinc, boron and potassium are applied at different times during the year to match the phenological stage of the tree. In addition, a number of methods are used to determine nutrient requirements. These methods include analysis of leaf samples and careful observation of leaf appearance and size. </w:t>
      </w:r>
    </w:p>
    <w:p w:rsidR="00555918" w:rsidRPr="00E400E4" w:rsidRDefault="00555918" w:rsidP="000B1771">
      <w:r w:rsidRPr="00E400E4">
        <w:lastRenderedPageBreak/>
        <w:t xml:space="preserve">In addition to the natural leaf litter, tree prunings are often mulched and added to the ground beneath the trees. The combination of natural leaf litter and mulched prunings beneath trees, as well as shading in densely planted orchards, prevents the growth of weeds. </w:t>
      </w:r>
    </w:p>
    <w:p w:rsidR="00555918" w:rsidRPr="00E400E4" w:rsidRDefault="00555918" w:rsidP="000B1771">
      <w:r w:rsidRPr="00E400E4">
        <w:t xml:space="preserve">Avocado trees are very sensitive to both water stress and excess moisture, especially when drainage is inadequate </w:t>
      </w:r>
      <w:r>
        <w:rPr>
          <w:noProof/>
        </w:rPr>
        <w:t>(Paull &amp; Duarte 2011)</w:t>
      </w:r>
      <w:r w:rsidRPr="00E400E4">
        <w:t>. With Chile’s long dry summers, well-managed irrigation is an important part of avocado production. In general, drip irrigation or ground sprinklers are used. Some farms use probes or other methods to measure soil moisture and irrigate accordingly. Water is sourced from underground or from nearby rivers.</w:t>
      </w:r>
    </w:p>
    <w:p w:rsidR="00555918" w:rsidRPr="00E400E4" w:rsidRDefault="00555918" w:rsidP="000B1771">
      <w:r w:rsidRPr="00E400E4">
        <w:t xml:space="preserve">Hass avocado trees blossom once each year from the beginning to the end of spring. Bee hives, at the rate of 10 hives per hectare, are brought into the orchard at flowering time for pollination. Fruit is ready for harvest from nine months after blossom, generally in July, and harvest finishes in February/March </w:t>
      </w:r>
      <w:r>
        <w:rPr>
          <w:noProof/>
        </w:rPr>
        <w:t>(CHAC 2015)</w:t>
      </w:r>
      <w:r w:rsidRPr="00E400E4">
        <w:t>.</w:t>
      </w:r>
    </w:p>
    <w:p w:rsidR="00555918" w:rsidRPr="00E400E4" w:rsidRDefault="00555918" w:rsidP="000B1771">
      <w:pPr>
        <w:pStyle w:val="Heading4"/>
      </w:pPr>
      <w:r w:rsidRPr="00E400E4">
        <w:t>Pest management</w:t>
      </w:r>
    </w:p>
    <w:p w:rsidR="00555918" w:rsidRPr="00E400E4" w:rsidRDefault="00555918" w:rsidP="000B1771">
      <w:bookmarkStart w:id="61" w:name="_Toc389741449"/>
      <w:r w:rsidRPr="00E400E4">
        <w:t>Chile is naturally isolated from neighbouring countries through the Atacama Desert in the north, the Andes mountain ranges in the east, the Pacific Ocean in the west and Antarctica in the south. This natural isolation helps maintain Chile’s favourable phytosanitary status including freedom from fruit flies of economic importance.</w:t>
      </w:r>
    </w:p>
    <w:p w:rsidR="00555918" w:rsidRPr="00E400E4" w:rsidRDefault="00555918" w:rsidP="000B1771">
      <w:r w:rsidRPr="00E400E4">
        <w:t xml:space="preserve">Chile has a system in place, the National Fruit Fly Detection System (NFFDS), to maintain its freedom from fruit flies of economic importance and eradicate any outbreaks. The NFFDS includes strict quarantine controls at points of entry into Chile, a permanent surveillance system with fruit fly traps (for species of the genera </w:t>
      </w:r>
      <w:r w:rsidRPr="00E400E4">
        <w:rPr>
          <w:i/>
        </w:rPr>
        <w:t>Ceratitis</w:t>
      </w:r>
      <w:r w:rsidRPr="00E400E4">
        <w:t xml:space="preserve">, </w:t>
      </w:r>
      <w:r w:rsidRPr="00E400E4">
        <w:rPr>
          <w:i/>
        </w:rPr>
        <w:t>Anastrepha</w:t>
      </w:r>
      <w:r w:rsidRPr="00E400E4">
        <w:t xml:space="preserve"> and </w:t>
      </w:r>
      <w:r w:rsidRPr="00E400E4">
        <w:rPr>
          <w:i/>
        </w:rPr>
        <w:t>Bactrocera</w:t>
      </w:r>
      <w:r w:rsidRPr="00E400E4">
        <w:t>) and sampling of host fruit, and a contingency plan for rapid response to the detection of any exotic fruit flies.</w:t>
      </w:r>
    </w:p>
    <w:p w:rsidR="00555918" w:rsidRPr="00E400E4" w:rsidRDefault="00555918" w:rsidP="000B1771">
      <w:r w:rsidRPr="00E400E4">
        <w:t>In addition, SAG has a permanent Agricultural Surveillance Program for pests in place for the whole country. This surveillance program consists of surveillance of orchards and domestic trees, and includes both general as well as crop-specific surveillance. The program aims to visit different orchards from year to year. Each regional SAG office develops a surveillance program for the following year, according to a number of parameters including crop types and the number of inspections the regional office is required to conduct. As part of this surveillance program, 3,367 avocado orchards accounting for around 29,000 hectares of avocado plantings have been surveyed between January 2009 and August 2017.</w:t>
      </w:r>
    </w:p>
    <w:p w:rsidR="00555918" w:rsidRPr="00E400E4" w:rsidRDefault="00555918" w:rsidP="000B1771">
      <w:r w:rsidRPr="00E400E4">
        <w:t>Regular pest monitoring is conducted by avocado producers and, if necessary, any pests are controlled. Some producers also employ external contractors to conduct monthly pest monitoring, in addition to informal monitoring carried out by farm staff.</w:t>
      </w:r>
    </w:p>
    <w:p w:rsidR="00555918" w:rsidRPr="00E400E4" w:rsidRDefault="00555918" w:rsidP="000B1771">
      <w:pPr>
        <w:pStyle w:val="Heading3"/>
      </w:pPr>
      <w:bookmarkStart w:id="62" w:name="_Toc20392239"/>
      <w:r w:rsidRPr="00E400E4">
        <w:t>Harvesting and handling procedures</w:t>
      </w:r>
      <w:bookmarkEnd w:id="61"/>
      <w:bookmarkEnd w:id="62"/>
    </w:p>
    <w:p w:rsidR="00555918" w:rsidRPr="00E400E4" w:rsidRDefault="00555918" w:rsidP="000B1771">
      <w:bookmarkStart w:id="63" w:name="_Toc389741450"/>
      <w:r w:rsidRPr="00E400E4">
        <w:t xml:space="preserve">As part of SAG’s phytosanitary certification system, orchards intending to export fruit must be registered by SAG. </w:t>
      </w:r>
    </w:p>
    <w:p w:rsidR="00555918" w:rsidRPr="00E400E4" w:rsidRDefault="00555918" w:rsidP="000B1771">
      <w:r w:rsidRPr="00E400E4">
        <w:t>Harvest starts when the avocado fruit reaches 20 to 22 per cent dry matter, which is generally around September. Pickers harvest the fruit using clippers and, for picking fruit from taller trees, use clippers on extendable poles with a net attached. Fruit stems are generally clipped back to less than 5 mm (</w:t>
      </w:r>
      <w:r w:rsidRPr="00E400E4">
        <w:fldChar w:fldCharType="begin"/>
      </w:r>
      <w:r w:rsidRPr="00E400E4">
        <w:instrText xml:space="preserve"> REF _Ref512842966 \h  \* MERGEFORMAT </w:instrText>
      </w:r>
      <w:r w:rsidRPr="00E400E4">
        <w:fldChar w:fldCharType="separate"/>
      </w:r>
      <w:r w:rsidR="006C029B" w:rsidRPr="00E400E4">
        <w:t xml:space="preserve">Figure </w:t>
      </w:r>
      <w:r w:rsidR="006C029B">
        <w:rPr>
          <w:noProof/>
        </w:rPr>
        <w:t>6</w:t>
      </w:r>
      <w:r w:rsidRPr="00E400E4">
        <w:fldChar w:fldCharType="end"/>
      </w:r>
      <w:r w:rsidRPr="00E400E4">
        <w:t xml:space="preserve">) as this is a standard required by some exporters. </w:t>
      </w:r>
    </w:p>
    <w:p w:rsidR="00555918" w:rsidRPr="00E400E4" w:rsidRDefault="00555918" w:rsidP="000B1771">
      <w:r w:rsidRPr="00E400E4">
        <w:lastRenderedPageBreak/>
        <w:t>Picked fruit is put into bags worn by pickers before being emptied into field bins. Each field bin holds around 400 kilograms of fruit (</w:t>
      </w:r>
      <w:r w:rsidRPr="00E400E4">
        <w:fldChar w:fldCharType="begin"/>
      </w:r>
      <w:r w:rsidRPr="00E400E4">
        <w:instrText xml:space="preserve"> REF _Ref512843027 \h  \* MERGEFORMAT </w:instrText>
      </w:r>
      <w:r w:rsidRPr="00E400E4">
        <w:fldChar w:fldCharType="separate"/>
      </w:r>
      <w:r w:rsidR="006C029B" w:rsidRPr="00E400E4">
        <w:t xml:space="preserve">Figure </w:t>
      </w:r>
      <w:r w:rsidR="006C029B">
        <w:rPr>
          <w:noProof/>
        </w:rPr>
        <w:t>7</w:t>
      </w:r>
      <w:r w:rsidRPr="00E400E4">
        <w:fldChar w:fldCharType="end"/>
      </w:r>
      <w:r w:rsidRPr="00E400E4">
        <w:t>). A traceability label is affixed to each bin.</w:t>
      </w:r>
    </w:p>
    <w:p w:rsidR="00555918" w:rsidRPr="00E400E4" w:rsidRDefault="00555918" w:rsidP="000B1771">
      <w:pPr>
        <w:pStyle w:val="Caption"/>
      </w:pPr>
      <w:bookmarkStart w:id="64" w:name="_Ref512842966"/>
      <w:bookmarkStart w:id="65" w:name="_Toc24702423"/>
      <w:r w:rsidRPr="00E400E4">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6</w:t>
      </w:r>
      <w:r w:rsidRPr="00E400E4">
        <w:rPr>
          <w:noProof/>
        </w:rPr>
        <w:fldChar w:fldCharType="end"/>
      </w:r>
      <w:bookmarkEnd w:id="64"/>
      <w:r w:rsidRPr="00E400E4">
        <w:t xml:space="preserve"> Harvested avocado showing short fruit stem</w:t>
      </w:r>
      <w:bookmarkEnd w:id="65"/>
    </w:p>
    <w:p w:rsidR="00555918" w:rsidRPr="00E400E4" w:rsidRDefault="00555918" w:rsidP="000B1771">
      <w:r w:rsidRPr="00E400E4">
        <w:rPr>
          <w:noProof/>
          <w:lang w:eastAsia="en-AU"/>
        </w:rPr>
        <w:drawing>
          <wp:inline distT="0" distB="0" distL="0" distR="0" wp14:anchorId="2927DF77" wp14:editId="3E5F5F56">
            <wp:extent cx="4716000" cy="3535200"/>
            <wp:effectExtent l="0" t="0" r="8890" b="8255"/>
            <wp:docPr id="19" name="Picture 19" descr="Picture shows a harvested avocado fruit with a short proportion of stem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445.JPG"/>
                    <pic:cNvPicPr/>
                  </pic:nvPicPr>
                  <pic:blipFill>
                    <a:blip r:embed="rId42" cstate="print">
                      <a:extLst>
                        <a:ext uri="{28A0092B-C50C-407E-A947-70E740481C1C}">
                          <a14:useLocalDpi xmlns:a14="http://schemas.microsoft.com/office/drawing/2010/main" val="0"/>
                        </a:ext>
                      </a:extLst>
                    </a:blip>
                    <a:stretch>
                      <a:fillRect/>
                    </a:stretch>
                  </pic:blipFill>
                  <pic:spPr>
                    <a:xfrm rot="10800000" flipV="1">
                      <a:off x="0" y="0"/>
                      <a:ext cx="4716000" cy="3535200"/>
                    </a:xfrm>
                    <a:prstGeom prst="rect">
                      <a:avLst/>
                    </a:prstGeom>
                  </pic:spPr>
                </pic:pic>
              </a:graphicData>
            </a:graphic>
          </wp:inline>
        </w:drawing>
      </w:r>
    </w:p>
    <w:p w:rsidR="00555918" w:rsidRPr="00E400E4" w:rsidRDefault="00555918" w:rsidP="000B1771">
      <w:pPr>
        <w:pStyle w:val="Caption"/>
      </w:pPr>
      <w:bookmarkStart w:id="66" w:name="_Ref512843027"/>
      <w:bookmarkStart w:id="67" w:name="_Toc24702424"/>
      <w:r w:rsidRPr="00E400E4">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7</w:t>
      </w:r>
      <w:r w:rsidRPr="00E400E4">
        <w:rPr>
          <w:noProof/>
        </w:rPr>
        <w:fldChar w:fldCharType="end"/>
      </w:r>
      <w:bookmarkEnd w:id="66"/>
      <w:r w:rsidRPr="00E400E4">
        <w:t xml:space="preserve"> Field bins of harvested avocados at the orchard</w:t>
      </w:r>
      <w:bookmarkEnd w:id="67"/>
    </w:p>
    <w:p w:rsidR="00555918" w:rsidRPr="00E400E4" w:rsidRDefault="00555918" w:rsidP="000B1771">
      <w:r w:rsidRPr="00E400E4">
        <w:rPr>
          <w:noProof/>
          <w:lang w:eastAsia="en-AU"/>
        </w:rPr>
        <w:drawing>
          <wp:inline distT="0" distB="0" distL="0" distR="0" wp14:anchorId="6A8BCB2D" wp14:editId="518C0AC6">
            <wp:extent cx="5756275" cy="3229610"/>
            <wp:effectExtent l="0" t="0" r="0" b="8890"/>
            <wp:docPr id="20" name="Picture 20" descr="Picture shows four field bins filled with avocados at an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050178"/>
                    <pic:cNvPicPr>
                      <a:picLocks noChangeAspect="1" noChangeArrowheads="1"/>
                    </pic:cNvPicPr>
                  </pic:nvPicPr>
                  <pic:blipFill>
                    <a:blip r:embed="rId43" cstate="print">
                      <a:extLst>
                        <a:ext uri="{28A0092B-C50C-407E-A947-70E740481C1C}">
                          <a14:useLocalDpi xmlns:a14="http://schemas.microsoft.com/office/drawing/2010/main" val="0"/>
                        </a:ext>
                      </a:extLst>
                    </a:blip>
                    <a:srcRect t="3369" b="21660"/>
                    <a:stretch>
                      <a:fillRect/>
                    </a:stretch>
                  </pic:blipFill>
                  <pic:spPr bwMode="auto">
                    <a:xfrm>
                      <a:off x="0" y="0"/>
                      <a:ext cx="5756275" cy="3229610"/>
                    </a:xfrm>
                    <a:prstGeom prst="rect">
                      <a:avLst/>
                    </a:prstGeom>
                    <a:noFill/>
                    <a:ln>
                      <a:noFill/>
                    </a:ln>
                  </pic:spPr>
                </pic:pic>
              </a:graphicData>
            </a:graphic>
          </wp:inline>
        </w:drawing>
      </w:r>
    </w:p>
    <w:p w:rsidR="00555918" w:rsidRPr="00E400E4" w:rsidRDefault="00555918" w:rsidP="000B1771">
      <w:pPr>
        <w:pStyle w:val="Heading3"/>
      </w:pPr>
      <w:bookmarkStart w:id="68" w:name="_Toc20392240"/>
      <w:r w:rsidRPr="00E400E4">
        <w:t>Post-harvest</w:t>
      </w:r>
      <w:bookmarkEnd w:id="63"/>
      <w:bookmarkEnd w:id="68"/>
    </w:p>
    <w:p w:rsidR="00555918" w:rsidRPr="00E400E4" w:rsidRDefault="00555918" w:rsidP="000B1771">
      <w:r w:rsidRPr="00E400E4">
        <w:t>SAG is responsible for carrying out export inspections, registering of treatment facilities, certifying phytosanitary treatments (if treatment is required), and issuing of phytosanitary certificates.</w:t>
      </w:r>
    </w:p>
    <w:p w:rsidR="00555918" w:rsidRPr="00E400E4" w:rsidRDefault="00555918" w:rsidP="000B1771">
      <w:pPr>
        <w:pStyle w:val="Heading4"/>
      </w:pPr>
      <w:r w:rsidRPr="00E400E4">
        <w:lastRenderedPageBreak/>
        <w:t>Packing house</w:t>
      </w:r>
    </w:p>
    <w:p w:rsidR="00555918" w:rsidRPr="00E400E4" w:rsidRDefault="00555918" w:rsidP="000B1771">
      <w:r w:rsidRPr="00E400E4">
        <w:t xml:space="preserve">As part of SAG’s phytosanitary certification system, packing houses intending to export fruit must be registered and approved by SAG. </w:t>
      </w:r>
    </w:p>
    <w:p w:rsidR="00555918" w:rsidRPr="00E400E4" w:rsidRDefault="00555918" w:rsidP="000B1771">
      <w:r w:rsidRPr="00E400E4">
        <w:t>Packing house facilities must meet specific requirements before they are approved by SAG for export. Requirements include that each facility has a person responsible for export activities who has completed an approved SAG training program, and that a system be in place to enable traceability of the product. SAG verifies the facility, including the inspection room, inspection equipment and dispatch area. Only approved facilities can request a phytosanitary inspection. Before inspections start on any day, a SAG supervisor will check that the inspection area meets SAG requirements.</w:t>
      </w:r>
    </w:p>
    <w:p w:rsidR="00555918" w:rsidRPr="00E400E4" w:rsidRDefault="00555918" w:rsidP="000B1771">
      <w:r w:rsidRPr="00E400E4">
        <w:t>Field bins filled with avocados are delivered to the packing house on trucks. Each bin contains around 400 kilograms of fruit. Bins are clearly labelled (</w:t>
      </w:r>
      <w:r w:rsidRPr="00E400E4">
        <w:fldChar w:fldCharType="begin"/>
      </w:r>
      <w:r w:rsidRPr="00E400E4">
        <w:instrText xml:space="preserve"> REF _Ref512843353 \h  \* MERGEFORMAT </w:instrText>
      </w:r>
      <w:r w:rsidRPr="00E400E4">
        <w:fldChar w:fldCharType="separate"/>
      </w:r>
      <w:r w:rsidR="006C029B" w:rsidRPr="00E400E4">
        <w:t xml:space="preserve">Figure </w:t>
      </w:r>
      <w:r w:rsidR="006C029B">
        <w:rPr>
          <w:noProof/>
        </w:rPr>
        <w:t>8</w:t>
      </w:r>
      <w:r w:rsidRPr="00E400E4">
        <w:fldChar w:fldCharType="end"/>
      </w:r>
      <w:r w:rsidRPr="00E400E4">
        <w:t xml:space="preserve">) and accompanied by documentation identifying the commodity, grower and production orchard. Bins of avocados are unloaded and either processed directly or held temporarily in a cold room (at around 6 °C to 10 °C) until processing can start. </w:t>
      </w:r>
      <w:r w:rsidRPr="00E400E4">
        <w:fldChar w:fldCharType="begin"/>
      </w:r>
      <w:r w:rsidRPr="00E400E4">
        <w:instrText xml:space="preserve"> REF _Ref525815212 \h  \* MERGEFORMAT </w:instrText>
      </w:r>
      <w:r w:rsidRPr="00E400E4">
        <w:fldChar w:fldCharType="separate"/>
      </w:r>
      <w:r w:rsidR="006C029B" w:rsidRPr="00E400E4">
        <w:t xml:space="preserve">Figure </w:t>
      </w:r>
      <w:r w:rsidR="006C029B">
        <w:rPr>
          <w:noProof/>
        </w:rPr>
        <w:t>9</w:t>
      </w:r>
      <w:r w:rsidRPr="00E400E4">
        <w:fldChar w:fldCharType="end"/>
      </w:r>
      <w:r w:rsidRPr="00E400E4">
        <w:t xml:space="preserve"> shows unloading of avocados from a field bin at the start of processing at the packing house.</w:t>
      </w:r>
    </w:p>
    <w:p w:rsidR="00555918" w:rsidRPr="00E400E4" w:rsidRDefault="00555918" w:rsidP="000B1771">
      <w:pPr>
        <w:pStyle w:val="Caption"/>
      </w:pPr>
      <w:bookmarkStart w:id="69" w:name="_Ref512843353"/>
      <w:bookmarkStart w:id="70" w:name="_Toc24702425"/>
      <w:r w:rsidRPr="00E400E4">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8</w:t>
      </w:r>
      <w:r w:rsidRPr="00E400E4">
        <w:rPr>
          <w:noProof/>
        </w:rPr>
        <w:fldChar w:fldCharType="end"/>
      </w:r>
      <w:bookmarkEnd w:id="69"/>
      <w:r w:rsidRPr="00E400E4">
        <w:t xml:space="preserve"> Traceability label on field bin</w:t>
      </w:r>
      <w:bookmarkEnd w:id="70"/>
    </w:p>
    <w:p w:rsidR="00555918" w:rsidRPr="00E400E4" w:rsidRDefault="00555918" w:rsidP="000B1771">
      <w:r w:rsidRPr="00E400E4">
        <w:rPr>
          <w:noProof/>
          <w:lang w:eastAsia="en-AU"/>
        </w:rPr>
        <w:drawing>
          <wp:inline distT="0" distB="0" distL="0" distR="0" wp14:anchorId="21F1C201" wp14:editId="0A781DC3">
            <wp:extent cx="4953600" cy="3715200"/>
            <wp:effectExtent l="0" t="0" r="0" b="0"/>
            <wp:docPr id="21" name="Picture 21" descr="Picture shows a label on a field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03002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53600" cy="3715200"/>
                    </a:xfrm>
                    <a:prstGeom prst="rect">
                      <a:avLst/>
                    </a:prstGeom>
                  </pic:spPr>
                </pic:pic>
              </a:graphicData>
            </a:graphic>
          </wp:inline>
        </w:drawing>
      </w:r>
    </w:p>
    <w:p w:rsidR="00555918" w:rsidRPr="00E400E4" w:rsidRDefault="00555918" w:rsidP="000B1771">
      <w:pPr>
        <w:pStyle w:val="Caption"/>
      </w:pPr>
      <w:bookmarkStart w:id="71" w:name="_Ref525815212"/>
      <w:bookmarkStart w:id="72" w:name="_Toc24702426"/>
      <w:r w:rsidRPr="00E400E4">
        <w:lastRenderedPageBreak/>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9</w:t>
      </w:r>
      <w:r w:rsidRPr="00E400E4">
        <w:rPr>
          <w:noProof/>
        </w:rPr>
        <w:fldChar w:fldCharType="end"/>
      </w:r>
      <w:bookmarkEnd w:id="71"/>
      <w:r w:rsidRPr="00E400E4">
        <w:t xml:space="preserve"> Avocados being unloaded from a field bin at the packing house</w:t>
      </w:r>
      <w:bookmarkEnd w:id="72"/>
    </w:p>
    <w:p w:rsidR="00555918" w:rsidRPr="00E400E4" w:rsidRDefault="00555918" w:rsidP="000B1771">
      <w:r w:rsidRPr="00E400E4">
        <w:rPr>
          <w:noProof/>
          <w:lang w:eastAsia="en-AU"/>
        </w:rPr>
        <w:drawing>
          <wp:inline distT="0" distB="0" distL="0" distR="0" wp14:anchorId="3B01B957" wp14:editId="1D5A2E47">
            <wp:extent cx="4933112" cy="2847109"/>
            <wp:effectExtent l="0" t="0" r="1270" b="0"/>
            <wp:docPr id="8" name="Picture 8" descr="Picture shows unloading of a field bin of avo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86.JPG"/>
                    <pic:cNvPicPr/>
                  </pic:nvPicPr>
                  <pic:blipFill rotWithShape="1">
                    <a:blip r:embed="rId45" cstate="print">
                      <a:extLst>
                        <a:ext uri="{28A0092B-C50C-407E-A947-70E740481C1C}">
                          <a14:useLocalDpi xmlns:a14="http://schemas.microsoft.com/office/drawing/2010/main" val="0"/>
                        </a:ext>
                      </a:extLst>
                    </a:blip>
                    <a:srcRect l="14315" t="19243" b="14826"/>
                    <a:stretch/>
                  </pic:blipFill>
                  <pic:spPr bwMode="auto">
                    <a:xfrm>
                      <a:off x="0" y="0"/>
                      <a:ext cx="4933950" cy="2847593"/>
                    </a:xfrm>
                    <a:prstGeom prst="rect">
                      <a:avLst/>
                    </a:prstGeom>
                    <a:ln>
                      <a:noFill/>
                    </a:ln>
                    <a:extLst>
                      <a:ext uri="{53640926-AAD7-44D8-BBD7-CCE9431645EC}">
                        <a14:shadowObscured xmlns:a14="http://schemas.microsoft.com/office/drawing/2010/main"/>
                      </a:ext>
                    </a:extLst>
                  </pic:spPr>
                </pic:pic>
              </a:graphicData>
            </a:graphic>
          </wp:inline>
        </w:drawing>
      </w:r>
    </w:p>
    <w:p w:rsidR="00555918" w:rsidRPr="00E400E4" w:rsidRDefault="00555918" w:rsidP="000B1771">
      <w:r w:rsidRPr="00E400E4">
        <w:t>During processing, fruit is first cleaned of any surface contaminants or debris. Cleaning can include brushing and agitation of fruit, or brushing and washing including high pressure washing. Fruit is then moved on conveyor belts for electronic and/or manual sorting and grading, including checking for quality (</w:t>
      </w:r>
      <w:r w:rsidRPr="00E400E4">
        <w:fldChar w:fldCharType="begin"/>
      </w:r>
      <w:r w:rsidRPr="00E400E4">
        <w:instrText xml:space="preserve"> REF _Ref512843615 \h  \* MERGEFORMAT </w:instrText>
      </w:r>
      <w:r w:rsidRPr="00E400E4">
        <w:fldChar w:fldCharType="separate"/>
      </w:r>
      <w:r w:rsidR="006C029B" w:rsidRPr="00E400E4">
        <w:t xml:space="preserve">Figure </w:t>
      </w:r>
      <w:r w:rsidR="006C029B">
        <w:rPr>
          <w:noProof/>
        </w:rPr>
        <w:t>10</w:t>
      </w:r>
      <w:r w:rsidRPr="00E400E4">
        <w:fldChar w:fldCharType="end"/>
      </w:r>
      <w:r w:rsidRPr="00E400E4">
        <w:t>).</w:t>
      </w:r>
    </w:p>
    <w:p w:rsidR="00555918" w:rsidRPr="00E400E4" w:rsidRDefault="00555918" w:rsidP="000B1771">
      <w:pPr>
        <w:pStyle w:val="Caption"/>
      </w:pPr>
      <w:bookmarkStart w:id="73" w:name="_Ref512843615"/>
      <w:bookmarkStart w:id="74" w:name="_Toc24702427"/>
      <w:r w:rsidRPr="00E400E4">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10</w:t>
      </w:r>
      <w:r w:rsidRPr="00E400E4">
        <w:rPr>
          <w:noProof/>
        </w:rPr>
        <w:fldChar w:fldCharType="end"/>
      </w:r>
      <w:bookmarkEnd w:id="73"/>
      <w:r w:rsidRPr="00E400E4">
        <w:t xml:space="preserve"> Manual grading of avocados at the packing house</w:t>
      </w:r>
      <w:bookmarkEnd w:id="74"/>
    </w:p>
    <w:p w:rsidR="00555918" w:rsidRPr="00E400E4" w:rsidRDefault="00555918" w:rsidP="000B1771">
      <w:r w:rsidRPr="00E400E4">
        <w:rPr>
          <w:noProof/>
          <w:lang w:eastAsia="en-AU"/>
        </w:rPr>
        <w:drawing>
          <wp:inline distT="0" distB="0" distL="0" distR="0" wp14:anchorId="0D8D2DA3" wp14:editId="5E608135">
            <wp:extent cx="5759450" cy="4319905"/>
            <wp:effectExtent l="0" t="0" r="0" b="4445"/>
            <wp:docPr id="23" name="Picture 23" descr="Picture shows manual grading of avo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12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555918" w:rsidRPr="00E400E4" w:rsidRDefault="00555918" w:rsidP="000B1771">
      <w:r w:rsidRPr="00E400E4">
        <w:lastRenderedPageBreak/>
        <w:t>Fruit is then packed into cardboard or plastic boxes, either manually or automatically. If fruit is packed manually, another quality check is conducted before the fruit is packed. All boxes are clearly labelled (</w:t>
      </w:r>
      <w:r w:rsidRPr="00E400E4">
        <w:fldChar w:fldCharType="begin"/>
      </w:r>
      <w:r w:rsidRPr="00E400E4">
        <w:instrText xml:space="preserve"> REF _Ref512843844 \h  \* MERGEFORMAT </w:instrText>
      </w:r>
      <w:r w:rsidRPr="00E400E4">
        <w:fldChar w:fldCharType="separate"/>
      </w:r>
      <w:r w:rsidR="006C029B" w:rsidRPr="00E400E4">
        <w:t xml:space="preserve">Figure </w:t>
      </w:r>
      <w:r w:rsidR="006C029B">
        <w:rPr>
          <w:noProof/>
        </w:rPr>
        <w:t>11</w:t>
      </w:r>
      <w:r w:rsidRPr="00E400E4">
        <w:fldChar w:fldCharType="end"/>
      </w:r>
      <w:r w:rsidRPr="00E400E4">
        <w:t>). The label includes name of commodity, weight, destination country, grower (CSG) and packing house identification numbers (CSP), as well as other information depending on the importer’s requirements, such as fruit size (</w:t>
      </w:r>
      <w:r w:rsidRPr="00E400E4">
        <w:fldChar w:fldCharType="begin"/>
      </w:r>
      <w:r w:rsidRPr="00E400E4">
        <w:instrText xml:space="preserve"> REF _Ref512843868 \h  \* MERGEFORMAT </w:instrText>
      </w:r>
      <w:r w:rsidRPr="00E400E4">
        <w:fldChar w:fldCharType="separate"/>
      </w:r>
      <w:r w:rsidR="006C029B" w:rsidRPr="00E400E4">
        <w:t xml:space="preserve">Figure </w:t>
      </w:r>
      <w:r w:rsidR="006C029B">
        <w:rPr>
          <w:noProof/>
        </w:rPr>
        <w:t>12</w:t>
      </w:r>
      <w:r w:rsidRPr="00E400E4">
        <w:fldChar w:fldCharType="end"/>
      </w:r>
      <w:r w:rsidRPr="00E400E4">
        <w:t>).</w:t>
      </w:r>
    </w:p>
    <w:p w:rsidR="00555918" w:rsidRPr="00E400E4" w:rsidRDefault="00555918" w:rsidP="000B1771">
      <w:pPr>
        <w:pStyle w:val="Caption"/>
      </w:pPr>
      <w:bookmarkStart w:id="75" w:name="_Ref512843844"/>
      <w:bookmarkStart w:id="76" w:name="_Toc24702428"/>
      <w:r w:rsidRPr="00E400E4">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11</w:t>
      </w:r>
      <w:r w:rsidRPr="00E400E4">
        <w:rPr>
          <w:noProof/>
        </w:rPr>
        <w:fldChar w:fldCharType="end"/>
      </w:r>
      <w:bookmarkEnd w:id="75"/>
      <w:r w:rsidRPr="00E400E4">
        <w:t xml:space="preserve"> Packed avocados with label on box</w:t>
      </w:r>
      <w:bookmarkEnd w:id="76"/>
    </w:p>
    <w:p w:rsidR="00555918" w:rsidRPr="00E400E4" w:rsidRDefault="00555918" w:rsidP="000B1771">
      <w:r w:rsidRPr="00E400E4">
        <w:rPr>
          <w:noProof/>
          <w:lang w:eastAsia="en-AU"/>
        </w:rPr>
        <w:drawing>
          <wp:inline distT="0" distB="0" distL="0" distR="0" wp14:anchorId="7F6CA90B" wp14:editId="01185A35">
            <wp:extent cx="5008419" cy="3755454"/>
            <wp:effectExtent l="0" t="0" r="1905" b="0"/>
            <wp:docPr id="24" name="Picture 24" descr="Picture shows stacks of cardboard boxed packed with avo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56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15124" cy="3760482"/>
                    </a:xfrm>
                    <a:prstGeom prst="rect">
                      <a:avLst/>
                    </a:prstGeom>
                  </pic:spPr>
                </pic:pic>
              </a:graphicData>
            </a:graphic>
          </wp:inline>
        </w:drawing>
      </w:r>
    </w:p>
    <w:p w:rsidR="00555918" w:rsidRPr="00E400E4" w:rsidRDefault="00555918" w:rsidP="000B1771">
      <w:pPr>
        <w:pStyle w:val="Caption"/>
      </w:pPr>
      <w:bookmarkStart w:id="77" w:name="_Ref512843868"/>
      <w:bookmarkStart w:id="78" w:name="_Toc24702429"/>
      <w:r w:rsidRPr="00E400E4">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12</w:t>
      </w:r>
      <w:r w:rsidRPr="00E400E4">
        <w:rPr>
          <w:noProof/>
        </w:rPr>
        <w:fldChar w:fldCharType="end"/>
      </w:r>
      <w:bookmarkEnd w:id="77"/>
      <w:r w:rsidRPr="00E400E4">
        <w:t xml:space="preserve"> Label on box packed with avocados</w:t>
      </w:r>
      <w:bookmarkEnd w:id="78"/>
    </w:p>
    <w:p w:rsidR="00555918" w:rsidRPr="00E400E4" w:rsidRDefault="00555918" w:rsidP="000B1771">
      <w:r w:rsidRPr="00E400E4">
        <w:rPr>
          <w:noProof/>
          <w:lang w:eastAsia="en-AU"/>
        </w:rPr>
        <w:drawing>
          <wp:inline distT="0" distB="0" distL="0" distR="0" wp14:anchorId="5E7E6D65" wp14:editId="2E4B7CF8">
            <wp:extent cx="4993200" cy="3333600"/>
            <wp:effectExtent l="0" t="0" r="0" b="635"/>
            <wp:docPr id="9" name="Picture 9" descr="Picture shows a labelon a box packed with avo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147.JPG"/>
                    <pic:cNvPicPr/>
                  </pic:nvPicPr>
                  <pic:blipFill rotWithShape="1">
                    <a:blip r:embed="rId48" cstate="print">
                      <a:extLst>
                        <a:ext uri="{28A0092B-C50C-407E-A947-70E740481C1C}">
                          <a14:useLocalDpi xmlns:a14="http://schemas.microsoft.com/office/drawing/2010/main" val="0"/>
                        </a:ext>
                      </a:extLst>
                    </a:blip>
                    <a:srcRect t="15035" b="18212"/>
                    <a:stretch/>
                  </pic:blipFill>
                  <pic:spPr bwMode="auto">
                    <a:xfrm>
                      <a:off x="0" y="0"/>
                      <a:ext cx="4993200" cy="3333600"/>
                    </a:xfrm>
                    <a:prstGeom prst="rect">
                      <a:avLst/>
                    </a:prstGeom>
                    <a:ln>
                      <a:noFill/>
                    </a:ln>
                    <a:extLst>
                      <a:ext uri="{53640926-AAD7-44D8-BBD7-CCE9431645EC}">
                        <a14:shadowObscured xmlns:a14="http://schemas.microsoft.com/office/drawing/2010/main"/>
                      </a:ext>
                    </a:extLst>
                  </pic:spPr>
                </pic:pic>
              </a:graphicData>
            </a:graphic>
          </wp:inline>
        </w:drawing>
      </w:r>
    </w:p>
    <w:p w:rsidR="00555918" w:rsidRPr="00E400E4" w:rsidRDefault="00555918" w:rsidP="000B1771">
      <w:r w:rsidRPr="00E400E4">
        <w:lastRenderedPageBreak/>
        <w:t>Packed boxes are palletised and taken to a pre-cooling room to reduce the temperature of the fruit to around 4 °C to 5 °C before being stored in a cold room at around 4 °C to 5 °C (</w:t>
      </w:r>
      <w:r w:rsidRPr="00E400E4">
        <w:fldChar w:fldCharType="begin"/>
      </w:r>
      <w:r w:rsidRPr="00E400E4">
        <w:instrText xml:space="preserve"> REF _Ref512844014 \h  \* MERGEFORMAT </w:instrText>
      </w:r>
      <w:r w:rsidRPr="00E400E4">
        <w:fldChar w:fldCharType="separate"/>
      </w:r>
      <w:r w:rsidR="006C029B" w:rsidRPr="00E400E4">
        <w:t xml:space="preserve">Figure </w:t>
      </w:r>
      <w:r w:rsidR="006C029B">
        <w:rPr>
          <w:noProof/>
        </w:rPr>
        <w:t>13</w:t>
      </w:r>
      <w:r w:rsidRPr="00E400E4">
        <w:fldChar w:fldCharType="end"/>
      </w:r>
      <w:r w:rsidRPr="00E400E4">
        <w:t>) until they are loaded into containers. Pallets are loaded into refrigerated containers at around 4 °C (</w:t>
      </w:r>
      <w:r w:rsidRPr="00E400E4">
        <w:fldChar w:fldCharType="begin"/>
      </w:r>
      <w:r w:rsidRPr="00E400E4">
        <w:instrText xml:space="preserve"> REF _Ref512844034 \h  \* MERGEFORMAT </w:instrText>
      </w:r>
      <w:r w:rsidRPr="00E400E4">
        <w:fldChar w:fldCharType="separate"/>
      </w:r>
      <w:r w:rsidR="006C029B" w:rsidRPr="00E400E4">
        <w:t xml:space="preserve">Figure </w:t>
      </w:r>
      <w:r w:rsidR="006C029B">
        <w:rPr>
          <w:noProof/>
        </w:rPr>
        <w:t>14</w:t>
      </w:r>
      <w:r w:rsidRPr="00E400E4">
        <w:fldChar w:fldCharType="end"/>
      </w:r>
      <w:r w:rsidRPr="00E400E4">
        <w:t>).</w:t>
      </w:r>
    </w:p>
    <w:p w:rsidR="00555918" w:rsidRPr="00E400E4" w:rsidRDefault="00555918" w:rsidP="000B1771">
      <w:r w:rsidRPr="00E400E4">
        <w:t xml:space="preserve">In general, avocados are usually stored for extended periods at 4 °C to 7 °C </w:t>
      </w:r>
      <w:r>
        <w:rPr>
          <w:noProof/>
        </w:rPr>
        <w:t>(Hofman, Bower &amp; Woolf 2013)</w:t>
      </w:r>
      <w:r w:rsidRPr="00E400E4">
        <w:t xml:space="preserve"> which is consistent with Chile’s practices.</w:t>
      </w:r>
    </w:p>
    <w:p w:rsidR="00555918" w:rsidRPr="00E400E4" w:rsidRDefault="00555918" w:rsidP="000B1771">
      <w:pPr>
        <w:pStyle w:val="Caption"/>
      </w:pPr>
      <w:bookmarkStart w:id="79" w:name="_Ref512844014"/>
      <w:bookmarkStart w:id="80" w:name="_Toc24702430"/>
      <w:r w:rsidRPr="00E400E4">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13</w:t>
      </w:r>
      <w:r w:rsidRPr="00E400E4">
        <w:rPr>
          <w:noProof/>
        </w:rPr>
        <w:fldChar w:fldCharType="end"/>
      </w:r>
      <w:bookmarkEnd w:id="79"/>
      <w:r w:rsidRPr="00E400E4">
        <w:t xml:space="preserve"> Palletised boxes of avocados stored in a cold room at the packing house</w:t>
      </w:r>
      <w:bookmarkEnd w:id="80"/>
    </w:p>
    <w:p w:rsidR="00555918" w:rsidRPr="00E400E4" w:rsidRDefault="00555918" w:rsidP="000B1771">
      <w:r w:rsidRPr="00E400E4">
        <w:rPr>
          <w:noProof/>
          <w:lang w:eastAsia="en-AU"/>
        </w:rPr>
        <w:drawing>
          <wp:inline distT="0" distB="0" distL="0" distR="0" wp14:anchorId="54ABB7ED" wp14:editId="34B9B7B5">
            <wp:extent cx="5079600" cy="3808800"/>
            <wp:effectExtent l="0" t="0" r="6985" b="1270"/>
            <wp:docPr id="25" name="Picture 25" descr="Picture shows a cold room containing pallets of packed avocado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05025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79600" cy="3808800"/>
                    </a:xfrm>
                    <a:prstGeom prst="rect">
                      <a:avLst/>
                    </a:prstGeom>
                  </pic:spPr>
                </pic:pic>
              </a:graphicData>
            </a:graphic>
          </wp:inline>
        </w:drawing>
      </w:r>
    </w:p>
    <w:p w:rsidR="00555918" w:rsidRPr="00E400E4" w:rsidRDefault="00555918" w:rsidP="000B1771">
      <w:pPr>
        <w:pStyle w:val="Caption"/>
      </w:pPr>
      <w:bookmarkStart w:id="81" w:name="_Ref512844034"/>
      <w:bookmarkStart w:id="82" w:name="_Toc24702431"/>
      <w:r w:rsidRPr="00E400E4">
        <w:lastRenderedPageBreak/>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14</w:t>
      </w:r>
      <w:r w:rsidRPr="00E400E4">
        <w:rPr>
          <w:noProof/>
        </w:rPr>
        <w:fldChar w:fldCharType="end"/>
      </w:r>
      <w:bookmarkEnd w:id="81"/>
      <w:r w:rsidRPr="00E400E4">
        <w:t xml:space="preserve"> Palletised boxes of avocados being loaded into a shipping container</w:t>
      </w:r>
      <w:bookmarkEnd w:id="82"/>
    </w:p>
    <w:p w:rsidR="00555918" w:rsidRPr="00E400E4" w:rsidRDefault="00555918" w:rsidP="000B1771">
      <w:r w:rsidRPr="00E400E4">
        <w:rPr>
          <w:noProof/>
          <w:lang w:eastAsia="en-AU"/>
        </w:rPr>
        <w:drawing>
          <wp:inline distT="0" distB="0" distL="0" distR="0" wp14:anchorId="2E977DCA" wp14:editId="71CC0DE4">
            <wp:extent cx="5083200" cy="3967200"/>
            <wp:effectExtent l="0" t="0" r="3175" b="0"/>
            <wp:docPr id="10" name="Picture 10" descr="Picture shows a shipping container being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161.JPG"/>
                    <pic:cNvPicPr/>
                  </pic:nvPicPr>
                  <pic:blipFill rotWithShape="1">
                    <a:blip r:embed="rId50" cstate="print">
                      <a:extLst>
                        <a:ext uri="{28A0092B-C50C-407E-A947-70E740481C1C}">
                          <a14:useLocalDpi xmlns:a14="http://schemas.microsoft.com/office/drawing/2010/main" val="0"/>
                        </a:ext>
                      </a:extLst>
                    </a:blip>
                    <a:srcRect t="6615" b="15325"/>
                    <a:stretch/>
                  </pic:blipFill>
                  <pic:spPr bwMode="auto">
                    <a:xfrm>
                      <a:off x="0" y="0"/>
                      <a:ext cx="5083200" cy="3967200"/>
                    </a:xfrm>
                    <a:prstGeom prst="rect">
                      <a:avLst/>
                    </a:prstGeom>
                    <a:ln>
                      <a:noFill/>
                    </a:ln>
                    <a:extLst>
                      <a:ext uri="{53640926-AAD7-44D8-BBD7-CCE9431645EC}">
                        <a14:shadowObscured xmlns:a14="http://schemas.microsoft.com/office/drawing/2010/main"/>
                      </a:ext>
                    </a:extLst>
                  </pic:spPr>
                </pic:pic>
              </a:graphicData>
            </a:graphic>
          </wp:inline>
        </w:drawing>
      </w:r>
    </w:p>
    <w:p w:rsidR="00555918" w:rsidRPr="00E400E4" w:rsidRDefault="00555918" w:rsidP="000B1771">
      <w:r w:rsidRPr="00E400E4">
        <w:t>Avocado exports are nearly all sent via sea freight. If they are exported via air freight, the pallets are sent via refrigerated truck to the airport for wrapping and loading into air containers.</w:t>
      </w:r>
    </w:p>
    <w:p w:rsidR="00555918" w:rsidRPr="00E400E4" w:rsidRDefault="00555918" w:rsidP="000B1771">
      <w:pPr>
        <w:pStyle w:val="Heading5"/>
      </w:pPr>
      <w:r w:rsidRPr="00E400E4">
        <w:t>Export procedures</w:t>
      </w:r>
    </w:p>
    <w:p w:rsidR="00555918" w:rsidRPr="00E400E4" w:rsidRDefault="00555918" w:rsidP="000B1771">
      <w:r w:rsidRPr="00E400E4">
        <w:t>Phytosanitary inspection, if required by the destination country, is conducted by a trained SAG inspector. The inspection process is identical in each packing house and complies with international standards (ISO 9001 Quality Management Systems certification). Packing houses have a dedicated inspection area containing a white bench, a stereo microscope and lighting to a minimum of 800 lux (</w:t>
      </w:r>
      <w:r w:rsidRPr="00E400E4">
        <w:fldChar w:fldCharType="begin"/>
      </w:r>
      <w:r w:rsidRPr="00E400E4">
        <w:instrText xml:space="preserve"> REF _Ref512844173 \h  \* MERGEFORMAT </w:instrText>
      </w:r>
      <w:r w:rsidRPr="00E400E4">
        <w:fldChar w:fldCharType="separate"/>
      </w:r>
      <w:r w:rsidR="006C029B" w:rsidRPr="00E400E4">
        <w:t xml:space="preserve">Figure </w:t>
      </w:r>
      <w:r w:rsidR="006C029B">
        <w:rPr>
          <w:noProof/>
        </w:rPr>
        <w:t>15</w:t>
      </w:r>
      <w:r w:rsidRPr="00E400E4">
        <w:fldChar w:fldCharType="end"/>
      </w:r>
      <w:r w:rsidRPr="00E400E4">
        <w:t>). Packing houses must ensure the inspection areas are clean.</w:t>
      </w:r>
    </w:p>
    <w:p w:rsidR="00555918" w:rsidRPr="00E400E4" w:rsidRDefault="00555918" w:rsidP="000B1771">
      <w:pPr>
        <w:pStyle w:val="Caption"/>
      </w:pPr>
      <w:bookmarkStart w:id="83" w:name="_Ref512844173"/>
      <w:bookmarkStart w:id="84" w:name="_Toc24702432"/>
      <w:r w:rsidRPr="00E400E4">
        <w:lastRenderedPageBreak/>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15</w:t>
      </w:r>
      <w:r w:rsidRPr="00E400E4">
        <w:rPr>
          <w:noProof/>
        </w:rPr>
        <w:fldChar w:fldCharType="end"/>
      </w:r>
      <w:bookmarkEnd w:id="83"/>
      <w:r w:rsidRPr="00E400E4">
        <w:t xml:space="preserve"> Inspection area at a packing house</w:t>
      </w:r>
      <w:bookmarkEnd w:id="84"/>
    </w:p>
    <w:p w:rsidR="00555918" w:rsidRPr="00E400E4" w:rsidRDefault="00555918" w:rsidP="000B1771">
      <w:r w:rsidRPr="00E400E4">
        <w:rPr>
          <w:noProof/>
          <w:lang w:eastAsia="en-AU"/>
        </w:rPr>
        <w:drawing>
          <wp:inline distT="0" distB="0" distL="0" distR="0" wp14:anchorId="49751314" wp14:editId="6BF424F3">
            <wp:extent cx="5644800" cy="4233600"/>
            <wp:effectExtent l="0" t="0" r="0" b="0"/>
            <wp:docPr id="26" name="Picture 26" descr="Picture shows an inspection area at a pack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5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44800" cy="4233600"/>
                    </a:xfrm>
                    <a:prstGeom prst="rect">
                      <a:avLst/>
                    </a:prstGeom>
                  </pic:spPr>
                </pic:pic>
              </a:graphicData>
            </a:graphic>
          </wp:inline>
        </w:drawing>
      </w:r>
    </w:p>
    <w:p w:rsidR="00555918" w:rsidRPr="00E400E4" w:rsidRDefault="00555918" w:rsidP="000B1771">
      <w:r w:rsidRPr="00E400E4">
        <w:t>The phytosanitary inspection includes a document and physical inspection. The physical inspection (</w:t>
      </w:r>
      <w:r w:rsidRPr="00E400E4">
        <w:fldChar w:fldCharType="begin"/>
      </w:r>
      <w:r w:rsidRPr="00E400E4">
        <w:instrText xml:space="preserve"> REF _Ref512844270 \h  \* MERGEFORMAT </w:instrText>
      </w:r>
      <w:r w:rsidRPr="00E400E4">
        <w:fldChar w:fldCharType="separate"/>
      </w:r>
      <w:r w:rsidR="006C029B" w:rsidRPr="00E400E4">
        <w:t xml:space="preserve">Figure </w:t>
      </w:r>
      <w:r w:rsidR="006C029B">
        <w:rPr>
          <w:noProof/>
        </w:rPr>
        <w:t>16</w:t>
      </w:r>
      <w:r w:rsidRPr="00E400E4">
        <w:fldChar w:fldCharType="end"/>
      </w:r>
      <w:r w:rsidRPr="00E400E4">
        <w:t xml:space="preserve">) verifies that the product is free of quarantine pests of concern to the destination country. Once a consignment has passed inspection, it can be loaded into sealed, refrigerated shipping containers on trucks and dispatched to the port for export. </w:t>
      </w:r>
    </w:p>
    <w:p w:rsidR="00555918" w:rsidRPr="00E400E4" w:rsidRDefault="00555918" w:rsidP="000B1771">
      <w:pPr>
        <w:pStyle w:val="Caption"/>
      </w:pPr>
      <w:bookmarkStart w:id="85" w:name="_Ref512844270"/>
      <w:bookmarkStart w:id="86" w:name="_Toc24702433"/>
      <w:r w:rsidRPr="00E400E4">
        <w:lastRenderedPageBreak/>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16</w:t>
      </w:r>
      <w:r w:rsidRPr="00E400E4">
        <w:rPr>
          <w:noProof/>
        </w:rPr>
        <w:fldChar w:fldCharType="end"/>
      </w:r>
      <w:bookmarkEnd w:id="85"/>
      <w:r w:rsidRPr="00E400E4">
        <w:t xml:space="preserve"> Phytosanitary inspection at the packing house</w:t>
      </w:r>
      <w:bookmarkEnd w:id="86"/>
    </w:p>
    <w:p w:rsidR="00555918" w:rsidRPr="00E400E4" w:rsidRDefault="00555918" w:rsidP="000B1771">
      <w:r w:rsidRPr="00E400E4">
        <w:rPr>
          <w:noProof/>
          <w:lang w:eastAsia="en-AU"/>
        </w:rPr>
        <w:drawing>
          <wp:inline distT="0" distB="0" distL="0" distR="0" wp14:anchorId="07ECDDCE" wp14:editId="72925714">
            <wp:extent cx="5641200" cy="3895200"/>
            <wp:effectExtent l="0" t="0" r="0" b="0"/>
            <wp:docPr id="27" name="Picture 27" descr="Picture shows avocados being inspected by a SAG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64.JPG"/>
                    <pic:cNvPicPr/>
                  </pic:nvPicPr>
                  <pic:blipFill rotWithShape="1">
                    <a:blip r:embed="rId52" cstate="print">
                      <a:extLst>
                        <a:ext uri="{28A0092B-C50C-407E-A947-70E740481C1C}">
                          <a14:useLocalDpi xmlns:a14="http://schemas.microsoft.com/office/drawing/2010/main" val="0"/>
                        </a:ext>
                      </a:extLst>
                    </a:blip>
                    <a:srcRect b="7955"/>
                    <a:stretch/>
                  </pic:blipFill>
                  <pic:spPr bwMode="auto">
                    <a:xfrm>
                      <a:off x="0" y="0"/>
                      <a:ext cx="5641200" cy="3895200"/>
                    </a:xfrm>
                    <a:prstGeom prst="rect">
                      <a:avLst/>
                    </a:prstGeom>
                    <a:ln>
                      <a:noFill/>
                    </a:ln>
                    <a:extLst>
                      <a:ext uri="{53640926-AAD7-44D8-BBD7-CCE9431645EC}">
                        <a14:shadowObscured xmlns:a14="http://schemas.microsoft.com/office/drawing/2010/main"/>
                      </a:ext>
                    </a:extLst>
                  </pic:spPr>
                </pic:pic>
              </a:graphicData>
            </a:graphic>
          </wp:inline>
        </w:drawing>
      </w:r>
    </w:p>
    <w:p w:rsidR="00555918" w:rsidRPr="00E400E4" w:rsidRDefault="00555918" w:rsidP="000B1771">
      <w:r w:rsidRPr="00E400E4">
        <w:t>At the port, SAG conducts a physical verification of the containers/cargo and verifies documentation and compliance with phytosanitary requirements of the destination country. If everything is compliant, SAG issues a phytosanitary certificate.</w:t>
      </w:r>
    </w:p>
    <w:p w:rsidR="00555918" w:rsidRPr="00E400E4" w:rsidRDefault="00555918" w:rsidP="000B1771">
      <w:pPr>
        <w:pStyle w:val="Heading4"/>
      </w:pPr>
      <w:r w:rsidRPr="00E400E4">
        <w:t>Transport</w:t>
      </w:r>
    </w:p>
    <w:p w:rsidR="00555918" w:rsidRPr="00E400E4" w:rsidRDefault="00555918" w:rsidP="000B1771">
      <w:r w:rsidRPr="00E400E4">
        <w:t>Avocados exported from Chile are in a hard mature condition and this condition is maintained during transport to the country of destination. Avocados are mainly sent by sea freight and are kept at 4.5 °C to 6 °C during shipping. The temperature inside the shipping container is monitored during shipping to make sure the agreed temperature is maintained. Shipping time to Australia is estimated to take 30 to 40 days.</w:t>
      </w:r>
    </w:p>
    <w:p w:rsidR="00555918" w:rsidRPr="00E400E4" w:rsidRDefault="00555918" w:rsidP="000B1771">
      <w:r w:rsidRPr="00E400E4">
        <w:fldChar w:fldCharType="begin"/>
      </w:r>
      <w:r w:rsidRPr="00E400E4">
        <w:instrText xml:space="preserve"> REF _Ref512844433 \h  \* MERGEFORMAT </w:instrText>
      </w:r>
      <w:r w:rsidRPr="00E400E4">
        <w:fldChar w:fldCharType="separate"/>
      </w:r>
      <w:r w:rsidR="006C029B" w:rsidRPr="00E400E4">
        <w:t xml:space="preserve">Figure </w:t>
      </w:r>
      <w:r w:rsidR="006C029B">
        <w:rPr>
          <w:noProof/>
        </w:rPr>
        <w:t>17</w:t>
      </w:r>
      <w:r w:rsidRPr="00E400E4">
        <w:fldChar w:fldCharType="end"/>
      </w:r>
      <w:r w:rsidRPr="00E400E4">
        <w:t xml:space="preserve"> summarises the operational steps from harvesting to export of avocado fruit in Chile.</w:t>
      </w:r>
    </w:p>
    <w:p w:rsidR="00555918" w:rsidRPr="00E400E4" w:rsidRDefault="00555918" w:rsidP="000B1771">
      <w:pPr>
        <w:pStyle w:val="Caption"/>
      </w:pPr>
      <w:bookmarkStart w:id="87" w:name="_Toc384979256"/>
      <w:bookmarkStart w:id="88" w:name="_Toc384979283"/>
      <w:bookmarkStart w:id="89" w:name="_Toc389741470"/>
      <w:r w:rsidRPr="00E400E4">
        <w:br w:type="page"/>
      </w:r>
    </w:p>
    <w:p w:rsidR="00555918" w:rsidRPr="00E400E4" w:rsidRDefault="00555918" w:rsidP="000B1771">
      <w:pPr>
        <w:pStyle w:val="Caption"/>
      </w:pPr>
      <w:bookmarkStart w:id="90" w:name="_Ref512844433"/>
      <w:bookmarkStart w:id="91" w:name="_Toc24702434"/>
      <w:bookmarkEnd w:id="87"/>
      <w:bookmarkEnd w:id="88"/>
      <w:bookmarkEnd w:id="89"/>
      <w:r w:rsidRPr="00E400E4">
        <w:lastRenderedPageBreak/>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17</w:t>
      </w:r>
      <w:r w:rsidRPr="00E400E4">
        <w:rPr>
          <w:noProof/>
        </w:rPr>
        <w:fldChar w:fldCharType="end"/>
      </w:r>
      <w:bookmarkEnd w:id="90"/>
      <w:r w:rsidRPr="00E400E4">
        <w:t xml:space="preserve"> Summary of orchard and post-harvest steps for avocados grown in Chile for export</w:t>
      </w:r>
      <w:bookmarkEnd w:id="91"/>
    </w:p>
    <w:p w:rsidR="00555918" w:rsidRPr="00E400E4" w:rsidRDefault="009E79B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pt;height:641pt">
            <v:imagedata r:id="rId53" o:title=""/>
          </v:shape>
        </w:pict>
      </w:r>
    </w:p>
    <w:p w:rsidR="00555918" w:rsidRPr="00E400E4" w:rsidRDefault="00555918" w:rsidP="000B1771">
      <w:pPr>
        <w:pStyle w:val="Heading3"/>
      </w:pPr>
      <w:r w:rsidRPr="00E400E4">
        <w:br w:type="page"/>
      </w:r>
      <w:bookmarkStart w:id="92" w:name="_Toc389741451"/>
      <w:bookmarkStart w:id="93" w:name="_Toc20392241"/>
      <w:r w:rsidRPr="00E400E4">
        <w:lastRenderedPageBreak/>
        <w:t>Export capability</w:t>
      </w:r>
      <w:bookmarkEnd w:id="92"/>
      <w:bookmarkEnd w:id="93"/>
    </w:p>
    <w:p w:rsidR="00555918" w:rsidRPr="00E400E4" w:rsidRDefault="00555918" w:rsidP="000B1771">
      <w:pPr>
        <w:pStyle w:val="Heading4"/>
      </w:pPr>
      <w:r w:rsidRPr="00E400E4">
        <w:t>Production statistics</w:t>
      </w:r>
    </w:p>
    <w:p w:rsidR="00555918" w:rsidRPr="00E400E4" w:rsidRDefault="00555918" w:rsidP="000B1771">
      <w:r w:rsidRPr="00E400E4">
        <w:t xml:space="preserve">Chile is one of the largest producers of avocados in the world. Since 2007, the total area planted with avocado in Chile has been decreasing due to a number of factors, including drought and chilling in major production regions, and high energy and labour costs </w:t>
      </w:r>
      <w:r>
        <w:rPr>
          <w:noProof/>
        </w:rPr>
        <w:t>(Gonzalez 2016, 2017)</w:t>
      </w:r>
      <w:r w:rsidRPr="00E400E4">
        <w:t xml:space="preserve">. However in recent years, yields have been increasing, mainly due to increased rainfall compared to previous years, leading to higher production volumes </w:t>
      </w:r>
      <w:r>
        <w:rPr>
          <w:noProof/>
        </w:rPr>
        <w:t>(Gonzalez 2017)</w:t>
      </w:r>
      <w:r w:rsidRPr="00E400E4">
        <w:t>.</w:t>
      </w:r>
    </w:p>
    <w:p w:rsidR="00555918" w:rsidRPr="00E400E4" w:rsidRDefault="00555918" w:rsidP="000B1771">
      <w:r w:rsidRPr="00E400E4">
        <w:t xml:space="preserve">Chile produced around 152,000 tonnes of avocado in 2014–15, 175,000 tonnes in 2015–16 and 215,000 tonnes in 2016–17 </w:t>
      </w:r>
      <w:r>
        <w:rPr>
          <w:noProof/>
        </w:rPr>
        <w:t>(Gonzalez 2016, 2017)</w:t>
      </w:r>
      <w:r w:rsidRPr="00E400E4">
        <w:t>.</w:t>
      </w:r>
    </w:p>
    <w:p w:rsidR="00555918" w:rsidRPr="00E400E4" w:rsidRDefault="00555918" w:rsidP="000B1771">
      <w:r w:rsidRPr="00E400E4">
        <w:t xml:space="preserve">In 2016, Valparaiso, Coquimbo and Metropolitan, the three main avocado production regions, contained over 95 per cent of Chile’s total area planted with avocado </w:t>
      </w:r>
      <w:r>
        <w:rPr>
          <w:noProof/>
        </w:rPr>
        <w:t>(Gonzalez 2017)</w:t>
      </w:r>
      <w:r w:rsidRPr="00E400E4">
        <w:t xml:space="preserve">. A breakdown of the area planted with avocado by region in 2016 is shown in </w:t>
      </w:r>
      <w:r w:rsidRPr="00E400E4">
        <w:fldChar w:fldCharType="begin"/>
      </w:r>
      <w:r w:rsidRPr="00E400E4">
        <w:instrText xml:space="preserve"> REF _Ref512844594 \h  \* MERGEFORMAT </w:instrText>
      </w:r>
      <w:r w:rsidRPr="00E400E4">
        <w:fldChar w:fldCharType="separate"/>
      </w:r>
      <w:r w:rsidR="006C029B" w:rsidRPr="00E400E4">
        <w:t xml:space="preserve">Table </w:t>
      </w:r>
      <w:r w:rsidR="006C029B">
        <w:rPr>
          <w:noProof/>
        </w:rPr>
        <w:t>3</w:t>
      </w:r>
      <w:r w:rsidR="006C029B" w:rsidRPr="00E400E4">
        <w:rPr>
          <w:noProof/>
        </w:rPr>
        <w:t>.</w:t>
      </w:r>
      <w:r w:rsidR="006C029B">
        <w:rPr>
          <w:noProof/>
        </w:rPr>
        <w:t>2</w:t>
      </w:r>
      <w:r w:rsidRPr="00E400E4">
        <w:fldChar w:fldCharType="end"/>
      </w:r>
      <w:r w:rsidRPr="00E400E4">
        <w:t>.</w:t>
      </w:r>
    </w:p>
    <w:p w:rsidR="00555918" w:rsidRPr="00E400E4" w:rsidRDefault="00555918" w:rsidP="000B1771">
      <w:pPr>
        <w:pStyle w:val="Caption"/>
      </w:pPr>
      <w:bookmarkStart w:id="94" w:name="_Ref512844594"/>
      <w:bookmarkStart w:id="95" w:name="_Toc24702443"/>
      <w:r w:rsidRPr="00E400E4">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3</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2</w:t>
      </w:r>
      <w:r w:rsidRPr="00E400E4">
        <w:rPr>
          <w:noProof/>
        </w:rPr>
        <w:fldChar w:fldCharType="end"/>
      </w:r>
      <w:bookmarkEnd w:id="94"/>
      <w:r w:rsidRPr="00E400E4">
        <w:t xml:space="preserve"> Area planted with avocado by region in 2016</w:t>
      </w:r>
      <w:bookmarkEnd w:id="9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4"/>
        <w:gridCol w:w="3022"/>
      </w:tblGrid>
      <w:tr w:rsidR="00555918" w:rsidRPr="00E400E4" w:rsidTr="000B1771">
        <w:tc>
          <w:tcPr>
            <w:tcW w:w="1667" w:type="pct"/>
            <w:tcBorders>
              <w:bottom w:val="single" w:sz="4" w:space="0" w:color="D9D9D9" w:themeColor="background1" w:themeShade="D9"/>
            </w:tcBorders>
          </w:tcPr>
          <w:p w:rsidR="00555918" w:rsidRPr="00E400E4" w:rsidRDefault="00555918" w:rsidP="000B1771">
            <w:pPr>
              <w:pStyle w:val="TableHeading"/>
            </w:pPr>
            <w:r w:rsidRPr="00E400E4">
              <w:t>Region</w:t>
            </w:r>
          </w:p>
        </w:tc>
        <w:tc>
          <w:tcPr>
            <w:tcW w:w="1667" w:type="pct"/>
            <w:tcBorders>
              <w:bottom w:val="single" w:sz="4" w:space="0" w:color="D9D9D9" w:themeColor="background1" w:themeShade="D9"/>
            </w:tcBorders>
          </w:tcPr>
          <w:p w:rsidR="00555918" w:rsidRPr="00E400E4" w:rsidRDefault="00555918" w:rsidP="000B1771">
            <w:pPr>
              <w:pStyle w:val="TableHeading"/>
              <w:jc w:val="right"/>
            </w:pPr>
            <w:r w:rsidRPr="00E400E4">
              <w:t>Production area (hectares)</w:t>
            </w:r>
          </w:p>
        </w:tc>
        <w:tc>
          <w:tcPr>
            <w:tcW w:w="1666" w:type="pct"/>
            <w:tcBorders>
              <w:bottom w:val="single" w:sz="4" w:space="0" w:color="D9D9D9" w:themeColor="background1" w:themeShade="D9"/>
            </w:tcBorders>
          </w:tcPr>
          <w:p w:rsidR="00555918" w:rsidRPr="00E400E4" w:rsidRDefault="00555918" w:rsidP="000B1771">
            <w:pPr>
              <w:pStyle w:val="TableHeading"/>
              <w:jc w:val="right"/>
            </w:pPr>
            <w:r w:rsidRPr="00E400E4">
              <w:t>Share (%)</w:t>
            </w:r>
          </w:p>
        </w:tc>
      </w:tr>
      <w:tr w:rsidR="00555918" w:rsidRPr="00E400E4" w:rsidTr="000B1771">
        <w:tc>
          <w:tcPr>
            <w:tcW w:w="1667" w:type="pct"/>
          </w:tcPr>
          <w:p w:rsidR="00555918" w:rsidRPr="00E400E4" w:rsidRDefault="00555918" w:rsidP="000B1771">
            <w:pPr>
              <w:pStyle w:val="TableText"/>
            </w:pPr>
            <w:r w:rsidRPr="00E400E4">
              <w:t>Valparaiso</w:t>
            </w:r>
          </w:p>
        </w:tc>
        <w:tc>
          <w:tcPr>
            <w:tcW w:w="1667" w:type="pct"/>
          </w:tcPr>
          <w:p w:rsidR="00555918" w:rsidRPr="00E400E4" w:rsidRDefault="00555918" w:rsidP="000B1771">
            <w:pPr>
              <w:pStyle w:val="TableText"/>
              <w:jc w:val="right"/>
            </w:pPr>
            <w:r w:rsidRPr="00E400E4">
              <w:t>19,135</w:t>
            </w:r>
          </w:p>
        </w:tc>
        <w:tc>
          <w:tcPr>
            <w:tcW w:w="1666" w:type="pct"/>
          </w:tcPr>
          <w:p w:rsidR="00555918" w:rsidRPr="00E400E4" w:rsidRDefault="00555918" w:rsidP="000B1771">
            <w:pPr>
              <w:pStyle w:val="TableText"/>
              <w:jc w:val="right"/>
            </w:pPr>
            <w:r w:rsidRPr="00E400E4">
              <w:t>65.3</w:t>
            </w:r>
          </w:p>
        </w:tc>
      </w:tr>
      <w:tr w:rsidR="00555918" w:rsidRPr="00E400E4" w:rsidTr="000B1771">
        <w:tc>
          <w:tcPr>
            <w:tcW w:w="1667" w:type="pct"/>
          </w:tcPr>
          <w:p w:rsidR="00555918" w:rsidRPr="00E400E4" w:rsidRDefault="00555918" w:rsidP="000B1771">
            <w:pPr>
              <w:pStyle w:val="TableText"/>
            </w:pPr>
            <w:r w:rsidRPr="00E400E4">
              <w:t>Metropolitan</w:t>
            </w:r>
          </w:p>
        </w:tc>
        <w:tc>
          <w:tcPr>
            <w:tcW w:w="1667" w:type="pct"/>
          </w:tcPr>
          <w:p w:rsidR="00555918" w:rsidRPr="00E400E4" w:rsidRDefault="00555918" w:rsidP="000B1771">
            <w:pPr>
              <w:pStyle w:val="TableText"/>
              <w:jc w:val="right"/>
            </w:pPr>
            <w:r w:rsidRPr="00E400E4">
              <w:t>4,494</w:t>
            </w:r>
          </w:p>
        </w:tc>
        <w:tc>
          <w:tcPr>
            <w:tcW w:w="1666" w:type="pct"/>
          </w:tcPr>
          <w:p w:rsidR="00555918" w:rsidRPr="00E400E4" w:rsidRDefault="00555918" w:rsidP="000B1771">
            <w:pPr>
              <w:pStyle w:val="TableText"/>
              <w:jc w:val="right"/>
            </w:pPr>
            <w:r w:rsidRPr="00E400E4">
              <w:t>15.3</w:t>
            </w:r>
          </w:p>
        </w:tc>
      </w:tr>
      <w:tr w:rsidR="00555918" w:rsidRPr="00E400E4" w:rsidTr="000B1771">
        <w:tc>
          <w:tcPr>
            <w:tcW w:w="1667" w:type="pct"/>
          </w:tcPr>
          <w:p w:rsidR="00555918" w:rsidRPr="00E400E4" w:rsidRDefault="00555918" w:rsidP="000B1771">
            <w:pPr>
              <w:pStyle w:val="TableText"/>
            </w:pPr>
            <w:r w:rsidRPr="00E400E4">
              <w:t>Coquimbo</w:t>
            </w:r>
          </w:p>
        </w:tc>
        <w:tc>
          <w:tcPr>
            <w:tcW w:w="1667" w:type="pct"/>
          </w:tcPr>
          <w:p w:rsidR="00555918" w:rsidRPr="00E400E4" w:rsidRDefault="00555918" w:rsidP="000B1771">
            <w:pPr>
              <w:pStyle w:val="TableText"/>
              <w:jc w:val="right"/>
            </w:pPr>
            <w:r w:rsidRPr="00E400E4">
              <w:t>4,416</w:t>
            </w:r>
          </w:p>
        </w:tc>
        <w:tc>
          <w:tcPr>
            <w:tcW w:w="1666" w:type="pct"/>
          </w:tcPr>
          <w:p w:rsidR="00555918" w:rsidRPr="00E400E4" w:rsidRDefault="00555918" w:rsidP="000B1771">
            <w:pPr>
              <w:pStyle w:val="TableText"/>
              <w:jc w:val="right"/>
            </w:pPr>
            <w:r w:rsidRPr="00E400E4">
              <w:t>15.1</w:t>
            </w:r>
          </w:p>
        </w:tc>
      </w:tr>
      <w:tr w:rsidR="00555918" w:rsidRPr="00E400E4" w:rsidTr="000B1771">
        <w:tc>
          <w:tcPr>
            <w:tcW w:w="1667" w:type="pct"/>
          </w:tcPr>
          <w:p w:rsidR="00555918" w:rsidRPr="00E400E4" w:rsidRDefault="00555918" w:rsidP="000B1771">
            <w:pPr>
              <w:pStyle w:val="TableText"/>
            </w:pPr>
            <w:r w:rsidRPr="00E400E4">
              <w:t>O’Higgins</w:t>
            </w:r>
          </w:p>
        </w:tc>
        <w:tc>
          <w:tcPr>
            <w:tcW w:w="1667" w:type="pct"/>
          </w:tcPr>
          <w:p w:rsidR="00555918" w:rsidRPr="00E400E4" w:rsidRDefault="00555918" w:rsidP="000B1771">
            <w:pPr>
              <w:pStyle w:val="TableText"/>
              <w:jc w:val="right"/>
            </w:pPr>
            <w:r w:rsidRPr="00E400E4">
              <w:t>1,090</w:t>
            </w:r>
          </w:p>
        </w:tc>
        <w:tc>
          <w:tcPr>
            <w:tcW w:w="1666" w:type="pct"/>
          </w:tcPr>
          <w:p w:rsidR="00555918" w:rsidRPr="00E400E4" w:rsidRDefault="00555918" w:rsidP="000B1771">
            <w:pPr>
              <w:pStyle w:val="TableText"/>
              <w:jc w:val="right"/>
            </w:pPr>
            <w:r w:rsidRPr="00E400E4">
              <w:t>3.7</w:t>
            </w:r>
          </w:p>
        </w:tc>
      </w:tr>
      <w:tr w:rsidR="00555918" w:rsidRPr="00E400E4" w:rsidTr="000B1771">
        <w:tc>
          <w:tcPr>
            <w:tcW w:w="1667" w:type="pct"/>
          </w:tcPr>
          <w:p w:rsidR="00555918" w:rsidRPr="00E400E4" w:rsidRDefault="00555918" w:rsidP="000B1771">
            <w:pPr>
              <w:pStyle w:val="TableText"/>
            </w:pPr>
            <w:r w:rsidRPr="00E400E4">
              <w:t>Atacama</w:t>
            </w:r>
          </w:p>
        </w:tc>
        <w:tc>
          <w:tcPr>
            <w:tcW w:w="1667" w:type="pct"/>
          </w:tcPr>
          <w:p w:rsidR="00555918" w:rsidRPr="00E400E4" w:rsidRDefault="00555918" w:rsidP="000B1771">
            <w:pPr>
              <w:pStyle w:val="TableText"/>
              <w:jc w:val="right"/>
            </w:pPr>
            <w:r w:rsidRPr="00E400E4">
              <w:t>133</w:t>
            </w:r>
          </w:p>
        </w:tc>
        <w:tc>
          <w:tcPr>
            <w:tcW w:w="1666" w:type="pct"/>
          </w:tcPr>
          <w:p w:rsidR="00555918" w:rsidRPr="00E400E4" w:rsidRDefault="00555918" w:rsidP="000B1771">
            <w:pPr>
              <w:pStyle w:val="TableText"/>
              <w:jc w:val="right"/>
            </w:pPr>
            <w:r w:rsidRPr="00E400E4">
              <w:t>0.5</w:t>
            </w:r>
          </w:p>
        </w:tc>
      </w:tr>
      <w:tr w:rsidR="00555918" w:rsidRPr="00E400E4" w:rsidTr="000B1771">
        <w:tc>
          <w:tcPr>
            <w:tcW w:w="1667" w:type="pct"/>
            <w:tcBorders>
              <w:bottom w:val="nil"/>
            </w:tcBorders>
          </w:tcPr>
          <w:p w:rsidR="00555918" w:rsidRPr="00E400E4" w:rsidRDefault="00555918" w:rsidP="000B1771">
            <w:pPr>
              <w:pStyle w:val="TableText"/>
            </w:pPr>
            <w:r w:rsidRPr="00E400E4">
              <w:t>Biobio</w:t>
            </w:r>
          </w:p>
        </w:tc>
        <w:tc>
          <w:tcPr>
            <w:tcW w:w="1667" w:type="pct"/>
            <w:tcBorders>
              <w:bottom w:val="nil"/>
            </w:tcBorders>
          </w:tcPr>
          <w:p w:rsidR="00555918" w:rsidRPr="00E400E4" w:rsidRDefault="00555918" w:rsidP="000B1771">
            <w:pPr>
              <w:pStyle w:val="TableText"/>
              <w:jc w:val="right"/>
            </w:pPr>
            <w:r w:rsidRPr="00E400E4">
              <w:t>38</w:t>
            </w:r>
          </w:p>
        </w:tc>
        <w:tc>
          <w:tcPr>
            <w:tcW w:w="1666" w:type="pct"/>
            <w:tcBorders>
              <w:bottom w:val="nil"/>
            </w:tcBorders>
          </w:tcPr>
          <w:p w:rsidR="00555918" w:rsidRPr="00E400E4" w:rsidRDefault="00555918" w:rsidP="000B1771">
            <w:pPr>
              <w:pStyle w:val="TableText"/>
              <w:jc w:val="right"/>
            </w:pPr>
            <w:r w:rsidRPr="00E400E4">
              <w:t>0.1</w:t>
            </w:r>
          </w:p>
        </w:tc>
      </w:tr>
      <w:tr w:rsidR="00555918" w:rsidRPr="00E400E4" w:rsidTr="000B1771">
        <w:tc>
          <w:tcPr>
            <w:tcW w:w="1667" w:type="pct"/>
            <w:tcBorders>
              <w:top w:val="nil"/>
              <w:bottom w:val="nil"/>
            </w:tcBorders>
          </w:tcPr>
          <w:p w:rsidR="00555918" w:rsidRPr="00E400E4" w:rsidRDefault="00555918" w:rsidP="000B1771">
            <w:pPr>
              <w:pStyle w:val="TableText"/>
            </w:pPr>
            <w:r w:rsidRPr="00E400E4">
              <w:t>Arica and Parinacota</w:t>
            </w:r>
          </w:p>
        </w:tc>
        <w:tc>
          <w:tcPr>
            <w:tcW w:w="1667" w:type="pct"/>
            <w:tcBorders>
              <w:top w:val="nil"/>
              <w:bottom w:val="nil"/>
            </w:tcBorders>
          </w:tcPr>
          <w:p w:rsidR="00555918" w:rsidRPr="00E400E4" w:rsidRDefault="00555918" w:rsidP="000B1771">
            <w:pPr>
              <w:pStyle w:val="TableText"/>
              <w:jc w:val="right"/>
            </w:pPr>
            <w:r w:rsidRPr="00E400E4">
              <w:t>10</w:t>
            </w:r>
          </w:p>
        </w:tc>
        <w:tc>
          <w:tcPr>
            <w:tcW w:w="1666" w:type="pct"/>
            <w:tcBorders>
              <w:top w:val="nil"/>
              <w:bottom w:val="nil"/>
            </w:tcBorders>
          </w:tcPr>
          <w:p w:rsidR="00555918" w:rsidRPr="00E400E4" w:rsidRDefault="00555918" w:rsidP="000B1771">
            <w:pPr>
              <w:pStyle w:val="TableText"/>
              <w:jc w:val="right"/>
            </w:pPr>
            <w:r w:rsidRPr="00E400E4">
              <w:t>0</w:t>
            </w:r>
          </w:p>
        </w:tc>
      </w:tr>
      <w:tr w:rsidR="00555918" w:rsidRPr="00E400E4" w:rsidTr="000B1771">
        <w:tc>
          <w:tcPr>
            <w:tcW w:w="1667" w:type="pct"/>
            <w:tcBorders>
              <w:top w:val="nil"/>
              <w:bottom w:val="nil"/>
            </w:tcBorders>
          </w:tcPr>
          <w:p w:rsidR="00555918" w:rsidRPr="00E400E4" w:rsidRDefault="00555918" w:rsidP="000B1771">
            <w:pPr>
              <w:pStyle w:val="TableText"/>
            </w:pPr>
            <w:r w:rsidRPr="00E400E4">
              <w:t>Maule</w:t>
            </w:r>
          </w:p>
        </w:tc>
        <w:tc>
          <w:tcPr>
            <w:tcW w:w="1667" w:type="pct"/>
            <w:tcBorders>
              <w:top w:val="nil"/>
              <w:bottom w:val="nil"/>
            </w:tcBorders>
          </w:tcPr>
          <w:p w:rsidR="00555918" w:rsidRPr="00E400E4" w:rsidRDefault="00555918" w:rsidP="000B1771">
            <w:pPr>
              <w:pStyle w:val="TableText"/>
              <w:jc w:val="right"/>
            </w:pPr>
            <w:r w:rsidRPr="00E400E4">
              <w:t>3</w:t>
            </w:r>
          </w:p>
        </w:tc>
        <w:tc>
          <w:tcPr>
            <w:tcW w:w="1666" w:type="pct"/>
            <w:tcBorders>
              <w:top w:val="nil"/>
              <w:bottom w:val="nil"/>
            </w:tcBorders>
          </w:tcPr>
          <w:p w:rsidR="00555918" w:rsidRPr="00E400E4" w:rsidRDefault="00555918" w:rsidP="000B1771">
            <w:pPr>
              <w:pStyle w:val="TableText"/>
              <w:jc w:val="right"/>
            </w:pPr>
            <w:r w:rsidRPr="00E400E4">
              <w:t>0</w:t>
            </w:r>
          </w:p>
        </w:tc>
      </w:tr>
      <w:tr w:rsidR="00555918" w:rsidRPr="00E400E4" w:rsidTr="000B1771">
        <w:tc>
          <w:tcPr>
            <w:tcW w:w="1667" w:type="pct"/>
          </w:tcPr>
          <w:p w:rsidR="00555918" w:rsidRPr="00E400E4" w:rsidRDefault="00555918" w:rsidP="000B1771">
            <w:pPr>
              <w:pStyle w:val="TableText"/>
              <w:rPr>
                <w:b/>
              </w:rPr>
            </w:pPr>
            <w:r w:rsidRPr="00E400E4">
              <w:rPr>
                <w:b/>
              </w:rPr>
              <w:t>Total</w:t>
            </w:r>
          </w:p>
        </w:tc>
        <w:tc>
          <w:tcPr>
            <w:tcW w:w="1667" w:type="pct"/>
          </w:tcPr>
          <w:p w:rsidR="00555918" w:rsidRPr="00E400E4" w:rsidRDefault="00555918" w:rsidP="000B1771">
            <w:pPr>
              <w:pStyle w:val="TableText"/>
              <w:jc w:val="right"/>
            </w:pPr>
            <w:r w:rsidRPr="00E400E4">
              <w:t>29,319</w:t>
            </w:r>
          </w:p>
        </w:tc>
        <w:tc>
          <w:tcPr>
            <w:tcW w:w="1666" w:type="pct"/>
          </w:tcPr>
          <w:p w:rsidR="00555918" w:rsidRPr="00E400E4" w:rsidRDefault="00555918" w:rsidP="000B1771">
            <w:pPr>
              <w:pStyle w:val="TableText"/>
              <w:jc w:val="right"/>
            </w:pPr>
            <w:r w:rsidRPr="00E400E4">
              <w:t>100</w:t>
            </w:r>
          </w:p>
        </w:tc>
      </w:tr>
    </w:tbl>
    <w:p w:rsidR="00555918" w:rsidRPr="00E400E4" w:rsidRDefault="00555918" w:rsidP="000B1771">
      <w:pPr>
        <w:pStyle w:val="FigureTableNoteSource"/>
      </w:pPr>
      <w:r w:rsidRPr="00E400E4">
        <w:t xml:space="preserve">Source: </w:t>
      </w:r>
      <w:r>
        <w:rPr>
          <w:noProof/>
        </w:rPr>
        <w:t>Gonzalez (2017)</w:t>
      </w:r>
    </w:p>
    <w:p w:rsidR="00555918" w:rsidRPr="00E400E4" w:rsidRDefault="00555918" w:rsidP="000B1771">
      <w:pPr>
        <w:pStyle w:val="Heading4"/>
      </w:pPr>
      <w:r w:rsidRPr="00E400E4">
        <w:t>Export statistics</w:t>
      </w:r>
    </w:p>
    <w:p w:rsidR="00555918" w:rsidRPr="00E400E4" w:rsidRDefault="00555918" w:rsidP="000B1771">
      <w:r w:rsidRPr="00E400E4">
        <w:t xml:space="preserve">Chile’s avocado exports have varied over recent years, from 88,591 tonnes in 2013 to 147,246 tonnes in 2016 </w:t>
      </w:r>
      <w:r>
        <w:rPr>
          <w:noProof/>
        </w:rPr>
        <w:t>(International Trade Centre 2016)</w:t>
      </w:r>
      <w:r w:rsidRPr="00E400E4">
        <w:t xml:space="preserve">. A breakdown of Chile’s avocado exports by destination country from 2013 to 2016 is shown in </w:t>
      </w:r>
      <w:r w:rsidRPr="00E400E4">
        <w:fldChar w:fldCharType="begin"/>
      </w:r>
      <w:r w:rsidRPr="00E400E4">
        <w:instrText xml:space="preserve"> REF _Ref512844735 \h  \* MERGEFORMAT </w:instrText>
      </w:r>
      <w:r w:rsidRPr="00E400E4">
        <w:fldChar w:fldCharType="separate"/>
      </w:r>
      <w:r w:rsidR="006C029B" w:rsidRPr="00E400E4">
        <w:t xml:space="preserve">Table </w:t>
      </w:r>
      <w:r w:rsidR="006C029B">
        <w:rPr>
          <w:noProof/>
        </w:rPr>
        <w:t>3</w:t>
      </w:r>
      <w:r w:rsidR="006C029B" w:rsidRPr="00E400E4">
        <w:rPr>
          <w:noProof/>
        </w:rPr>
        <w:t>.</w:t>
      </w:r>
      <w:r w:rsidR="006C029B">
        <w:rPr>
          <w:noProof/>
        </w:rPr>
        <w:t>3</w:t>
      </w:r>
      <w:r w:rsidRPr="00E400E4">
        <w:fldChar w:fldCharType="end"/>
      </w:r>
      <w:r w:rsidRPr="00E400E4">
        <w:t>.</w:t>
      </w:r>
    </w:p>
    <w:p w:rsidR="00555918" w:rsidRPr="00E400E4" w:rsidRDefault="00555918" w:rsidP="000B1771">
      <w:pPr>
        <w:pStyle w:val="Caption"/>
      </w:pPr>
      <w:bookmarkStart w:id="96" w:name="_Ref512844735"/>
      <w:bookmarkStart w:id="97" w:name="_Toc24702444"/>
      <w:r w:rsidRPr="00E400E4">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3</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3</w:t>
      </w:r>
      <w:r w:rsidRPr="00E400E4">
        <w:rPr>
          <w:noProof/>
        </w:rPr>
        <w:fldChar w:fldCharType="end"/>
      </w:r>
      <w:bookmarkEnd w:id="96"/>
      <w:r w:rsidRPr="00E400E4">
        <w:t xml:space="preserve"> Export volumes of avocados from Chile to the top 10 markets from 2013 to 2016</w:t>
      </w:r>
      <w:bookmarkEnd w:id="9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3"/>
        <w:gridCol w:w="1662"/>
        <w:gridCol w:w="1662"/>
        <w:gridCol w:w="1765"/>
        <w:gridCol w:w="1698"/>
      </w:tblGrid>
      <w:tr w:rsidR="00555918" w:rsidRPr="00E400E4" w:rsidTr="000B1771">
        <w:trPr>
          <w:tblHeader/>
        </w:trPr>
        <w:tc>
          <w:tcPr>
            <w:tcW w:w="1259" w:type="pct"/>
            <w:tcBorders>
              <w:bottom w:val="single" w:sz="4" w:space="0" w:color="D9D9D9" w:themeColor="background1" w:themeShade="D9"/>
            </w:tcBorders>
          </w:tcPr>
          <w:p w:rsidR="00555918" w:rsidRPr="00E400E4" w:rsidRDefault="00555918" w:rsidP="000B1771">
            <w:pPr>
              <w:pStyle w:val="TableHeading"/>
            </w:pPr>
            <w:r w:rsidRPr="00E400E4">
              <w:t>Destination</w:t>
            </w:r>
          </w:p>
        </w:tc>
        <w:tc>
          <w:tcPr>
            <w:tcW w:w="916" w:type="pct"/>
            <w:tcBorders>
              <w:bottom w:val="single" w:sz="4" w:space="0" w:color="D9D9D9" w:themeColor="background1" w:themeShade="D9"/>
            </w:tcBorders>
          </w:tcPr>
          <w:p w:rsidR="00555918" w:rsidRPr="00E400E4" w:rsidRDefault="00555918" w:rsidP="000B1771">
            <w:pPr>
              <w:pStyle w:val="TableHeading"/>
              <w:jc w:val="right"/>
            </w:pPr>
            <w:r w:rsidRPr="00E400E4">
              <w:t>Volume (tonnes)</w:t>
            </w:r>
            <w:r w:rsidRPr="00E400E4">
              <w:br/>
              <w:t>2013</w:t>
            </w:r>
          </w:p>
        </w:tc>
        <w:tc>
          <w:tcPr>
            <w:tcW w:w="916" w:type="pct"/>
            <w:tcBorders>
              <w:bottom w:val="single" w:sz="4" w:space="0" w:color="D9D9D9" w:themeColor="background1" w:themeShade="D9"/>
            </w:tcBorders>
          </w:tcPr>
          <w:p w:rsidR="00555918" w:rsidRPr="00E400E4" w:rsidRDefault="00555918" w:rsidP="000B1771">
            <w:pPr>
              <w:pStyle w:val="TableHeading"/>
              <w:jc w:val="right"/>
            </w:pPr>
            <w:r w:rsidRPr="00E400E4">
              <w:t>Volume (tonnes)</w:t>
            </w:r>
            <w:r w:rsidRPr="00E400E4">
              <w:br/>
              <w:t>2014</w:t>
            </w:r>
          </w:p>
        </w:tc>
        <w:tc>
          <w:tcPr>
            <w:tcW w:w="973" w:type="pct"/>
            <w:tcBorders>
              <w:bottom w:val="single" w:sz="4" w:space="0" w:color="D9D9D9" w:themeColor="background1" w:themeShade="D9"/>
            </w:tcBorders>
          </w:tcPr>
          <w:p w:rsidR="00555918" w:rsidRPr="00E400E4" w:rsidRDefault="00555918" w:rsidP="000B1771">
            <w:pPr>
              <w:pStyle w:val="TableHeading"/>
              <w:jc w:val="right"/>
            </w:pPr>
            <w:r w:rsidRPr="00E400E4">
              <w:t>Volume (tonnes)</w:t>
            </w:r>
            <w:r w:rsidRPr="00E400E4">
              <w:br/>
              <w:t>2015</w:t>
            </w:r>
          </w:p>
        </w:tc>
        <w:tc>
          <w:tcPr>
            <w:tcW w:w="936" w:type="pct"/>
            <w:tcBorders>
              <w:bottom w:val="single" w:sz="4" w:space="0" w:color="D9D9D9" w:themeColor="background1" w:themeShade="D9"/>
            </w:tcBorders>
          </w:tcPr>
          <w:p w:rsidR="00555918" w:rsidRPr="00E400E4" w:rsidRDefault="00555918" w:rsidP="000B1771">
            <w:pPr>
              <w:pStyle w:val="TableHeading"/>
              <w:jc w:val="right"/>
            </w:pPr>
            <w:r w:rsidRPr="00E400E4">
              <w:t>Volume (tonnes)</w:t>
            </w:r>
            <w:r w:rsidRPr="00E400E4">
              <w:br/>
              <w:t>2016</w:t>
            </w:r>
          </w:p>
        </w:tc>
      </w:tr>
      <w:tr w:rsidR="00555918" w:rsidRPr="00E400E4" w:rsidTr="000B1771">
        <w:tc>
          <w:tcPr>
            <w:tcW w:w="1259" w:type="pct"/>
            <w:tcBorders>
              <w:top w:val="single" w:sz="4" w:space="0" w:color="D9D9D9" w:themeColor="background1" w:themeShade="D9"/>
            </w:tcBorders>
          </w:tcPr>
          <w:p w:rsidR="00555918" w:rsidRPr="00E400E4" w:rsidRDefault="00555918" w:rsidP="000B1771">
            <w:pPr>
              <w:pStyle w:val="TableText"/>
            </w:pPr>
            <w:r w:rsidRPr="00E400E4">
              <w:t>Netherlands</w:t>
            </w:r>
          </w:p>
        </w:tc>
        <w:tc>
          <w:tcPr>
            <w:tcW w:w="916" w:type="pct"/>
            <w:tcBorders>
              <w:top w:val="single" w:sz="4" w:space="0" w:color="D9D9D9" w:themeColor="background1" w:themeShade="D9"/>
            </w:tcBorders>
          </w:tcPr>
          <w:p w:rsidR="00555918" w:rsidRPr="00E400E4" w:rsidRDefault="00555918" w:rsidP="000B1771">
            <w:pPr>
              <w:pStyle w:val="TableText"/>
              <w:jc w:val="right"/>
            </w:pPr>
            <w:r w:rsidRPr="00E400E4">
              <w:t>37,694</w:t>
            </w:r>
          </w:p>
        </w:tc>
        <w:tc>
          <w:tcPr>
            <w:tcW w:w="916" w:type="pct"/>
            <w:tcBorders>
              <w:top w:val="single" w:sz="4" w:space="0" w:color="D9D9D9" w:themeColor="background1" w:themeShade="D9"/>
            </w:tcBorders>
          </w:tcPr>
          <w:p w:rsidR="00555918" w:rsidRPr="00E400E4" w:rsidRDefault="00555918" w:rsidP="000B1771">
            <w:pPr>
              <w:pStyle w:val="TableText"/>
              <w:jc w:val="right"/>
            </w:pPr>
            <w:r w:rsidRPr="00E400E4">
              <w:t>42,101</w:t>
            </w:r>
          </w:p>
        </w:tc>
        <w:tc>
          <w:tcPr>
            <w:tcW w:w="973" w:type="pct"/>
            <w:tcBorders>
              <w:top w:val="single" w:sz="4" w:space="0" w:color="D9D9D9" w:themeColor="background1" w:themeShade="D9"/>
            </w:tcBorders>
          </w:tcPr>
          <w:p w:rsidR="00555918" w:rsidRPr="00E400E4" w:rsidRDefault="00555918" w:rsidP="000B1771">
            <w:pPr>
              <w:pStyle w:val="TableText"/>
              <w:jc w:val="right"/>
            </w:pPr>
            <w:r w:rsidRPr="00E400E4">
              <w:t>42,005</w:t>
            </w:r>
          </w:p>
        </w:tc>
        <w:tc>
          <w:tcPr>
            <w:tcW w:w="936" w:type="pct"/>
            <w:tcBorders>
              <w:top w:val="single" w:sz="4" w:space="0" w:color="D9D9D9" w:themeColor="background1" w:themeShade="D9"/>
            </w:tcBorders>
          </w:tcPr>
          <w:p w:rsidR="00555918" w:rsidRPr="00E400E4" w:rsidRDefault="00555918" w:rsidP="000B1771">
            <w:pPr>
              <w:pStyle w:val="TableText"/>
              <w:jc w:val="right"/>
            </w:pPr>
            <w:r w:rsidRPr="00E400E4">
              <w:t>57,733</w:t>
            </w:r>
          </w:p>
        </w:tc>
      </w:tr>
      <w:tr w:rsidR="00555918" w:rsidRPr="00E400E4" w:rsidTr="000B1771">
        <w:tc>
          <w:tcPr>
            <w:tcW w:w="1259" w:type="pct"/>
          </w:tcPr>
          <w:p w:rsidR="00555918" w:rsidRPr="00E400E4" w:rsidRDefault="00555918" w:rsidP="000B1771">
            <w:pPr>
              <w:pStyle w:val="TableText"/>
            </w:pPr>
            <w:r w:rsidRPr="00E400E4">
              <w:t>United States</w:t>
            </w:r>
          </w:p>
        </w:tc>
        <w:tc>
          <w:tcPr>
            <w:tcW w:w="916" w:type="pct"/>
          </w:tcPr>
          <w:p w:rsidR="00555918" w:rsidRPr="00E400E4" w:rsidRDefault="00555918" w:rsidP="000B1771">
            <w:pPr>
              <w:pStyle w:val="TableText"/>
              <w:jc w:val="right"/>
            </w:pPr>
            <w:r w:rsidRPr="00E400E4">
              <w:t>24,431</w:t>
            </w:r>
          </w:p>
        </w:tc>
        <w:tc>
          <w:tcPr>
            <w:tcW w:w="916" w:type="pct"/>
          </w:tcPr>
          <w:p w:rsidR="00555918" w:rsidRPr="00E400E4" w:rsidRDefault="00555918" w:rsidP="000B1771">
            <w:pPr>
              <w:pStyle w:val="TableText"/>
              <w:jc w:val="right"/>
            </w:pPr>
            <w:r w:rsidRPr="00E400E4">
              <w:t>41,466</w:t>
            </w:r>
          </w:p>
        </w:tc>
        <w:tc>
          <w:tcPr>
            <w:tcW w:w="973" w:type="pct"/>
          </w:tcPr>
          <w:p w:rsidR="00555918" w:rsidRPr="00E400E4" w:rsidRDefault="00555918" w:rsidP="000B1771">
            <w:pPr>
              <w:pStyle w:val="TableText"/>
              <w:jc w:val="right"/>
            </w:pPr>
            <w:r w:rsidRPr="00E400E4">
              <w:t>10,295</w:t>
            </w:r>
          </w:p>
        </w:tc>
        <w:tc>
          <w:tcPr>
            <w:tcW w:w="936" w:type="pct"/>
          </w:tcPr>
          <w:p w:rsidR="00555918" w:rsidRPr="00E400E4" w:rsidRDefault="00555918" w:rsidP="000B1771">
            <w:pPr>
              <w:pStyle w:val="TableText"/>
              <w:jc w:val="right"/>
            </w:pPr>
            <w:r w:rsidRPr="00E400E4">
              <w:t>26,348</w:t>
            </w:r>
          </w:p>
        </w:tc>
      </w:tr>
      <w:tr w:rsidR="00555918" w:rsidRPr="00E400E4" w:rsidTr="000B1771">
        <w:tc>
          <w:tcPr>
            <w:tcW w:w="1259" w:type="pct"/>
          </w:tcPr>
          <w:p w:rsidR="00555918" w:rsidRPr="00E400E4" w:rsidRDefault="00555918" w:rsidP="000B1771">
            <w:pPr>
              <w:pStyle w:val="TableText"/>
            </w:pPr>
            <w:r w:rsidRPr="00E400E4">
              <w:t>United Kingdom</w:t>
            </w:r>
          </w:p>
        </w:tc>
        <w:tc>
          <w:tcPr>
            <w:tcW w:w="916" w:type="pct"/>
          </w:tcPr>
          <w:p w:rsidR="00555918" w:rsidRPr="00E400E4" w:rsidRDefault="00555918" w:rsidP="000B1771">
            <w:pPr>
              <w:pStyle w:val="TableText"/>
              <w:jc w:val="right"/>
            </w:pPr>
            <w:r w:rsidRPr="00E400E4">
              <w:t>7,650</w:t>
            </w:r>
          </w:p>
        </w:tc>
        <w:tc>
          <w:tcPr>
            <w:tcW w:w="916" w:type="pct"/>
          </w:tcPr>
          <w:p w:rsidR="00555918" w:rsidRPr="00E400E4" w:rsidRDefault="00555918" w:rsidP="000B1771">
            <w:pPr>
              <w:pStyle w:val="TableText"/>
              <w:jc w:val="right"/>
            </w:pPr>
            <w:r w:rsidRPr="00E400E4">
              <w:t>6,840</w:t>
            </w:r>
          </w:p>
        </w:tc>
        <w:tc>
          <w:tcPr>
            <w:tcW w:w="973" w:type="pct"/>
          </w:tcPr>
          <w:p w:rsidR="00555918" w:rsidRPr="00E400E4" w:rsidRDefault="00555918" w:rsidP="000B1771">
            <w:pPr>
              <w:pStyle w:val="TableText"/>
              <w:jc w:val="right"/>
            </w:pPr>
            <w:r w:rsidRPr="00E400E4">
              <w:t>14,555</w:t>
            </w:r>
          </w:p>
        </w:tc>
        <w:tc>
          <w:tcPr>
            <w:tcW w:w="936" w:type="pct"/>
          </w:tcPr>
          <w:p w:rsidR="00555918" w:rsidRPr="00E400E4" w:rsidRDefault="00555918" w:rsidP="000B1771">
            <w:pPr>
              <w:pStyle w:val="TableText"/>
              <w:jc w:val="right"/>
            </w:pPr>
            <w:r w:rsidRPr="00E400E4">
              <w:t>17,910</w:t>
            </w:r>
          </w:p>
        </w:tc>
      </w:tr>
      <w:tr w:rsidR="00555918" w:rsidRPr="00E400E4" w:rsidTr="000B1771">
        <w:tc>
          <w:tcPr>
            <w:tcW w:w="1259" w:type="pct"/>
          </w:tcPr>
          <w:p w:rsidR="00555918" w:rsidRPr="00E400E4" w:rsidRDefault="00555918" w:rsidP="000B1771">
            <w:pPr>
              <w:pStyle w:val="TableText"/>
            </w:pPr>
            <w:r w:rsidRPr="00E400E4">
              <w:t>Argentina</w:t>
            </w:r>
          </w:p>
        </w:tc>
        <w:tc>
          <w:tcPr>
            <w:tcW w:w="916" w:type="pct"/>
          </w:tcPr>
          <w:p w:rsidR="00555918" w:rsidRPr="00E400E4" w:rsidRDefault="00555918" w:rsidP="000B1771">
            <w:pPr>
              <w:pStyle w:val="TableText"/>
              <w:jc w:val="right"/>
            </w:pPr>
            <w:r w:rsidRPr="00E400E4">
              <w:t>9,253</w:t>
            </w:r>
          </w:p>
        </w:tc>
        <w:tc>
          <w:tcPr>
            <w:tcW w:w="916" w:type="pct"/>
          </w:tcPr>
          <w:p w:rsidR="00555918" w:rsidRPr="00E400E4" w:rsidRDefault="00555918" w:rsidP="000B1771">
            <w:pPr>
              <w:pStyle w:val="TableText"/>
              <w:jc w:val="right"/>
            </w:pPr>
            <w:r w:rsidRPr="00E400E4">
              <w:t>13,404</w:t>
            </w:r>
          </w:p>
        </w:tc>
        <w:tc>
          <w:tcPr>
            <w:tcW w:w="973" w:type="pct"/>
          </w:tcPr>
          <w:p w:rsidR="00555918" w:rsidRPr="00E400E4" w:rsidRDefault="00555918" w:rsidP="000B1771">
            <w:pPr>
              <w:pStyle w:val="TableText"/>
              <w:jc w:val="right"/>
            </w:pPr>
            <w:r w:rsidRPr="00E400E4">
              <w:t>10,688</w:t>
            </w:r>
          </w:p>
        </w:tc>
        <w:tc>
          <w:tcPr>
            <w:tcW w:w="936" w:type="pct"/>
          </w:tcPr>
          <w:p w:rsidR="00555918" w:rsidRPr="00E400E4" w:rsidRDefault="00555918" w:rsidP="000B1771">
            <w:pPr>
              <w:pStyle w:val="TableText"/>
              <w:jc w:val="right"/>
            </w:pPr>
            <w:r w:rsidRPr="00E400E4">
              <w:t>12,498</w:t>
            </w:r>
          </w:p>
        </w:tc>
      </w:tr>
      <w:tr w:rsidR="00555918" w:rsidRPr="00E400E4" w:rsidTr="000B1771">
        <w:tc>
          <w:tcPr>
            <w:tcW w:w="1259" w:type="pct"/>
          </w:tcPr>
          <w:p w:rsidR="00555918" w:rsidRPr="00E400E4" w:rsidRDefault="00555918" w:rsidP="000B1771">
            <w:pPr>
              <w:pStyle w:val="TableText"/>
            </w:pPr>
            <w:r w:rsidRPr="00E400E4">
              <w:t>China</w:t>
            </w:r>
          </w:p>
        </w:tc>
        <w:tc>
          <w:tcPr>
            <w:tcW w:w="916" w:type="pct"/>
          </w:tcPr>
          <w:p w:rsidR="00555918" w:rsidRPr="00E400E4" w:rsidRDefault="00555918" w:rsidP="000B1771">
            <w:pPr>
              <w:pStyle w:val="TableText"/>
              <w:jc w:val="right"/>
            </w:pPr>
            <w:r w:rsidRPr="00E400E4">
              <w:t>0</w:t>
            </w:r>
          </w:p>
        </w:tc>
        <w:tc>
          <w:tcPr>
            <w:tcW w:w="916" w:type="pct"/>
          </w:tcPr>
          <w:p w:rsidR="00555918" w:rsidRPr="00E400E4" w:rsidRDefault="00555918" w:rsidP="000B1771">
            <w:pPr>
              <w:pStyle w:val="TableText"/>
              <w:jc w:val="right"/>
            </w:pPr>
            <w:r w:rsidRPr="00E400E4">
              <w:t>21</w:t>
            </w:r>
          </w:p>
        </w:tc>
        <w:tc>
          <w:tcPr>
            <w:tcW w:w="973" w:type="pct"/>
          </w:tcPr>
          <w:p w:rsidR="00555918" w:rsidRPr="00E400E4" w:rsidRDefault="00555918" w:rsidP="000B1771">
            <w:pPr>
              <w:pStyle w:val="TableText"/>
              <w:jc w:val="right"/>
            </w:pPr>
            <w:r w:rsidRPr="00E400E4">
              <w:t>2,716</w:t>
            </w:r>
          </w:p>
        </w:tc>
        <w:tc>
          <w:tcPr>
            <w:tcW w:w="936" w:type="pct"/>
          </w:tcPr>
          <w:p w:rsidR="00555918" w:rsidRPr="00E400E4" w:rsidRDefault="00555918" w:rsidP="000B1771">
            <w:pPr>
              <w:pStyle w:val="TableText"/>
              <w:jc w:val="right"/>
            </w:pPr>
            <w:r w:rsidRPr="00E400E4">
              <w:t>11,597</w:t>
            </w:r>
          </w:p>
        </w:tc>
      </w:tr>
      <w:tr w:rsidR="00555918" w:rsidRPr="00E400E4" w:rsidTr="000B1771">
        <w:tc>
          <w:tcPr>
            <w:tcW w:w="1259" w:type="pct"/>
          </w:tcPr>
          <w:p w:rsidR="00555918" w:rsidRPr="00E400E4" w:rsidRDefault="00555918" w:rsidP="000B1771">
            <w:pPr>
              <w:pStyle w:val="TableText"/>
            </w:pPr>
            <w:r w:rsidRPr="00E400E4">
              <w:t>Spain</w:t>
            </w:r>
          </w:p>
        </w:tc>
        <w:tc>
          <w:tcPr>
            <w:tcW w:w="916" w:type="pct"/>
          </w:tcPr>
          <w:p w:rsidR="00555918" w:rsidRPr="00E400E4" w:rsidRDefault="00555918" w:rsidP="000B1771">
            <w:pPr>
              <w:pStyle w:val="TableText"/>
              <w:jc w:val="right"/>
            </w:pPr>
            <w:r w:rsidRPr="00E400E4">
              <w:t>4,730</w:t>
            </w:r>
          </w:p>
        </w:tc>
        <w:tc>
          <w:tcPr>
            <w:tcW w:w="916" w:type="pct"/>
          </w:tcPr>
          <w:p w:rsidR="00555918" w:rsidRPr="00E400E4" w:rsidRDefault="00555918" w:rsidP="000B1771">
            <w:pPr>
              <w:pStyle w:val="TableText"/>
              <w:jc w:val="right"/>
            </w:pPr>
            <w:r w:rsidRPr="00E400E4">
              <w:t>3,539</w:t>
            </w:r>
          </w:p>
        </w:tc>
        <w:tc>
          <w:tcPr>
            <w:tcW w:w="973" w:type="pct"/>
          </w:tcPr>
          <w:p w:rsidR="00555918" w:rsidRPr="00E400E4" w:rsidRDefault="00555918" w:rsidP="000B1771">
            <w:pPr>
              <w:pStyle w:val="TableText"/>
              <w:jc w:val="right"/>
            </w:pPr>
            <w:r w:rsidRPr="00E400E4">
              <w:t>4,935</w:t>
            </w:r>
          </w:p>
        </w:tc>
        <w:tc>
          <w:tcPr>
            <w:tcW w:w="936" w:type="pct"/>
          </w:tcPr>
          <w:p w:rsidR="00555918" w:rsidRPr="00E400E4" w:rsidRDefault="00555918" w:rsidP="000B1771">
            <w:pPr>
              <w:pStyle w:val="TableText"/>
              <w:jc w:val="right"/>
            </w:pPr>
            <w:r w:rsidRPr="00E400E4">
              <w:t>8,121</w:t>
            </w:r>
          </w:p>
        </w:tc>
      </w:tr>
      <w:tr w:rsidR="00555918" w:rsidRPr="00E400E4" w:rsidTr="000B1771">
        <w:tc>
          <w:tcPr>
            <w:tcW w:w="1259" w:type="pct"/>
          </w:tcPr>
          <w:p w:rsidR="00555918" w:rsidRPr="00E400E4" w:rsidRDefault="00555918" w:rsidP="000B1771">
            <w:pPr>
              <w:pStyle w:val="TableText"/>
            </w:pPr>
            <w:r w:rsidRPr="00E400E4">
              <w:t>Costa Rica</w:t>
            </w:r>
          </w:p>
        </w:tc>
        <w:tc>
          <w:tcPr>
            <w:tcW w:w="916" w:type="pct"/>
          </w:tcPr>
          <w:p w:rsidR="00555918" w:rsidRPr="00E400E4" w:rsidRDefault="00555918" w:rsidP="000B1771">
            <w:pPr>
              <w:pStyle w:val="TableText"/>
              <w:jc w:val="right"/>
            </w:pPr>
            <w:r w:rsidRPr="00E400E4">
              <w:t>0</w:t>
            </w:r>
          </w:p>
        </w:tc>
        <w:tc>
          <w:tcPr>
            <w:tcW w:w="916" w:type="pct"/>
          </w:tcPr>
          <w:p w:rsidR="00555918" w:rsidRPr="00E400E4" w:rsidRDefault="00555918" w:rsidP="000B1771">
            <w:pPr>
              <w:pStyle w:val="TableText"/>
              <w:jc w:val="right"/>
            </w:pPr>
            <w:r w:rsidRPr="00E400E4">
              <w:t>0</w:t>
            </w:r>
          </w:p>
        </w:tc>
        <w:tc>
          <w:tcPr>
            <w:tcW w:w="973" w:type="pct"/>
          </w:tcPr>
          <w:p w:rsidR="00555918" w:rsidRPr="00E400E4" w:rsidRDefault="00555918" w:rsidP="000B1771">
            <w:pPr>
              <w:pStyle w:val="TableText"/>
              <w:jc w:val="right"/>
            </w:pPr>
            <w:r w:rsidRPr="00E400E4">
              <w:t>1,547</w:t>
            </w:r>
          </w:p>
        </w:tc>
        <w:tc>
          <w:tcPr>
            <w:tcW w:w="936" w:type="pct"/>
          </w:tcPr>
          <w:p w:rsidR="00555918" w:rsidRPr="00E400E4" w:rsidRDefault="00555918" w:rsidP="000B1771">
            <w:pPr>
              <w:pStyle w:val="TableText"/>
              <w:jc w:val="right"/>
            </w:pPr>
            <w:r w:rsidRPr="00E400E4">
              <w:t>3,445</w:t>
            </w:r>
          </w:p>
        </w:tc>
      </w:tr>
      <w:tr w:rsidR="00555918" w:rsidRPr="00E400E4" w:rsidTr="000B1771">
        <w:tc>
          <w:tcPr>
            <w:tcW w:w="1259" w:type="pct"/>
          </w:tcPr>
          <w:p w:rsidR="00555918" w:rsidRPr="00E400E4" w:rsidRDefault="00555918" w:rsidP="000B1771">
            <w:pPr>
              <w:pStyle w:val="TableText"/>
            </w:pPr>
            <w:r w:rsidRPr="00E400E4">
              <w:t>France</w:t>
            </w:r>
          </w:p>
        </w:tc>
        <w:tc>
          <w:tcPr>
            <w:tcW w:w="916" w:type="pct"/>
          </w:tcPr>
          <w:p w:rsidR="00555918" w:rsidRPr="00E400E4" w:rsidRDefault="00555918" w:rsidP="000B1771">
            <w:pPr>
              <w:pStyle w:val="TableText"/>
              <w:jc w:val="right"/>
            </w:pPr>
            <w:r w:rsidRPr="00E400E4">
              <w:t>2,168</w:t>
            </w:r>
          </w:p>
        </w:tc>
        <w:tc>
          <w:tcPr>
            <w:tcW w:w="916" w:type="pct"/>
          </w:tcPr>
          <w:p w:rsidR="00555918" w:rsidRPr="00E400E4" w:rsidRDefault="00555918" w:rsidP="000B1771">
            <w:pPr>
              <w:pStyle w:val="TableText"/>
              <w:jc w:val="right"/>
            </w:pPr>
            <w:r w:rsidRPr="00E400E4">
              <w:t>1,389</w:t>
            </w:r>
          </w:p>
        </w:tc>
        <w:tc>
          <w:tcPr>
            <w:tcW w:w="973" w:type="pct"/>
          </w:tcPr>
          <w:p w:rsidR="00555918" w:rsidRPr="00E400E4" w:rsidRDefault="00555918" w:rsidP="000B1771">
            <w:pPr>
              <w:pStyle w:val="TableText"/>
              <w:jc w:val="right"/>
            </w:pPr>
            <w:r w:rsidRPr="00E400E4">
              <w:t>1,487</w:t>
            </w:r>
          </w:p>
        </w:tc>
        <w:tc>
          <w:tcPr>
            <w:tcW w:w="936" w:type="pct"/>
          </w:tcPr>
          <w:p w:rsidR="00555918" w:rsidRPr="00E400E4" w:rsidRDefault="00555918" w:rsidP="000B1771">
            <w:pPr>
              <w:pStyle w:val="TableText"/>
              <w:jc w:val="right"/>
            </w:pPr>
            <w:r w:rsidRPr="00E400E4">
              <w:t>3,379</w:t>
            </w:r>
          </w:p>
        </w:tc>
      </w:tr>
      <w:tr w:rsidR="00555918" w:rsidRPr="00E400E4" w:rsidTr="000B1771">
        <w:tc>
          <w:tcPr>
            <w:tcW w:w="1259" w:type="pct"/>
          </w:tcPr>
          <w:p w:rsidR="00555918" w:rsidRPr="00E400E4" w:rsidRDefault="00555918" w:rsidP="000B1771">
            <w:pPr>
              <w:pStyle w:val="TableText"/>
            </w:pPr>
            <w:r w:rsidRPr="00E400E4">
              <w:lastRenderedPageBreak/>
              <w:t>Germany</w:t>
            </w:r>
          </w:p>
        </w:tc>
        <w:tc>
          <w:tcPr>
            <w:tcW w:w="916" w:type="pct"/>
          </w:tcPr>
          <w:p w:rsidR="00555918" w:rsidRPr="00E400E4" w:rsidRDefault="00555918" w:rsidP="000B1771">
            <w:pPr>
              <w:pStyle w:val="TableText"/>
              <w:jc w:val="right"/>
            </w:pPr>
            <w:r w:rsidRPr="00E400E4">
              <w:t>0</w:t>
            </w:r>
          </w:p>
        </w:tc>
        <w:tc>
          <w:tcPr>
            <w:tcW w:w="916" w:type="pct"/>
          </w:tcPr>
          <w:p w:rsidR="00555918" w:rsidRPr="00E400E4" w:rsidRDefault="00555918" w:rsidP="000B1771">
            <w:pPr>
              <w:pStyle w:val="TableText"/>
              <w:jc w:val="right"/>
            </w:pPr>
            <w:r w:rsidRPr="00E400E4">
              <w:t>0</w:t>
            </w:r>
          </w:p>
        </w:tc>
        <w:tc>
          <w:tcPr>
            <w:tcW w:w="973" w:type="pct"/>
          </w:tcPr>
          <w:p w:rsidR="00555918" w:rsidRPr="00E400E4" w:rsidRDefault="00555918" w:rsidP="000B1771">
            <w:pPr>
              <w:pStyle w:val="TableText"/>
              <w:jc w:val="right"/>
            </w:pPr>
            <w:r w:rsidRPr="00E400E4">
              <w:t>0</w:t>
            </w:r>
          </w:p>
        </w:tc>
        <w:tc>
          <w:tcPr>
            <w:tcW w:w="936" w:type="pct"/>
          </w:tcPr>
          <w:p w:rsidR="00555918" w:rsidRPr="00E400E4" w:rsidRDefault="00555918" w:rsidP="000B1771">
            <w:pPr>
              <w:pStyle w:val="TableText"/>
              <w:jc w:val="right"/>
            </w:pPr>
            <w:r w:rsidRPr="00E400E4">
              <w:t>2,258</w:t>
            </w:r>
          </w:p>
        </w:tc>
      </w:tr>
      <w:tr w:rsidR="00555918" w:rsidRPr="00E400E4" w:rsidTr="000B1771">
        <w:tc>
          <w:tcPr>
            <w:tcW w:w="1259" w:type="pct"/>
          </w:tcPr>
          <w:p w:rsidR="00555918" w:rsidRPr="00E400E4" w:rsidRDefault="00555918" w:rsidP="000B1771">
            <w:pPr>
              <w:pStyle w:val="TableText"/>
            </w:pPr>
            <w:r w:rsidRPr="00E400E4">
              <w:t>Switzerland</w:t>
            </w:r>
          </w:p>
        </w:tc>
        <w:tc>
          <w:tcPr>
            <w:tcW w:w="916" w:type="pct"/>
          </w:tcPr>
          <w:p w:rsidR="00555918" w:rsidRPr="00E400E4" w:rsidRDefault="00555918" w:rsidP="000B1771">
            <w:pPr>
              <w:pStyle w:val="TableText"/>
              <w:jc w:val="right"/>
            </w:pPr>
            <w:r w:rsidRPr="00E400E4">
              <w:t>177</w:t>
            </w:r>
          </w:p>
        </w:tc>
        <w:tc>
          <w:tcPr>
            <w:tcW w:w="916" w:type="pct"/>
          </w:tcPr>
          <w:p w:rsidR="00555918" w:rsidRPr="00E400E4" w:rsidRDefault="00555918" w:rsidP="000B1771">
            <w:pPr>
              <w:pStyle w:val="TableText"/>
              <w:jc w:val="right"/>
            </w:pPr>
            <w:r w:rsidRPr="00E400E4">
              <w:t>110</w:t>
            </w:r>
          </w:p>
        </w:tc>
        <w:tc>
          <w:tcPr>
            <w:tcW w:w="973" w:type="pct"/>
          </w:tcPr>
          <w:p w:rsidR="00555918" w:rsidRPr="00E400E4" w:rsidRDefault="00555918" w:rsidP="000B1771">
            <w:pPr>
              <w:pStyle w:val="TableText"/>
              <w:jc w:val="right"/>
            </w:pPr>
            <w:r w:rsidRPr="00E400E4">
              <w:t>331</w:t>
            </w:r>
          </w:p>
        </w:tc>
        <w:tc>
          <w:tcPr>
            <w:tcW w:w="936" w:type="pct"/>
          </w:tcPr>
          <w:p w:rsidR="00555918" w:rsidRPr="00E400E4" w:rsidRDefault="00555918" w:rsidP="000B1771">
            <w:pPr>
              <w:pStyle w:val="TableText"/>
              <w:jc w:val="right"/>
            </w:pPr>
            <w:r w:rsidRPr="00E400E4">
              <w:t>1,571</w:t>
            </w:r>
          </w:p>
        </w:tc>
      </w:tr>
      <w:tr w:rsidR="00555918" w:rsidRPr="00E400E4" w:rsidTr="000B1771">
        <w:tc>
          <w:tcPr>
            <w:tcW w:w="1259" w:type="pct"/>
          </w:tcPr>
          <w:p w:rsidR="00555918" w:rsidRPr="00E400E4" w:rsidRDefault="00555918" w:rsidP="000B1771">
            <w:pPr>
              <w:pStyle w:val="TableText"/>
            </w:pPr>
            <w:r w:rsidRPr="00E400E4">
              <w:t>Total for all export markets</w:t>
            </w:r>
          </w:p>
        </w:tc>
        <w:tc>
          <w:tcPr>
            <w:tcW w:w="916" w:type="pct"/>
          </w:tcPr>
          <w:p w:rsidR="00555918" w:rsidRPr="00E400E4" w:rsidRDefault="00555918" w:rsidP="000B1771">
            <w:pPr>
              <w:pStyle w:val="TableText"/>
              <w:jc w:val="right"/>
            </w:pPr>
            <w:r w:rsidRPr="00E400E4">
              <w:t>88,591</w:t>
            </w:r>
          </w:p>
        </w:tc>
        <w:tc>
          <w:tcPr>
            <w:tcW w:w="916" w:type="pct"/>
          </w:tcPr>
          <w:p w:rsidR="00555918" w:rsidRPr="00E400E4" w:rsidRDefault="00555918" w:rsidP="000B1771">
            <w:pPr>
              <w:pStyle w:val="TableText"/>
              <w:jc w:val="right"/>
            </w:pPr>
            <w:r w:rsidRPr="00E400E4">
              <w:t>111,803</w:t>
            </w:r>
          </w:p>
        </w:tc>
        <w:tc>
          <w:tcPr>
            <w:tcW w:w="973" w:type="pct"/>
          </w:tcPr>
          <w:p w:rsidR="00555918" w:rsidRPr="00E400E4" w:rsidRDefault="00555918" w:rsidP="000B1771">
            <w:pPr>
              <w:pStyle w:val="TableText"/>
              <w:jc w:val="right"/>
            </w:pPr>
            <w:r w:rsidRPr="00E400E4">
              <w:t>90,174</w:t>
            </w:r>
          </w:p>
        </w:tc>
        <w:tc>
          <w:tcPr>
            <w:tcW w:w="936" w:type="pct"/>
          </w:tcPr>
          <w:p w:rsidR="00555918" w:rsidRPr="00E400E4" w:rsidRDefault="00555918" w:rsidP="000B1771">
            <w:pPr>
              <w:pStyle w:val="TableText"/>
              <w:jc w:val="right"/>
            </w:pPr>
            <w:r w:rsidRPr="00E400E4">
              <w:t>147,246</w:t>
            </w:r>
          </w:p>
        </w:tc>
      </w:tr>
    </w:tbl>
    <w:p w:rsidR="00555918" w:rsidRPr="00E400E4" w:rsidRDefault="00555918" w:rsidP="000B1771">
      <w:pPr>
        <w:pStyle w:val="FigureTableNoteSource"/>
      </w:pPr>
      <w:r w:rsidRPr="00E400E4">
        <w:t xml:space="preserve">Source: ITC calculations based on UN COMTRADE statistics </w:t>
      </w:r>
      <w:r>
        <w:rPr>
          <w:noProof/>
        </w:rPr>
        <w:t>(International Trade Centre 2016)</w:t>
      </w:r>
    </w:p>
    <w:p w:rsidR="00555918" w:rsidRPr="00E400E4" w:rsidRDefault="00555918" w:rsidP="000B1771">
      <w:pPr>
        <w:pStyle w:val="Heading4"/>
      </w:pPr>
      <w:r w:rsidRPr="00E400E4">
        <w:t>Export season</w:t>
      </w:r>
    </w:p>
    <w:p w:rsidR="00555918" w:rsidRPr="00E400E4" w:rsidRDefault="00555918" w:rsidP="000B1771">
      <w:r w:rsidRPr="00E400E4">
        <w:t xml:space="preserve">Chile’s avocado export season is generally from September to March </w:t>
      </w:r>
      <w:r>
        <w:rPr>
          <w:noProof/>
        </w:rPr>
        <w:t>(Gonzalez 2016)</w:t>
      </w:r>
      <w:r w:rsidRPr="00E400E4">
        <w:t xml:space="preserve">. Chile’s export volumes of avocado per month from 2013 to 2016 are shown in </w:t>
      </w:r>
      <w:r w:rsidRPr="00E400E4">
        <w:fldChar w:fldCharType="begin"/>
      </w:r>
      <w:r w:rsidRPr="00E400E4">
        <w:instrText xml:space="preserve"> REF _Ref512846385 \h  \* MERGEFORMAT </w:instrText>
      </w:r>
      <w:r w:rsidRPr="00E400E4">
        <w:fldChar w:fldCharType="separate"/>
      </w:r>
      <w:r w:rsidR="006C029B" w:rsidRPr="00E400E4">
        <w:t xml:space="preserve">Figure </w:t>
      </w:r>
      <w:r w:rsidR="006C029B">
        <w:rPr>
          <w:noProof/>
        </w:rPr>
        <w:t>18</w:t>
      </w:r>
      <w:r w:rsidRPr="00E400E4">
        <w:fldChar w:fldCharType="end"/>
      </w:r>
      <w:r w:rsidRPr="00E400E4">
        <w:t>.</w:t>
      </w:r>
    </w:p>
    <w:p w:rsidR="00555918" w:rsidRPr="00E400E4" w:rsidRDefault="00555918" w:rsidP="000B1771">
      <w:pPr>
        <w:pStyle w:val="Caption"/>
      </w:pPr>
      <w:bookmarkStart w:id="98" w:name="_Ref512846385"/>
      <w:bookmarkStart w:id="99" w:name="_Ref512844872"/>
      <w:bookmarkStart w:id="100" w:name="_Toc24702435"/>
      <w:r w:rsidRPr="00E400E4">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18</w:t>
      </w:r>
      <w:r w:rsidRPr="00E400E4">
        <w:rPr>
          <w:noProof/>
        </w:rPr>
        <w:fldChar w:fldCharType="end"/>
      </w:r>
      <w:bookmarkEnd w:id="98"/>
      <w:r w:rsidRPr="00E400E4">
        <w:t xml:space="preserve"> Chile's avocado export volumes per month from 2013 to 2016</w:t>
      </w:r>
      <w:bookmarkEnd w:id="99"/>
      <w:bookmarkEnd w:id="100"/>
    </w:p>
    <w:p w:rsidR="00555918" w:rsidRPr="00E400E4" w:rsidRDefault="00555918" w:rsidP="000B1771">
      <w:r w:rsidRPr="00E400E4">
        <w:rPr>
          <w:noProof/>
          <w:lang w:eastAsia="en-AU"/>
        </w:rPr>
        <w:drawing>
          <wp:inline distT="0" distB="0" distL="0" distR="0" wp14:anchorId="1750BF19" wp14:editId="03B26EA8">
            <wp:extent cx="5759450" cy="3467735"/>
            <wp:effectExtent l="0" t="0" r="0" b="0"/>
            <wp:docPr id="28" name="Picture 28" descr="Graph shows Chile's avocado exports per month from 2013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e's avocado export volumes line graph.jpg"/>
                    <pic:cNvPicPr/>
                  </pic:nvPicPr>
                  <pic:blipFill>
                    <a:blip r:embed="rId54">
                      <a:extLst>
                        <a:ext uri="{28A0092B-C50C-407E-A947-70E740481C1C}">
                          <a14:useLocalDpi xmlns:a14="http://schemas.microsoft.com/office/drawing/2010/main" val="0"/>
                        </a:ext>
                      </a:extLst>
                    </a:blip>
                    <a:stretch>
                      <a:fillRect/>
                    </a:stretch>
                  </pic:blipFill>
                  <pic:spPr>
                    <a:xfrm>
                      <a:off x="0" y="0"/>
                      <a:ext cx="5759450" cy="3467735"/>
                    </a:xfrm>
                    <a:prstGeom prst="rect">
                      <a:avLst/>
                    </a:prstGeom>
                  </pic:spPr>
                </pic:pic>
              </a:graphicData>
            </a:graphic>
          </wp:inline>
        </w:drawing>
      </w:r>
    </w:p>
    <w:p w:rsidR="00555918" w:rsidRPr="00E400E4" w:rsidRDefault="00555918" w:rsidP="000B1771">
      <w:pPr>
        <w:pStyle w:val="FigureTableNoteSource"/>
      </w:pPr>
      <w:r w:rsidRPr="00E400E4">
        <w:t xml:space="preserve">Source: ITC calculations based on UN COMTRADE statistics </w:t>
      </w:r>
      <w:r>
        <w:rPr>
          <w:noProof/>
        </w:rPr>
        <w:t>(International Trade Centre 2016)</w:t>
      </w:r>
    </w:p>
    <w:p w:rsidR="00555918" w:rsidRPr="00E400E4" w:rsidRDefault="00555918"/>
    <w:p w:rsidR="00555918" w:rsidRPr="00E400E4" w:rsidRDefault="00555918">
      <w:pPr>
        <w:sectPr w:rsidR="00555918" w:rsidRPr="00E400E4" w:rsidSect="000B1771">
          <w:headerReference w:type="default" r:id="rId55"/>
          <w:pgSz w:w="11906" w:h="16838"/>
          <w:pgMar w:top="1418" w:right="1418" w:bottom="1418" w:left="1418" w:header="567" w:footer="283" w:gutter="0"/>
          <w:cols w:space="708"/>
          <w:docGrid w:linePitch="360"/>
        </w:sectPr>
      </w:pPr>
    </w:p>
    <w:p w:rsidR="00555918" w:rsidRPr="00E400E4" w:rsidRDefault="00555918" w:rsidP="000B1771">
      <w:pPr>
        <w:pStyle w:val="Heading2"/>
      </w:pPr>
      <w:bookmarkStart w:id="101" w:name="_Toc389741452"/>
      <w:bookmarkStart w:id="102" w:name="_Toc20392242"/>
      <w:r w:rsidRPr="00E400E4">
        <w:lastRenderedPageBreak/>
        <w:t>Pest risk assessments for quarantine pests</w:t>
      </w:r>
      <w:bookmarkEnd w:id="101"/>
      <w:bookmarkEnd w:id="102"/>
    </w:p>
    <w:p w:rsidR="00555918" w:rsidRPr="00E400E4" w:rsidRDefault="00555918" w:rsidP="000B1771">
      <w:r w:rsidRPr="00E400E4">
        <w:t>A total of 14 quarantine pests which includes one regulated article (</w:t>
      </w:r>
      <w:r w:rsidRPr="00E400E4">
        <w:fldChar w:fldCharType="begin"/>
      </w:r>
      <w:r w:rsidRPr="00E400E4">
        <w:instrText xml:space="preserve"> REF _Ref457826715 \h  \* MERGEFORMAT </w:instrText>
      </w:r>
      <w:r w:rsidRPr="00E400E4">
        <w:fldChar w:fldCharType="separate"/>
      </w:r>
      <w:r w:rsidR="006C029B" w:rsidRPr="00E400E4">
        <w:t xml:space="preserve">Table </w:t>
      </w:r>
      <w:r w:rsidR="006C029B">
        <w:rPr>
          <w:noProof/>
        </w:rPr>
        <w:t>4</w:t>
      </w:r>
      <w:r w:rsidR="006C029B" w:rsidRPr="00E400E4">
        <w:rPr>
          <w:noProof/>
        </w:rPr>
        <w:t>.</w:t>
      </w:r>
      <w:r w:rsidR="006C029B">
        <w:rPr>
          <w:noProof/>
        </w:rPr>
        <w:t>1</w:t>
      </w:r>
      <w:r w:rsidRPr="00E400E4">
        <w:fldChar w:fldCharType="end"/>
      </w:r>
      <w:r w:rsidRPr="00E400E4">
        <w:t>) associated with commercially produced, export-quality avocados produced in Chile were identified in the pest categorisation process (Appendix A). This chapter assesses the likelihoods of the entry (importation and distribution), establishment and spread of these pests, and the economic (including environmental) consequences these pests may cause if they were to enter, establish and spread in Australia.</w:t>
      </w:r>
    </w:p>
    <w:p w:rsidR="00555918" w:rsidRPr="00E400E4" w:rsidRDefault="00555918" w:rsidP="000B1771">
      <w:r w:rsidRPr="00E400E4">
        <w:t>Seven pests identified in this assessment have been recorded in some regions of Australia but, due to interstate quarantine regulations and their enforcement, are considered pests of regional concern. The acronym for the state and territory for which the regional pest status is considered, ‘WA’ (Western Australia) and ‘NT’ (Northern Territory), is used to identify these pests.</w:t>
      </w:r>
    </w:p>
    <w:p w:rsidR="00555918" w:rsidRPr="00E400E4" w:rsidRDefault="00555918" w:rsidP="000B1771">
      <w:r w:rsidRPr="00E400E4">
        <w:t>Most of the identified quarantine pests, and all pest groups considered here, have been assessed previously by the department. Where appropriate, the outcomes of the previous assessments for these pests have been adopted for this risk analysis, unless new information is available that suggests the risk would be different. The acronym ‘EP’ is used to identify species assessed previously and for which import policy already exists. The adoption of outcomes from previous assessments is outlined in Section </w:t>
      </w:r>
      <w:r w:rsidRPr="00E400E4">
        <w:fldChar w:fldCharType="begin"/>
      </w:r>
      <w:r w:rsidRPr="00E400E4">
        <w:instrText xml:space="preserve"> REF _Ref520890448 \r \h  \* MERGEFORMAT </w:instrText>
      </w:r>
      <w:r w:rsidRPr="00E400E4">
        <w:fldChar w:fldCharType="separate"/>
      </w:r>
      <w:r w:rsidR="006C029B">
        <w:t>2.2.6</w:t>
      </w:r>
      <w:r w:rsidRPr="00E400E4">
        <w:fldChar w:fldCharType="end"/>
      </w:r>
      <w:r w:rsidRPr="00E400E4">
        <w:t xml:space="preserve">. </w:t>
      </w:r>
    </w:p>
    <w:p w:rsidR="00555918" w:rsidRPr="00E400E4" w:rsidRDefault="00555918" w:rsidP="000B1771">
      <w:r w:rsidRPr="00E400E4">
        <w:t xml:space="preserve">The biosecurity risk posed by thrips and the orthotospoviruses they transmit, from all countries, on fresh fruit, vegetable, cut-flower and foliage imports was previously assessed in the </w:t>
      </w:r>
      <w:r w:rsidRPr="00E400E4">
        <w:rPr>
          <w:i/>
        </w:rPr>
        <w:t>Final group pest risk analysis for thrips and orthotospoviruses on fresh fruit, vegetable, cut-flower and foliage imports</w:t>
      </w:r>
      <w:r w:rsidRPr="00E400E4">
        <w:t xml:space="preserve"> </w:t>
      </w:r>
      <w:r>
        <w:rPr>
          <w:noProof/>
        </w:rPr>
        <w:t>(Australian Government Department of Agriculture and Water Resources 2017)</w:t>
      </w:r>
      <w:r w:rsidRPr="00E400E4">
        <w:t>. This Group PRA has been applied to this assessment of avocados from Chile.</w:t>
      </w:r>
    </w:p>
    <w:p w:rsidR="00555918" w:rsidRPr="00E400E4" w:rsidRDefault="00555918" w:rsidP="000B1771">
      <w:r w:rsidRPr="00E400E4">
        <w:t xml:space="preserve">The acronym ‘GP’ is used to identify species assessed previously in a Group PRA and for which the Group PRA was applied. The application of the thrips </w:t>
      </w:r>
      <w:r>
        <w:t>G</w:t>
      </w:r>
      <w:r w:rsidRPr="00E400E4">
        <w:t>roup PRA to this risk analysis is outlined in Section </w:t>
      </w:r>
      <w:r w:rsidRPr="00E400E4">
        <w:fldChar w:fldCharType="begin"/>
      </w:r>
      <w:r w:rsidRPr="00E400E4">
        <w:instrText xml:space="preserve"> REF _Ref521486026 \r \h  \* MERGEFORMAT </w:instrText>
      </w:r>
      <w:r w:rsidRPr="00E400E4">
        <w:fldChar w:fldCharType="separate"/>
      </w:r>
      <w:r w:rsidR="006C029B">
        <w:t>2.2.7</w:t>
      </w:r>
      <w:r w:rsidRPr="00E400E4">
        <w:fldChar w:fldCharType="end"/>
      </w:r>
      <w:r w:rsidRPr="00E400E4">
        <w:t xml:space="preserve">. A summary of pest information from the thrips </w:t>
      </w:r>
      <w:r>
        <w:t>G</w:t>
      </w:r>
      <w:r w:rsidRPr="00E400E4">
        <w:t>roup PRA is presented in this chapter for convenience.</w:t>
      </w:r>
    </w:p>
    <w:p w:rsidR="00555918" w:rsidRPr="00E400E4" w:rsidRDefault="00555918" w:rsidP="000B1771">
      <w:r w:rsidRPr="00E400E4">
        <w:t>Assessments of risks associated with these species are presented in this chapter unless otherwise indicated.</w:t>
      </w:r>
    </w:p>
    <w:p w:rsidR="00555918" w:rsidRPr="00E400E4" w:rsidRDefault="00555918" w:rsidP="000B1771">
      <w:r w:rsidRPr="00E400E4">
        <w:br w:type="page"/>
      </w:r>
    </w:p>
    <w:p w:rsidR="00555918" w:rsidRPr="00E400E4" w:rsidRDefault="00555918" w:rsidP="000B1771">
      <w:pPr>
        <w:pStyle w:val="Caption"/>
      </w:pPr>
      <w:bookmarkStart w:id="103" w:name="_Ref457826715"/>
      <w:bookmarkStart w:id="104" w:name="_Ref511218100"/>
      <w:bookmarkStart w:id="105" w:name="_Toc384979284"/>
      <w:bookmarkStart w:id="106" w:name="_Toc389741476"/>
      <w:bookmarkStart w:id="107" w:name="_Toc24702445"/>
      <w:r w:rsidRPr="00E400E4">
        <w:lastRenderedPageBreak/>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4</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1</w:t>
      </w:r>
      <w:r w:rsidRPr="00E400E4">
        <w:rPr>
          <w:noProof/>
        </w:rPr>
        <w:fldChar w:fldCharType="end"/>
      </w:r>
      <w:bookmarkEnd w:id="103"/>
      <w:bookmarkEnd w:id="104"/>
      <w:r w:rsidRPr="00E400E4">
        <w:t xml:space="preserve"> Quarantine pests associated with avocados from </w:t>
      </w:r>
      <w:bookmarkEnd w:id="105"/>
      <w:bookmarkEnd w:id="106"/>
      <w:r w:rsidRPr="00E400E4">
        <w:t>Chile</w:t>
      </w:r>
      <w:bookmarkEnd w:id="107"/>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555918" w:rsidRPr="00E400E4">
        <w:tc>
          <w:tcPr>
            <w:tcW w:w="2500" w:type="pct"/>
            <w:tcBorders>
              <w:top w:val="single" w:sz="4" w:space="0" w:color="auto"/>
              <w:bottom w:val="single" w:sz="4" w:space="0" w:color="D9D9D9" w:themeColor="background1" w:themeShade="D9"/>
            </w:tcBorders>
          </w:tcPr>
          <w:p w:rsidR="00555918" w:rsidRPr="00E400E4" w:rsidRDefault="00555918">
            <w:pPr>
              <w:pStyle w:val="TableHeading"/>
            </w:pPr>
            <w:r w:rsidRPr="00E400E4">
              <w:t>Pest</w:t>
            </w:r>
          </w:p>
        </w:tc>
        <w:tc>
          <w:tcPr>
            <w:tcW w:w="2500" w:type="pct"/>
            <w:tcBorders>
              <w:top w:val="single" w:sz="4" w:space="0" w:color="auto"/>
              <w:bottom w:val="single" w:sz="4" w:space="0" w:color="D9D9D9" w:themeColor="background1" w:themeShade="D9"/>
            </w:tcBorders>
          </w:tcPr>
          <w:p w:rsidR="00555918" w:rsidRPr="00E400E4" w:rsidRDefault="00555918">
            <w:pPr>
              <w:pStyle w:val="TableHeading"/>
            </w:pPr>
            <w:r w:rsidRPr="00E400E4">
              <w:t>Common name</w:t>
            </w:r>
          </w:p>
        </w:tc>
      </w:tr>
      <w:tr w:rsidR="00555918" w:rsidRPr="00E400E4" w:rsidTr="000B1771">
        <w:tc>
          <w:tcPr>
            <w:tcW w:w="5000" w:type="pct"/>
            <w:gridSpan w:val="2"/>
            <w:tcBorders>
              <w:top w:val="single" w:sz="4" w:space="0" w:color="D9D9D9" w:themeColor="background1" w:themeShade="D9"/>
              <w:bottom w:val="nil"/>
            </w:tcBorders>
          </w:tcPr>
          <w:p w:rsidR="00555918" w:rsidRPr="00E400E4" w:rsidRDefault="00555918" w:rsidP="000B1771">
            <w:pPr>
              <w:pStyle w:val="TableText"/>
            </w:pPr>
            <w:r w:rsidRPr="00E400E4">
              <w:rPr>
                <w:b/>
              </w:rPr>
              <w:t>Fruit flies [Diptera: Tephritidae]</w:t>
            </w:r>
          </w:p>
        </w:tc>
      </w:tr>
      <w:tr w:rsidR="00555918" w:rsidRPr="00E400E4" w:rsidTr="000B1771">
        <w:tc>
          <w:tcPr>
            <w:tcW w:w="2500" w:type="pct"/>
            <w:tcBorders>
              <w:top w:val="nil"/>
            </w:tcBorders>
          </w:tcPr>
          <w:p w:rsidR="00555918" w:rsidRPr="00E400E4" w:rsidRDefault="00555918" w:rsidP="000B1771">
            <w:pPr>
              <w:pStyle w:val="TableText"/>
              <w:rPr>
                <w:i/>
                <w:vertAlign w:val="superscript"/>
              </w:rPr>
            </w:pPr>
            <w:r w:rsidRPr="00E400E4">
              <w:rPr>
                <w:i/>
              </w:rPr>
              <w:t>Ceratitis capitata</w:t>
            </w:r>
            <w:r w:rsidRPr="00E400E4" w:rsidDel="00DE0280">
              <w:rPr>
                <w:i/>
              </w:rPr>
              <w:t xml:space="preserve"> </w:t>
            </w:r>
            <w:r w:rsidRPr="00E400E4">
              <w:t>(EP)</w:t>
            </w:r>
          </w:p>
        </w:tc>
        <w:tc>
          <w:tcPr>
            <w:tcW w:w="2500" w:type="pct"/>
            <w:tcBorders>
              <w:top w:val="nil"/>
            </w:tcBorders>
          </w:tcPr>
          <w:p w:rsidR="00555918" w:rsidRPr="00E400E4" w:rsidRDefault="00555918" w:rsidP="000B1771">
            <w:pPr>
              <w:pStyle w:val="TableText"/>
            </w:pPr>
            <w:r w:rsidRPr="00E400E4">
              <w:t>Mediterranean fruit fly</w:t>
            </w:r>
          </w:p>
        </w:tc>
      </w:tr>
      <w:tr w:rsidR="00555918" w:rsidRPr="00E400E4" w:rsidTr="000B1771">
        <w:tc>
          <w:tcPr>
            <w:tcW w:w="5000" w:type="pct"/>
            <w:gridSpan w:val="2"/>
            <w:tcBorders>
              <w:top w:val="single" w:sz="4" w:space="0" w:color="D9D9D9" w:themeColor="background1" w:themeShade="D9"/>
              <w:bottom w:val="nil"/>
            </w:tcBorders>
          </w:tcPr>
          <w:p w:rsidR="00555918" w:rsidRPr="00E400E4" w:rsidRDefault="00555918" w:rsidP="000B1771">
            <w:pPr>
              <w:pStyle w:val="TableText"/>
            </w:pPr>
            <w:r w:rsidRPr="00E400E4">
              <w:rPr>
                <w:b/>
              </w:rPr>
              <w:t>Armoured scales [Hemiptera: Diaspididae]</w:t>
            </w:r>
          </w:p>
        </w:tc>
      </w:tr>
      <w:tr w:rsidR="00555918" w:rsidRPr="00E400E4" w:rsidTr="000B1771">
        <w:tc>
          <w:tcPr>
            <w:tcW w:w="2500" w:type="pct"/>
            <w:tcBorders>
              <w:top w:val="nil"/>
            </w:tcBorders>
          </w:tcPr>
          <w:p w:rsidR="00555918" w:rsidRPr="00E400E4" w:rsidRDefault="00555918" w:rsidP="000B1771">
            <w:pPr>
              <w:pStyle w:val="TableText"/>
              <w:rPr>
                <w:i/>
              </w:rPr>
            </w:pPr>
            <w:r w:rsidRPr="00E400E4">
              <w:rPr>
                <w:i/>
              </w:rPr>
              <w:t>Chrysomphalus dictyospermi</w:t>
            </w:r>
            <w:r w:rsidRPr="00E400E4">
              <w:t xml:space="preserve"> (EP, WA)</w:t>
            </w:r>
          </w:p>
        </w:tc>
        <w:tc>
          <w:tcPr>
            <w:tcW w:w="2500" w:type="pct"/>
            <w:tcBorders>
              <w:top w:val="nil"/>
            </w:tcBorders>
          </w:tcPr>
          <w:p w:rsidR="00555918" w:rsidRPr="00E400E4" w:rsidRDefault="00555918" w:rsidP="000B1771">
            <w:pPr>
              <w:pStyle w:val="TableText"/>
            </w:pPr>
            <w:r w:rsidRPr="00E400E4">
              <w:t>Spanish red scale</w:t>
            </w:r>
          </w:p>
        </w:tc>
      </w:tr>
      <w:tr w:rsidR="00555918" w:rsidRPr="00E400E4" w:rsidTr="000B1771">
        <w:tc>
          <w:tcPr>
            <w:tcW w:w="2500" w:type="pct"/>
            <w:tcBorders>
              <w:top w:val="nil"/>
            </w:tcBorders>
          </w:tcPr>
          <w:p w:rsidR="00555918" w:rsidRPr="00E400E4" w:rsidRDefault="00555918" w:rsidP="000B1771">
            <w:pPr>
              <w:pStyle w:val="TableText"/>
              <w:rPr>
                <w:i/>
              </w:rPr>
            </w:pPr>
            <w:r w:rsidRPr="00E400E4">
              <w:rPr>
                <w:i/>
              </w:rPr>
              <w:t>Fiorinia fioriniae</w:t>
            </w:r>
            <w:r w:rsidRPr="00E400E4">
              <w:t xml:space="preserve"> (WA)</w:t>
            </w:r>
          </w:p>
        </w:tc>
        <w:tc>
          <w:tcPr>
            <w:tcW w:w="2500" w:type="pct"/>
            <w:tcBorders>
              <w:top w:val="nil"/>
            </w:tcBorders>
          </w:tcPr>
          <w:p w:rsidR="00555918" w:rsidRPr="00E400E4" w:rsidRDefault="00555918" w:rsidP="000B1771">
            <w:pPr>
              <w:pStyle w:val="TableText"/>
            </w:pPr>
            <w:r w:rsidRPr="00E400E4">
              <w:t>Fiorinia scale</w:t>
            </w:r>
          </w:p>
        </w:tc>
      </w:tr>
      <w:tr w:rsidR="00555918" w:rsidRPr="00E400E4" w:rsidTr="000B1771">
        <w:tc>
          <w:tcPr>
            <w:tcW w:w="2500" w:type="pct"/>
            <w:tcBorders>
              <w:top w:val="nil"/>
            </w:tcBorders>
          </w:tcPr>
          <w:p w:rsidR="00555918" w:rsidRPr="00E400E4" w:rsidRDefault="00555918" w:rsidP="000B1771">
            <w:pPr>
              <w:pStyle w:val="TableText"/>
              <w:rPr>
                <w:i/>
              </w:rPr>
            </w:pPr>
            <w:r w:rsidRPr="00E400E4">
              <w:rPr>
                <w:i/>
              </w:rPr>
              <w:t>Hemiberlesia cyanophylli</w:t>
            </w:r>
            <w:r w:rsidRPr="00E400E4">
              <w:t xml:space="preserve"> (EP, WA)</w:t>
            </w:r>
          </w:p>
        </w:tc>
        <w:tc>
          <w:tcPr>
            <w:tcW w:w="2500" w:type="pct"/>
            <w:tcBorders>
              <w:top w:val="nil"/>
            </w:tcBorders>
          </w:tcPr>
          <w:p w:rsidR="00555918" w:rsidRPr="00E400E4" w:rsidRDefault="00555918" w:rsidP="000B1771">
            <w:pPr>
              <w:pStyle w:val="TableText"/>
            </w:pPr>
            <w:r w:rsidRPr="00E400E4">
              <w:t>Cyanophyllum scale</w:t>
            </w:r>
          </w:p>
        </w:tc>
      </w:tr>
      <w:tr w:rsidR="00555918" w:rsidRPr="00E400E4" w:rsidTr="000B1771">
        <w:tc>
          <w:tcPr>
            <w:tcW w:w="2500" w:type="pct"/>
            <w:tcBorders>
              <w:top w:val="nil"/>
            </w:tcBorders>
          </w:tcPr>
          <w:p w:rsidR="00555918" w:rsidRPr="00E400E4" w:rsidRDefault="00555918" w:rsidP="000B1771">
            <w:pPr>
              <w:pStyle w:val="TableText"/>
              <w:rPr>
                <w:i/>
              </w:rPr>
            </w:pPr>
            <w:r w:rsidRPr="00E400E4">
              <w:rPr>
                <w:i/>
              </w:rPr>
              <w:t>Hemiberlesia latastei</w:t>
            </w:r>
          </w:p>
        </w:tc>
        <w:tc>
          <w:tcPr>
            <w:tcW w:w="2500" w:type="pct"/>
            <w:tcBorders>
              <w:top w:val="nil"/>
            </w:tcBorders>
          </w:tcPr>
          <w:p w:rsidR="00555918" w:rsidRPr="00E400E4" w:rsidRDefault="00555918" w:rsidP="000B1771">
            <w:pPr>
              <w:pStyle w:val="TableText"/>
            </w:pPr>
            <w:r w:rsidRPr="00E400E4">
              <w:t>Lataste scale</w:t>
            </w:r>
          </w:p>
        </w:tc>
      </w:tr>
      <w:tr w:rsidR="00555918" w:rsidRPr="00E400E4" w:rsidTr="000B1771">
        <w:tc>
          <w:tcPr>
            <w:tcW w:w="2500" w:type="pct"/>
            <w:tcBorders>
              <w:top w:val="nil"/>
            </w:tcBorders>
          </w:tcPr>
          <w:p w:rsidR="00555918" w:rsidRPr="00E400E4" w:rsidRDefault="00555918" w:rsidP="000B1771">
            <w:pPr>
              <w:pStyle w:val="TableText"/>
              <w:rPr>
                <w:i/>
              </w:rPr>
            </w:pPr>
            <w:r w:rsidRPr="00E400E4">
              <w:rPr>
                <w:i/>
              </w:rPr>
              <w:t>Pinnaspis aspidistrae</w:t>
            </w:r>
            <w:r w:rsidRPr="00E400E4">
              <w:t xml:space="preserve"> (EP, WA)</w:t>
            </w:r>
          </w:p>
        </w:tc>
        <w:tc>
          <w:tcPr>
            <w:tcW w:w="2500" w:type="pct"/>
            <w:tcBorders>
              <w:top w:val="nil"/>
            </w:tcBorders>
          </w:tcPr>
          <w:p w:rsidR="00555918" w:rsidRPr="00E400E4" w:rsidRDefault="00555918" w:rsidP="000B1771">
            <w:pPr>
              <w:pStyle w:val="TableText"/>
            </w:pPr>
            <w:r w:rsidRPr="00E400E4">
              <w:t>Fern scale</w:t>
            </w:r>
          </w:p>
        </w:tc>
      </w:tr>
      <w:tr w:rsidR="00555918" w:rsidRPr="00E400E4" w:rsidTr="000B1771">
        <w:tc>
          <w:tcPr>
            <w:tcW w:w="2500" w:type="pct"/>
            <w:tcBorders>
              <w:bottom w:val="single" w:sz="4" w:space="0" w:color="D9D9D9" w:themeColor="background1" w:themeShade="D9"/>
            </w:tcBorders>
          </w:tcPr>
          <w:p w:rsidR="00555918" w:rsidRPr="00E400E4" w:rsidRDefault="00555918" w:rsidP="000B1771">
            <w:pPr>
              <w:pStyle w:val="TableText"/>
              <w:rPr>
                <w:i/>
              </w:rPr>
            </w:pPr>
            <w:r w:rsidRPr="00E400E4">
              <w:rPr>
                <w:i/>
              </w:rPr>
              <w:t>Unaspis citri</w:t>
            </w:r>
            <w:r w:rsidRPr="00E400E4">
              <w:t xml:space="preserve"> (EP, WA)</w:t>
            </w:r>
          </w:p>
        </w:tc>
        <w:tc>
          <w:tcPr>
            <w:tcW w:w="2500" w:type="pct"/>
            <w:tcBorders>
              <w:bottom w:val="single" w:sz="4" w:space="0" w:color="D9D9D9" w:themeColor="background1" w:themeShade="D9"/>
            </w:tcBorders>
          </w:tcPr>
          <w:p w:rsidR="00555918" w:rsidRPr="00E400E4" w:rsidRDefault="00555918" w:rsidP="000B1771">
            <w:pPr>
              <w:pStyle w:val="TableText"/>
            </w:pPr>
            <w:r w:rsidRPr="00E400E4">
              <w:t>Citrus snow scale</w:t>
            </w:r>
          </w:p>
        </w:tc>
      </w:tr>
      <w:tr w:rsidR="00555918" w:rsidRPr="00E400E4">
        <w:tc>
          <w:tcPr>
            <w:tcW w:w="5000" w:type="pct"/>
            <w:gridSpan w:val="2"/>
            <w:tcBorders>
              <w:top w:val="single" w:sz="4" w:space="0" w:color="D9D9D9" w:themeColor="background1" w:themeShade="D9"/>
              <w:bottom w:val="nil"/>
            </w:tcBorders>
          </w:tcPr>
          <w:p w:rsidR="00555918" w:rsidRPr="00E400E4" w:rsidRDefault="00555918">
            <w:pPr>
              <w:pStyle w:val="TableText"/>
            </w:pPr>
            <w:r w:rsidRPr="00E400E4">
              <w:rPr>
                <w:b/>
              </w:rPr>
              <w:t>Mealybugs [Hemiptera: Pseudococcidae]</w:t>
            </w:r>
          </w:p>
        </w:tc>
      </w:tr>
      <w:tr w:rsidR="00555918" w:rsidRPr="00E400E4">
        <w:tc>
          <w:tcPr>
            <w:tcW w:w="2500" w:type="pct"/>
            <w:tcBorders>
              <w:top w:val="nil"/>
            </w:tcBorders>
          </w:tcPr>
          <w:p w:rsidR="00555918" w:rsidRPr="00E400E4" w:rsidRDefault="00555918">
            <w:pPr>
              <w:pStyle w:val="TableText"/>
              <w:rPr>
                <w:i/>
              </w:rPr>
            </w:pPr>
            <w:r w:rsidRPr="00E400E4">
              <w:rPr>
                <w:i/>
              </w:rPr>
              <w:t>Pseudococcus maritimus</w:t>
            </w:r>
            <w:r w:rsidRPr="00E400E4">
              <w:t xml:space="preserve"> (EP)</w:t>
            </w:r>
          </w:p>
        </w:tc>
        <w:tc>
          <w:tcPr>
            <w:tcW w:w="2500" w:type="pct"/>
            <w:tcBorders>
              <w:top w:val="nil"/>
            </w:tcBorders>
          </w:tcPr>
          <w:p w:rsidR="00555918" w:rsidRPr="00E400E4" w:rsidRDefault="00555918">
            <w:pPr>
              <w:pStyle w:val="TableText"/>
            </w:pPr>
            <w:r w:rsidRPr="00E400E4">
              <w:t>Grape mealybug</w:t>
            </w:r>
          </w:p>
        </w:tc>
      </w:tr>
      <w:tr w:rsidR="00555918" w:rsidRPr="00E400E4" w:rsidTr="000B1771">
        <w:tc>
          <w:tcPr>
            <w:tcW w:w="5000" w:type="pct"/>
            <w:gridSpan w:val="2"/>
            <w:tcBorders>
              <w:top w:val="single" w:sz="4" w:space="0" w:color="D9D9D9" w:themeColor="background1" w:themeShade="D9"/>
              <w:bottom w:val="nil"/>
            </w:tcBorders>
          </w:tcPr>
          <w:p w:rsidR="00555918" w:rsidRPr="00E400E4" w:rsidRDefault="00555918" w:rsidP="000B1771">
            <w:pPr>
              <w:pStyle w:val="TableText"/>
            </w:pPr>
            <w:r w:rsidRPr="00E400E4">
              <w:rPr>
                <w:b/>
              </w:rPr>
              <w:t>Thrips [Thysanoptera: Thripidae]</w:t>
            </w:r>
          </w:p>
        </w:tc>
      </w:tr>
      <w:tr w:rsidR="00555918" w:rsidRPr="00E400E4" w:rsidTr="000B1771">
        <w:tc>
          <w:tcPr>
            <w:tcW w:w="2500" w:type="pct"/>
            <w:tcBorders>
              <w:top w:val="nil"/>
            </w:tcBorders>
          </w:tcPr>
          <w:p w:rsidR="00555918" w:rsidRPr="00E400E4" w:rsidRDefault="00555918" w:rsidP="000B1771">
            <w:pPr>
              <w:pStyle w:val="TableText"/>
              <w:rPr>
                <w:i/>
              </w:rPr>
            </w:pPr>
            <w:r w:rsidRPr="00E400E4">
              <w:rPr>
                <w:i/>
              </w:rPr>
              <w:t>Frankliniella australis</w:t>
            </w:r>
            <w:r w:rsidRPr="00E400E4">
              <w:t xml:space="preserve"> (GP)</w:t>
            </w:r>
          </w:p>
        </w:tc>
        <w:tc>
          <w:tcPr>
            <w:tcW w:w="2500" w:type="pct"/>
            <w:tcBorders>
              <w:top w:val="nil"/>
            </w:tcBorders>
          </w:tcPr>
          <w:p w:rsidR="00555918" w:rsidRPr="00E400E4" w:rsidRDefault="00555918" w:rsidP="000B1771">
            <w:pPr>
              <w:pStyle w:val="TableText"/>
            </w:pPr>
            <w:r w:rsidRPr="00E400E4">
              <w:t>Chilean flower thrips</w:t>
            </w:r>
          </w:p>
        </w:tc>
      </w:tr>
      <w:tr w:rsidR="00555918" w:rsidRPr="00E400E4" w:rsidTr="000B1771">
        <w:tc>
          <w:tcPr>
            <w:tcW w:w="2500" w:type="pct"/>
            <w:tcBorders>
              <w:top w:val="nil"/>
            </w:tcBorders>
          </w:tcPr>
          <w:p w:rsidR="00555918" w:rsidRPr="00E400E4" w:rsidRDefault="00555918" w:rsidP="000B1771">
            <w:pPr>
              <w:pStyle w:val="TableText"/>
            </w:pPr>
            <w:r w:rsidRPr="00E400E4">
              <w:rPr>
                <w:i/>
              </w:rPr>
              <w:t>Frankliniella gemina</w:t>
            </w:r>
            <w:r w:rsidRPr="00E400E4">
              <w:t xml:space="preserve"> (GP)</w:t>
            </w:r>
          </w:p>
        </w:tc>
        <w:tc>
          <w:tcPr>
            <w:tcW w:w="2500" w:type="pct"/>
            <w:tcBorders>
              <w:top w:val="nil"/>
            </w:tcBorders>
          </w:tcPr>
          <w:p w:rsidR="00555918" w:rsidRPr="00E400E4" w:rsidRDefault="00555918" w:rsidP="000B1771">
            <w:pPr>
              <w:pStyle w:val="TableText"/>
            </w:pPr>
            <w:r w:rsidRPr="00E400E4">
              <w:t>Tamarugo thrips</w:t>
            </w:r>
          </w:p>
        </w:tc>
      </w:tr>
      <w:tr w:rsidR="00555918" w:rsidRPr="00E400E4" w:rsidTr="000B1771">
        <w:tc>
          <w:tcPr>
            <w:tcW w:w="2500" w:type="pct"/>
            <w:tcBorders>
              <w:top w:val="nil"/>
            </w:tcBorders>
          </w:tcPr>
          <w:p w:rsidR="00555918" w:rsidRPr="00E400E4" w:rsidRDefault="00555918" w:rsidP="000B1771">
            <w:pPr>
              <w:pStyle w:val="TableText"/>
              <w:rPr>
                <w:i/>
              </w:rPr>
            </w:pPr>
            <w:r w:rsidRPr="00E400E4">
              <w:rPr>
                <w:i/>
              </w:rPr>
              <w:t xml:space="preserve">Frankliniella occidentalis </w:t>
            </w:r>
            <w:r w:rsidRPr="00E400E4">
              <w:t>(GP, NT, RA)</w:t>
            </w:r>
          </w:p>
        </w:tc>
        <w:tc>
          <w:tcPr>
            <w:tcW w:w="2500" w:type="pct"/>
            <w:tcBorders>
              <w:top w:val="nil"/>
            </w:tcBorders>
          </w:tcPr>
          <w:p w:rsidR="00555918" w:rsidRPr="00E400E4" w:rsidRDefault="00555918" w:rsidP="000B1771">
            <w:pPr>
              <w:pStyle w:val="TableText"/>
            </w:pPr>
            <w:r w:rsidRPr="00E400E4">
              <w:t>Western flower thrips</w:t>
            </w:r>
          </w:p>
        </w:tc>
      </w:tr>
      <w:tr w:rsidR="00555918" w:rsidRPr="00E400E4" w:rsidTr="000B1771">
        <w:tc>
          <w:tcPr>
            <w:tcW w:w="5000" w:type="pct"/>
            <w:gridSpan w:val="2"/>
            <w:tcBorders>
              <w:top w:val="single" w:sz="4" w:space="0" w:color="D9D9D9" w:themeColor="background1" w:themeShade="D9"/>
              <w:bottom w:val="nil"/>
            </w:tcBorders>
          </w:tcPr>
          <w:p w:rsidR="00555918" w:rsidRPr="00E400E4" w:rsidRDefault="00555918" w:rsidP="000B1771">
            <w:pPr>
              <w:pStyle w:val="TableText"/>
            </w:pPr>
            <w:r w:rsidRPr="00E400E4">
              <w:rPr>
                <w:b/>
              </w:rPr>
              <w:t>Spider mites [Trombidiformes: Tetranychidae]</w:t>
            </w:r>
          </w:p>
        </w:tc>
      </w:tr>
      <w:tr w:rsidR="00555918" w:rsidRPr="00E400E4" w:rsidTr="000B1771">
        <w:tc>
          <w:tcPr>
            <w:tcW w:w="2500" w:type="pct"/>
            <w:tcBorders>
              <w:top w:val="nil"/>
              <w:bottom w:val="single" w:sz="4" w:space="0" w:color="D9D9D9" w:themeColor="background1" w:themeShade="D9"/>
            </w:tcBorders>
          </w:tcPr>
          <w:p w:rsidR="00555918" w:rsidRPr="00E400E4" w:rsidRDefault="00555918" w:rsidP="000B1771">
            <w:pPr>
              <w:pStyle w:val="TableText"/>
              <w:rPr>
                <w:i/>
              </w:rPr>
            </w:pPr>
            <w:r w:rsidRPr="00E400E4">
              <w:rPr>
                <w:i/>
              </w:rPr>
              <w:t>Oligonychus punicae</w:t>
            </w:r>
          </w:p>
        </w:tc>
        <w:tc>
          <w:tcPr>
            <w:tcW w:w="2500" w:type="pct"/>
            <w:tcBorders>
              <w:top w:val="nil"/>
              <w:bottom w:val="single" w:sz="4" w:space="0" w:color="D9D9D9" w:themeColor="background1" w:themeShade="D9"/>
            </w:tcBorders>
          </w:tcPr>
          <w:p w:rsidR="00555918" w:rsidRPr="00E400E4" w:rsidRDefault="00555918" w:rsidP="000B1771">
            <w:pPr>
              <w:pStyle w:val="TableText"/>
            </w:pPr>
            <w:r w:rsidRPr="00E400E4">
              <w:t>Avocado brown mite</w:t>
            </w:r>
          </w:p>
        </w:tc>
      </w:tr>
      <w:tr w:rsidR="00555918" w:rsidRPr="00E400E4" w:rsidTr="000B1771">
        <w:tc>
          <w:tcPr>
            <w:tcW w:w="2500" w:type="pct"/>
            <w:tcBorders>
              <w:top w:val="nil"/>
              <w:bottom w:val="single" w:sz="4" w:space="0" w:color="D9D9D9" w:themeColor="background1" w:themeShade="D9"/>
            </w:tcBorders>
          </w:tcPr>
          <w:p w:rsidR="00555918" w:rsidRPr="00E400E4" w:rsidRDefault="00555918" w:rsidP="000B1771">
            <w:pPr>
              <w:pStyle w:val="TableText"/>
              <w:rPr>
                <w:i/>
              </w:rPr>
            </w:pPr>
            <w:r w:rsidRPr="00E400E4">
              <w:rPr>
                <w:i/>
              </w:rPr>
              <w:t>Oligonychus yothersi</w:t>
            </w:r>
          </w:p>
        </w:tc>
        <w:tc>
          <w:tcPr>
            <w:tcW w:w="2500" w:type="pct"/>
            <w:tcBorders>
              <w:top w:val="nil"/>
              <w:bottom w:val="single" w:sz="4" w:space="0" w:color="D9D9D9" w:themeColor="background1" w:themeShade="D9"/>
            </w:tcBorders>
          </w:tcPr>
          <w:p w:rsidR="00555918" w:rsidRPr="00E400E4" w:rsidRDefault="00555918" w:rsidP="000B1771">
            <w:pPr>
              <w:pStyle w:val="TableText"/>
            </w:pPr>
            <w:r w:rsidRPr="00E400E4">
              <w:t>Avocado red mite</w:t>
            </w:r>
          </w:p>
        </w:tc>
      </w:tr>
      <w:tr w:rsidR="00555918" w:rsidRPr="00E400E4" w:rsidTr="000B1771">
        <w:tc>
          <w:tcPr>
            <w:tcW w:w="2500" w:type="pct"/>
            <w:tcBorders>
              <w:top w:val="nil"/>
              <w:bottom w:val="single" w:sz="4" w:space="0" w:color="auto"/>
            </w:tcBorders>
          </w:tcPr>
          <w:p w:rsidR="00555918" w:rsidRPr="00E400E4" w:rsidRDefault="00555918" w:rsidP="000B1771">
            <w:pPr>
              <w:pStyle w:val="TableText"/>
            </w:pPr>
            <w:r w:rsidRPr="00E400E4">
              <w:rPr>
                <w:i/>
              </w:rPr>
              <w:t>Panonychus citri</w:t>
            </w:r>
            <w:r w:rsidRPr="00E400E4">
              <w:t xml:space="preserve"> (EP, WA)</w:t>
            </w:r>
          </w:p>
        </w:tc>
        <w:tc>
          <w:tcPr>
            <w:tcW w:w="2500" w:type="pct"/>
            <w:tcBorders>
              <w:top w:val="nil"/>
              <w:bottom w:val="single" w:sz="4" w:space="0" w:color="auto"/>
            </w:tcBorders>
          </w:tcPr>
          <w:p w:rsidR="00555918" w:rsidRPr="00E400E4" w:rsidRDefault="00555918" w:rsidP="000B1771">
            <w:pPr>
              <w:pStyle w:val="TableText"/>
            </w:pPr>
            <w:r w:rsidRPr="00E400E4">
              <w:t>Citrus red mite</w:t>
            </w:r>
          </w:p>
        </w:tc>
      </w:tr>
    </w:tbl>
    <w:p w:rsidR="00555918" w:rsidRPr="00E400E4" w:rsidRDefault="00555918" w:rsidP="000B1771">
      <w:pPr>
        <w:pStyle w:val="FigureTableNoteSource"/>
      </w:pPr>
      <w:r w:rsidRPr="00E400E4">
        <w:rPr>
          <w:b/>
        </w:rPr>
        <w:t xml:space="preserve">EP: </w:t>
      </w:r>
      <w:r w:rsidRPr="00E400E4">
        <w:t xml:space="preserve">Species has been assessed previously and import policy already exists. </w:t>
      </w:r>
      <w:r w:rsidRPr="00E400E4">
        <w:rPr>
          <w:b/>
        </w:rPr>
        <w:t>GP:</w:t>
      </w:r>
      <w:r w:rsidRPr="00E400E4">
        <w:t xml:space="preserve"> Species has been assessed previously in a Group PRA (thrips </w:t>
      </w:r>
      <w:r>
        <w:t>G</w:t>
      </w:r>
      <w:r w:rsidRPr="00E400E4">
        <w:t xml:space="preserve">roup PRA) and the Group PRA has been applied. </w:t>
      </w:r>
      <w:r w:rsidRPr="00E400E4">
        <w:rPr>
          <w:b/>
        </w:rPr>
        <w:t xml:space="preserve">WA: </w:t>
      </w:r>
      <w:r w:rsidRPr="00E400E4">
        <w:t xml:space="preserve">Pest of biosecurity concern for Western Australia. </w:t>
      </w:r>
      <w:r w:rsidRPr="00E400E4">
        <w:rPr>
          <w:b/>
        </w:rPr>
        <w:t xml:space="preserve">NT: </w:t>
      </w:r>
      <w:r w:rsidRPr="00E400E4">
        <w:t xml:space="preserve">Pest of biosecurity concern for the Northern Territory. </w:t>
      </w:r>
      <w:r w:rsidRPr="00E400E4">
        <w:rPr>
          <w:b/>
        </w:rPr>
        <w:t>RA:</w:t>
      </w:r>
      <w:r w:rsidRPr="00E400E4">
        <w:t xml:space="preserve"> Regulated article, refer to Section 4.4 for definition of a regulated article. </w:t>
      </w:r>
    </w:p>
    <w:p w:rsidR="00555918" w:rsidRPr="00E400E4" w:rsidRDefault="00555918" w:rsidP="000B1771">
      <w:pPr>
        <w:pStyle w:val="FigureTableNoteSource"/>
      </w:pPr>
      <w:r w:rsidRPr="00E400E4">
        <w:br w:type="page"/>
      </w:r>
    </w:p>
    <w:p w:rsidR="00555918" w:rsidRPr="00E400E4" w:rsidRDefault="00555918" w:rsidP="000B1771">
      <w:pPr>
        <w:pStyle w:val="Heading3"/>
      </w:pPr>
      <w:bookmarkStart w:id="108" w:name="_Toc20392243"/>
      <w:bookmarkStart w:id="109" w:name="_Toc389741453"/>
      <w:r w:rsidRPr="00E400E4">
        <w:lastRenderedPageBreak/>
        <w:t>Mediterranean fruit fly</w:t>
      </w:r>
      <w:bookmarkEnd w:id="108"/>
    </w:p>
    <w:p w:rsidR="00555918" w:rsidRPr="00E400E4" w:rsidRDefault="00555918" w:rsidP="000B1771">
      <w:pPr>
        <w:pStyle w:val="Heading4"/>
        <w:numPr>
          <w:ilvl w:val="0"/>
          <w:numId w:val="0"/>
        </w:numPr>
      </w:pPr>
      <w:r w:rsidRPr="00E400E4">
        <w:rPr>
          <w:i/>
        </w:rPr>
        <w:t>Ceratitis capitata</w:t>
      </w:r>
      <w:r w:rsidRPr="00E400E4">
        <w:t xml:space="preserve"> (EP)</w:t>
      </w:r>
    </w:p>
    <w:p w:rsidR="00555918" w:rsidRPr="00E400E4" w:rsidRDefault="00555918" w:rsidP="000B1771">
      <w:r w:rsidRPr="00E400E4">
        <w:rPr>
          <w:i/>
        </w:rPr>
        <w:t>Ceratitis capitata</w:t>
      </w:r>
      <w:r w:rsidRPr="00E400E4">
        <w:t xml:space="preserve"> (Mediterranean fruit fly) belongs to the Tephritidae or ‘fruit fly’ family. </w:t>
      </w:r>
    </w:p>
    <w:p w:rsidR="00555918" w:rsidRPr="00E400E4" w:rsidRDefault="00555918" w:rsidP="000B1771">
      <w:r w:rsidRPr="00E400E4">
        <w:t xml:space="preserve">Chile is considered free of </w:t>
      </w:r>
      <w:r w:rsidRPr="00E400E4">
        <w:rPr>
          <w:i/>
        </w:rPr>
        <w:t>C. capitata</w:t>
      </w:r>
      <w:r w:rsidRPr="00E400E4">
        <w:t xml:space="preserve"> and the department acknowledges that Chile has a national program in place to maintain its freedom from fruit flies of economic importance, including </w:t>
      </w:r>
      <w:r w:rsidRPr="00E400E4">
        <w:rPr>
          <w:i/>
        </w:rPr>
        <w:t>C. capitata</w:t>
      </w:r>
      <w:r w:rsidRPr="00E400E4">
        <w:t xml:space="preserve">. However, outbreaks of </w:t>
      </w:r>
      <w:r w:rsidRPr="00E400E4">
        <w:rPr>
          <w:i/>
        </w:rPr>
        <w:t>C. capitata</w:t>
      </w:r>
      <w:r w:rsidRPr="00E400E4">
        <w:t xml:space="preserve"> do occur in Chile from time to time </w:t>
      </w:r>
      <w:r>
        <w:rPr>
          <w:noProof/>
        </w:rPr>
        <w:t>(SAG 2018)</w:t>
      </w:r>
      <w:r w:rsidRPr="00E400E4">
        <w:t xml:space="preserve">, and for this reason it is considered necessary to require risk management measures to manage the risks associated with </w:t>
      </w:r>
      <w:r w:rsidRPr="00E400E4">
        <w:rPr>
          <w:i/>
        </w:rPr>
        <w:t>C. capitata</w:t>
      </w:r>
      <w:r w:rsidRPr="00E400E4">
        <w:t>. Area freedom is included as one of the measure options for this pest. In addition, other measures will be required to manage the risk in outbreak areas.</w:t>
      </w:r>
    </w:p>
    <w:p w:rsidR="00555918" w:rsidRPr="00E400E4" w:rsidRDefault="00555918" w:rsidP="000B1771">
      <w:r w:rsidRPr="00E400E4">
        <w:rPr>
          <w:i/>
        </w:rPr>
        <w:t>Ceratitis capitata</w:t>
      </w:r>
      <w:r w:rsidRPr="00E400E4">
        <w:t xml:space="preserve"> has been assessed previously in a number of risk analyses, for example, in the risk analyses for citrus from Egypt, truss tomatoes from the Netherlands, sweet oranges from Italy, table grapes from Chile and persimmons from Japan, Korea and Israel </w:t>
      </w:r>
      <w:r>
        <w:rPr>
          <w:noProof/>
        </w:rPr>
        <w:t>(Biosecurity Australia 2002, 2005b, a; DAFF 2003, 2004)</w:t>
      </w:r>
      <w:r w:rsidRPr="00E400E4">
        <w:t xml:space="preserve">. In those existing risk analyses, the unrestricted risk estimate for </w:t>
      </w:r>
      <w:r w:rsidRPr="00E400E4">
        <w:rPr>
          <w:i/>
        </w:rPr>
        <w:t xml:space="preserve">C. capitata </w:t>
      </w:r>
      <w:r w:rsidRPr="00E400E4">
        <w:t>was uniformly assessed as not achieving the ALOP for Australia. Therefore, specific risk management measures are required for this pest on those pathways.</w:t>
      </w:r>
    </w:p>
    <w:p w:rsidR="00555918" w:rsidRPr="00E400E4" w:rsidRDefault="00555918" w:rsidP="000B1771">
      <w:r w:rsidRPr="00E400E4">
        <w:t xml:space="preserve">The department has assessed the factors affecting the likelihood of importation of </w:t>
      </w:r>
      <w:r w:rsidRPr="00E400E4">
        <w:rPr>
          <w:i/>
        </w:rPr>
        <w:t>C. capitata</w:t>
      </w:r>
      <w:r w:rsidRPr="00E400E4">
        <w:t xml:space="preserve"> on avocados from Chile as being similar to the previous assessment of Low for </w:t>
      </w:r>
      <w:r w:rsidRPr="00E400E4">
        <w:rPr>
          <w:i/>
        </w:rPr>
        <w:t>C. capitata</w:t>
      </w:r>
      <w:r w:rsidRPr="00E400E4">
        <w:t xml:space="preserve"> in the risk analysis for table grapes from Chile </w:t>
      </w:r>
      <w:r>
        <w:rPr>
          <w:noProof/>
        </w:rPr>
        <w:t>(Biosecurity Australia 2005b)</w:t>
      </w:r>
      <w:r w:rsidRPr="00E400E4">
        <w:t xml:space="preserve">. The association of </w:t>
      </w:r>
      <w:r w:rsidRPr="00E400E4">
        <w:rPr>
          <w:i/>
        </w:rPr>
        <w:t>C. capitata</w:t>
      </w:r>
      <w:r w:rsidRPr="00E400E4">
        <w:t xml:space="preserve"> with avocado fruit is not considered to be greater than its association with table grapes from Chile. Additionally, the distribution and incidence of </w:t>
      </w:r>
      <w:r w:rsidRPr="00E400E4">
        <w:rPr>
          <w:i/>
        </w:rPr>
        <w:t>C. capitata</w:t>
      </w:r>
      <w:r w:rsidRPr="00E400E4">
        <w:t xml:space="preserve"> in Chile has not changed since the prevalence of </w:t>
      </w:r>
      <w:r w:rsidRPr="00E400E4">
        <w:rPr>
          <w:i/>
        </w:rPr>
        <w:t>C. capitata</w:t>
      </w:r>
      <w:r w:rsidRPr="00E400E4">
        <w:t xml:space="preserve"> in Chile was assessed in the risk analysis for table grapes. For these reasons, the likelihood of importation of </w:t>
      </w:r>
      <w:r w:rsidRPr="00E400E4">
        <w:rPr>
          <w:i/>
        </w:rPr>
        <w:t>C. capitata</w:t>
      </w:r>
      <w:r w:rsidRPr="00E400E4">
        <w:t xml:space="preserve"> on avocados from Chile is assessed as Low.</w:t>
      </w:r>
    </w:p>
    <w:p w:rsidR="00555918" w:rsidRPr="00E400E4" w:rsidRDefault="00555918" w:rsidP="000B1771">
      <w:r w:rsidRPr="00E400E4">
        <w:rPr>
          <w:i/>
        </w:rPr>
        <w:t>Ceratitis capitata</w:t>
      </w:r>
      <w:r w:rsidRPr="00E400E4">
        <w:t xml:space="preserve"> has a wide host range </w:t>
      </w:r>
      <w:r>
        <w:rPr>
          <w:noProof/>
        </w:rPr>
        <w:t>(Mau &amp; Martin Kessing 2007a)</w:t>
      </w:r>
      <w:r w:rsidRPr="00E400E4">
        <w:t xml:space="preserve"> and host material is likely to be available all year in Australia. The likelihood of distribution of </w:t>
      </w:r>
      <w:r w:rsidRPr="00E400E4">
        <w:rPr>
          <w:i/>
        </w:rPr>
        <w:t>C. capitata</w:t>
      </w:r>
      <w:r w:rsidRPr="00E400E4">
        <w:t xml:space="preserve"> on avocados from Chile is considered similar to the previous assessment of Moderate for other commodity/country pathways including table grapes from Chile </w:t>
      </w:r>
      <w:r>
        <w:rPr>
          <w:noProof/>
        </w:rPr>
        <w:t>(Biosecurity Australia 2005b)</w:t>
      </w:r>
      <w:r w:rsidRPr="00E400E4">
        <w:t>, since avocados from Chile are expected to be distributed in Australia in a similar way to the commodities assessed previously, and host material is likely to be available all year in Australia.</w:t>
      </w:r>
    </w:p>
    <w:p w:rsidR="00555918" w:rsidRPr="00E400E4" w:rsidRDefault="00555918" w:rsidP="000B1771">
      <w:r w:rsidRPr="00E400E4">
        <w:t xml:space="preserve">The likelihoods of establishment and spread of </w:t>
      </w:r>
      <w:r w:rsidRPr="00E400E4">
        <w:rPr>
          <w:i/>
        </w:rPr>
        <w:t>C. capitata</w:t>
      </w:r>
      <w:r w:rsidRPr="00E400E4">
        <w:t xml:space="preserve"> in Australia are independent of the import pathway and are considered similar to those for </w:t>
      </w:r>
      <w:r w:rsidRPr="00E400E4">
        <w:rPr>
          <w:i/>
        </w:rPr>
        <w:t>C. capitata</w:t>
      </w:r>
      <w:r w:rsidRPr="00E400E4">
        <w:t xml:space="preserve"> from other commodity/country pathways assessed previously, including table grapes from Chile </w:t>
      </w:r>
      <w:r>
        <w:rPr>
          <w:noProof/>
        </w:rPr>
        <w:t>(Biosecurity Australia 2005b)</w:t>
      </w:r>
      <w:r w:rsidRPr="00E400E4">
        <w:t xml:space="preserve">. These likelihoods relate specifically to events that occur in Australia, and are principally independent of the import pathway. The ratings from previous assessments, and those assigned here for avocados from Chile for the likelihood of establishment is High, and for the likelihood of spread is Moderate. The consequences of the entry, establishment and spread of </w:t>
      </w:r>
      <w:r w:rsidRPr="00E400E4">
        <w:rPr>
          <w:i/>
        </w:rPr>
        <w:t>C. capitata</w:t>
      </w:r>
      <w:r w:rsidRPr="00E400E4">
        <w:t xml:space="preserve"> in Australia are also independent of the import pathway and have been assessed as High. </w:t>
      </w:r>
    </w:p>
    <w:p w:rsidR="00555918" w:rsidRPr="00E400E4" w:rsidRDefault="00555918" w:rsidP="000B1771">
      <w:r w:rsidRPr="00E400E4">
        <w:t xml:space="preserve">In addition, the department has reviewed the latest literature on </w:t>
      </w:r>
      <w:r w:rsidRPr="00E400E4">
        <w:rPr>
          <w:i/>
        </w:rPr>
        <w:t>C. capitata</w:t>
      </w:r>
      <w:r w:rsidRPr="00E400E4">
        <w:t xml:space="preserve">—for example, </w:t>
      </w:r>
      <w:r>
        <w:rPr>
          <w:noProof/>
        </w:rPr>
        <w:t>Hill et al. (2016)</w:t>
      </w:r>
      <w:r w:rsidRPr="00E400E4">
        <w:t xml:space="preserve">, </w:t>
      </w:r>
      <w:r>
        <w:rPr>
          <w:noProof/>
        </w:rPr>
        <w:t>Szyniszewska and Tatem (2014)</w:t>
      </w:r>
      <w:r w:rsidRPr="00E400E4">
        <w:t xml:space="preserve">, </w:t>
      </w:r>
      <w:r>
        <w:rPr>
          <w:noProof/>
        </w:rPr>
        <w:t>Liquido et al. (2011)</w:t>
      </w:r>
      <w:r w:rsidRPr="00E400E4">
        <w:t xml:space="preserve">, </w:t>
      </w:r>
      <w:r>
        <w:rPr>
          <w:noProof/>
        </w:rPr>
        <w:t>McInnis et al. (2017)</w:t>
      </w:r>
      <w:r w:rsidRPr="00E400E4">
        <w:t xml:space="preserve"> and </w:t>
      </w:r>
      <w:r>
        <w:rPr>
          <w:noProof/>
        </w:rPr>
        <w:t>Kilic and Demirel (2018)</w:t>
      </w:r>
      <w:r w:rsidRPr="00E400E4">
        <w:t xml:space="preserve">. No new information has been identified that would significantly change the assessments of risk ratings for importation, distribution, establishment, spread or consequences, as set out for </w:t>
      </w:r>
      <w:r w:rsidRPr="00E400E4">
        <w:rPr>
          <w:i/>
        </w:rPr>
        <w:t>C. capitata</w:t>
      </w:r>
      <w:r w:rsidRPr="00E400E4">
        <w:t xml:space="preserve"> in existing risk analyses.</w:t>
      </w:r>
    </w:p>
    <w:p w:rsidR="00555918" w:rsidRPr="00E400E4" w:rsidRDefault="00555918" w:rsidP="000B1771">
      <w:r w:rsidRPr="00E400E4">
        <w:lastRenderedPageBreak/>
        <w:t xml:space="preserve">The likelihood of importation for </w:t>
      </w:r>
      <w:r w:rsidRPr="00E400E4">
        <w:rPr>
          <w:i/>
        </w:rPr>
        <w:t>C. capitata</w:t>
      </w:r>
      <w:r w:rsidRPr="00E400E4">
        <w:t xml:space="preserve"> on avocados from Chile was rated as Low, while the likelihoods of distribution and spread were rated as Moderate and the likelihood of establishment as well as the consequences of entry, establishment and spread were rated as High. When these likelihood and consequences ratings are combined using the rules presented in </w:t>
      </w:r>
      <w:r w:rsidRPr="00E400E4">
        <w:fldChar w:fldCharType="begin"/>
      </w:r>
      <w:r w:rsidRPr="00E400E4">
        <w:instrText xml:space="preserve"> REF _Ref457826328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2</w:t>
      </w:r>
      <w:r w:rsidRPr="00E400E4">
        <w:fldChar w:fldCharType="end"/>
      </w:r>
      <w:r w:rsidRPr="00E400E4">
        <w:t xml:space="preserve"> and </w:t>
      </w:r>
      <w:r w:rsidRPr="00E400E4">
        <w:fldChar w:fldCharType="begin"/>
      </w:r>
      <w:r w:rsidRPr="00E400E4">
        <w:instrText xml:space="preserve"> REF _Ref457826369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5</w:t>
      </w:r>
      <w:r w:rsidRPr="00E400E4">
        <w:fldChar w:fldCharType="end"/>
      </w:r>
      <w:r w:rsidRPr="00E400E4">
        <w:t xml:space="preserve">, the unrestricted risk is determined to be Moderate. All likelihood and the consequences ratings are set out in </w:t>
      </w:r>
      <w:r w:rsidRPr="00E400E4">
        <w:fldChar w:fldCharType="begin"/>
      </w:r>
      <w:r w:rsidRPr="00E400E4">
        <w:instrText xml:space="preserve"> REF _Ref527374592 \h  \* MERGEFORMAT </w:instrText>
      </w:r>
      <w:r w:rsidRPr="00E400E4">
        <w:fldChar w:fldCharType="separate"/>
      </w:r>
      <w:r w:rsidR="006C029B" w:rsidRPr="00E400E4">
        <w:t xml:space="preserve">Table </w:t>
      </w:r>
      <w:r w:rsidR="006C029B">
        <w:rPr>
          <w:noProof/>
        </w:rPr>
        <w:t>4</w:t>
      </w:r>
      <w:r w:rsidR="006C029B" w:rsidRPr="00E400E4">
        <w:rPr>
          <w:noProof/>
        </w:rPr>
        <w:t>.</w:t>
      </w:r>
      <w:r w:rsidR="006C029B">
        <w:rPr>
          <w:noProof/>
        </w:rPr>
        <w:t>5</w:t>
      </w:r>
      <w:r w:rsidRPr="00E400E4">
        <w:fldChar w:fldCharType="end"/>
      </w:r>
      <w:r w:rsidRPr="00E400E4">
        <w:t>.</w:t>
      </w:r>
    </w:p>
    <w:p w:rsidR="00555918" w:rsidRPr="00E400E4" w:rsidRDefault="00555918" w:rsidP="000B1771">
      <w:pPr>
        <w:keepNext/>
        <w:rPr>
          <w:b/>
        </w:rPr>
      </w:pPr>
      <w:r w:rsidRPr="00E400E4">
        <w:rPr>
          <w:b/>
        </w:rPr>
        <w:t>Unrestricted risk estimate</w:t>
      </w:r>
    </w:p>
    <w:p w:rsidR="00555918" w:rsidRPr="00E400E4" w:rsidRDefault="00555918" w:rsidP="000B1771">
      <w:r w:rsidRPr="00E400E4">
        <w:t xml:space="preserve">The unrestricted risk estimate for </w:t>
      </w:r>
      <w:r w:rsidRPr="00E400E4">
        <w:rPr>
          <w:i/>
        </w:rPr>
        <w:t>Ceratitis capitata</w:t>
      </w:r>
      <w:r w:rsidRPr="00E400E4">
        <w:t xml:space="preserve"> from the avocados from Chile pathway is assessed as Moderate, which is identical to the outcomes of previous assessments, and which does not achieve the ALOP for Australia. Therefore, specific risk management measures are required for this pest.</w:t>
      </w:r>
      <w:r w:rsidRPr="00E400E4">
        <w:br w:type="page"/>
      </w:r>
    </w:p>
    <w:p w:rsidR="00555918" w:rsidRPr="00E400E4" w:rsidRDefault="00555918" w:rsidP="000B1771">
      <w:pPr>
        <w:pStyle w:val="Heading3"/>
      </w:pPr>
      <w:bookmarkStart w:id="110" w:name="_Toc20392244"/>
      <w:r w:rsidRPr="00E400E4">
        <w:lastRenderedPageBreak/>
        <w:t>Armoured scales</w:t>
      </w:r>
      <w:bookmarkEnd w:id="110"/>
    </w:p>
    <w:p w:rsidR="00555918" w:rsidRPr="00E400E4" w:rsidRDefault="00555918" w:rsidP="000B1771">
      <w:pPr>
        <w:pStyle w:val="Heading4"/>
        <w:numPr>
          <w:ilvl w:val="0"/>
          <w:numId w:val="0"/>
        </w:numPr>
      </w:pPr>
      <w:r w:rsidRPr="00E400E4">
        <w:rPr>
          <w:i/>
        </w:rPr>
        <w:t>Chrysomphalus dictyospermi</w:t>
      </w:r>
      <w:r w:rsidRPr="00E400E4">
        <w:t xml:space="preserve"> (EP, WA), </w:t>
      </w:r>
      <w:r w:rsidRPr="00E400E4">
        <w:rPr>
          <w:i/>
        </w:rPr>
        <w:t>Fiorinia fioriniae</w:t>
      </w:r>
      <w:r w:rsidRPr="00E400E4">
        <w:t xml:space="preserve"> (WA), </w:t>
      </w:r>
      <w:r w:rsidRPr="00E400E4">
        <w:rPr>
          <w:i/>
        </w:rPr>
        <w:t>Hemiberlesia cyanophylli</w:t>
      </w:r>
      <w:r w:rsidRPr="00E400E4">
        <w:t xml:space="preserve"> (EP, WA), </w:t>
      </w:r>
      <w:r w:rsidRPr="00E400E4">
        <w:rPr>
          <w:i/>
        </w:rPr>
        <w:t>H. latastei</w:t>
      </w:r>
      <w:r w:rsidRPr="00E400E4">
        <w:t xml:space="preserve">, </w:t>
      </w:r>
      <w:r w:rsidRPr="00E400E4">
        <w:rPr>
          <w:i/>
        </w:rPr>
        <w:t>Pinnaspis aspidistrae</w:t>
      </w:r>
      <w:r w:rsidRPr="00E400E4">
        <w:t xml:space="preserve"> (EP, WA) and </w:t>
      </w:r>
      <w:r w:rsidRPr="00E400E4">
        <w:rPr>
          <w:i/>
        </w:rPr>
        <w:t>Unaspis citri</w:t>
      </w:r>
      <w:r w:rsidRPr="00E400E4">
        <w:t xml:space="preserve"> (EP, WA)</w:t>
      </w:r>
    </w:p>
    <w:p w:rsidR="00555918" w:rsidRPr="00E400E4" w:rsidRDefault="00555918" w:rsidP="000B1771">
      <w:r w:rsidRPr="00E400E4">
        <w:rPr>
          <w:i/>
        </w:rPr>
        <w:t>Chrysomphalus dictyospermi</w:t>
      </w:r>
      <w:r w:rsidRPr="00E400E4">
        <w:t xml:space="preserve">, </w:t>
      </w:r>
      <w:r w:rsidRPr="00E400E4">
        <w:rPr>
          <w:i/>
        </w:rPr>
        <w:t>Fiorinia fioriniae</w:t>
      </w:r>
      <w:r w:rsidRPr="00E400E4">
        <w:t xml:space="preserve">, </w:t>
      </w:r>
      <w:r w:rsidRPr="00E400E4">
        <w:rPr>
          <w:i/>
        </w:rPr>
        <w:t>Hemiberlesia cyanophylli</w:t>
      </w:r>
      <w:r w:rsidRPr="00E400E4">
        <w:t xml:space="preserve">, </w:t>
      </w:r>
      <w:r w:rsidRPr="00E400E4">
        <w:rPr>
          <w:i/>
        </w:rPr>
        <w:t>H. latastei</w:t>
      </w:r>
      <w:r w:rsidRPr="00E400E4">
        <w:t xml:space="preserve">, </w:t>
      </w:r>
      <w:r w:rsidRPr="00E400E4">
        <w:rPr>
          <w:i/>
        </w:rPr>
        <w:t>Pinnaspis aspidistrae</w:t>
      </w:r>
      <w:r w:rsidRPr="00E400E4">
        <w:t xml:space="preserve"> and </w:t>
      </w:r>
      <w:r w:rsidRPr="00E400E4">
        <w:rPr>
          <w:i/>
        </w:rPr>
        <w:t>Unaspis citri</w:t>
      </w:r>
      <w:r w:rsidRPr="00E400E4">
        <w:t xml:space="preserve"> belong to the Diaspididae or ‘armoured scale’ family. They have been grouped together because of their related biologies and taxonomies, on the bases of which they are predicted to pose similar risks and require similar risk mitigation measures. In this assessment, the term ‘armoured scale’ is used to refer to these six species. Scientific names are used when the information refers to an individual species.</w:t>
      </w:r>
    </w:p>
    <w:p w:rsidR="00555918" w:rsidRPr="00E400E4" w:rsidRDefault="00555918" w:rsidP="000B1771">
      <w:r w:rsidRPr="00E400E4">
        <w:rPr>
          <w:i/>
        </w:rPr>
        <w:t>Chrysomphalus dictyospermi</w:t>
      </w:r>
      <w:r w:rsidRPr="00E400E4">
        <w:t xml:space="preserve">, </w:t>
      </w:r>
      <w:r w:rsidRPr="00E400E4">
        <w:rPr>
          <w:i/>
        </w:rPr>
        <w:t>Fiorinia fioriniae</w:t>
      </w:r>
      <w:r w:rsidRPr="00E400E4">
        <w:t xml:space="preserve">, </w:t>
      </w:r>
      <w:r w:rsidRPr="00E400E4">
        <w:rPr>
          <w:i/>
        </w:rPr>
        <w:t>Hemiberlesia cyanophylli</w:t>
      </w:r>
      <w:r w:rsidRPr="00E400E4">
        <w:t xml:space="preserve">, </w:t>
      </w:r>
      <w:r w:rsidRPr="00E400E4">
        <w:rPr>
          <w:i/>
        </w:rPr>
        <w:t>Pinnaspis aspidistrae</w:t>
      </w:r>
      <w:r w:rsidRPr="00E400E4">
        <w:t xml:space="preserve"> and </w:t>
      </w:r>
      <w:r w:rsidRPr="00E400E4">
        <w:rPr>
          <w:i/>
        </w:rPr>
        <w:t>Unaspis citri</w:t>
      </w:r>
      <w:r w:rsidRPr="00E400E4">
        <w:t xml:space="preserve"> are not present in Western Australia and are pests of regional concern for that state </w:t>
      </w:r>
      <w:r>
        <w:rPr>
          <w:noProof/>
        </w:rPr>
        <w:t>(Government of Western Australia 2019)</w:t>
      </w:r>
      <w:r w:rsidRPr="00E400E4">
        <w:t>.</w:t>
      </w:r>
    </w:p>
    <w:p w:rsidR="00555918" w:rsidRPr="00E400E4" w:rsidRDefault="00555918" w:rsidP="000B1771">
      <w:r w:rsidRPr="00E400E4">
        <w:t>Various armoured scale species, including four of the species assessed here, have been assessed previously in a number of risk analyses—for example, in the risk analyses</w:t>
      </w:r>
      <w:r w:rsidRPr="00E400E4" w:rsidDel="001D00E2">
        <w:t xml:space="preserve"> </w:t>
      </w:r>
      <w:r w:rsidRPr="00E400E4">
        <w:t xml:space="preserve">for mangoes from India, mangoes from Taiwan, decrowned pineapples from Malaysia, sweet oranges from Italy, Tahitian limes from New Caledonia and mangoes from Indonesia, Thailand and Vietnam </w:t>
      </w:r>
      <w:r>
        <w:rPr>
          <w:noProof/>
        </w:rPr>
        <w:t>(Biosecurity Australia 2005a, 2006a, 2006b, 2008a; DAFF 2012a; Department of Agriculture and Water Resources 2015)</w:t>
      </w:r>
      <w:r w:rsidRPr="00E400E4">
        <w:t xml:space="preserve">. </w:t>
      </w:r>
    </w:p>
    <w:p w:rsidR="00555918" w:rsidRPr="00E400E4" w:rsidRDefault="00555918" w:rsidP="000B1771">
      <w:r w:rsidRPr="00E400E4">
        <w:t xml:space="preserve">In those risk analyses, minor differences in individual risk ratings for armoured scales are present, but the final unrestricted risk estimates have all been assessed as achieving the ALOP for Australia. Therefore, specific risk management measures are not required for these pests on those pathways. </w:t>
      </w:r>
    </w:p>
    <w:p w:rsidR="00555918" w:rsidRPr="00E400E4" w:rsidRDefault="00555918" w:rsidP="000B1771">
      <w:r w:rsidRPr="00E400E4">
        <w:t xml:space="preserve">As described in Section </w:t>
      </w:r>
      <w:r w:rsidRPr="00E400E4">
        <w:fldChar w:fldCharType="begin"/>
      </w:r>
      <w:r w:rsidRPr="00E400E4">
        <w:instrText xml:space="preserve"> REF _Ref522096142 \r \h  \* MERGEFORMAT </w:instrText>
      </w:r>
      <w:r w:rsidRPr="00E400E4">
        <w:fldChar w:fldCharType="separate"/>
      </w:r>
      <w:r w:rsidR="006C029B">
        <w:t>4.2.1</w:t>
      </w:r>
      <w:r w:rsidRPr="00E400E4">
        <w:fldChar w:fldCharType="end"/>
      </w:r>
      <w:r w:rsidRPr="00E400E4">
        <w:t>, the department has assessed the factors affecting the likelihood of importation of armoured scales on avocados from Chile as being similar to those that have resulted in the previous assessments of High for the import pathways assessed previously. In the current analysis, armoured scales are considered to be associated with avocados in Chile, and able to survive the packing house procedures in Chile as well as transport from Chile to Australia.</w:t>
      </w:r>
    </w:p>
    <w:p w:rsidR="00555918" w:rsidRPr="00E400E4" w:rsidRDefault="00555918" w:rsidP="000B1771">
      <w:r w:rsidRPr="00E400E4">
        <w:t>The abilities of all species of armoured scales to disperse are effectively identical. The likelihoods of distribution of armoured scales from avocados from Chile are considered similar to those of armoured scales from other commodities assessed previously, since avocados from Chile are expected to be distributed in Australia in a similar way to those commodities, and host material is likely to be available all year in Australia. In each instance, the likelihood of distribution is assessed as Low.</w:t>
      </w:r>
    </w:p>
    <w:p w:rsidR="00555918" w:rsidRPr="00E400E4" w:rsidRDefault="00555918" w:rsidP="000B1771">
      <w:r w:rsidRPr="00E400E4">
        <w:t>The likelihoods of establishment and spread of armoured scales in Australia are considered similar to those for armoured scales from other commodities assessed previously. These likelihoods relate specifically to events that occur in Australia, and are principally independent of the import pathway. The likelihoods of establishment and of spread for armoured scales from avocados from Chile are therefore assessed as High and Moderate respectively. The consequences of the entry, establishment and spread of armoured scales in Australia are also independent of the import pathway and are assessed as Low.</w:t>
      </w:r>
    </w:p>
    <w:p w:rsidR="00555918" w:rsidRPr="00E400E4" w:rsidRDefault="00555918" w:rsidP="000B1771">
      <w:r w:rsidRPr="00E400E4">
        <w:lastRenderedPageBreak/>
        <w:t xml:space="preserve">In addition, the department has reviewed the latest literature on armoured scales—for example, Stocks and Evans </w:t>
      </w:r>
      <w:r>
        <w:rPr>
          <w:noProof/>
        </w:rPr>
        <w:t>(2017)</w:t>
      </w:r>
      <w:r w:rsidRPr="00E400E4">
        <w:t xml:space="preserve">, Kondo and Muñoz </w:t>
      </w:r>
      <w:r>
        <w:rPr>
          <w:noProof/>
        </w:rPr>
        <w:t>(2016)</w:t>
      </w:r>
      <w:r w:rsidRPr="00E400E4">
        <w:t xml:space="preserve">, </w:t>
      </w:r>
      <w:r>
        <w:rPr>
          <w:noProof/>
        </w:rPr>
        <w:t>Bayındır and Birgücü (2016)</w:t>
      </w:r>
      <w:r w:rsidRPr="00E400E4">
        <w:t xml:space="preserve"> and Suh </w:t>
      </w:r>
      <w:r>
        <w:rPr>
          <w:noProof/>
        </w:rPr>
        <w:t>(2016)</w:t>
      </w:r>
      <w:r w:rsidRPr="00E400E4">
        <w:t>. No new information has been identified that would significantly change the assessments of risk ratings for importation, distribution, establishment, spread or consequences, as set out for armoured scales in existing risk analyses.</w:t>
      </w:r>
    </w:p>
    <w:p w:rsidR="00555918" w:rsidRPr="00E400E4" w:rsidRDefault="00555918" w:rsidP="000B1771">
      <w:r w:rsidRPr="00E400E4">
        <w:t xml:space="preserve">All ratings for the likelihoods of entry, establishment and spread, and the rating for the overall consequences are set out in </w:t>
      </w:r>
      <w:r w:rsidRPr="00E400E4">
        <w:fldChar w:fldCharType="begin"/>
      </w:r>
      <w:r w:rsidRPr="00E400E4">
        <w:instrText xml:space="preserve"> REF _Ref527374592 \h  \* MERGEFORMAT </w:instrText>
      </w:r>
      <w:r w:rsidRPr="00E400E4">
        <w:fldChar w:fldCharType="separate"/>
      </w:r>
      <w:r w:rsidR="006C029B" w:rsidRPr="00E400E4">
        <w:t xml:space="preserve">Table </w:t>
      </w:r>
      <w:r w:rsidR="006C029B">
        <w:rPr>
          <w:noProof/>
        </w:rPr>
        <w:t>4</w:t>
      </w:r>
      <w:r w:rsidR="006C029B" w:rsidRPr="00E400E4">
        <w:rPr>
          <w:noProof/>
        </w:rPr>
        <w:t>.</w:t>
      </w:r>
      <w:r w:rsidR="006C029B">
        <w:rPr>
          <w:noProof/>
        </w:rPr>
        <w:t>5</w:t>
      </w:r>
      <w:r w:rsidRPr="00E400E4">
        <w:fldChar w:fldCharType="end"/>
      </w:r>
      <w:r w:rsidRPr="00E400E4">
        <w:t>.</w:t>
      </w:r>
    </w:p>
    <w:p w:rsidR="00555918" w:rsidRPr="00E400E4" w:rsidRDefault="00555918" w:rsidP="000B1771">
      <w:pPr>
        <w:pStyle w:val="Heading4"/>
      </w:pPr>
      <w:bookmarkStart w:id="111" w:name="_Ref522096142"/>
      <w:r w:rsidRPr="00E400E4">
        <w:t>Likelihood of entry</w:t>
      </w:r>
      <w:bookmarkEnd w:id="111"/>
    </w:p>
    <w:p w:rsidR="00555918" w:rsidRPr="00E400E4" w:rsidRDefault="00555918" w:rsidP="000B1771">
      <w:r w:rsidRPr="00E400E4">
        <w:t>The likelihood of entry is considered in two parts, the likelihood of importation and the likelihood of distribution, which consider pre-border and post-border issues, respectively.</w:t>
      </w:r>
    </w:p>
    <w:p w:rsidR="00555918" w:rsidRPr="00E400E4" w:rsidRDefault="00555918" w:rsidP="000B1771">
      <w:pPr>
        <w:pStyle w:val="Heading5"/>
      </w:pPr>
      <w:r w:rsidRPr="00E400E4">
        <w:t>Likelihood of importation</w:t>
      </w:r>
    </w:p>
    <w:p w:rsidR="00555918" w:rsidRPr="00E400E4" w:rsidRDefault="00555918" w:rsidP="000B1771">
      <w:r w:rsidRPr="00E400E4">
        <w:t xml:space="preserve">It is considered that the likelihoods of importation of </w:t>
      </w:r>
      <w:r w:rsidRPr="00E400E4">
        <w:rPr>
          <w:i/>
        </w:rPr>
        <w:t>Chrysomphalus dictyospermi</w:t>
      </w:r>
      <w:r w:rsidRPr="00E400E4">
        <w:t xml:space="preserve">, </w:t>
      </w:r>
      <w:r w:rsidRPr="00E400E4">
        <w:rPr>
          <w:i/>
        </w:rPr>
        <w:t>Hemiberlesia cyanophylli</w:t>
      </w:r>
      <w:r w:rsidRPr="00E400E4">
        <w:t xml:space="preserve">, </w:t>
      </w:r>
      <w:r w:rsidRPr="00E400E4">
        <w:rPr>
          <w:i/>
        </w:rPr>
        <w:t>Pinnaspis aspidistrae</w:t>
      </w:r>
      <w:r w:rsidRPr="00E400E4">
        <w:t xml:space="preserve"> and </w:t>
      </w:r>
      <w:r w:rsidRPr="00E400E4">
        <w:rPr>
          <w:i/>
        </w:rPr>
        <w:t>Unaspis citri</w:t>
      </w:r>
      <w:r w:rsidRPr="00E400E4">
        <w:t xml:space="preserve"> on avocados from Chile are similar to the assessments made for the same species of armoured scales in the risk analyses for mangoes from India, mangoes from Taiwan, decrowned pineapples from Malaysia, sweet oranges from Italy, Tahitian limes from New Caledonia and mangoes from Indonesia, Thailand and Vietnam, where the likelihoods were rated as High </w:t>
      </w:r>
      <w:r>
        <w:rPr>
          <w:noProof/>
        </w:rPr>
        <w:t>(Biosecurity Australia 2005a, 2006a, 2006b, 2008a; DAFF 2012a; Department of Agriculture and Water Resources 2015)</w:t>
      </w:r>
      <w:r w:rsidRPr="00E400E4">
        <w:t>. These armoured scale species are considered to be associated with avocados in Chile, and able to survive the packing house procedures in Chile as well as the transport from Chile to Australia. Therefore they are assigned an assessed likelihood of High for the pathway under consideration.</w:t>
      </w:r>
    </w:p>
    <w:p w:rsidR="00555918" w:rsidRPr="00E400E4" w:rsidRDefault="00555918" w:rsidP="000B1771">
      <w:r w:rsidRPr="00E400E4">
        <w:t xml:space="preserve">The rating of High is extended in this analysis to </w:t>
      </w:r>
      <w:r w:rsidRPr="00E400E4">
        <w:rPr>
          <w:i/>
        </w:rPr>
        <w:t>Fiorinia fioriniae</w:t>
      </w:r>
      <w:r w:rsidRPr="00E400E4">
        <w:t xml:space="preserve"> and </w:t>
      </w:r>
      <w:r w:rsidRPr="00E400E4">
        <w:rPr>
          <w:i/>
        </w:rPr>
        <w:t>Hemiberlesia latastei</w:t>
      </w:r>
      <w:r w:rsidRPr="00E400E4">
        <w:t xml:space="preserve"> on avocados from Chile for the following reasons:</w:t>
      </w:r>
    </w:p>
    <w:p w:rsidR="00555918" w:rsidRPr="00E400E4" w:rsidRDefault="00555918" w:rsidP="00555918">
      <w:pPr>
        <w:pStyle w:val="ListBullet"/>
        <w:numPr>
          <w:ilvl w:val="0"/>
          <w:numId w:val="7"/>
        </w:numPr>
      </w:pPr>
      <w:r w:rsidRPr="00E400E4">
        <w:t xml:space="preserve">Both </w:t>
      </w:r>
      <w:r w:rsidRPr="00E400E4">
        <w:rPr>
          <w:i/>
        </w:rPr>
        <w:t>Fiorinia fioriniae</w:t>
      </w:r>
      <w:r w:rsidRPr="00E400E4">
        <w:t xml:space="preserve"> and </w:t>
      </w:r>
      <w:r w:rsidRPr="00E400E4">
        <w:rPr>
          <w:i/>
        </w:rPr>
        <w:t>Hemiberlesia latastei</w:t>
      </w:r>
      <w:r w:rsidRPr="00E400E4">
        <w:t xml:space="preserve"> have effectively identical life histories to those of other armoured scale species, including those of the other four species identified in this pest risk assessment </w:t>
      </w:r>
      <w:r>
        <w:rPr>
          <w:noProof/>
        </w:rPr>
        <w:t>(Beardsley &amp; Gonzalez 1975; Buckley &amp; Hodges 2013; Watson 2016; Zamudio &amp; Claps 2005)</w:t>
      </w:r>
      <w:r w:rsidRPr="00E400E4">
        <w:t>.</w:t>
      </w:r>
    </w:p>
    <w:p w:rsidR="00555918" w:rsidRPr="00E400E4" w:rsidRDefault="00555918" w:rsidP="00555918">
      <w:pPr>
        <w:pStyle w:val="ListBullet"/>
        <w:numPr>
          <w:ilvl w:val="0"/>
          <w:numId w:val="7"/>
        </w:numPr>
      </w:pPr>
      <w:r w:rsidRPr="00E400E4">
        <w:t xml:space="preserve">Both </w:t>
      </w:r>
      <w:r w:rsidRPr="00E400E4">
        <w:rPr>
          <w:i/>
        </w:rPr>
        <w:t>Fiorinia fioriniae</w:t>
      </w:r>
      <w:r w:rsidRPr="00E400E4">
        <w:t xml:space="preserve"> and </w:t>
      </w:r>
      <w:r w:rsidRPr="00E400E4">
        <w:rPr>
          <w:i/>
        </w:rPr>
        <w:t>H. latastei</w:t>
      </w:r>
      <w:r w:rsidRPr="00E400E4">
        <w:t xml:space="preserve"> are present in Chile, known to be pests of avocado and known to infest fruit of their host plants </w:t>
      </w:r>
      <w:r>
        <w:rPr>
          <w:noProof/>
        </w:rPr>
        <w:t>(García Morales et al. 2019; Klein Koch &amp; Waterhouse 2000; Kondo &amp; Muñoz 2016; Peña et al. 2013; Vargas &amp; Rodríguez 2008b)</w:t>
      </w:r>
      <w:r w:rsidRPr="00E400E4">
        <w:t>.</w:t>
      </w:r>
    </w:p>
    <w:p w:rsidR="00555918" w:rsidRPr="00E400E4" w:rsidRDefault="00555918" w:rsidP="00555918">
      <w:pPr>
        <w:pStyle w:val="ListBullet"/>
        <w:numPr>
          <w:ilvl w:val="0"/>
          <w:numId w:val="7"/>
        </w:numPr>
      </w:pPr>
      <w:r w:rsidRPr="00E400E4">
        <w:t xml:space="preserve">All adult female armoured scales are sessile </w:t>
      </w:r>
      <w:r>
        <w:rPr>
          <w:noProof/>
        </w:rPr>
        <w:t>(Beardsley &amp; Gonzalez 1975)</w:t>
      </w:r>
      <w:r w:rsidRPr="00E400E4">
        <w:t xml:space="preserve">. Therefore, adult females of </w:t>
      </w:r>
      <w:r w:rsidRPr="00E400E4">
        <w:rPr>
          <w:i/>
        </w:rPr>
        <w:t>Fiorinia fioriniae</w:t>
      </w:r>
      <w:r w:rsidRPr="00E400E4">
        <w:t xml:space="preserve"> and </w:t>
      </w:r>
      <w:r w:rsidRPr="00E400E4">
        <w:rPr>
          <w:i/>
        </w:rPr>
        <w:t>H. latastei</w:t>
      </w:r>
      <w:r w:rsidRPr="00E400E4">
        <w:t xml:space="preserve"> can potentially be expected to attach to the surfaces of avocados in a similar way to armoured scale species assessed previously on other commodities, and thus be capable of remaining on avocados exported from Chile.</w:t>
      </w:r>
    </w:p>
    <w:p w:rsidR="00555918" w:rsidRPr="00E400E4" w:rsidRDefault="00555918" w:rsidP="00555918">
      <w:pPr>
        <w:pStyle w:val="ListBullet"/>
        <w:numPr>
          <w:ilvl w:val="0"/>
          <w:numId w:val="7"/>
        </w:numPr>
      </w:pPr>
      <w:r w:rsidRPr="00E400E4">
        <w:t xml:space="preserve">All feeding stages of armoured scales, as well as adult female armoured scales, produce a hard ‘scale’ covering </w:t>
      </w:r>
      <w:r>
        <w:rPr>
          <w:noProof/>
        </w:rPr>
        <w:t>(Beardsley &amp; Gonzalez 1975)</w:t>
      </w:r>
      <w:r w:rsidRPr="00E400E4">
        <w:t xml:space="preserve"> which can protect them from fruit cleaning processes. Therefore, it could be expected that, as for assessments of similar armoured scale species on import pathways assessed previously, </w:t>
      </w:r>
      <w:r w:rsidRPr="00E400E4">
        <w:rPr>
          <w:i/>
        </w:rPr>
        <w:t>Fiorinia fioriniae</w:t>
      </w:r>
      <w:r w:rsidRPr="00E400E4">
        <w:t xml:space="preserve"> and </w:t>
      </w:r>
      <w:r w:rsidRPr="00E400E4">
        <w:rPr>
          <w:i/>
        </w:rPr>
        <w:t>H. latastei</w:t>
      </w:r>
      <w:r w:rsidRPr="00E400E4">
        <w:t xml:space="preserve"> could survive on avocados from Chile through post-harvest processing and cleaning procedures.</w:t>
      </w:r>
    </w:p>
    <w:p w:rsidR="00555918" w:rsidRPr="00E400E4" w:rsidRDefault="00555918" w:rsidP="000B1771">
      <w:r w:rsidRPr="00E400E4">
        <w:t xml:space="preserve">For these reasons, </w:t>
      </w:r>
      <w:r w:rsidRPr="00E400E4">
        <w:rPr>
          <w:i/>
        </w:rPr>
        <w:t>Fiorinia fioriniae</w:t>
      </w:r>
      <w:r w:rsidRPr="00E400E4">
        <w:t xml:space="preserve"> and </w:t>
      </w:r>
      <w:r w:rsidRPr="00E400E4">
        <w:rPr>
          <w:i/>
        </w:rPr>
        <w:t>H. latastei</w:t>
      </w:r>
      <w:r w:rsidRPr="00E400E4">
        <w:t xml:space="preserve"> are considered similar to previously assessed armoured scales in all relevant biological aspects. The likelihoods of importation of </w:t>
      </w:r>
      <w:r w:rsidRPr="00E400E4">
        <w:rPr>
          <w:i/>
        </w:rPr>
        <w:t>Fiorinia fioriniae</w:t>
      </w:r>
      <w:r w:rsidRPr="00E400E4">
        <w:t xml:space="preserve"> and </w:t>
      </w:r>
      <w:r w:rsidRPr="00E400E4">
        <w:rPr>
          <w:i/>
        </w:rPr>
        <w:t>Hemiberlesia latastei</w:t>
      </w:r>
      <w:r w:rsidRPr="00E400E4">
        <w:t xml:space="preserve"> on avocados from Chile are therefore assessed as High. </w:t>
      </w:r>
    </w:p>
    <w:p w:rsidR="00555918" w:rsidRPr="00E400E4" w:rsidRDefault="00555918" w:rsidP="000B1771">
      <w:pPr>
        <w:pStyle w:val="Heading5"/>
      </w:pPr>
      <w:r w:rsidRPr="00E400E4">
        <w:lastRenderedPageBreak/>
        <w:t>Likelihood of distribution</w:t>
      </w:r>
    </w:p>
    <w:p w:rsidR="00555918" w:rsidRPr="00E400E4" w:rsidRDefault="00555918" w:rsidP="000B1771">
      <w:r w:rsidRPr="00E400E4">
        <w:t xml:space="preserve">Most armoured scale species, including the six species assessed here, have a wide host range </w:t>
      </w:r>
      <w:r>
        <w:rPr>
          <w:noProof/>
        </w:rPr>
        <w:t>(García Morales et al. 2019)</w:t>
      </w:r>
      <w:r w:rsidRPr="00E400E4">
        <w:t>, and host material is likely to be available all year in Australia. Therefore, similar to previous assessments of the same and similar armoured scale species on other import pathways, the time of year when importation occurs is not considered to affect the likelihood of distribution for these armoured scales in Australia. In addition, avocados from Chile are expected to be distributed in Australia in a similar way to the commodities assessed previously.</w:t>
      </w:r>
    </w:p>
    <w:p w:rsidR="00555918" w:rsidRPr="00E400E4" w:rsidRDefault="00555918" w:rsidP="000B1771">
      <w:r w:rsidRPr="00E400E4">
        <w:t xml:space="preserve">The only means of dispersal for armoured scales is the crawler stage—other nymphal stages and adult females of armoured scales are sessile, and adult males are weak and short-lived </w:t>
      </w:r>
      <w:r>
        <w:rPr>
          <w:noProof/>
        </w:rPr>
        <w:t>(Beardsley &amp; Gonzalez 1975)</w:t>
      </w:r>
      <w:r w:rsidRPr="00E400E4">
        <w:t>. Crawlers may be able to reach a nearby host from infested avocado waste, however, it is considered that the dispersal range would be short.</w:t>
      </w:r>
    </w:p>
    <w:p w:rsidR="00555918" w:rsidRPr="00E400E4" w:rsidRDefault="00555918" w:rsidP="000B1771">
      <w:r w:rsidRPr="00E400E4">
        <w:t xml:space="preserve">Previous assessments for the same or similar armoured scale species on mangoes from India, decrowned pineapples from Malaysia, sweet oranges from Italy and Tahitian limes from New Caledonia rated the likelihood of distribution as Low </w:t>
      </w:r>
      <w:r>
        <w:rPr>
          <w:noProof/>
        </w:rPr>
        <w:t>(Biosecurity Australia 2005a, 2006a, 2008a; DAFF 2012a)</w:t>
      </w:r>
      <w:r w:rsidRPr="00E400E4">
        <w:t>. The independence of the likelihood of distribution from the seasonal import window, together with the similarities in biological characteristics of the previously assessed armoured scales and those in this pest risk assessment, support the extension of the previously assessed likelihoods of distribution to this pest risk assessment. Therefore, the likelihoods of distribution of armoured scales on the avocados from Chile pathway are assessed as Low.</w:t>
      </w:r>
    </w:p>
    <w:p w:rsidR="00555918" w:rsidRPr="00E400E4" w:rsidRDefault="00555918" w:rsidP="000B1771">
      <w:pPr>
        <w:pStyle w:val="Heading5"/>
      </w:pPr>
      <w:r w:rsidRPr="00E400E4">
        <w:t>Overall likelihood of entry</w:t>
      </w:r>
    </w:p>
    <w:p w:rsidR="00555918" w:rsidRPr="00E400E4" w:rsidRDefault="00555918" w:rsidP="000B1771">
      <w:r w:rsidRPr="00E400E4">
        <w:t xml:space="preserve">The overall likelihood of entry is determined by combining the likelihood of importation with the likelihood of distribution, using the matrix of rules shown in </w:t>
      </w:r>
      <w:r w:rsidRPr="00E400E4">
        <w:fldChar w:fldCharType="begin"/>
      </w:r>
      <w:r w:rsidRPr="00E400E4">
        <w:instrText xml:space="preserve"> REF _Ref457826328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2</w:t>
      </w:r>
      <w:r w:rsidRPr="00E400E4">
        <w:fldChar w:fldCharType="end"/>
      </w:r>
      <w:r w:rsidRPr="00E400E4">
        <w:t>.</w:t>
      </w:r>
    </w:p>
    <w:p w:rsidR="00555918" w:rsidRPr="00E400E4" w:rsidRDefault="00555918" w:rsidP="000B1771">
      <w:r w:rsidRPr="00E400E4">
        <w:t>The likelihood that armoured scales will enter Australia as a result of trade in avocados from Chile, and be distributed in a viable state to a susceptible host, is assessed as Low.</w:t>
      </w:r>
    </w:p>
    <w:p w:rsidR="00555918" w:rsidRPr="00E400E4" w:rsidRDefault="00555918" w:rsidP="000B1771">
      <w:pPr>
        <w:pStyle w:val="Heading4"/>
      </w:pPr>
      <w:r w:rsidRPr="00E400E4">
        <w:t>Likelihood of establishment and spread</w:t>
      </w:r>
    </w:p>
    <w:p w:rsidR="00555918" w:rsidRPr="00E400E4" w:rsidRDefault="00555918" w:rsidP="000B1771">
      <w:r w:rsidRPr="00E400E4">
        <w:t xml:space="preserve">The likelihoods of establishment and of spread of armoured scales are independent of the import pathway, and are similar to those provided in all previous pest risk assessments for armoured scales, including the pest risk assessments for armoured scales in the risk analyses for mangoes from India, mangoes from Taiwan, decrowned pineapples from Malaysia, sweet oranges from Italy and Tahitian limes from New Caledonia </w:t>
      </w:r>
      <w:r>
        <w:rPr>
          <w:noProof/>
        </w:rPr>
        <w:t>(Biosecurity Australia 2005a, 2006a, 2006b, 2008a; DAFF 2012a)</w:t>
      </w:r>
      <w:r w:rsidRPr="00E400E4">
        <w:t>. The ratings from these previous assessments are:</w:t>
      </w:r>
    </w:p>
    <w:p w:rsidR="00555918" w:rsidRPr="00E400E4" w:rsidRDefault="00555918" w:rsidP="000B1771">
      <w:r w:rsidRPr="00E400E4">
        <w:t>Likelihood of establishment:</w:t>
      </w:r>
      <w:r w:rsidRPr="00E400E4">
        <w:tab/>
        <w:t>High</w:t>
      </w:r>
    </w:p>
    <w:p w:rsidR="00555918" w:rsidRPr="00E400E4" w:rsidRDefault="00555918" w:rsidP="000B1771">
      <w:r w:rsidRPr="00E400E4">
        <w:t>Likelihood of spread:</w:t>
      </w:r>
      <w:r w:rsidRPr="00E400E4">
        <w:tab/>
      </w:r>
      <w:r w:rsidRPr="00E400E4">
        <w:tab/>
        <w:t>Moderate</w:t>
      </w:r>
    </w:p>
    <w:p w:rsidR="00555918" w:rsidRPr="00E400E4" w:rsidRDefault="00555918" w:rsidP="000B1771">
      <w:pPr>
        <w:pStyle w:val="Heading4"/>
      </w:pPr>
      <w:r w:rsidRPr="00E400E4">
        <w:t>Overall likelihood of entry, establishment and spread</w:t>
      </w:r>
    </w:p>
    <w:p w:rsidR="00555918" w:rsidRPr="00E400E4" w:rsidRDefault="00555918" w:rsidP="000B1771">
      <w:r w:rsidRPr="00E400E4">
        <w:t xml:space="preserve">The overall likelihood of entry, establishment and spread is determined by combining the likelihoods of entry, establishment, and spread using the matrix of rules shown in </w:t>
      </w:r>
      <w:r w:rsidRPr="00E400E4">
        <w:fldChar w:fldCharType="begin"/>
      </w:r>
      <w:r w:rsidRPr="00E400E4">
        <w:instrText xml:space="preserve"> REF _Ref457826328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2</w:t>
      </w:r>
      <w:r w:rsidRPr="00E400E4">
        <w:fldChar w:fldCharType="end"/>
      </w:r>
      <w:r w:rsidRPr="00E400E4">
        <w:t>.</w:t>
      </w:r>
    </w:p>
    <w:p w:rsidR="00555918" w:rsidRPr="00E400E4" w:rsidRDefault="00555918" w:rsidP="000B1771">
      <w:r w:rsidRPr="00E400E4">
        <w:lastRenderedPageBreak/>
        <w:t>The likelihood that armoured scales will enter Australia as a result of trade in avocados from Chile, be distributed in a viable state to a susceptible host, establish in Australia, and subsequently spread within Australia is assessed as Low.</w:t>
      </w:r>
    </w:p>
    <w:p w:rsidR="00555918" w:rsidRPr="00E400E4" w:rsidRDefault="00555918" w:rsidP="000B1771">
      <w:pPr>
        <w:pStyle w:val="Heading4"/>
      </w:pPr>
      <w:r w:rsidRPr="00E400E4">
        <w:t>Consequences</w:t>
      </w:r>
    </w:p>
    <w:p w:rsidR="00555918" w:rsidRPr="00E400E4" w:rsidRDefault="00555918" w:rsidP="000B1771">
      <w:r w:rsidRPr="00E400E4">
        <w:t xml:space="preserve">It is considered that the consequences of entry, establishment and spread of armoured scales in Australia are independent of the import pathway, and are similar across pest risk assessments, including the risk analyses for mangoes from India, mangoes from Taiwan, decrowned pineapples from Malaysia, sweet oranges from Italy and Tahitian limes from New Caledonia </w:t>
      </w:r>
      <w:r>
        <w:rPr>
          <w:noProof/>
        </w:rPr>
        <w:t>(Biosecurity Australia 2005a, 2006a, 2006b, 2008a; DAFF 2012a)</w:t>
      </w:r>
      <w:r w:rsidRPr="00E400E4">
        <w:t xml:space="preserve">. The ratings for overall consequences for armoured scales in those previous risk analyses were Low. Therefore, the overall consequences for armoured scales from the avocados from Chile pathway is also assessed as Low. </w:t>
      </w:r>
    </w:p>
    <w:p w:rsidR="00555918" w:rsidRPr="00E400E4" w:rsidRDefault="00555918" w:rsidP="000B1771">
      <w:pPr>
        <w:pStyle w:val="Heading4"/>
      </w:pPr>
      <w:r w:rsidRPr="00E400E4">
        <w:t>Unrestricted risk estimate</w:t>
      </w:r>
    </w:p>
    <w:p w:rsidR="00555918" w:rsidRPr="00E400E4" w:rsidRDefault="00555918" w:rsidP="000B1771">
      <w:r w:rsidRPr="00E400E4">
        <w:t xml:space="preserve">Unrestricted risk is the result of combining the likelihood of entry, establishment and spread with the estimate of consequences. Likelihoods and consequences are combined using the risk estimation matrix shown in </w:t>
      </w:r>
      <w:r w:rsidRPr="00E400E4">
        <w:fldChar w:fldCharType="begin"/>
      </w:r>
      <w:r w:rsidRPr="00E400E4">
        <w:instrText xml:space="preserve"> REF _Ref457826369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5</w:t>
      </w:r>
      <w:r w:rsidRPr="00E400E4">
        <w:fldChar w:fldCharType="end"/>
      </w:r>
      <w:r w:rsidRPr="00E400E4">
        <w:t>.</w:t>
      </w:r>
    </w:p>
    <w:p w:rsidR="00555918" w:rsidRPr="00E400E4" w:rsidRDefault="00555918" w:rsidP="000B1771">
      <w:r w:rsidRPr="00E400E4">
        <w:t>The unrestricted risk estimates for armoured scales from the avocados from Chile pathway are assessed as Very Low, which is identical to the outcomes of previous assessments, and which achieves the ALOP for Australia. Therefore, no specific risk management measures are required for these pests.</w:t>
      </w:r>
    </w:p>
    <w:p w:rsidR="00555918" w:rsidRPr="00E400E4" w:rsidRDefault="00555918" w:rsidP="000B1771">
      <w:r w:rsidRPr="00E400E4">
        <w:br w:type="page"/>
      </w:r>
    </w:p>
    <w:p w:rsidR="00555918" w:rsidRPr="00E400E4" w:rsidRDefault="00555918" w:rsidP="000B1771">
      <w:pPr>
        <w:pStyle w:val="Heading3"/>
      </w:pPr>
      <w:bookmarkStart w:id="112" w:name="_Toc20392245"/>
      <w:r w:rsidRPr="00E400E4">
        <w:lastRenderedPageBreak/>
        <w:t>Grape mealybug</w:t>
      </w:r>
      <w:bookmarkEnd w:id="112"/>
    </w:p>
    <w:p w:rsidR="00555918" w:rsidRPr="00E400E4" w:rsidRDefault="00555918" w:rsidP="000B1771">
      <w:pPr>
        <w:pStyle w:val="Heading4"/>
        <w:numPr>
          <w:ilvl w:val="0"/>
          <w:numId w:val="0"/>
        </w:numPr>
      </w:pPr>
      <w:r w:rsidRPr="00E400E4">
        <w:rPr>
          <w:i/>
        </w:rPr>
        <w:t>Pseudococcus maritimus</w:t>
      </w:r>
      <w:r w:rsidRPr="00E400E4">
        <w:t xml:space="preserve"> (EP)</w:t>
      </w:r>
    </w:p>
    <w:p w:rsidR="00555918" w:rsidRPr="00E400E4" w:rsidRDefault="00555918" w:rsidP="000B1771">
      <w:r w:rsidRPr="00E400E4">
        <w:rPr>
          <w:i/>
        </w:rPr>
        <w:t>Pseudococcus maritimus</w:t>
      </w:r>
      <w:r w:rsidRPr="00E400E4">
        <w:t xml:space="preserve"> (grape mealybug) belongs to the Pseudococcidae or ‘mealybug’ family. </w:t>
      </w:r>
    </w:p>
    <w:p w:rsidR="00555918" w:rsidRPr="00E400E4" w:rsidRDefault="00555918" w:rsidP="000B1771">
      <w:r w:rsidRPr="00E400E4">
        <w:rPr>
          <w:i/>
        </w:rPr>
        <w:t>Pseudococcus maritimus</w:t>
      </w:r>
      <w:r w:rsidRPr="00E400E4">
        <w:t xml:space="preserve"> has been assessed previously in the risk analyses for table grapes from Chile, table grapes from China and stone fruit from the USA </w:t>
      </w:r>
      <w:r>
        <w:rPr>
          <w:noProof/>
        </w:rPr>
        <w:t>(Biosecurity Australia 2005b, 2010b, 2011)</w:t>
      </w:r>
      <w:r w:rsidRPr="00E400E4">
        <w:t xml:space="preserve">. </w:t>
      </w:r>
    </w:p>
    <w:p w:rsidR="00555918" w:rsidRPr="00E400E4" w:rsidRDefault="00555918" w:rsidP="000B1771">
      <w:r w:rsidRPr="00E400E4">
        <w:t xml:space="preserve">In each of those risk analyses, the unrestricted risk estimate for </w:t>
      </w:r>
      <w:r w:rsidRPr="00E400E4">
        <w:rPr>
          <w:i/>
        </w:rPr>
        <w:t>P. maritimus</w:t>
      </w:r>
      <w:r w:rsidRPr="00E400E4">
        <w:t xml:space="preserve"> was assessed as not achieving the ALOP for Australia. Therefore, specific risk management measures are required for this pest on those pathways.</w:t>
      </w:r>
    </w:p>
    <w:p w:rsidR="00555918" w:rsidRPr="00E400E4" w:rsidRDefault="00555918" w:rsidP="000B1771">
      <w:r w:rsidRPr="00E400E4">
        <w:t xml:space="preserve">Literature on the presence of </w:t>
      </w:r>
      <w:r w:rsidRPr="00E400E4">
        <w:rPr>
          <w:i/>
        </w:rPr>
        <w:t>P. maritimus</w:t>
      </w:r>
      <w:r w:rsidRPr="00E400E4">
        <w:t xml:space="preserve"> in Chile is contradictory. There are records and reports in the literature to suggest presence of this mealybug in Chile </w:t>
      </w:r>
      <w:r>
        <w:rPr>
          <w:noProof/>
        </w:rPr>
        <w:t>(García Morales et al. 2019; Gimpel &amp; Miller 1996; Klein Koch &amp; Waterhouse 2000; Quiros Manterola 1998)</w:t>
      </w:r>
      <w:r w:rsidRPr="00E400E4">
        <w:t xml:space="preserve">. However, some authors believe that earlier records of </w:t>
      </w:r>
      <w:r w:rsidRPr="00E400E4">
        <w:rPr>
          <w:i/>
        </w:rPr>
        <w:t>P. maritimus</w:t>
      </w:r>
      <w:r w:rsidRPr="00E400E4">
        <w:t xml:space="preserve"> in Chile may have been misidentifications, potentially of an undescribed </w:t>
      </w:r>
      <w:r w:rsidRPr="00E400E4">
        <w:rPr>
          <w:i/>
        </w:rPr>
        <w:t>Pseudococcus</w:t>
      </w:r>
      <w:r w:rsidRPr="00E400E4">
        <w:t xml:space="preserve"> species </w:t>
      </w:r>
      <w:r>
        <w:rPr>
          <w:noProof/>
        </w:rPr>
        <w:t>(Correa et al. 2011; Zaviezo et al. 2015)</w:t>
      </w:r>
      <w:r w:rsidRPr="00E400E4">
        <w:t xml:space="preserve">. SAG also claims that this mealybug is absent from Chile. </w:t>
      </w:r>
    </w:p>
    <w:p w:rsidR="00555918" w:rsidRPr="00E400E4" w:rsidRDefault="00555918" w:rsidP="000B1771">
      <w:r w:rsidRPr="00E400E4">
        <w:t xml:space="preserve">In recent years, two new species of </w:t>
      </w:r>
      <w:r w:rsidRPr="00E400E4">
        <w:rPr>
          <w:i/>
        </w:rPr>
        <w:t>Pseudococcus</w:t>
      </w:r>
      <w:r w:rsidRPr="00E400E4">
        <w:t xml:space="preserve">, </w:t>
      </w:r>
      <w:r w:rsidRPr="00E400E4">
        <w:rPr>
          <w:i/>
        </w:rPr>
        <w:t>Pseudococcus cribata</w:t>
      </w:r>
      <w:r w:rsidRPr="00E400E4">
        <w:t xml:space="preserve"> and </w:t>
      </w:r>
      <w:r w:rsidRPr="00E400E4">
        <w:rPr>
          <w:i/>
        </w:rPr>
        <w:t>Pseudococcus meridionalis</w:t>
      </w:r>
      <w:r w:rsidRPr="00E400E4">
        <w:t xml:space="preserve">, have been found in Chile </w:t>
      </w:r>
      <w:r>
        <w:rPr>
          <w:noProof/>
        </w:rPr>
        <w:t>(Correa et al. 2011; Correa et al. 2012)</w:t>
      </w:r>
      <w:r w:rsidRPr="00E400E4">
        <w:t xml:space="preserve">. These two species are quarantine pests for Australia, but an association with avocado plants has not been confirmed. Therefore, these species have not been assessed in this risk analysis. The department will continue to consider </w:t>
      </w:r>
      <w:r w:rsidRPr="00E400E4">
        <w:rPr>
          <w:i/>
        </w:rPr>
        <w:t>P. maritimus</w:t>
      </w:r>
      <w:r w:rsidRPr="00E400E4">
        <w:t xml:space="preserve"> as on the pathway for avocados from Chile until the pest status of this species, and the host range of recently detected related species, in Chile has been clarified. A</w:t>
      </w:r>
      <w:r>
        <w:t xml:space="preserve">ny mealybugs detected during on </w:t>
      </w:r>
      <w:r w:rsidRPr="00E400E4">
        <w:t>arrival inspection in Australia that are either quarantine pests for Australia or that cannot be identified to species level (for example immature stages) will require phytosanitary action.</w:t>
      </w:r>
    </w:p>
    <w:p w:rsidR="00555918" w:rsidRPr="00E400E4" w:rsidRDefault="00555918" w:rsidP="000B1771">
      <w:r w:rsidRPr="00E400E4">
        <w:t xml:space="preserve">The department has assessed the factors affecting the likelihood of importation of </w:t>
      </w:r>
      <w:r w:rsidRPr="00E400E4">
        <w:rPr>
          <w:i/>
        </w:rPr>
        <w:t>P. maritimus</w:t>
      </w:r>
      <w:r w:rsidRPr="00E400E4">
        <w:t xml:space="preserve"> on avocados from Chile as being similar to those resulting in the previous assessments of High for </w:t>
      </w:r>
      <w:r w:rsidRPr="00E400E4">
        <w:rPr>
          <w:i/>
        </w:rPr>
        <w:t>P. maritimus</w:t>
      </w:r>
      <w:r w:rsidRPr="00E400E4">
        <w:t xml:space="preserve"> in the risk analyses for table grapes from Chile, table grapes from China and stone fruit from the USA. In the current analysis, </w:t>
      </w:r>
      <w:r w:rsidRPr="00E400E4">
        <w:rPr>
          <w:i/>
        </w:rPr>
        <w:t>P. maritimus</w:t>
      </w:r>
      <w:r w:rsidRPr="00E400E4">
        <w:t xml:space="preserve"> is considered to be associated with avocados from Chile and able to survive the packing house procedures in Chile, as well as transport from Chile to Australia. Therefore the assessed likelihood of importation of </w:t>
      </w:r>
      <w:r w:rsidRPr="00E400E4">
        <w:rPr>
          <w:i/>
        </w:rPr>
        <w:t>P. maritimus</w:t>
      </w:r>
      <w:r w:rsidRPr="00E400E4">
        <w:t xml:space="preserve"> on the avocados from Chile pathway is High.</w:t>
      </w:r>
    </w:p>
    <w:p w:rsidR="00555918" w:rsidRPr="00E400E4" w:rsidRDefault="00555918" w:rsidP="000B1771">
      <w:r w:rsidRPr="00E400E4">
        <w:rPr>
          <w:i/>
        </w:rPr>
        <w:t>Pseudococcus maritimus</w:t>
      </w:r>
      <w:r w:rsidRPr="00E400E4">
        <w:t xml:space="preserve"> has a wide host range including host plants from over 40 families </w:t>
      </w:r>
      <w:r>
        <w:rPr>
          <w:noProof/>
        </w:rPr>
        <w:t>(García Morales et al. 2019)</w:t>
      </w:r>
      <w:r w:rsidRPr="00E400E4">
        <w:t xml:space="preserve">, and host material is likely to be available all year in Australia. The likelihood of distribution of </w:t>
      </w:r>
      <w:r w:rsidRPr="00E400E4">
        <w:rPr>
          <w:i/>
        </w:rPr>
        <w:t>P. maritimus</w:t>
      </w:r>
      <w:r w:rsidRPr="00E400E4">
        <w:t xml:space="preserve"> from avocados from Chile is considered similar to that for </w:t>
      </w:r>
      <w:r w:rsidRPr="00E400E4">
        <w:rPr>
          <w:i/>
        </w:rPr>
        <w:t>P. maritimus</w:t>
      </w:r>
      <w:r w:rsidRPr="00E400E4">
        <w:t xml:space="preserve"> from the commodity/country pathways assessed previously, since avocados from Chile are expected to be distributed in Australia in a similar way to those commodities, and host material is likely to be available all year in Australia. In each instance, the likelihood of distribution was assessed as Moderate.</w:t>
      </w:r>
    </w:p>
    <w:p w:rsidR="00555918" w:rsidRPr="00E400E4" w:rsidRDefault="00555918" w:rsidP="000B1771">
      <w:r w:rsidRPr="00E400E4">
        <w:t xml:space="preserve">The likelihoods of establishment and spread of </w:t>
      </w:r>
      <w:r w:rsidRPr="00E400E4">
        <w:rPr>
          <w:i/>
        </w:rPr>
        <w:t>P. maritimus</w:t>
      </w:r>
      <w:r w:rsidRPr="00E400E4">
        <w:t xml:space="preserve"> in Australia from the avocados from Chile pathway are considered similar to those for </w:t>
      </w:r>
      <w:r w:rsidRPr="00E400E4">
        <w:rPr>
          <w:i/>
        </w:rPr>
        <w:t>P. maritimus</w:t>
      </w:r>
      <w:r w:rsidRPr="00E400E4">
        <w:t xml:space="preserve"> in previous assessments. These likelihoods relate specifically to events that occur in Australia, and are principally independent </w:t>
      </w:r>
      <w:r w:rsidRPr="00E400E4">
        <w:lastRenderedPageBreak/>
        <w:t xml:space="preserve">of the import pathway. The likelihoods of establishment and of spread of </w:t>
      </w:r>
      <w:r w:rsidRPr="00E400E4">
        <w:rPr>
          <w:i/>
        </w:rPr>
        <w:t>P. maritimus</w:t>
      </w:r>
      <w:r w:rsidRPr="00E400E4">
        <w:t xml:space="preserve"> from avocados from Chile are both assessed as High. The consequences of the entry, establishment and spread of </w:t>
      </w:r>
      <w:r w:rsidRPr="00E400E4">
        <w:rPr>
          <w:i/>
        </w:rPr>
        <w:t>P. maritimus</w:t>
      </w:r>
      <w:r w:rsidRPr="00E400E4">
        <w:t xml:space="preserve"> in Australia are also independent of the import pathway and have been assessed as Low.</w:t>
      </w:r>
    </w:p>
    <w:p w:rsidR="00555918" w:rsidRPr="00E400E4" w:rsidRDefault="00555918" w:rsidP="000B1771">
      <w:r w:rsidRPr="00E400E4">
        <w:t xml:space="preserve">In addition, the department has reviewed the latest literature—for example, </w:t>
      </w:r>
      <w:r>
        <w:rPr>
          <w:noProof/>
        </w:rPr>
        <w:t>Fuchs et al. (2015)</w:t>
      </w:r>
      <w:r w:rsidRPr="00E400E4">
        <w:t xml:space="preserve">, </w:t>
      </w:r>
      <w:r>
        <w:rPr>
          <w:noProof/>
        </w:rPr>
        <w:t>Wallingford et al. (2015)</w:t>
      </w:r>
      <w:r w:rsidRPr="00E400E4">
        <w:t xml:space="preserve"> and </w:t>
      </w:r>
      <w:r>
        <w:rPr>
          <w:noProof/>
        </w:rPr>
        <w:t>Steffen et al. (2015)</w:t>
      </w:r>
      <w:r w:rsidRPr="00E400E4">
        <w:t xml:space="preserve">. No new information has been identified that would significantly change the assessments of risk ratings for importation, distribution, establishment, spread or consequences, as set out for </w:t>
      </w:r>
      <w:r w:rsidRPr="00E400E4">
        <w:rPr>
          <w:i/>
        </w:rPr>
        <w:t>P. maritimus</w:t>
      </w:r>
      <w:r w:rsidRPr="00E400E4">
        <w:t xml:space="preserve"> in the existing risk analyses for table grapes from Chile, table grapes from China and stone fruit from the USA </w:t>
      </w:r>
      <w:r>
        <w:rPr>
          <w:noProof/>
        </w:rPr>
        <w:t>(Biosecurity Australia 2005b, 2010b, 2011)</w:t>
      </w:r>
      <w:r w:rsidRPr="00E400E4">
        <w:t>.</w:t>
      </w:r>
    </w:p>
    <w:p w:rsidR="00555918" w:rsidRPr="00E400E4" w:rsidRDefault="00555918" w:rsidP="000B1771">
      <w:r w:rsidRPr="00E400E4">
        <w:t xml:space="preserve">While the likelihoods of importation, establishment and spread for </w:t>
      </w:r>
      <w:r w:rsidRPr="00E400E4">
        <w:rPr>
          <w:i/>
        </w:rPr>
        <w:t>P. maritimus</w:t>
      </w:r>
      <w:r w:rsidRPr="00E400E4">
        <w:t xml:space="preserve"> on avocados from Chile were rated as High, the likelihood of distribution was rated as Moderate and the consequences of entry, establishment and spread were rated as Low. When these likelihood and consequences ratings are combined using the rules presented in </w:t>
      </w:r>
      <w:r w:rsidRPr="00E400E4">
        <w:fldChar w:fldCharType="begin"/>
      </w:r>
      <w:r w:rsidRPr="00E400E4">
        <w:instrText xml:space="preserve"> REF _Ref457826328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2</w:t>
      </w:r>
      <w:r w:rsidRPr="00E400E4">
        <w:fldChar w:fldCharType="end"/>
      </w:r>
      <w:r w:rsidRPr="00E400E4">
        <w:t xml:space="preserve"> and </w:t>
      </w:r>
      <w:r w:rsidRPr="00E400E4">
        <w:fldChar w:fldCharType="begin"/>
      </w:r>
      <w:r w:rsidRPr="00E400E4">
        <w:instrText xml:space="preserve"> REF _Ref457826369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5</w:t>
      </w:r>
      <w:r w:rsidRPr="00E400E4">
        <w:fldChar w:fldCharType="end"/>
      </w:r>
      <w:r w:rsidRPr="00E400E4">
        <w:t xml:space="preserve">, the unrestricted risk is determined to be Low. All likelihood and consequences ratings are set out in </w:t>
      </w:r>
      <w:r w:rsidRPr="00E400E4">
        <w:fldChar w:fldCharType="begin"/>
      </w:r>
      <w:r w:rsidRPr="00E400E4">
        <w:instrText xml:space="preserve"> REF _Ref527374592 \h  \* MERGEFORMAT </w:instrText>
      </w:r>
      <w:r w:rsidRPr="00E400E4">
        <w:fldChar w:fldCharType="separate"/>
      </w:r>
      <w:r w:rsidR="006C029B" w:rsidRPr="00E400E4">
        <w:t xml:space="preserve">Table </w:t>
      </w:r>
      <w:r w:rsidR="006C029B">
        <w:rPr>
          <w:noProof/>
        </w:rPr>
        <w:t>4</w:t>
      </w:r>
      <w:r w:rsidR="006C029B" w:rsidRPr="00E400E4">
        <w:rPr>
          <w:noProof/>
        </w:rPr>
        <w:t>.</w:t>
      </w:r>
      <w:r w:rsidR="006C029B">
        <w:rPr>
          <w:noProof/>
        </w:rPr>
        <w:t>5</w:t>
      </w:r>
      <w:r w:rsidRPr="00E400E4">
        <w:fldChar w:fldCharType="end"/>
      </w:r>
      <w:r w:rsidRPr="00E400E4">
        <w:t>.</w:t>
      </w:r>
    </w:p>
    <w:p w:rsidR="00555918" w:rsidRPr="00E400E4" w:rsidRDefault="00555918" w:rsidP="000B1771">
      <w:pPr>
        <w:pStyle w:val="Heading4"/>
      </w:pPr>
      <w:r w:rsidRPr="00E400E4">
        <w:t>Unrestricted risk estimate</w:t>
      </w:r>
    </w:p>
    <w:p w:rsidR="00555918" w:rsidRPr="00E400E4" w:rsidRDefault="00555918" w:rsidP="000B1771">
      <w:r w:rsidRPr="00E400E4">
        <w:t xml:space="preserve">The unrestricted risk estimate for </w:t>
      </w:r>
      <w:r w:rsidRPr="00E400E4">
        <w:rPr>
          <w:i/>
        </w:rPr>
        <w:t>P. maritimus</w:t>
      </w:r>
      <w:r w:rsidRPr="00E400E4">
        <w:t xml:space="preserve"> from the avocados from Chile pathway is assessed as Low, which is identical to the outcomes of previous assessments of this pest, and which does not achieve the ALOP for Australia. Therefore, specific risk management measures are required for this pest.</w:t>
      </w:r>
      <w:r w:rsidRPr="00E400E4">
        <w:br w:type="page"/>
      </w:r>
    </w:p>
    <w:p w:rsidR="00555918" w:rsidRPr="00E400E4" w:rsidRDefault="00555918" w:rsidP="000B1771">
      <w:pPr>
        <w:pStyle w:val="Heading3"/>
      </w:pPr>
      <w:bookmarkStart w:id="113" w:name="_Toc20392246"/>
      <w:r w:rsidRPr="00E400E4">
        <w:lastRenderedPageBreak/>
        <w:t>Thrips</w:t>
      </w:r>
      <w:bookmarkEnd w:id="113"/>
      <w:r w:rsidRPr="00E400E4">
        <w:t xml:space="preserve"> </w:t>
      </w:r>
    </w:p>
    <w:p w:rsidR="00555918" w:rsidRPr="00E400E4" w:rsidRDefault="00555918" w:rsidP="000B1771">
      <w:pPr>
        <w:pStyle w:val="Heading4"/>
        <w:numPr>
          <w:ilvl w:val="0"/>
          <w:numId w:val="0"/>
        </w:numPr>
      </w:pPr>
      <w:r w:rsidRPr="00E400E4">
        <w:rPr>
          <w:i/>
        </w:rPr>
        <w:t>Frankliniella australis</w:t>
      </w:r>
      <w:r w:rsidRPr="00E400E4">
        <w:t xml:space="preserve"> (GP), </w:t>
      </w:r>
      <w:r w:rsidRPr="00E400E4">
        <w:rPr>
          <w:i/>
        </w:rPr>
        <w:t>Frankliniella gemina</w:t>
      </w:r>
      <w:r w:rsidRPr="00E400E4">
        <w:t xml:space="preserve"> (GP) and </w:t>
      </w:r>
      <w:r w:rsidRPr="00E400E4">
        <w:rPr>
          <w:i/>
        </w:rPr>
        <w:t>Frankliniella occidentalis</w:t>
      </w:r>
      <w:r w:rsidRPr="00E400E4">
        <w:t> (GP, NT, RA)</w:t>
      </w:r>
    </w:p>
    <w:p w:rsidR="00555918" w:rsidRPr="00E400E4" w:rsidRDefault="00555918" w:rsidP="000B1771">
      <w:r w:rsidRPr="00E400E4">
        <w:t xml:space="preserve">Three thrips species were identified on the avocados from Chile pathway that are either quarantine pests and/or regulated articles for Australia, these being </w:t>
      </w:r>
      <w:r w:rsidRPr="00E400E4">
        <w:rPr>
          <w:i/>
        </w:rPr>
        <w:t>Frankliniella australis</w:t>
      </w:r>
      <w:r w:rsidRPr="00E400E4">
        <w:t xml:space="preserve">, </w:t>
      </w:r>
      <w:r w:rsidRPr="00E400E4">
        <w:rPr>
          <w:i/>
        </w:rPr>
        <w:t>F. gemina</w:t>
      </w:r>
      <w:r w:rsidRPr="00E400E4">
        <w:t xml:space="preserve"> and </w:t>
      </w:r>
      <w:r w:rsidRPr="00E400E4">
        <w:rPr>
          <w:i/>
        </w:rPr>
        <w:t>F. occidentalis</w:t>
      </w:r>
      <w:r w:rsidRPr="00E400E4">
        <w:t xml:space="preserve"> (</w:t>
      </w:r>
      <w:r w:rsidRPr="00E400E4">
        <w:fldChar w:fldCharType="begin"/>
      </w:r>
      <w:r w:rsidRPr="00E400E4">
        <w:instrText xml:space="preserve"> REF _Ref512848195 \h  \* MERGEFORMAT </w:instrText>
      </w:r>
      <w:r w:rsidRPr="00E400E4">
        <w:fldChar w:fldCharType="separate"/>
      </w:r>
      <w:r w:rsidR="006C029B" w:rsidRPr="00E400E4">
        <w:t xml:space="preserve">Table </w:t>
      </w:r>
      <w:r w:rsidR="006C029B">
        <w:t>4</w:t>
      </w:r>
      <w:r w:rsidR="006C029B" w:rsidRPr="00E400E4">
        <w:t>.</w:t>
      </w:r>
      <w:r w:rsidR="006C029B">
        <w:t>2</w:t>
      </w:r>
      <w:r w:rsidRPr="00E400E4">
        <w:fldChar w:fldCharType="end"/>
      </w:r>
      <w:r w:rsidRPr="00E400E4">
        <w:t>).</w:t>
      </w:r>
      <w:r w:rsidRPr="00E400E4">
        <w:rPr>
          <w:i/>
        </w:rPr>
        <w:t xml:space="preserve"> Frankliniella occidentalis</w:t>
      </w:r>
      <w:r w:rsidRPr="00E400E4">
        <w:t xml:space="preserve"> is not present in the Northern Territory and is a pest of regional concern for that territory.</w:t>
      </w:r>
    </w:p>
    <w:p w:rsidR="00555918" w:rsidRPr="00E400E4" w:rsidRDefault="00555918" w:rsidP="000B1771">
      <w:pPr>
        <w:pStyle w:val="Caption"/>
      </w:pPr>
      <w:bookmarkStart w:id="114" w:name="_Ref512848195"/>
      <w:bookmarkStart w:id="115" w:name="_Toc24702446"/>
      <w:r w:rsidRPr="00E400E4">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4</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2</w:t>
      </w:r>
      <w:r w:rsidRPr="00E400E4">
        <w:rPr>
          <w:noProof/>
        </w:rPr>
        <w:fldChar w:fldCharType="end"/>
      </w:r>
      <w:bookmarkEnd w:id="114"/>
      <w:r w:rsidRPr="00E400E4">
        <w:t xml:space="preserve"> Quarantine and regulated thrips for avocados from Chile</w:t>
      </w:r>
      <w:bookmarkEnd w:id="115"/>
    </w:p>
    <w:tbl>
      <w:tblPr>
        <w:tblW w:w="5000" w:type="pct"/>
        <w:tblBorders>
          <w:top w:val="single" w:sz="4" w:space="0" w:color="auto"/>
          <w:bottom w:val="single" w:sz="4" w:space="0" w:color="auto"/>
        </w:tblBorders>
        <w:shd w:val="clear" w:color="auto" w:fill="D5DCE4" w:themeFill="text2" w:themeFillTint="33"/>
        <w:tblLook w:val="00A0" w:firstRow="1" w:lastRow="0" w:firstColumn="1" w:lastColumn="0" w:noHBand="0" w:noVBand="0"/>
      </w:tblPr>
      <w:tblGrid>
        <w:gridCol w:w="2127"/>
        <w:gridCol w:w="1108"/>
        <w:gridCol w:w="1160"/>
        <w:gridCol w:w="1134"/>
        <w:gridCol w:w="1275"/>
        <w:gridCol w:w="2266"/>
      </w:tblGrid>
      <w:tr w:rsidR="00555918" w:rsidRPr="00E400E4" w:rsidTr="000B1771">
        <w:trPr>
          <w:cantSplit/>
        </w:trPr>
        <w:tc>
          <w:tcPr>
            <w:tcW w:w="1173" w:type="pct"/>
            <w:shd w:val="clear" w:color="auto" w:fill="auto"/>
            <w:vAlign w:val="center"/>
          </w:tcPr>
          <w:p w:rsidR="00555918" w:rsidRPr="00E400E4" w:rsidRDefault="00555918" w:rsidP="000B1771">
            <w:pPr>
              <w:pStyle w:val="TableHeading"/>
            </w:pPr>
            <w:r w:rsidRPr="00E400E4">
              <w:t>Pest</w:t>
            </w:r>
          </w:p>
        </w:tc>
        <w:tc>
          <w:tcPr>
            <w:tcW w:w="611" w:type="pct"/>
          </w:tcPr>
          <w:p w:rsidR="00555918" w:rsidRPr="00E400E4" w:rsidRDefault="00555918" w:rsidP="000B1771">
            <w:pPr>
              <w:pStyle w:val="TableHeading"/>
            </w:pPr>
            <w:r>
              <w:t>In thrips G</w:t>
            </w:r>
            <w:r w:rsidRPr="00E400E4">
              <w:t>roup PRA</w:t>
            </w:r>
          </w:p>
        </w:tc>
        <w:tc>
          <w:tcPr>
            <w:tcW w:w="639" w:type="pct"/>
          </w:tcPr>
          <w:p w:rsidR="00555918" w:rsidRPr="00E400E4" w:rsidRDefault="00555918" w:rsidP="000B1771">
            <w:pPr>
              <w:pStyle w:val="TableHeading"/>
            </w:pPr>
            <w:r w:rsidRPr="00E400E4">
              <w:t>Quarantine pest</w:t>
            </w:r>
          </w:p>
        </w:tc>
        <w:tc>
          <w:tcPr>
            <w:tcW w:w="625" w:type="pct"/>
          </w:tcPr>
          <w:p w:rsidR="00555918" w:rsidRPr="00E400E4" w:rsidRDefault="00555918" w:rsidP="000B1771">
            <w:pPr>
              <w:pStyle w:val="TableHeading"/>
            </w:pPr>
            <w:r w:rsidRPr="00E400E4">
              <w:t>Regulated thrips</w:t>
            </w:r>
          </w:p>
        </w:tc>
        <w:tc>
          <w:tcPr>
            <w:tcW w:w="703" w:type="pct"/>
          </w:tcPr>
          <w:p w:rsidR="00555918" w:rsidRPr="00E400E4" w:rsidRDefault="00555918" w:rsidP="000B1771">
            <w:pPr>
              <w:pStyle w:val="TableHeading"/>
            </w:pPr>
            <w:r w:rsidRPr="00E400E4">
              <w:t>On avocado pathway</w:t>
            </w:r>
          </w:p>
        </w:tc>
        <w:tc>
          <w:tcPr>
            <w:tcW w:w="1249" w:type="pct"/>
          </w:tcPr>
          <w:p w:rsidR="00555918" w:rsidRPr="00E400E4" w:rsidRDefault="00555918" w:rsidP="000B1771">
            <w:pPr>
              <w:pStyle w:val="TableHeading"/>
            </w:pPr>
            <w:r w:rsidRPr="00E400E4">
              <w:t>Moderate likelihood of entry for thrips verified</w:t>
            </w:r>
          </w:p>
        </w:tc>
      </w:tr>
      <w:tr w:rsidR="00555918" w:rsidRPr="00E400E4" w:rsidTr="000B1771">
        <w:trPr>
          <w:cantSplit/>
          <w:trHeight w:val="75"/>
        </w:trPr>
        <w:tc>
          <w:tcPr>
            <w:tcW w:w="1173" w:type="pct"/>
            <w:shd w:val="clear" w:color="auto" w:fill="auto"/>
          </w:tcPr>
          <w:p w:rsidR="00555918" w:rsidRPr="00E400E4" w:rsidRDefault="00555918" w:rsidP="000B1771">
            <w:pPr>
              <w:pStyle w:val="TableText"/>
              <w:rPr>
                <w:lang w:val="en-US"/>
              </w:rPr>
            </w:pPr>
            <w:r w:rsidRPr="00E400E4">
              <w:rPr>
                <w:i/>
                <w:lang w:val="en-US"/>
              </w:rPr>
              <w:t xml:space="preserve">Frankliniella australis </w:t>
            </w:r>
            <w:r w:rsidRPr="00E400E4">
              <w:rPr>
                <w:lang w:val="en-US"/>
              </w:rPr>
              <w:t>(GP)</w:t>
            </w:r>
          </w:p>
        </w:tc>
        <w:tc>
          <w:tcPr>
            <w:tcW w:w="611" w:type="pct"/>
          </w:tcPr>
          <w:p w:rsidR="00555918" w:rsidRPr="00E400E4" w:rsidRDefault="00555918" w:rsidP="000B1771">
            <w:pPr>
              <w:pStyle w:val="TableText"/>
              <w:rPr>
                <w:lang w:val="en-US"/>
              </w:rPr>
            </w:pPr>
            <w:r w:rsidRPr="00E400E4">
              <w:rPr>
                <w:lang w:val="en-US"/>
              </w:rPr>
              <w:t>Yes</w:t>
            </w:r>
          </w:p>
        </w:tc>
        <w:tc>
          <w:tcPr>
            <w:tcW w:w="639" w:type="pct"/>
          </w:tcPr>
          <w:p w:rsidR="00555918" w:rsidRPr="00E400E4" w:rsidRDefault="00555918" w:rsidP="000B1771">
            <w:pPr>
              <w:pStyle w:val="TableText"/>
              <w:rPr>
                <w:lang w:val="en-US"/>
              </w:rPr>
            </w:pPr>
            <w:r w:rsidRPr="00E400E4">
              <w:rPr>
                <w:lang w:val="en-US"/>
              </w:rPr>
              <w:t>Yes</w:t>
            </w:r>
          </w:p>
        </w:tc>
        <w:tc>
          <w:tcPr>
            <w:tcW w:w="625" w:type="pct"/>
          </w:tcPr>
          <w:p w:rsidR="00555918" w:rsidRPr="00E400E4" w:rsidRDefault="00555918" w:rsidP="000B1771">
            <w:pPr>
              <w:pStyle w:val="TableText"/>
              <w:rPr>
                <w:lang w:val="en-US"/>
              </w:rPr>
            </w:pPr>
            <w:r w:rsidRPr="00E400E4">
              <w:rPr>
                <w:lang w:val="en-US"/>
              </w:rPr>
              <w:t>No</w:t>
            </w:r>
          </w:p>
        </w:tc>
        <w:tc>
          <w:tcPr>
            <w:tcW w:w="703" w:type="pct"/>
          </w:tcPr>
          <w:p w:rsidR="00555918" w:rsidRPr="00E400E4" w:rsidRDefault="00555918" w:rsidP="000B1771">
            <w:pPr>
              <w:pStyle w:val="TableText"/>
              <w:rPr>
                <w:lang w:val="en-US"/>
              </w:rPr>
            </w:pPr>
            <w:r w:rsidRPr="00E400E4">
              <w:rPr>
                <w:lang w:val="en-US"/>
              </w:rPr>
              <w:t>Yes</w:t>
            </w:r>
          </w:p>
        </w:tc>
        <w:tc>
          <w:tcPr>
            <w:tcW w:w="1249" w:type="pct"/>
          </w:tcPr>
          <w:p w:rsidR="00555918" w:rsidRPr="00E400E4" w:rsidRDefault="00555918" w:rsidP="000B1771">
            <w:pPr>
              <w:pStyle w:val="TableText"/>
              <w:rPr>
                <w:lang w:val="en-US"/>
              </w:rPr>
            </w:pPr>
            <w:r w:rsidRPr="00E400E4">
              <w:rPr>
                <w:lang w:val="en-US"/>
              </w:rPr>
              <w:t>Yes</w:t>
            </w:r>
          </w:p>
        </w:tc>
      </w:tr>
      <w:tr w:rsidR="00555918" w:rsidRPr="00E400E4" w:rsidTr="000B1771">
        <w:trPr>
          <w:cantSplit/>
          <w:trHeight w:val="75"/>
        </w:trPr>
        <w:tc>
          <w:tcPr>
            <w:tcW w:w="1173" w:type="pct"/>
            <w:shd w:val="clear" w:color="auto" w:fill="auto"/>
          </w:tcPr>
          <w:p w:rsidR="00555918" w:rsidRPr="00E400E4" w:rsidRDefault="00555918" w:rsidP="000B1771">
            <w:pPr>
              <w:pStyle w:val="TableText"/>
              <w:rPr>
                <w:lang w:val="en-US"/>
              </w:rPr>
            </w:pPr>
            <w:r w:rsidRPr="00E400E4">
              <w:rPr>
                <w:i/>
                <w:lang w:val="en-US"/>
              </w:rPr>
              <w:t xml:space="preserve">Frankliniella </w:t>
            </w:r>
            <w:r w:rsidRPr="00E400E4">
              <w:rPr>
                <w:i/>
              </w:rPr>
              <w:t>gemina</w:t>
            </w:r>
            <w:r w:rsidRPr="00E400E4">
              <w:t xml:space="preserve"> (GP)</w:t>
            </w:r>
          </w:p>
        </w:tc>
        <w:tc>
          <w:tcPr>
            <w:tcW w:w="611" w:type="pct"/>
          </w:tcPr>
          <w:p w:rsidR="00555918" w:rsidRPr="00E400E4" w:rsidRDefault="00555918" w:rsidP="000B1771">
            <w:pPr>
              <w:pStyle w:val="TableText"/>
              <w:rPr>
                <w:lang w:val="en-US"/>
              </w:rPr>
            </w:pPr>
            <w:r w:rsidRPr="00E400E4">
              <w:rPr>
                <w:lang w:val="en-US"/>
              </w:rPr>
              <w:t>Yes</w:t>
            </w:r>
          </w:p>
        </w:tc>
        <w:tc>
          <w:tcPr>
            <w:tcW w:w="639" w:type="pct"/>
          </w:tcPr>
          <w:p w:rsidR="00555918" w:rsidRPr="00E400E4" w:rsidRDefault="00555918" w:rsidP="000B1771">
            <w:pPr>
              <w:pStyle w:val="TableText"/>
              <w:rPr>
                <w:lang w:val="en-US"/>
              </w:rPr>
            </w:pPr>
            <w:r w:rsidRPr="00E400E4">
              <w:rPr>
                <w:lang w:val="en-US"/>
              </w:rPr>
              <w:t>Yes</w:t>
            </w:r>
          </w:p>
        </w:tc>
        <w:tc>
          <w:tcPr>
            <w:tcW w:w="625" w:type="pct"/>
          </w:tcPr>
          <w:p w:rsidR="00555918" w:rsidRPr="00E400E4" w:rsidRDefault="00555918" w:rsidP="000B1771">
            <w:pPr>
              <w:pStyle w:val="TableText"/>
              <w:rPr>
                <w:lang w:val="en-US"/>
              </w:rPr>
            </w:pPr>
            <w:r w:rsidRPr="00E400E4">
              <w:rPr>
                <w:lang w:val="en-US"/>
              </w:rPr>
              <w:t>No</w:t>
            </w:r>
          </w:p>
        </w:tc>
        <w:tc>
          <w:tcPr>
            <w:tcW w:w="703" w:type="pct"/>
          </w:tcPr>
          <w:p w:rsidR="00555918" w:rsidRPr="00E400E4" w:rsidRDefault="00555918" w:rsidP="000B1771">
            <w:pPr>
              <w:pStyle w:val="TableText"/>
              <w:rPr>
                <w:lang w:val="en-US"/>
              </w:rPr>
            </w:pPr>
            <w:r w:rsidRPr="00E400E4">
              <w:rPr>
                <w:lang w:val="en-US"/>
              </w:rPr>
              <w:t>Yes</w:t>
            </w:r>
          </w:p>
        </w:tc>
        <w:tc>
          <w:tcPr>
            <w:tcW w:w="1249" w:type="pct"/>
          </w:tcPr>
          <w:p w:rsidR="00555918" w:rsidRPr="00E400E4" w:rsidRDefault="00555918" w:rsidP="000B1771">
            <w:pPr>
              <w:pStyle w:val="TableText"/>
              <w:rPr>
                <w:lang w:val="en-US"/>
              </w:rPr>
            </w:pPr>
            <w:r w:rsidRPr="00E400E4">
              <w:rPr>
                <w:lang w:val="en-US"/>
              </w:rPr>
              <w:t>Yes</w:t>
            </w:r>
          </w:p>
        </w:tc>
      </w:tr>
      <w:tr w:rsidR="00555918" w:rsidRPr="00E400E4" w:rsidTr="000B1771">
        <w:trPr>
          <w:cantSplit/>
          <w:trHeight w:val="75"/>
        </w:trPr>
        <w:tc>
          <w:tcPr>
            <w:tcW w:w="1173" w:type="pct"/>
            <w:shd w:val="clear" w:color="auto" w:fill="auto"/>
          </w:tcPr>
          <w:p w:rsidR="00555918" w:rsidRPr="00E400E4" w:rsidRDefault="00555918" w:rsidP="000B1771">
            <w:pPr>
              <w:pStyle w:val="TableText"/>
              <w:rPr>
                <w:lang w:val="en-US"/>
              </w:rPr>
            </w:pPr>
            <w:r w:rsidRPr="00E400E4">
              <w:rPr>
                <w:i/>
                <w:lang w:val="en-US"/>
              </w:rPr>
              <w:t xml:space="preserve">Frankliniella </w:t>
            </w:r>
            <w:r w:rsidRPr="00E400E4">
              <w:rPr>
                <w:i/>
              </w:rPr>
              <w:t>occidentalis</w:t>
            </w:r>
            <w:r w:rsidRPr="00E400E4">
              <w:t xml:space="preserve"> (GP, NT, RA)</w:t>
            </w:r>
          </w:p>
        </w:tc>
        <w:tc>
          <w:tcPr>
            <w:tcW w:w="611" w:type="pct"/>
          </w:tcPr>
          <w:p w:rsidR="00555918" w:rsidRPr="00E400E4" w:rsidRDefault="00555918" w:rsidP="000B1771">
            <w:pPr>
              <w:pStyle w:val="TableText"/>
              <w:rPr>
                <w:lang w:val="en-US"/>
              </w:rPr>
            </w:pPr>
            <w:r w:rsidRPr="00E400E4">
              <w:rPr>
                <w:lang w:val="en-US"/>
              </w:rPr>
              <w:t>Yes</w:t>
            </w:r>
          </w:p>
        </w:tc>
        <w:tc>
          <w:tcPr>
            <w:tcW w:w="639" w:type="pct"/>
          </w:tcPr>
          <w:p w:rsidR="00555918" w:rsidRPr="00E400E4" w:rsidRDefault="00555918" w:rsidP="000B1771">
            <w:pPr>
              <w:pStyle w:val="TableText"/>
              <w:rPr>
                <w:lang w:val="en-US"/>
              </w:rPr>
            </w:pPr>
            <w:r w:rsidRPr="00E400E4">
              <w:rPr>
                <w:lang w:val="en-US"/>
              </w:rPr>
              <w:t>Yes (NT)</w:t>
            </w:r>
          </w:p>
        </w:tc>
        <w:tc>
          <w:tcPr>
            <w:tcW w:w="625" w:type="pct"/>
          </w:tcPr>
          <w:p w:rsidR="00555918" w:rsidRPr="00E400E4" w:rsidRDefault="00555918" w:rsidP="000B1771">
            <w:pPr>
              <w:pStyle w:val="TableText"/>
              <w:rPr>
                <w:lang w:val="en-US"/>
              </w:rPr>
            </w:pPr>
            <w:r w:rsidRPr="00E400E4">
              <w:rPr>
                <w:lang w:val="en-US"/>
              </w:rPr>
              <w:t>Yes</w:t>
            </w:r>
          </w:p>
        </w:tc>
        <w:tc>
          <w:tcPr>
            <w:tcW w:w="703" w:type="pct"/>
          </w:tcPr>
          <w:p w:rsidR="00555918" w:rsidRPr="00E400E4" w:rsidRDefault="00555918" w:rsidP="000B1771">
            <w:pPr>
              <w:pStyle w:val="TableText"/>
              <w:rPr>
                <w:lang w:val="en-US"/>
              </w:rPr>
            </w:pPr>
            <w:r w:rsidRPr="00E400E4">
              <w:rPr>
                <w:lang w:val="en-US"/>
              </w:rPr>
              <w:t>Yes</w:t>
            </w:r>
          </w:p>
        </w:tc>
        <w:tc>
          <w:tcPr>
            <w:tcW w:w="1249" w:type="pct"/>
          </w:tcPr>
          <w:p w:rsidR="00555918" w:rsidRPr="00E400E4" w:rsidRDefault="00555918" w:rsidP="000B1771">
            <w:pPr>
              <w:pStyle w:val="TableText"/>
              <w:rPr>
                <w:lang w:val="en-US"/>
              </w:rPr>
            </w:pPr>
            <w:r w:rsidRPr="00E400E4">
              <w:rPr>
                <w:lang w:val="en-US"/>
              </w:rPr>
              <w:t>Yes</w:t>
            </w:r>
          </w:p>
        </w:tc>
      </w:tr>
    </w:tbl>
    <w:p w:rsidR="00555918" w:rsidRPr="00E400E4" w:rsidRDefault="00555918" w:rsidP="000B1771">
      <w:pPr>
        <w:pStyle w:val="FigureTableNoteSource"/>
      </w:pPr>
      <w:bookmarkStart w:id="116" w:name="_Ref512848211"/>
      <w:r w:rsidRPr="00E400E4">
        <w:rPr>
          <w:b/>
        </w:rPr>
        <w:t xml:space="preserve">GP: </w:t>
      </w:r>
      <w:r w:rsidRPr="00E400E4">
        <w:t>Species has been assessed previously in a Group PRA and the Group PRA has been applied.</w:t>
      </w:r>
      <w:r w:rsidRPr="00E400E4">
        <w:rPr>
          <w:b/>
        </w:rPr>
        <w:t xml:space="preserve"> RA: </w:t>
      </w:r>
      <w:r w:rsidRPr="00E400E4">
        <w:t>Regulated article, refer to Section 4.4 for definition of a regulated article.</w:t>
      </w:r>
      <w:r w:rsidRPr="00E400E4">
        <w:rPr>
          <w:b/>
        </w:rPr>
        <w:t xml:space="preserve"> NT: </w:t>
      </w:r>
      <w:r w:rsidRPr="00E400E4">
        <w:t>Pest of biosecurity concern for the Northern Territory.</w:t>
      </w:r>
    </w:p>
    <w:p w:rsidR="00555918" w:rsidRPr="00E400E4" w:rsidRDefault="00555918" w:rsidP="000B1771">
      <w:r w:rsidRPr="00E400E4">
        <w:t xml:space="preserve">The indicative likelihood of entry for all thrips species is assessed in the thrips </w:t>
      </w:r>
      <w:r>
        <w:t>G</w:t>
      </w:r>
      <w:r w:rsidRPr="00E400E4">
        <w:t>roup PRA as Moderate.</w:t>
      </w:r>
      <w:r w:rsidRPr="00E400E4">
        <w:rPr>
          <w:i/>
        </w:rPr>
        <w:t xml:space="preserve"> Frankliniella australis</w:t>
      </w:r>
      <w:r w:rsidRPr="00E400E4">
        <w:t xml:space="preserve">, </w:t>
      </w:r>
      <w:r w:rsidRPr="00E400E4">
        <w:rPr>
          <w:i/>
        </w:rPr>
        <w:t>F. gemina</w:t>
      </w:r>
      <w:r w:rsidRPr="00E400E4">
        <w:t xml:space="preserve"> and </w:t>
      </w:r>
      <w:r w:rsidRPr="00E400E4">
        <w:rPr>
          <w:i/>
        </w:rPr>
        <w:t>F. occidentalis</w:t>
      </w:r>
      <w:r w:rsidRPr="00E400E4">
        <w:t xml:space="preserve"> are reported from Chile and are associated with avocado fruit </w:t>
      </w:r>
      <w:r>
        <w:rPr>
          <w:noProof/>
        </w:rPr>
        <w:t>(Agostini et al. 2005; Gonzalez 1983; Johansen &amp; Mojica 2007; Klein Koch &amp; Waterhouse 2000; López Laport &amp; Bermúdez Ortiz 2011; Ripa &amp; Larral 2008)</w:t>
      </w:r>
      <w:r w:rsidRPr="00E400E4">
        <w:t>. Standard packing house procedures and transportation are not expected to eliminate these thrips on the pathway. After assessment of relevant pathway-specific factors (see Section 2.2.7) for avocados from Chile, the likelihoods of entry of Moderate were verified as appropriate for these thrips (</w:t>
      </w:r>
      <w:r w:rsidRPr="00E400E4">
        <w:fldChar w:fldCharType="begin"/>
      </w:r>
      <w:r w:rsidRPr="00E400E4">
        <w:instrText xml:space="preserve"> REF _Ref512848195 \h  \* MERGEFORMAT </w:instrText>
      </w:r>
      <w:r w:rsidRPr="00E400E4">
        <w:fldChar w:fldCharType="separate"/>
      </w:r>
      <w:r w:rsidR="006C029B" w:rsidRPr="00E400E4">
        <w:t xml:space="preserve">Table </w:t>
      </w:r>
      <w:r w:rsidR="006C029B">
        <w:rPr>
          <w:noProof/>
        </w:rPr>
        <w:t>4</w:t>
      </w:r>
      <w:r w:rsidR="006C029B" w:rsidRPr="00E400E4">
        <w:rPr>
          <w:noProof/>
        </w:rPr>
        <w:t>.</w:t>
      </w:r>
      <w:r w:rsidR="006C029B">
        <w:rPr>
          <w:noProof/>
        </w:rPr>
        <w:t>2</w:t>
      </w:r>
      <w:r w:rsidRPr="00E400E4">
        <w:fldChar w:fldCharType="end"/>
      </w:r>
      <w:r w:rsidRPr="00E400E4">
        <w:t>).</w:t>
      </w:r>
    </w:p>
    <w:p w:rsidR="00555918" w:rsidRPr="00E400E4" w:rsidRDefault="00555918" w:rsidP="000B1771">
      <w:pPr>
        <w:spacing w:before="240"/>
      </w:pPr>
      <w:r w:rsidRPr="00E400E4">
        <w:t xml:space="preserve">A summary of the risk assessment for quarantine thrips is presented in </w:t>
      </w:r>
      <w:r w:rsidRPr="00E400E4">
        <w:fldChar w:fldCharType="begin"/>
      </w:r>
      <w:r w:rsidRPr="00E400E4">
        <w:instrText xml:space="preserve"> REF _Ref513118563 \h  \* MERGEFORMAT </w:instrText>
      </w:r>
      <w:r w:rsidRPr="00E400E4">
        <w:fldChar w:fldCharType="separate"/>
      </w:r>
      <w:r w:rsidR="006C029B" w:rsidRPr="00E400E4">
        <w:t xml:space="preserve">Table </w:t>
      </w:r>
      <w:r w:rsidR="006C029B">
        <w:rPr>
          <w:noProof/>
        </w:rPr>
        <w:t>4</w:t>
      </w:r>
      <w:r w:rsidR="006C029B" w:rsidRPr="00E400E4">
        <w:rPr>
          <w:noProof/>
        </w:rPr>
        <w:t>.</w:t>
      </w:r>
      <w:r w:rsidR="006C029B">
        <w:rPr>
          <w:noProof/>
        </w:rPr>
        <w:t>3</w:t>
      </w:r>
      <w:r w:rsidRPr="00E400E4">
        <w:fldChar w:fldCharType="end"/>
      </w:r>
      <w:r w:rsidRPr="00E400E4">
        <w:t xml:space="preserve"> for convenience.</w:t>
      </w:r>
    </w:p>
    <w:p w:rsidR="00555918" w:rsidRPr="00E400E4" w:rsidRDefault="00555918" w:rsidP="000B1771">
      <w:pPr>
        <w:pStyle w:val="Caption"/>
      </w:pPr>
      <w:bookmarkStart w:id="117" w:name="_Ref513118563"/>
      <w:bookmarkStart w:id="118" w:name="_Toc24702447"/>
      <w:r w:rsidRPr="00E400E4">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4</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3</w:t>
      </w:r>
      <w:r w:rsidRPr="00E400E4">
        <w:rPr>
          <w:noProof/>
        </w:rPr>
        <w:fldChar w:fldCharType="end"/>
      </w:r>
      <w:bookmarkEnd w:id="116"/>
      <w:bookmarkEnd w:id="117"/>
      <w:r w:rsidRPr="00E400E4">
        <w:t xml:space="preserve"> Risk estimates for quarantine thrips</w:t>
      </w:r>
      <w:bookmarkEnd w:id="118"/>
    </w:p>
    <w:tbl>
      <w:tblPr>
        <w:tblW w:w="5000" w:type="pct"/>
        <w:tblLook w:val="01E0" w:firstRow="1" w:lastRow="1" w:firstColumn="1" w:lastColumn="1" w:noHBand="0" w:noVBand="0"/>
      </w:tblPr>
      <w:tblGrid>
        <w:gridCol w:w="5654"/>
        <w:gridCol w:w="3416"/>
      </w:tblGrid>
      <w:tr w:rsidR="00555918" w:rsidRPr="00E400E4" w:rsidTr="000B1771">
        <w:tc>
          <w:tcPr>
            <w:tcW w:w="3117" w:type="pct"/>
            <w:tcBorders>
              <w:top w:val="single" w:sz="4" w:space="0" w:color="auto"/>
            </w:tcBorders>
            <w:shd w:val="clear" w:color="auto" w:fill="auto"/>
          </w:tcPr>
          <w:p w:rsidR="00555918" w:rsidRPr="00E400E4" w:rsidRDefault="00555918" w:rsidP="000B1771">
            <w:pPr>
              <w:pStyle w:val="TableHeading"/>
            </w:pPr>
            <w:r w:rsidRPr="00E400E4">
              <w:t xml:space="preserve">Risk component </w:t>
            </w:r>
          </w:p>
        </w:tc>
        <w:tc>
          <w:tcPr>
            <w:tcW w:w="1883" w:type="pct"/>
            <w:tcBorders>
              <w:top w:val="single" w:sz="4" w:space="0" w:color="auto"/>
            </w:tcBorders>
            <w:shd w:val="clear" w:color="auto" w:fill="auto"/>
          </w:tcPr>
          <w:p w:rsidR="00555918" w:rsidRPr="00E400E4" w:rsidRDefault="00555918" w:rsidP="000B1771">
            <w:pPr>
              <w:pStyle w:val="TableHeading"/>
            </w:pPr>
            <w:r w:rsidRPr="00E400E4">
              <w:t>Rating for quarantine thrips</w:t>
            </w:r>
          </w:p>
        </w:tc>
      </w:tr>
      <w:tr w:rsidR="00555918" w:rsidRPr="00E400E4" w:rsidTr="000B1771">
        <w:tc>
          <w:tcPr>
            <w:tcW w:w="3117" w:type="pct"/>
            <w:shd w:val="clear" w:color="auto" w:fill="auto"/>
          </w:tcPr>
          <w:p w:rsidR="00555918" w:rsidRPr="00E400E4" w:rsidRDefault="00555918" w:rsidP="000B1771">
            <w:pPr>
              <w:pStyle w:val="TableText"/>
            </w:pPr>
            <w:r w:rsidRPr="00E400E4">
              <w:t>Likelihood of entry (indicative) (importation x distribution)</w:t>
            </w:r>
          </w:p>
        </w:tc>
        <w:tc>
          <w:tcPr>
            <w:tcW w:w="1883" w:type="pct"/>
            <w:shd w:val="clear" w:color="auto" w:fill="auto"/>
          </w:tcPr>
          <w:p w:rsidR="00555918" w:rsidRPr="00E400E4" w:rsidRDefault="00555918" w:rsidP="000B1771">
            <w:pPr>
              <w:pStyle w:val="TableText"/>
            </w:pPr>
            <w:r w:rsidRPr="00E400E4">
              <w:t>Moderate (High x Moderate)</w:t>
            </w:r>
          </w:p>
        </w:tc>
      </w:tr>
      <w:tr w:rsidR="00555918" w:rsidRPr="00E400E4" w:rsidTr="000B1771">
        <w:tc>
          <w:tcPr>
            <w:tcW w:w="3117" w:type="pct"/>
            <w:shd w:val="clear" w:color="auto" w:fill="auto"/>
          </w:tcPr>
          <w:p w:rsidR="00555918" w:rsidRPr="00E400E4" w:rsidRDefault="00555918" w:rsidP="000B1771">
            <w:pPr>
              <w:pStyle w:val="TableText"/>
            </w:pPr>
            <w:r w:rsidRPr="00E400E4">
              <w:t>Likelihood of establishment</w:t>
            </w:r>
          </w:p>
        </w:tc>
        <w:tc>
          <w:tcPr>
            <w:tcW w:w="1883" w:type="pct"/>
            <w:shd w:val="clear" w:color="auto" w:fill="auto"/>
          </w:tcPr>
          <w:p w:rsidR="00555918" w:rsidRPr="00E400E4" w:rsidRDefault="00555918" w:rsidP="000B1771">
            <w:pPr>
              <w:pStyle w:val="TableText"/>
            </w:pPr>
            <w:r w:rsidRPr="00E400E4">
              <w:t>High</w:t>
            </w:r>
          </w:p>
        </w:tc>
      </w:tr>
      <w:tr w:rsidR="00555918" w:rsidRPr="00E400E4" w:rsidTr="000B1771">
        <w:tc>
          <w:tcPr>
            <w:tcW w:w="3117" w:type="pct"/>
            <w:shd w:val="clear" w:color="auto" w:fill="auto"/>
          </w:tcPr>
          <w:p w:rsidR="00555918" w:rsidRPr="00E400E4" w:rsidRDefault="00555918" w:rsidP="000B1771">
            <w:pPr>
              <w:pStyle w:val="TableText"/>
            </w:pPr>
            <w:r w:rsidRPr="00E400E4">
              <w:t>Likelihood of spread</w:t>
            </w:r>
          </w:p>
        </w:tc>
        <w:tc>
          <w:tcPr>
            <w:tcW w:w="1883" w:type="pct"/>
            <w:shd w:val="clear" w:color="auto" w:fill="auto"/>
          </w:tcPr>
          <w:p w:rsidR="00555918" w:rsidRPr="00E400E4" w:rsidRDefault="00555918" w:rsidP="000B1771">
            <w:pPr>
              <w:pStyle w:val="TableText"/>
            </w:pPr>
            <w:r w:rsidRPr="00E400E4">
              <w:t>High</w:t>
            </w:r>
          </w:p>
        </w:tc>
      </w:tr>
      <w:tr w:rsidR="00555918" w:rsidRPr="00E400E4" w:rsidTr="000B1771">
        <w:tc>
          <w:tcPr>
            <w:tcW w:w="3117" w:type="pct"/>
            <w:shd w:val="clear" w:color="auto" w:fill="auto"/>
            <w:hideMark/>
          </w:tcPr>
          <w:p w:rsidR="00555918" w:rsidRPr="00E400E4" w:rsidRDefault="00555918" w:rsidP="000B1771">
            <w:pPr>
              <w:pStyle w:val="TableText"/>
            </w:pPr>
            <w:r w:rsidRPr="00E400E4">
              <w:t xml:space="preserve">Overall likelihood of entry, establishment and spread </w:t>
            </w:r>
          </w:p>
        </w:tc>
        <w:tc>
          <w:tcPr>
            <w:tcW w:w="1883" w:type="pct"/>
            <w:shd w:val="clear" w:color="auto" w:fill="auto"/>
            <w:hideMark/>
          </w:tcPr>
          <w:p w:rsidR="00555918" w:rsidRPr="00E400E4" w:rsidRDefault="00555918" w:rsidP="000B1771">
            <w:pPr>
              <w:pStyle w:val="TableText"/>
            </w:pPr>
            <w:r w:rsidRPr="00E400E4">
              <w:t>Moderate</w:t>
            </w:r>
          </w:p>
        </w:tc>
      </w:tr>
      <w:tr w:rsidR="00555918" w:rsidRPr="00E400E4" w:rsidTr="000B1771">
        <w:tc>
          <w:tcPr>
            <w:tcW w:w="3117" w:type="pct"/>
            <w:shd w:val="clear" w:color="auto" w:fill="auto"/>
            <w:hideMark/>
          </w:tcPr>
          <w:p w:rsidR="00555918" w:rsidRPr="00E400E4" w:rsidRDefault="00555918" w:rsidP="000B1771">
            <w:pPr>
              <w:pStyle w:val="TableText"/>
            </w:pPr>
            <w:r w:rsidRPr="00E400E4">
              <w:t xml:space="preserve">Consequences </w:t>
            </w:r>
          </w:p>
        </w:tc>
        <w:tc>
          <w:tcPr>
            <w:tcW w:w="1883" w:type="pct"/>
            <w:shd w:val="clear" w:color="auto" w:fill="auto"/>
            <w:hideMark/>
          </w:tcPr>
          <w:p w:rsidR="00555918" w:rsidRPr="00E400E4" w:rsidRDefault="00555918" w:rsidP="000B1771">
            <w:pPr>
              <w:pStyle w:val="TableText"/>
            </w:pPr>
            <w:r w:rsidRPr="00E400E4">
              <w:t>Low</w:t>
            </w:r>
          </w:p>
        </w:tc>
      </w:tr>
      <w:tr w:rsidR="00555918" w:rsidRPr="00E400E4" w:rsidTr="000B1771">
        <w:tc>
          <w:tcPr>
            <w:tcW w:w="3117" w:type="pct"/>
            <w:tcBorders>
              <w:bottom w:val="single" w:sz="4" w:space="0" w:color="auto"/>
            </w:tcBorders>
            <w:shd w:val="clear" w:color="auto" w:fill="auto"/>
            <w:hideMark/>
          </w:tcPr>
          <w:p w:rsidR="00555918" w:rsidRPr="00E400E4" w:rsidRDefault="00555918" w:rsidP="000B1771">
            <w:pPr>
              <w:pStyle w:val="TableText"/>
              <w:rPr>
                <w:b/>
              </w:rPr>
            </w:pPr>
            <w:r w:rsidRPr="00E400E4">
              <w:rPr>
                <w:b/>
              </w:rPr>
              <w:t>Unrestricted risk (indicative)</w:t>
            </w:r>
          </w:p>
        </w:tc>
        <w:tc>
          <w:tcPr>
            <w:tcW w:w="1883" w:type="pct"/>
            <w:tcBorders>
              <w:bottom w:val="single" w:sz="4" w:space="0" w:color="auto"/>
            </w:tcBorders>
            <w:shd w:val="clear" w:color="auto" w:fill="auto"/>
            <w:hideMark/>
          </w:tcPr>
          <w:p w:rsidR="00555918" w:rsidRPr="00E400E4" w:rsidRDefault="00555918" w:rsidP="000B1771">
            <w:pPr>
              <w:pStyle w:val="TableText"/>
              <w:rPr>
                <w:b/>
              </w:rPr>
            </w:pPr>
            <w:r w:rsidRPr="00E400E4">
              <w:rPr>
                <w:b/>
              </w:rPr>
              <w:t>Low</w:t>
            </w:r>
          </w:p>
        </w:tc>
      </w:tr>
    </w:tbl>
    <w:p w:rsidR="00555918" w:rsidRPr="00E400E4" w:rsidRDefault="00555918" w:rsidP="000B1771">
      <w:pPr>
        <w:spacing w:before="240"/>
      </w:pPr>
      <w:r w:rsidRPr="00E400E4">
        <w:t xml:space="preserve">The indicative unrestricted risk estimate for thrips is Low, which does not achieve the ALOP for Australia, as assessed in the thrips </w:t>
      </w:r>
      <w:r>
        <w:t>G</w:t>
      </w:r>
      <w:r w:rsidRPr="00E400E4">
        <w:t>roup PRA (</w:t>
      </w:r>
      <w:r w:rsidRPr="00E400E4">
        <w:fldChar w:fldCharType="begin"/>
      </w:r>
      <w:r w:rsidRPr="00E400E4">
        <w:instrText xml:space="preserve"> REF _Ref513118563 \h  \* MERGEFORMAT </w:instrText>
      </w:r>
      <w:r w:rsidRPr="00E400E4">
        <w:fldChar w:fldCharType="separate"/>
      </w:r>
      <w:r w:rsidR="006C029B" w:rsidRPr="00E400E4">
        <w:t xml:space="preserve">Table </w:t>
      </w:r>
      <w:r w:rsidR="006C029B">
        <w:rPr>
          <w:noProof/>
        </w:rPr>
        <w:t>4</w:t>
      </w:r>
      <w:r w:rsidR="006C029B" w:rsidRPr="00E400E4">
        <w:rPr>
          <w:noProof/>
        </w:rPr>
        <w:t>.</w:t>
      </w:r>
      <w:r w:rsidR="006C029B">
        <w:rPr>
          <w:noProof/>
        </w:rPr>
        <w:t>3</w:t>
      </w:r>
      <w:r w:rsidRPr="00E400E4">
        <w:fldChar w:fldCharType="end"/>
      </w:r>
      <w:r w:rsidRPr="00E400E4">
        <w:t xml:space="preserve">). </w:t>
      </w:r>
    </w:p>
    <w:p w:rsidR="00555918" w:rsidRPr="00E400E4" w:rsidRDefault="00555918" w:rsidP="000B1771">
      <w:pPr>
        <w:spacing w:before="240"/>
      </w:pPr>
      <w:r w:rsidRPr="00E400E4">
        <w:lastRenderedPageBreak/>
        <w:t xml:space="preserve">This indicative unrestricted risk estimate is considered to be applicable for the quarantine thrips species present on the avocados from Chile pathway. Therefore, specific risk management measures are required for the quarantine thrips to achieve the ALOP for Australia. </w:t>
      </w:r>
    </w:p>
    <w:p w:rsidR="00555918" w:rsidRPr="00E400E4" w:rsidRDefault="00555918" w:rsidP="000B1771">
      <w:pPr>
        <w:spacing w:before="240"/>
      </w:pPr>
      <w:r w:rsidRPr="00E400E4">
        <w:rPr>
          <w:i/>
        </w:rPr>
        <w:t>Frankliniella</w:t>
      </w:r>
      <w:r w:rsidRPr="00E400E4" w:rsidDel="00B43457">
        <w:rPr>
          <w:i/>
        </w:rPr>
        <w:t xml:space="preserve"> </w:t>
      </w:r>
      <w:r w:rsidRPr="00E400E4">
        <w:rPr>
          <w:i/>
        </w:rPr>
        <w:t>occidentalis</w:t>
      </w:r>
      <w:r w:rsidRPr="00E400E4">
        <w:t xml:space="preserve"> is identified as regulated article, because it is capable of harbouring and spreading (vectoring) emerging orthotospoviruses that are quarantine pests for Australia, as detailed in the thrips </w:t>
      </w:r>
      <w:r>
        <w:t>G</w:t>
      </w:r>
      <w:r w:rsidRPr="00E400E4">
        <w:t xml:space="preserve">roup PRA </w:t>
      </w:r>
      <w:r>
        <w:rPr>
          <w:noProof/>
        </w:rPr>
        <w:t>(Australian Government Department of Agriculture and Water Resources 2017)</w:t>
      </w:r>
      <w:r w:rsidRPr="00E400E4">
        <w:t>.</w:t>
      </w:r>
    </w:p>
    <w:p w:rsidR="00555918" w:rsidRPr="00E400E4" w:rsidRDefault="00555918" w:rsidP="000B1771">
      <w:pPr>
        <w:spacing w:before="240"/>
      </w:pPr>
      <w:r w:rsidRPr="00E400E4">
        <w:t xml:space="preserve">A regulated article is defined by the IPPC as ‘Any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2019b)</w:t>
      </w:r>
      <w:r w:rsidRPr="00E400E4">
        <w:t>. For simplicity, thrips identified as a regulated article are referred to as a ‘regulated thrips’.</w:t>
      </w:r>
    </w:p>
    <w:p w:rsidR="00555918" w:rsidRPr="00E400E4" w:rsidRDefault="00555918" w:rsidP="000B1771">
      <w:pPr>
        <w:spacing w:before="240"/>
      </w:pPr>
      <w:r w:rsidRPr="00E400E4">
        <w:t xml:space="preserve">The indicative likelihood of entry for all thrips is assessed in the thrips </w:t>
      </w:r>
      <w:r>
        <w:t>G</w:t>
      </w:r>
      <w:r w:rsidRPr="00E400E4">
        <w:t>roup PRA as Moderate. This indicative likelihood is also relevant to regulated thrips that can transmit quarantine orthotospoviruses. As indicated earlier in this section, the likelihood of entry of Moderate was verified as appropriate for the regulated thrips (</w:t>
      </w:r>
      <w:r w:rsidRPr="00E400E4">
        <w:fldChar w:fldCharType="begin"/>
      </w:r>
      <w:r w:rsidRPr="00E400E4">
        <w:instrText xml:space="preserve"> REF _Ref512848195 \h  \* MERGEFORMAT </w:instrText>
      </w:r>
      <w:r w:rsidRPr="00E400E4">
        <w:fldChar w:fldCharType="separate"/>
      </w:r>
      <w:r w:rsidR="006C029B" w:rsidRPr="00E400E4">
        <w:t xml:space="preserve">Table </w:t>
      </w:r>
      <w:r w:rsidR="006C029B">
        <w:rPr>
          <w:noProof/>
        </w:rPr>
        <w:t>4</w:t>
      </w:r>
      <w:r w:rsidR="006C029B" w:rsidRPr="00E400E4">
        <w:rPr>
          <w:noProof/>
        </w:rPr>
        <w:t>.</w:t>
      </w:r>
      <w:r w:rsidR="006C029B">
        <w:rPr>
          <w:noProof/>
        </w:rPr>
        <w:t>2</w:t>
      </w:r>
      <w:r w:rsidRPr="00E400E4">
        <w:fldChar w:fldCharType="end"/>
      </w:r>
      <w:r w:rsidRPr="00E400E4">
        <w:t>).</w:t>
      </w:r>
    </w:p>
    <w:p w:rsidR="00555918" w:rsidRPr="00E400E4" w:rsidRDefault="00555918" w:rsidP="000B1771">
      <w:pPr>
        <w:spacing w:before="240"/>
      </w:pPr>
      <w:r w:rsidRPr="00E400E4">
        <w:t xml:space="preserve">A summary of the risk assessment for quarantine orthotospoviruses transmitted by thrips is presented in </w:t>
      </w:r>
      <w:r w:rsidRPr="00E400E4">
        <w:fldChar w:fldCharType="begin"/>
      </w:r>
      <w:r w:rsidRPr="00E400E4">
        <w:instrText xml:space="preserve"> REF _Ref524598790 \h  \* MERGEFORMAT </w:instrText>
      </w:r>
      <w:r w:rsidRPr="00E400E4">
        <w:fldChar w:fldCharType="separate"/>
      </w:r>
      <w:r w:rsidR="006C029B" w:rsidRPr="00E400E4">
        <w:t xml:space="preserve">Table </w:t>
      </w:r>
      <w:r w:rsidR="006C029B">
        <w:rPr>
          <w:noProof/>
        </w:rPr>
        <w:t>4</w:t>
      </w:r>
      <w:r w:rsidR="006C029B" w:rsidRPr="00E400E4">
        <w:rPr>
          <w:noProof/>
        </w:rPr>
        <w:t>.</w:t>
      </w:r>
      <w:r w:rsidR="006C029B">
        <w:rPr>
          <w:noProof/>
        </w:rPr>
        <w:t>4</w:t>
      </w:r>
      <w:r w:rsidRPr="00E400E4">
        <w:fldChar w:fldCharType="end"/>
      </w:r>
      <w:r w:rsidRPr="00E400E4">
        <w:t xml:space="preserve"> for convenience.</w:t>
      </w:r>
    </w:p>
    <w:p w:rsidR="00555918" w:rsidRPr="00E400E4" w:rsidRDefault="00555918" w:rsidP="000B1771">
      <w:pPr>
        <w:pStyle w:val="Caption"/>
      </w:pPr>
      <w:bookmarkStart w:id="119" w:name="_Ref524598790"/>
      <w:bookmarkStart w:id="120" w:name="_Toc24702448"/>
      <w:r w:rsidRPr="00E400E4">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4</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4</w:t>
      </w:r>
      <w:r w:rsidRPr="00E400E4">
        <w:rPr>
          <w:noProof/>
        </w:rPr>
        <w:fldChar w:fldCharType="end"/>
      </w:r>
      <w:bookmarkEnd w:id="119"/>
      <w:r w:rsidRPr="00E400E4">
        <w:t xml:space="preserve"> Risk estimates for emerging quarantine orthotospoviruses vectored by regulated thrips</w:t>
      </w:r>
      <w:bookmarkEnd w:id="120"/>
    </w:p>
    <w:tbl>
      <w:tblPr>
        <w:tblW w:w="5000" w:type="pct"/>
        <w:tblLook w:val="01E0" w:firstRow="1" w:lastRow="1" w:firstColumn="1" w:lastColumn="1" w:noHBand="0" w:noVBand="0"/>
      </w:tblPr>
      <w:tblGrid>
        <w:gridCol w:w="5388"/>
        <w:gridCol w:w="3682"/>
      </w:tblGrid>
      <w:tr w:rsidR="00555918" w:rsidRPr="00E400E4" w:rsidTr="000B1771">
        <w:tc>
          <w:tcPr>
            <w:tcW w:w="2970" w:type="pct"/>
            <w:tcBorders>
              <w:top w:val="single" w:sz="4" w:space="0" w:color="auto"/>
            </w:tcBorders>
            <w:shd w:val="clear" w:color="auto" w:fill="auto"/>
          </w:tcPr>
          <w:p w:rsidR="00555918" w:rsidRPr="00E400E4" w:rsidRDefault="00555918" w:rsidP="000B1771">
            <w:pPr>
              <w:pStyle w:val="TableHeading"/>
            </w:pPr>
            <w:r w:rsidRPr="00E400E4">
              <w:t xml:space="preserve">Risk component </w:t>
            </w:r>
          </w:p>
        </w:tc>
        <w:tc>
          <w:tcPr>
            <w:tcW w:w="2030" w:type="pct"/>
            <w:tcBorders>
              <w:top w:val="single" w:sz="4" w:space="0" w:color="auto"/>
            </w:tcBorders>
            <w:shd w:val="clear" w:color="auto" w:fill="auto"/>
          </w:tcPr>
          <w:p w:rsidR="00555918" w:rsidRPr="00E400E4" w:rsidRDefault="00555918" w:rsidP="000B1771">
            <w:pPr>
              <w:pStyle w:val="TableHeading"/>
            </w:pPr>
            <w:r w:rsidRPr="00E400E4">
              <w:t>Rating for emerging quarantine orthotospoviruses (a)</w:t>
            </w:r>
          </w:p>
        </w:tc>
      </w:tr>
      <w:tr w:rsidR="00555918" w:rsidRPr="00E400E4" w:rsidTr="000B1771">
        <w:tc>
          <w:tcPr>
            <w:tcW w:w="2970" w:type="pct"/>
            <w:shd w:val="clear" w:color="auto" w:fill="auto"/>
          </w:tcPr>
          <w:p w:rsidR="00555918" w:rsidRPr="00E400E4" w:rsidRDefault="00555918" w:rsidP="000B1771">
            <w:pPr>
              <w:pStyle w:val="TableText"/>
            </w:pPr>
            <w:r w:rsidRPr="00E400E4">
              <w:t>Likelihood of entry (indicative) (importation x distribution)</w:t>
            </w:r>
          </w:p>
        </w:tc>
        <w:tc>
          <w:tcPr>
            <w:tcW w:w="2030" w:type="pct"/>
            <w:shd w:val="clear" w:color="auto" w:fill="auto"/>
          </w:tcPr>
          <w:p w:rsidR="00555918" w:rsidRPr="00E400E4" w:rsidRDefault="00555918" w:rsidP="000B1771">
            <w:pPr>
              <w:pStyle w:val="TableText"/>
            </w:pPr>
            <w:r w:rsidRPr="00E400E4">
              <w:t>Low (Moderate x Moderate)</w:t>
            </w:r>
          </w:p>
        </w:tc>
      </w:tr>
      <w:tr w:rsidR="00555918" w:rsidRPr="00E400E4" w:rsidTr="000B1771">
        <w:tc>
          <w:tcPr>
            <w:tcW w:w="2970" w:type="pct"/>
            <w:shd w:val="clear" w:color="auto" w:fill="auto"/>
          </w:tcPr>
          <w:p w:rsidR="00555918" w:rsidRPr="00E400E4" w:rsidRDefault="00555918" w:rsidP="000B1771">
            <w:pPr>
              <w:pStyle w:val="TableText"/>
            </w:pPr>
            <w:r w:rsidRPr="00E400E4">
              <w:t>Likelihood of establishment</w:t>
            </w:r>
          </w:p>
        </w:tc>
        <w:tc>
          <w:tcPr>
            <w:tcW w:w="2030" w:type="pct"/>
            <w:shd w:val="clear" w:color="auto" w:fill="auto"/>
          </w:tcPr>
          <w:p w:rsidR="00555918" w:rsidRPr="00E400E4" w:rsidRDefault="00555918" w:rsidP="000B1771">
            <w:pPr>
              <w:pStyle w:val="TableText"/>
            </w:pPr>
            <w:r w:rsidRPr="00E400E4">
              <w:t>Moderate</w:t>
            </w:r>
          </w:p>
        </w:tc>
      </w:tr>
      <w:tr w:rsidR="00555918" w:rsidRPr="00E400E4" w:rsidTr="000B1771">
        <w:tc>
          <w:tcPr>
            <w:tcW w:w="2970" w:type="pct"/>
            <w:shd w:val="clear" w:color="auto" w:fill="auto"/>
          </w:tcPr>
          <w:p w:rsidR="00555918" w:rsidRPr="00E400E4" w:rsidRDefault="00555918" w:rsidP="000B1771">
            <w:pPr>
              <w:pStyle w:val="TableText"/>
            </w:pPr>
            <w:r w:rsidRPr="00E400E4">
              <w:t>Likelihood of spread</w:t>
            </w:r>
          </w:p>
        </w:tc>
        <w:tc>
          <w:tcPr>
            <w:tcW w:w="2030" w:type="pct"/>
            <w:shd w:val="clear" w:color="auto" w:fill="auto"/>
          </w:tcPr>
          <w:p w:rsidR="00555918" w:rsidRPr="00E400E4" w:rsidRDefault="00555918" w:rsidP="000B1771">
            <w:pPr>
              <w:pStyle w:val="TableText"/>
            </w:pPr>
            <w:r w:rsidRPr="00E400E4">
              <w:t>High</w:t>
            </w:r>
          </w:p>
        </w:tc>
      </w:tr>
      <w:tr w:rsidR="00555918" w:rsidRPr="00E400E4" w:rsidTr="000B1771">
        <w:tc>
          <w:tcPr>
            <w:tcW w:w="2970" w:type="pct"/>
            <w:shd w:val="clear" w:color="auto" w:fill="auto"/>
            <w:hideMark/>
          </w:tcPr>
          <w:p w:rsidR="00555918" w:rsidRPr="00E400E4" w:rsidRDefault="00555918" w:rsidP="000B1771">
            <w:pPr>
              <w:pStyle w:val="TableText"/>
            </w:pPr>
            <w:r w:rsidRPr="00E400E4">
              <w:t xml:space="preserve">Overall likelihood of entry, establishment and spread </w:t>
            </w:r>
          </w:p>
        </w:tc>
        <w:tc>
          <w:tcPr>
            <w:tcW w:w="2030" w:type="pct"/>
            <w:shd w:val="clear" w:color="auto" w:fill="auto"/>
          </w:tcPr>
          <w:p w:rsidR="00555918" w:rsidRPr="00E400E4" w:rsidRDefault="00555918" w:rsidP="000B1771">
            <w:pPr>
              <w:pStyle w:val="TableText"/>
            </w:pPr>
            <w:r w:rsidRPr="00E400E4">
              <w:t>Low</w:t>
            </w:r>
          </w:p>
        </w:tc>
      </w:tr>
      <w:tr w:rsidR="00555918" w:rsidRPr="00E400E4" w:rsidTr="000B1771">
        <w:tc>
          <w:tcPr>
            <w:tcW w:w="2970" w:type="pct"/>
            <w:shd w:val="clear" w:color="auto" w:fill="auto"/>
            <w:hideMark/>
          </w:tcPr>
          <w:p w:rsidR="00555918" w:rsidRPr="00E400E4" w:rsidRDefault="00555918" w:rsidP="000B1771">
            <w:pPr>
              <w:pStyle w:val="TableText"/>
            </w:pPr>
            <w:r w:rsidRPr="00E400E4">
              <w:t xml:space="preserve">Consequences </w:t>
            </w:r>
          </w:p>
        </w:tc>
        <w:tc>
          <w:tcPr>
            <w:tcW w:w="2030" w:type="pct"/>
            <w:shd w:val="clear" w:color="auto" w:fill="auto"/>
          </w:tcPr>
          <w:p w:rsidR="00555918" w:rsidRPr="00E400E4" w:rsidRDefault="00555918" w:rsidP="000B1771">
            <w:pPr>
              <w:pStyle w:val="TableText"/>
            </w:pPr>
            <w:r w:rsidRPr="00E400E4">
              <w:t>Moderate</w:t>
            </w:r>
          </w:p>
        </w:tc>
      </w:tr>
      <w:tr w:rsidR="00555918" w:rsidRPr="00E400E4" w:rsidTr="000B1771">
        <w:tc>
          <w:tcPr>
            <w:tcW w:w="2970" w:type="pct"/>
            <w:tcBorders>
              <w:bottom w:val="single" w:sz="4" w:space="0" w:color="auto"/>
            </w:tcBorders>
            <w:shd w:val="clear" w:color="auto" w:fill="auto"/>
            <w:hideMark/>
          </w:tcPr>
          <w:p w:rsidR="00555918" w:rsidRPr="00E400E4" w:rsidRDefault="00555918" w:rsidP="000B1771">
            <w:pPr>
              <w:pStyle w:val="TableHeading"/>
            </w:pPr>
            <w:r w:rsidRPr="00E400E4">
              <w:t>Unrestricted risk (indicative)</w:t>
            </w:r>
          </w:p>
        </w:tc>
        <w:tc>
          <w:tcPr>
            <w:tcW w:w="2030" w:type="pct"/>
            <w:tcBorders>
              <w:bottom w:val="single" w:sz="4" w:space="0" w:color="auto"/>
            </w:tcBorders>
            <w:shd w:val="clear" w:color="auto" w:fill="auto"/>
          </w:tcPr>
          <w:p w:rsidR="00555918" w:rsidRPr="00E400E4" w:rsidRDefault="00555918" w:rsidP="000B1771">
            <w:pPr>
              <w:pStyle w:val="TableHeading"/>
            </w:pPr>
            <w:r w:rsidRPr="00E400E4">
              <w:t>Low</w:t>
            </w:r>
          </w:p>
        </w:tc>
      </w:tr>
    </w:tbl>
    <w:p w:rsidR="00555918" w:rsidRPr="00E400E4" w:rsidRDefault="00555918" w:rsidP="000B1771">
      <w:pPr>
        <w:pStyle w:val="FigureTableNoteSource"/>
      </w:pPr>
      <w:r w:rsidRPr="00E400E4">
        <w:t xml:space="preserve">(a) The identified regulated thrips vectors emerging quarantine orthotospoviruses, and this table presents the risk estimates for these viruses from the thrips </w:t>
      </w:r>
      <w:r>
        <w:t>G</w:t>
      </w:r>
      <w:r w:rsidRPr="00E400E4">
        <w:t>roup PRA.</w:t>
      </w:r>
    </w:p>
    <w:p w:rsidR="00555918" w:rsidRPr="00E400E4" w:rsidRDefault="00555918" w:rsidP="000B1771">
      <w:pPr>
        <w:spacing w:before="240"/>
      </w:pPr>
      <w:r w:rsidRPr="00E400E4">
        <w:t xml:space="preserve">The indicative unrestricted risk estimate for emerging quarantine orthotospoviruses transmitted by regulated thrips is Low, which does not achieve the ALOP for Australia, as assessed in the thrips </w:t>
      </w:r>
      <w:r>
        <w:t>G</w:t>
      </w:r>
      <w:r w:rsidRPr="00E400E4">
        <w:t>roup PRA (</w:t>
      </w:r>
      <w:r w:rsidRPr="00E400E4">
        <w:fldChar w:fldCharType="begin"/>
      </w:r>
      <w:r w:rsidRPr="00E400E4">
        <w:instrText xml:space="preserve"> REF _Ref524598790 \h  \* MERGEFORMAT </w:instrText>
      </w:r>
      <w:r w:rsidRPr="00E400E4">
        <w:fldChar w:fldCharType="separate"/>
      </w:r>
      <w:r w:rsidR="006C029B" w:rsidRPr="00E400E4">
        <w:t xml:space="preserve">Table </w:t>
      </w:r>
      <w:r w:rsidR="006C029B">
        <w:rPr>
          <w:noProof/>
        </w:rPr>
        <w:t>4</w:t>
      </w:r>
      <w:r w:rsidR="006C029B" w:rsidRPr="00E400E4">
        <w:rPr>
          <w:noProof/>
        </w:rPr>
        <w:t>.</w:t>
      </w:r>
      <w:r w:rsidR="006C029B">
        <w:rPr>
          <w:noProof/>
        </w:rPr>
        <w:t>4</w:t>
      </w:r>
      <w:r w:rsidRPr="00E400E4">
        <w:fldChar w:fldCharType="end"/>
      </w:r>
      <w:r w:rsidRPr="00E400E4">
        <w:t>).</w:t>
      </w:r>
    </w:p>
    <w:p w:rsidR="00555918" w:rsidRPr="00E400E4" w:rsidRDefault="00555918" w:rsidP="000B1771">
      <w:pPr>
        <w:spacing w:before="240"/>
      </w:pPr>
      <w:r w:rsidRPr="00E400E4">
        <w:t>This indicative unrestricted risk estimate is considered to be applicable for the emerging orthotospoviruses known to be vectored by the thrips species present on the avocados from Chile pathway. Therefore, specific risk management measures are required for the regulated thrips to mitigate the risks posed by emerging quarantine orthotospoviruses, in order to achieve the ALOP for Australia.</w:t>
      </w:r>
    </w:p>
    <w:p w:rsidR="00555918" w:rsidRPr="00E400E4" w:rsidRDefault="00555918" w:rsidP="000B1771">
      <w:pPr>
        <w:spacing w:before="240"/>
      </w:pPr>
      <w:r w:rsidRPr="00E400E4">
        <w:t xml:space="preserve">The conclusion of this risk assessment, which is based on the thrips </w:t>
      </w:r>
      <w:r>
        <w:t>G</w:t>
      </w:r>
      <w:r w:rsidRPr="00E400E4">
        <w:t>roup PRA, applies to all phytophagous quarantine thrips and regulated thrips on the avocados from Chile pathway, irrespective of their specific identification in this document.</w:t>
      </w:r>
      <w:r w:rsidRPr="00E400E4">
        <w:br w:type="page"/>
      </w:r>
    </w:p>
    <w:p w:rsidR="00555918" w:rsidRPr="00E400E4" w:rsidRDefault="00555918" w:rsidP="000B1771">
      <w:pPr>
        <w:pStyle w:val="Heading3"/>
        <w:keepNext w:val="0"/>
        <w:keepLines w:val="0"/>
      </w:pPr>
      <w:bookmarkStart w:id="121" w:name="_Toc20392247"/>
      <w:r w:rsidRPr="00E400E4">
        <w:rPr>
          <w:i/>
        </w:rPr>
        <w:lastRenderedPageBreak/>
        <w:t>Oligonychus</w:t>
      </w:r>
      <w:r w:rsidRPr="00E400E4">
        <w:t xml:space="preserve"> spider mites</w:t>
      </w:r>
      <w:bookmarkEnd w:id="121"/>
    </w:p>
    <w:p w:rsidR="00555918" w:rsidRPr="00E400E4" w:rsidRDefault="00555918" w:rsidP="000B1771">
      <w:pPr>
        <w:pStyle w:val="Heading4"/>
        <w:numPr>
          <w:ilvl w:val="0"/>
          <w:numId w:val="0"/>
        </w:numPr>
      </w:pPr>
      <w:r w:rsidRPr="00E400E4">
        <w:rPr>
          <w:i/>
        </w:rPr>
        <w:t>Oligonychus punicae</w:t>
      </w:r>
      <w:r w:rsidRPr="00E400E4">
        <w:t xml:space="preserve"> and </w:t>
      </w:r>
      <w:r w:rsidRPr="00E400E4">
        <w:rPr>
          <w:i/>
        </w:rPr>
        <w:t>Oligonychus yothersi</w:t>
      </w:r>
    </w:p>
    <w:p w:rsidR="00555918" w:rsidRPr="00E400E4" w:rsidRDefault="00555918" w:rsidP="000B1771">
      <w:r w:rsidRPr="00E400E4">
        <w:rPr>
          <w:i/>
        </w:rPr>
        <w:t>Oligonychus punicae</w:t>
      </w:r>
      <w:r w:rsidRPr="00E400E4">
        <w:t xml:space="preserve"> (avocado brown mite) and </w:t>
      </w:r>
      <w:r w:rsidRPr="00E400E4">
        <w:rPr>
          <w:i/>
        </w:rPr>
        <w:t>Oligonychus yothersi</w:t>
      </w:r>
      <w:r w:rsidRPr="00E400E4">
        <w:t xml:space="preserve"> (avocado red mite) belong to the Tetranychidae or ‘spider mite’ family. The common name ‘spider mite’ refers to the habit of these mites of spinning protective silken webs </w:t>
      </w:r>
      <w:r>
        <w:rPr>
          <w:noProof/>
        </w:rPr>
        <w:t>(Vacante 2016)</w:t>
      </w:r>
      <w:r w:rsidRPr="00E400E4">
        <w:t>. The two species of spider mites assessed here have been grouped together because of their common biological characteristics and taxonomies, on the bases of which they</w:t>
      </w:r>
      <w:r w:rsidRPr="00E400E4" w:rsidDel="002C782D">
        <w:t xml:space="preserve"> </w:t>
      </w:r>
      <w:r w:rsidRPr="00E400E4">
        <w:t>are predicted to pose a similar level of biosecurity risk and to require similar mitigation measures.</w:t>
      </w:r>
    </w:p>
    <w:p w:rsidR="00555918" w:rsidRPr="00E400E4" w:rsidRDefault="00555918" w:rsidP="000B1771">
      <w:r w:rsidRPr="00E400E4">
        <w:t xml:space="preserve">Like other species of spider mites, </w:t>
      </w:r>
      <w:r w:rsidRPr="00E400E4">
        <w:rPr>
          <w:i/>
        </w:rPr>
        <w:t>O. punicae</w:t>
      </w:r>
      <w:r w:rsidRPr="00E400E4">
        <w:t xml:space="preserve"> and </w:t>
      </w:r>
      <w:r w:rsidRPr="00E400E4">
        <w:rPr>
          <w:i/>
        </w:rPr>
        <w:t>O. yothersi</w:t>
      </w:r>
      <w:r w:rsidRPr="00E400E4">
        <w:t xml:space="preserve"> are polyphagous with a wide host range, including several economically significant horticultural crops. Mutual hosts of </w:t>
      </w:r>
      <w:r w:rsidRPr="00E400E4">
        <w:rPr>
          <w:i/>
        </w:rPr>
        <w:t>O. punicae</w:t>
      </w:r>
      <w:r w:rsidRPr="00E400E4">
        <w:t xml:space="preserve"> and </w:t>
      </w:r>
      <w:r w:rsidRPr="00E400E4">
        <w:rPr>
          <w:i/>
        </w:rPr>
        <w:t>O. yothersi</w:t>
      </w:r>
      <w:r w:rsidRPr="00E400E4">
        <w:t xml:space="preserve"> include avocado, banana, coffee, peach, pomegranate, grape and mango, as well as native Australian plants such as </w:t>
      </w:r>
      <w:r w:rsidRPr="00E400E4">
        <w:rPr>
          <w:i/>
        </w:rPr>
        <w:t>Eucalyptus</w:t>
      </w:r>
      <w:r w:rsidRPr="00E400E4">
        <w:t xml:space="preserve"> species </w:t>
      </w:r>
      <w:r>
        <w:rPr>
          <w:noProof/>
        </w:rPr>
        <w:t>(Bolland, Gutierrez &amp; Flechtmann 1998; Migeon &amp; Dorkeld 2019; Vacante 2016; Vasquez et al. 2008)</w:t>
      </w:r>
      <w:r w:rsidRPr="00E400E4">
        <w:t xml:space="preserve">. </w:t>
      </w:r>
    </w:p>
    <w:p w:rsidR="00555918" w:rsidRPr="00E400E4" w:rsidRDefault="00555918" w:rsidP="000B1771">
      <w:r w:rsidRPr="00E400E4">
        <w:t xml:space="preserve">Spider mites have five biological stages in their life cycle: egg, larva, two nymphal stages (protonymph and deutonymph) and adult </w:t>
      </w:r>
      <w:r>
        <w:rPr>
          <w:noProof/>
        </w:rPr>
        <w:t>(Vacante 2016)</w:t>
      </w:r>
      <w:r w:rsidRPr="00E400E4">
        <w:t xml:space="preserve">. They have a short life cycle and go through many generations in a year. The time for development from egg to adult varies from species to species, but usually takes one to two weeks or more and depends on temperature, host plant, humidity and other environmental factors </w:t>
      </w:r>
      <w:r>
        <w:rPr>
          <w:noProof/>
        </w:rPr>
        <w:t>(Vásquez et al. 2012)</w:t>
      </w:r>
      <w:r w:rsidRPr="00E400E4">
        <w:t xml:space="preserve">. The duration of the various life stages, under similar temperatures, are similar for </w:t>
      </w:r>
      <w:r w:rsidRPr="00E400E4">
        <w:rPr>
          <w:i/>
        </w:rPr>
        <w:t>O. punicae</w:t>
      </w:r>
      <w:r w:rsidRPr="00E400E4">
        <w:t xml:space="preserve"> and </w:t>
      </w:r>
      <w:r w:rsidRPr="00E400E4">
        <w:rPr>
          <w:i/>
        </w:rPr>
        <w:t>O. yothersi</w:t>
      </w:r>
      <w:r w:rsidRPr="00E400E4">
        <w:t xml:space="preserve"> </w:t>
      </w:r>
      <w:r>
        <w:rPr>
          <w:noProof/>
        </w:rPr>
        <w:t>(Ebeling 1959)</w:t>
      </w:r>
      <w:r w:rsidRPr="00E400E4">
        <w:t xml:space="preserve">. In summer, they may complete two generations in one month </w:t>
      </w:r>
      <w:r>
        <w:rPr>
          <w:noProof/>
        </w:rPr>
        <w:t>(Ebeling 1959)</w:t>
      </w:r>
      <w:r w:rsidRPr="00E400E4">
        <w:t xml:space="preserve">. At a constant temperature of 25 °C, under laboratory conditions, a generation is completed in one week </w:t>
      </w:r>
      <w:r>
        <w:rPr>
          <w:noProof/>
        </w:rPr>
        <w:t>(Ebeling 1959)</w:t>
      </w:r>
      <w:r w:rsidRPr="00E400E4">
        <w:t xml:space="preserve">. Most species of spider mites, including </w:t>
      </w:r>
      <w:r w:rsidRPr="00E400E4">
        <w:rPr>
          <w:i/>
        </w:rPr>
        <w:t>O. punicae</w:t>
      </w:r>
      <w:r w:rsidRPr="00E400E4">
        <w:t xml:space="preserve"> and </w:t>
      </w:r>
      <w:r w:rsidRPr="00E400E4">
        <w:rPr>
          <w:i/>
        </w:rPr>
        <w:t>O. yothersi</w:t>
      </w:r>
      <w:r w:rsidRPr="00E400E4">
        <w:t xml:space="preserve">, reproduce through arrhenotokous parthenogenesis, which means that fertilised eggs produce females and unfertilised eggs produce males </w:t>
      </w:r>
      <w:r>
        <w:rPr>
          <w:noProof/>
        </w:rPr>
        <w:t>(Vacante 2016)</w:t>
      </w:r>
      <w:r w:rsidRPr="00E400E4">
        <w:t>.</w:t>
      </w:r>
    </w:p>
    <w:p w:rsidR="00555918" w:rsidRPr="00E400E4" w:rsidRDefault="00555918" w:rsidP="000B1771">
      <w:r w:rsidRPr="00E400E4">
        <w:t xml:space="preserve">All spider mites feed by piercing plant cells and consuming their contents, which commonly causes yellow spots on leaves of the host plant </w:t>
      </w:r>
      <w:r>
        <w:rPr>
          <w:noProof/>
        </w:rPr>
        <w:t>(Zhang 2008)</w:t>
      </w:r>
      <w:r w:rsidRPr="00E400E4">
        <w:t xml:space="preserve">. High levels of attack show as yellowing or bronzing on leaves and can lead to defoliation </w:t>
      </w:r>
      <w:r>
        <w:rPr>
          <w:noProof/>
        </w:rPr>
        <w:t>(Vacante 2016; Zhang 2008)</w:t>
      </w:r>
      <w:r w:rsidRPr="00E400E4">
        <w:t xml:space="preserve">. Necrosis can also occur in young leaves, stems and growing tips </w:t>
      </w:r>
      <w:r>
        <w:rPr>
          <w:noProof/>
        </w:rPr>
        <w:t>(Tomczyk &amp; Kropczynska 1985)</w:t>
      </w:r>
      <w:r w:rsidRPr="00E400E4">
        <w:t xml:space="preserve">. Physiological consequences of spider mite damage to host plants include reduction in photosynthetic activity and water stress </w:t>
      </w:r>
      <w:r>
        <w:rPr>
          <w:noProof/>
        </w:rPr>
        <w:t>(Tomczyk &amp; Kropczynska 1985)</w:t>
      </w:r>
      <w:r w:rsidRPr="00E400E4">
        <w:t xml:space="preserve">. Some authors report that severe damage by spider mites can kill the plant </w:t>
      </w:r>
      <w:r>
        <w:rPr>
          <w:noProof/>
        </w:rPr>
        <w:t>(Zhang 2008)</w:t>
      </w:r>
      <w:r w:rsidRPr="00E400E4">
        <w:t xml:space="preserve">. Hot, dry weather seems to increase symptoms of damage caused by spider mite feeding </w:t>
      </w:r>
      <w:r>
        <w:rPr>
          <w:noProof/>
        </w:rPr>
        <w:t>(Tomczyk &amp; Kropczynska 1985)</w:t>
      </w:r>
      <w:r w:rsidRPr="00E400E4">
        <w:t xml:space="preserve">. Applications of pesticides which kill natural enemies can lead to high population densities of spider mites </w:t>
      </w:r>
      <w:r>
        <w:rPr>
          <w:noProof/>
        </w:rPr>
        <w:t>(Kennedy &amp; Smitley 1985)</w:t>
      </w:r>
      <w:r w:rsidRPr="00E400E4">
        <w:t>.</w:t>
      </w:r>
    </w:p>
    <w:p w:rsidR="00555918" w:rsidRPr="00E400E4" w:rsidRDefault="00555918" w:rsidP="000B1771">
      <w:r w:rsidRPr="00E400E4">
        <w:rPr>
          <w:i/>
        </w:rPr>
        <w:t>Oligonychus punicae</w:t>
      </w:r>
      <w:r w:rsidRPr="00E400E4">
        <w:t xml:space="preserve"> and </w:t>
      </w:r>
      <w:r w:rsidRPr="00E400E4">
        <w:rPr>
          <w:i/>
        </w:rPr>
        <w:t>O. yothersi</w:t>
      </w:r>
      <w:r w:rsidRPr="00E400E4">
        <w:t xml:space="preserve"> are considered major pests of economic plants </w:t>
      </w:r>
      <w:r>
        <w:rPr>
          <w:noProof/>
        </w:rPr>
        <w:t>(Vacante 2016)</w:t>
      </w:r>
      <w:r w:rsidRPr="00E400E4">
        <w:t xml:space="preserve">. </w:t>
      </w:r>
      <w:r w:rsidRPr="00E400E4">
        <w:rPr>
          <w:i/>
        </w:rPr>
        <w:t>Oligonychus punicae</w:t>
      </w:r>
      <w:r w:rsidRPr="00E400E4">
        <w:t xml:space="preserve"> is considered an important pest mite of avocado in Mexico, but in California it is only considered a minor pest of avocado that flares up occasionally when accumulation of dust on leaves is high </w:t>
      </w:r>
      <w:r>
        <w:rPr>
          <w:noProof/>
        </w:rPr>
        <w:t>(Estrada-Venegas, Rodriguez-Navarro &amp; McMurty 2002; Peña et al. 2013)</w:t>
      </w:r>
      <w:r w:rsidRPr="00E400E4">
        <w:t xml:space="preserve">. High population densities can cause severe defoliation on several avocado cultivars </w:t>
      </w:r>
      <w:r>
        <w:rPr>
          <w:noProof/>
        </w:rPr>
        <w:t>(Vasquez et al. 2008)</w:t>
      </w:r>
      <w:r w:rsidRPr="00E400E4">
        <w:t xml:space="preserve">. It is also an occasional pest of grapevine in Venezuela </w:t>
      </w:r>
      <w:r>
        <w:rPr>
          <w:noProof/>
        </w:rPr>
        <w:t>(Vasquez et al. 2008)</w:t>
      </w:r>
      <w:r w:rsidRPr="00E400E4">
        <w:t xml:space="preserve"> and has been reported as a pest of a number of other plants including banana, coffee, mango and pomegranate in tropical America. </w:t>
      </w:r>
      <w:r w:rsidRPr="00E400E4">
        <w:rPr>
          <w:i/>
        </w:rPr>
        <w:t>Oligonychus punicae</w:t>
      </w:r>
      <w:r w:rsidRPr="00E400E4">
        <w:t xml:space="preserve"> is also known to occur on grape and pomegranate in Asia </w:t>
      </w:r>
      <w:r>
        <w:rPr>
          <w:noProof/>
        </w:rPr>
        <w:t>(Flechtmann 1996)</w:t>
      </w:r>
      <w:r w:rsidRPr="00E400E4">
        <w:t xml:space="preserve">. </w:t>
      </w:r>
    </w:p>
    <w:p w:rsidR="00555918" w:rsidRPr="00E400E4" w:rsidRDefault="00555918" w:rsidP="000B1771">
      <w:r w:rsidRPr="00E400E4">
        <w:rPr>
          <w:i/>
        </w:rPr>
        <w:lastRenderedPageBreak/>
        <w:t>Oligonychus yothersi</w:t>
      </w:r>
      <w:r w:rsidRPr="00E400E4">
        <w:t xml:space="preserve"> is a common pest of avocado in Chile and Florida </w:t>
      </w:r>
      <w:r>
        <w:rPr>
          <w:noProof/>
        </w:rPr>
        <w:t>(Peña et al. 2013; Vargas &amp; Rodríguez 2008a)</w:t>
      </w:r>
      <w:r w:rsidRPr="00E400E4">
        <w:t xml:space="preserve">. It is also known to infest apple, grapevine, peach, pomegranate and various ornamentals, as well as a number of tropical plants of economic importance such as coffee, banana, cacao, camphor, cassava, cashew, guava, loquat, lychee, mango and tea </w:t>
      </w:r>
      <w:r>
        <w:rPr>
          <w:noProof/>
        </w:rPr>
        <w:t>(Vacante 2016)</w:t>
      </w:r>
      <w:r w:rsidRPr="00E400E4">
        <w:t>.</w:t>
      </w:r>
    </w:p>
    <w:p w:rsidR="00555918" w:rsidRPr="00E400E4" w:rsidRDefault="00555918" w:rsidP="000B1771">
      <w:r w:rsidRPr="00E400E4">
        <w:t xml:space="preserve">Two species of the genus </w:t>
      </w:r>
      <w:r w:rsidRPr="00E400E4">
        <w:rPr>
          <w:i/>
        </w:rPr>
        <w:t>Oligonychus</w:t>
      </w:r>
      <w:r w:rsidRPr="00E400E4">
        <w:t xml:space="preserve"> have been assessed previously on the pathway for bananas from the Philippines </w:t>
      </w:r>
      <w:r>
        <w:rPr>
          <w:noProof/>
        </w:rPr>
        <w:t>(Biosecurity Australia 2008b)</w:t>
      </w:r>
      <w:r w:rsidRPr="00E400E4">
        <w:t xml:space="preserve">. Various other species of spider mites of the genera </w:t>
      </w:r>
      <w:r w:rsidRPr="00E400E4">
        <w:rPr>
          <w:i/>
        </w:rPr>
        <w:t>Amphitetranychus</w:t>
      </w:r>
      <w:r w:rsidRPr="00E400E4">
        <w:t xml:space="preserve"> and </w:t>
      </w:r>
      <w:r w:rsidRPr="00E400E4">
        <w:rPr>
          <w:i/>
        </w:rPr>
        <w:t>Tetranychus</w:t>
      </w:r>
      <w:r w:rsidRPr="00E400E4">
        <w:t xml:space="preserve"> have been assessed previously in the risk analyses for apples from China, table grapes from China and mangosteens from Indonesia </w:t>
      </w:r>
      <w:r>
        <w:rPr>
          <w:noProof/>
        </w:rPr>
        <w:t>(Biosecurity Australia 2010a, 2011; DAFF 2012b)</w:t>
      </w:r>
      <w:r w:rsidRPr="00E400E4">
        <w:t xml:space="preserve">. </w:t>
      </w:r>
    </w:p>
    <w:p w:rsidR="00555918" w:rsidRPr="00E400E4" w:rsidRDefault="00555918" w:rsidP="000B1771">
      <w:r w:rsidRPr="00E400E4">
        <w:t>In those risk analyses, the unrestricted risk estimate for spider mites was assessed as not achieving the ALOP for Australia. Therefore, specific risk management measures are required for these pests on those pathways.</w:t>
      </w:r>
    </w:p>
    <w:p w:rsidR="00555918" w:rsidRPr="00E400E4" w:rsidRDefault="00555918" w:rsidP="000B1771">
      <w:r w:rsidRPr="00E400E4">
        <w:t xml:space="preserve">As described in Section </w:t>
      </w:r>
      <w:r w:rsidRPr="00E400E4">
        <w:fldChar w:fldCharType="begin"/>
      </w:r>
      <w:r w:rsidRPr="00E400E4">
        <w:instrText xml:space="preserve"> REF _Ref522696192 \r \h  \* MERGEFORMAT </w:instrText>
      </w:r>
      <w:r w:rsidRPr="00E400E4">
        <w:fldChar w:fldCharType="separate"/>
      </w:r>
      <w:r w:rsidR="006C029B">
        <w:t>4.5.1</w:t>
      </w:r>
      <w:r w:rsidRPr="00E400E4">
        <w:fldChar w:fldCharType="end"/>
      </w:r>
      <w:r w:rsidRPr="00E400E4">
        <w:t xml:space="preserve">, the department has assessed the factors affecting the likelihood of importation for </w:t>
      </w:r>
      <w:r w:rsidRPr="00E400E4">
        <w:rPr>
          <w:i/>
        </w:rPr>
        <w:t>O. punicae</w:t>
      </w:r>
      <w:r w:rsidRPr="00E400E4">
        <w:t xml:space="preserve"> and </w:t>
      </w:r>
      <w:r w:rsidRPr="00E400E4">
        <w:rPr>
          <w:i/>
        </w:rPr>
        <w:t>O. yothersi</w:t>
      </w:r>
      <w:r w:rsidRPr="00E400E4">
        <w:t xml:space="preserve"> on avocados from Chile. For </w:t>
      </w:r>
      <w:r w:rsidRPr="00E400E4">
        <w:rPr>
          <w:i/>
        </w:rPr>
        <w:t>O. yothersi</w:t>
      </w:r>
      <w:r w:rsidRPr="00E400E4">
        <w:t xml:space="preserve">, all factors are considered similar to those resulting in the previous assessments of High for spider mites in the risk analyses for the import pathways assessed previously. For </w:t>
      </w:r>
      <w:r w:rsidRPr="00E400E4">
        <w:rPr>
          <w:i/>
        </w:rPr>
        <w:t>O. punicae</w:t>
      </w:r>
      <w:r w:rsidRPr="00E400E4">
        <w:t xml:space="preserve">, the factor relating to abundance in Chile is not considered similar to the previous assessments. </w:t>
      </w:r>
    </w:p>
    <w:p w:rsidR="00555918" w:rsidRPr="00E400E4" w:rsidRDefault="00555918" w:rsidP="000B1771">
      <w:r w:rsidRPr="00E400E4">
        <w:t xml:space="preserve">Spider mites have a wide host range, and host material is likely to be available all year in Australia. The likelihoods of distribution of </w:t>
      </w:r>
      <w:r w:rsidRPr="00E400E4">
        <w:rPr>
          <w:i/>
        </w:rPr>
        <w:t>O. punicae</w:t>
      </w:r>
      <w:r w:rsidRPr="00E400E4">
        <w:t xml:space="preserve"> and </w:t>
      </w:r>
      <w:r w:rsidRPr="00E400E4">
        <w:rPr>
          <w:i/>
        </w:rPr>
        <w:t>O. yothersi</w:t>
      </w:r>
      <w:r w:rsidRPr="00E400E4">
        <w:t xml:space="preserve"> from avocados from Chile are considered similar to those of spider mites from other commodities assessed previously, since avocados from Chile are expected to be distributed in Australia in a similar way to those commodities, and host material is likely to be available all year in Australia. In previous instances and in this analysis, the likelihood of distribution is assessed as Moderate. </w:t>
      </w:r>
    </w:p>
    <w:p w:rsidR="00555918" w:rsidRPr="00E400E4" w:rsidRDefault="00555918" w:rsidP="000B1771">
      <w:r w:rsidRPr="00E400E4">
        <w:t xml:space="preserve">The likelihoods of establishment and spread of </w:t>
      </w:r>
      <w:r w:rsidRPr="00E400E4">
        <w:rPr>
          <w:i/>
        </w:rPr>
        <w:t>O. punicae</w:t>
      </w:r>
      <w:r w:rsidRPr="00E400E4">
        <w:t xml:space="preserve"> and </w:t>
      </w:r>
      <w:r w:rsidRPr="00E400E4">
        <w:rPr>
          <w:i/>
        </w:rPr>
        <w:t>O. yothersi</w:t>
      </w:r>
      <w:r w:rsidRPr="00E400E4">
        <w:t xml:space="preserve"> in Australia are also considered similar to those of previous assessments. Those likelihoods relate specifically to events that occur in Australia, and are principally independent of the import pathway. The likelihoods of establishment and of spread for </w:t>
      </w:r>
      <w:r w:rsidRPr="00E400E4">
        <w:rPr>
          <w:i/>
        </w:rPr>
        <w:t>Oligonychus</w:t>
      </w:r>
      <w:r w:rsidRPr="00E400E4">
        <w:t xml:space="preserve"> spider mites from avocados from Chile are therefore assessed as High and Moderate respectively. The consequences of the entry, establishment and spread of spider mites in Australia are also independent of the import pathway and have been assessed as Moderate.</w:t>
      </w:r>
    </w:p>
    <w:p w:rsidR="00555918" w:rsidRPr="00E400E4" w:rsidRDefault="00555918" w:rsidP="000B1771">
      <w:r w:rsidRPr="00E400E4">
        <w:t xml:space="preserve">In addition, the department has reviewed the latest literature on spider mites—for example, </w:t>
      </w:r>
      <w:r>
        <w:rPr>
          <w:noProof/>
        </w:rPr>
        <w:t>Vacante (2016)</w:t>
      </w:r>
      <w:r w:rsidRPr="00E400E4">
        <w:t xml:space="preserve">, </w:t>
      </w:r>
      <w:r>
        <w:rPr>
          <w:noProof/>
        </w:rPr>
        <w:t>Peña et al. (2013)</w:t>
      </w:r>
      <w:r w:rsidRPr="00E400E4">
        <w:t xml:space="preserve">, </w:t>
      </w:r>
      <w:r>
        <w:rPr>
          <w:noProof/>
        </w:rPr>
        <w:t>Khodayari et al. (2013)</w:t>
      </w:r>
      <w:r w:rsidRPr="00E400E4">
        <w:t xml:space="preserve"> and </w:t>
      </w:r>
      <w:r>
        <w:rPr>
          <w:noProof/>
        </w:rPr>
        <w:t>Ramírez López (2017)</w:t>
      </w:r>
      <w:r w:rsidRPr="00E400E4">
        <w:t xml:space="preserve">. No new information has been identified that would significantly change the assessments of risk ratings for importation, distribution, establishment, spread or consequences, as set out for spider mites in the risk analyses for apples from China, table grapes from China and mangosteens from Indonesia </w:t>
      </w:r>
      <w:r>
        <w:rPr>
          <w:noProof/>
        </w:rPr>
        <w:t>(Biosecurity Australia 2010a, 2011; DAFF 2012b)</w:t>
      </w:r>
      <w:r w:rsidRPr="00E400E4">
        <w:t>.</w:t>
      </w:r>
    </w:p>
    <w:p w:rsidR="00555918" w:rsidRPr="00E400E4" w:rsidRDefault="00555918" w:rsidP="000B1771">
      <w:r w:rsidRPr="00E400E4">
        <w:t xml:space="preserve">All ratings for the likelihoods of entry, establishment and spread, and the rating for the overall consequences are set out in </w:t>
      </w:r>
      <w:r w:rsidRPr="00E400E4">
        <w:fldChar w:fldCharType="begin"/>
      </w:r>
      <w:r w:rsidRPr="00E400E4">
        <w:instrText xml:space="preserve"> REF _Ref527374592 \h  \* MERGEFORMAT </w:instrText>
      </w:r>
      <w:r w:rsidRPr="00E400E4">
        <w:fldChar w:fldCharType="separate"/>
      </w:r>
      <w:r w:rsidR="006C029B" w:rsidRPr="00E400E4">
        <w:t xml:space="preserve">Table </w:t>
      </w:r>
      <w:r w:rsidR="006C029B">
        <w:rPr>
          <w:noProof/>
        </w:rPr>
        <w:t>4</w:t>
      </w:r>
      <w:r w:rsidR="006C029B" w:rsidRPr="00E400E4">
        <w:rPr>
          <w:noProof/>
        </w:rPr>
        <w:t>.</w:t>
      </w:r>
      <w:r w:rsidR="006C029B">
        <w:rPr>
          <w:noProof/>
        </w:rPr>
        <w:t>5</w:t>
      </w:r>
      <w:r w:rsidRPr="00E400E4">
        <w:fldChar w:fldCharType="end"/>
      </w:r>
      <w:r w:rsidRPr="00E400E4">
        <w:t>.</w:t>
      </w:r>
    </w:p>
    <w:p w:rsidR="00555918" w:rsidRPr="00E400E4" w:rsidRDefault="00555918" w:rsidP="000B1771">
      <w:pPr>
        <w:pStyle w:val="Heading4"/>
      </w:pPr>
      <w:bookmarkStart w:id="122" w:name="_Ref522696192"/>
      <w:r w:rsidRPr="00E400E4">
        <w:t>Likelihood of entry</w:t>
      </w:r>
      <w:bookmarkEnd w:id="122"/>
    </w:p>
    <w:p w:rsidR="00555918" w:rsidRPr="00E400E4" w:rsidRDefault="00555918" w:rsidP="000B1771">
      <w:r w:rsidRPr="00E400E4">
        <w:t>The likelihood of entry is considered in two parts, the likelihood of importation and the likelihood of distribution, which consider pre-border and post-border issues, respectively.</w:t>
      </w:r>
    </w:p>
    <w:p w:rsidR="00555918" w:rsidRPr="00E400E4" w:rsidRDefault="00555918" w:rsidP="000B1771">
      <w:pPr>
        <w:pStyle w:val="Heading5"/>
      </w:pPr>
      <w:r w:rsidRPr="00E400E4">
        <w:lastRenderedPageBreak/>
        <w:t>Likelihood of importation</w:t>
      </w:r>
    </w:p>
    <w:p w:rsidR="00555918" w:rsidRPr="00E400E4" w:rsidRDefault="00555918" w:rsidP="000B1771">
      <w:r w:rsidRPr="00E400E4">
        <w:t xml:space="preserve">It is considered that the likelihood of importation of </w:t>
      </w:r>
      <w:r w:rsidRPr="00E400E4">
        <w:rPr>
          <w:i/>
        </w:rPr>
        <w:t>O. yothersi</w:t>
      </w:r>
      <w:r w:rsidRPr="00E400E4">
        <w:t xml:space="preserve"> on avocados from Chile is similar to the assessments made for similar species of spider mites in the risk analyses for apples from China, table grapes from China and mangosteens from Indonesia, where the likelihoods were rated as High </w:t>
      </w:r>
      <w:r>
        <w:rPr>
          <w:noProof/>
        </w:rPr>
        <w:t>(Biosecurity Australia 2010a, 2011; DAFF 2012b)</w:t>
      </w:r>
      <w:r w:rsidRPr="00E400E4">
        <w:t xml:space="preserve">. The likelihood rating of importation of </w:t>
      </w:r>
      <w:r w:rsidRPr="00E400E4">
        <w:rPr>
          <w:i/>
        </w:rPr>
        <w:t>O. punicae</w:t>
      </w:r>
      <w:r w:rsidRPr="00E400E4">
        <w:t xml:space="preserve"> is reduced to Low due to its apparent rarity on avocados in Chile.</w:t>
      </w:r>
    </w:p>
    <w:p w:rsidR="00555918" w:rsidRPr="00E400E4" w:rsidRDefault="00555918" w:rsidP="000B1771">
      <w:r w:rsidRPr="00E400E4">
        <w:t>The following information provides supporting evidence for this assessment:</w:t>
      </w:r>
    </w:p>
    <w:p w:rsidR="00555918" w:rsidRPr="00E400E4" w:rsidRDefault="00555918" w:rsidP="00555918">
      <w:pPr>
        <w:pStyle w:val="ListBullet"/>
        <w:numPr>
          <w:ilvl w:val="0"/>
          <w:numId w:val="7"/>
        </w:numPr>
      </w:pPr>
      <w:r w:rsidRPr="00E400E4">
        <w:rPr>
          <w:i/>
        </w:rPr>
        <w:t>Oligonychus punicae</w:t>
      </w:r>
      <w:r w:rsidRPr="00E400E4">
        <w:t xml:space="preserve"> and </w:t>
      </w:r>
      <w:r w:rsidRPr="00E400E4">
        <w:rPr>
          <w:i/>
        </w:rPr>
        <w:t>O. yothersi</w:t>
      </w:r>
      <w:r w:rsidRPr="00E400E4">
        <w:t xml:space="preserve"> have effectively identical life histories to other spider mite species, including those assessed previously for apples from China, table grapes from China and mangosteens from Indonesia </w:t>
      </w:r>
      <w:r>
        <w:rPr>
          <w:noProof/>
        </w:rPr>
        <w:t>(Ebeling 1959; Vacante 2016)</w:t>
      </w:r>
      <w:r w:rsidRPr="00E400E4">
        <w:t xml:space="preserve">. </w:t>
      </w:r>
    </w:p>
    <w:p w:rsidR="00555918" w:rsidRPr="00E400E4" w:rsidRDefault="00555918" w:rsidP="00555918">
      <w:pPr>
        <w:pStyle w:val="ListBullet"/>
        <w:numPr>
          <w:ilvl w:val="0"/>
          <w:numId w:val="7"/>
        </w:numPr>
      </w:pPr>
      <w:r w:rsidRPr="00E400E4">
        <w:t xml:space="preserve">Both </w:t>
      </w:r>
      <w:r w:rsidRPr="00E400E4">
        <w:rPr>
          <w:i/>
        </w:rPr>
        <w:t>O. punicae</w:t>
      </w:r>
      <w:r w:rsidRPr="00E400E4">
        <w:t xml:space="preserve"> and </w:t>
      </w:r>
      <w:r w:rsidRPr="00E400E4">
        <w:rPr>
          <w:i/>
        </w:rPr>
        <w:t>O. yothersi</w:t>
      </w:r>
      <w:r w:rsidRPr="00E400E4">
        <w:t xml:space="preserve"> are present on avocado in Chile: </w:t>
      </w:r>
      <w:r w:rsidRPr="00E400E4">
        <w:rPr>
          <w:i/>
        </w:rPr>
        <w:t>Oligonychus punicae</w:t>
      </w:r>
      <w:r w:rsidRPr="00E400E4">
        <w:t xml:space="preserve"> has been reported on avocado in Chile by reference to a record from 1988 </w:t>
      </w:r>
      <w:r>
        <w:rPr>
          <w:noProof/>
        </w:rPr>
        <w:t>(Flechtmann 1996)</w:t>
      </w:r>
      <w:r w:rsidRPr="00E400E4">
        <w:t xml:space="preserve"> but no evidence of economic damage in Chile caused by this pest could be found. </w:t>
      </w:r>
      <w:r w:rsidRPr="00E400E4">
        <w:rPr>
          <w:i/>
        </w:rPr>
        <w:t>Oligonychus yothersi</w:t>
      </w:r>
      <w:r w:rsidRPr="00E400E4">
        <w:t xml:space="preserve"> is recognised as a common pest of avocado in Chile </w:t>
      </w:r>
      <w:r>
        <w:rPr>
          <w:noProof/>
        </w:rPr>
        <w:t>(Vargas &amp; Rodríguez 2008a)</w:t>
      </w:r>
      <w:r w:rsidRPr="00E400E4">
        <w:t xml:space="preserve">. </w:t>
      </w:r>
    </w:p>
    <w:p w:rsidR="00555918" w:rsidRPr="00E400E4" w:rsidRDefault="00555918" w:rsidP="00555918">
      <w:pPr>
        <w:pStyle w:val="ListBullet"/>
        <w:numPr>
          <w:ilvl w:val="0"/>
          <w:numId w:val="7"/>
        </w:numPr>
      </w:pPr>
      <w:r w:rsidRPr="00E400E4">
        <w:rPr>
          <w:i/>
        </w:rPr>
        <w:t>Oligonychus punicae</w:t>
      </w:r>
      <w:r w:rsidRPr="00E400E4">
        <w:t xml:space="preserve"> and </w:t>
      </w:r>
      <w:r w:rsidRPr="00E400E4">
        <w:rPr>
          <w:i/>
        </w:rPr>
        <w:t>O. yothersi</w:t>
      </w:r>
      <w:r w:rsidRPr="00E400E4">
        <w:t xml:space="preserve"> usually feed on the upper surface of leaves of avocado but in heavy infestations they also feed on the lower surface of leaves and on fruit </w:t>
      </w:r>
      <w:r>
        <w:rPr>
          <w:noProof/>
        </w:rPr>
        <w:t>(Bailey &amp; Olsen 1990; Estrada-Venegas, Rodriguez-Navarro &amp; McMurty 2002; McMurtry 1985a; Paull &amp; Duarte 2011; Peña et al. 2013)</w:t>
      </w:r>
      <w:r w:rsidRPr="00E400E4">
        <w:t>.</w:t>
      </w:r>
    </w:p>
    <w:p w:rsidR="00555918" w:rsidRPr="00E400E4" w:rsidRDefault="00555918" w:rsidP="00555918">
      <w:pPr>
        <w:pStyle w:val="ListBullet"/>
        <w:numPr>
          <w:ilvl w:val="0"/>
          <w:numId w:val="7"/>
        </w:numPr>
      </w:pPr>
      <w:r w:rsidRPr="00E400E4">
        <w:t xml:space="preserve">Spider mites are very small, ranging from 0.35 to 1 millimetre in length </w:t>
      </w:r>
      <w:r>
        <w:rPr>
          <w:noProof/>
        </w:rPr>
        <w:t>(Vacante 2016)</w:t>
      </w:r>
      <w:r w:rsidRPr="00E400E4">
        <w:t xml:space="preserve">. Adult females of </w:t>
      </w:r>
      <w:r w:rsidRPr="00E400E4">
        <w:rPr>
          <w:i/>
        </w:rPr>
        <w:t>O. punicae</w:t>
      </w:r>
      <w:r w:rsidRPr="00E400E4">
        <w:t xml:space="preserve"> and </w:t>
      </w:r>
      <w:r w:rsidRPr="00E400E4">
        <w:rPr>
          <w:i/>
        </w:rPr>
        <w:t>O. yothersi</w:t>
      </w:r>
      <w:r w:rsidRPr="00E400E4">
        <w:t xml:space="preserve"> are 0.4 millimetres and 0.3 millimetres long respectively, and adult males are even smaller </w:t>
      </w:r>
      <w:r>
        <w:rPr>
          <w:noProof/>
        </w:rPr>
        <w:t>(Ebeling 1959)</w:t>
      </w:r>
      <w:r w:rsidRPr="00E400E4">
        <w:t xml:space="preserve">. Therefore, spider mites, including </w:t>
      </w:r>
      <w:r w:rsidRPr="00E400E4">
        <w:rPr>
          <w:i/>
        </w:rPr>
        <w:t>O. punicae</w:t>
      </w:r>
      <w:r w:rsidRPr="00E400E4">
        <w:t xml:space="preserve"> and </w:t>
      </w:r>
      <w:r w:rsidRPr="00E400E4">
        <w:rPr>
          <w:i/>
        </w:rPr>
        <w:t>O. yothersi</w:t>
      </w:r>
      <w:r w:rsidRPr="00E400E4">
        <w:t>, can hide on fruit, for example near the peduncle of avocado fruit. Such factors make detection of spider mites difficult during harvest and quality control inspections for export commodities. In addition, brushing of avocados during packing house processes may not remove spider mites located near the peduncle.</w:t>
      </w:r>
    </w:p>
    <w:p w:rsidR="00555918" w:rsidRPr="00E400E4" w:rsidRDefault="00555918" w:rsidP="00555918">
      <w:pPr>
        <w:pStyle w:val="ListBullet"/>
        <w:numPr>
          <w:ilvl w:val="0"/>
          <w:numId w:val="7"/>
        </w:numPr>
      </w:pPr>
      <w:r w:rsidRPr="00E400E4">
        <w:t xml:space="preserve">Spider mites have been intercepted on fresh fruit, including avocados, imported into Australia (Department of Agriculture unpublished data). In addition, both </w:t>
      </w:r>
      <w:r w:rsidRPr="00E400E4">
        <w:rPr>
          <w:i/>
        </w:rPr>
        <w:t>O. punicae</w:t>
      </w:r>
      <w:r w:rsidRPr="00E400E4">
        <w:t xml:space="preserve"> and </w:t>
      </w:r>
      <w:r w:rsidRPr="00E400E4">
        <w:rPr>
          <w:i/>
        </w:rPr>
        <w:t>O. yothersi</w:t>
      </w:r>
      <w:r w:rsidRPr="00E400E4">
        <w:t xml:space="preserve"> have been intercepted on trade in fresh fruit in the North American Plant Protection (NAPPO) region </w:t>
      </w:r>
      <w:r>
        <w:rPr>
          <w:noProof/>
        </w:rPr>
        <w:t>(NAPPO 2014)</w:t>
      </w:r>
      <w:r w:rsidRPr="00E400E4">
        <w:t>.</w:t>
      </w:r>
    </w:p>
    <w:p w:rsidR="00555918" w:rsidRPr="00E400E4" w:rsidRDefault="00555918" w:rsidP="00555918">
      <w:pPr>
        <w:pStyle w:val="ListBullet"/>
        <w:numPr>
          <w:ilvl w:val="0"/>
          <w:numId w:val="7"/>
        </w:numPr>
      </w:pPr>
      <w:r w:rsidRPr="00E400E4">
        <w:rPr>
          <w:i/>
        </w:rPr>
        <w:t>Oligonychus punicae</w:t>
      </w:r>
      <w:r w:rsidRPr="00E400E4">
        <w:t xml:space="preserve"> and </w:t>
      </w:r>
      <w:r w:rsidRPr="00E400E4">
        <w:rPr>
          <w:i/>
        </w:rPr>
        <w:t>O. yothersi</w:t>
      </w:r>
      <w:r w:rsidRPr="00E400E4">
        <w:t xml:space="preserve"> lay their eggs on leaves </w:t>
      </w:r>
      <w:r>
        <w:rPr>
          <w:noProof/>
        </w:rPr>
        <w:t>(Jeppson, Keifer &amp; Baker 1975; Vacante 2016)</w:t>
      </w:r>
      <w:r w:rsidRPr="00E400E4">
        <w:t>. Eggs are therefore unlikely to be present on avocado fruit.</w:t>
      </w:r>
    </w:p>
    <w:p w:rsidR="00555918" w:rsidRPr="00E400E4" w:rsidRDefault="00555918" w:rsidP="000B1771">
      <w:r w:rsidRPr="00E400E4">
        <w:t xml:space="preserve">For these reasons, </w:t>
      </w:r>
      <w:r w:rsidRPr="00E400E4">
        <w:rPr>
          <w:i/>
        </w:rPr>
        <w:t>O. punicae</w:t>
      </w:r>
      <w:r w:rsidRPr="00E400E4">
        <w:t xml:space="preserve"> and </w:t>
      </w:r>
      <w:r w:rsidRPr="00E400E4">
        <w:rPr>
          <w:i/>
        </w:rPr>
        <w:t>O. yothersi</w:t>
      </w:r>
      <w:r w:rsidRPr="00E400E4">
        <w:t xml:space="preserve"> are considered to be very similar to the previously assessed spider mites for apples from China, table grapes from China and mangosteens from Indonesia in all relevant biological aspects. The likelihood of importation of </w:t>
      </w:r>
      <w:r w:rsidRPr="00E400E4">
        <w:rPr>
          <w:i/>
        </w:rPr>
        <w:t>O. yothersi</w:t>
      </w:r>
      <w:r w:rsidRPr="00E400E4">
        <w:t xml:space="preserve"> on avocados from Chile is therefore assessed as High. The likelihood of importation of </w:t>
      </w:r>
      <w:r w:rsidRPr="00E400E4">
        <w:rPr>
          <w:i/>
        </w:rPr>
        <w:t>O. punicae</w:t>
      </w:r>
      <w:r w:rsidRPr="00E400E4">
        <w:t xml:space="preserve"> on avocados from Chile is assessed as Low due to its apparent rarity and the lack of evidence of economic damage caused by this pest in Chile. </w:t>
      </w:r>
    </w:p>
    <w:p w:rsidR="00555918" w:rsidRPr="00E400E4" w:rsidRDefault="00555918" w:rsidP="000B1771">
      <w:pPr>
        <w:pStyle w:val="Heading5"/>
      </w:pPr>
      <w:r w:rsidRPr="00E400E4">
        <w:t>Likelihood of distribution</w:t>
      </w:r>
    </w:p>
    <w:p w:rsidR="00555918" w:rsidRPr="00E400E4" w:rsidRDefault="00555918" w:rsidP="000B1771">
      <w:r w:rsidRPr="00E400E4">
        <w:t xml:space="preserve">Most spider mites, including </w:t>
      </w:r>
      <w:r w:rsidRPr="00E400E4">
        <w:rPr>
          <w:i/>
        </w:rPr>
        <w:t>O. punicae</w:t>
      </w:r>
      <w:r w:rsidRPr="00E400E4">
        <w:t xml:space="preserve"> and </w:t>
      </w:r>
      <w:r w:rsidRPr="00E400E4">
        <w:rPr>
          <w:i/>
        </w:rPr>
        <w:t>O. yothersi</w:t>
      </w:r>
      <w:r w:rsidRPr="00E400E4">
        <w:t xml:space="preserve">, have a wide host range </w:t>
      </w:r>
      <w:r>
        <w:rPr>
          <w:noProof/>
        </w:rPr>
        <w:t>(Bolland, Gutierrez &amp; Flechtmann 1998; Migeon &amp; Dorkeld 2019; Vacante 2016; Vasquez et al. 2008)</w:t>
      </w:r>
      <w:r w:rsidRPr="00E400E4">
        <w:t xml:space="preserve"> and host material is likely to be available all year in Australia. Therefore, similar to previous assessments of spider mites on other import pathways, the time of year when importation occurs does not affect the likelihood of distribution for </w:t>
      </w:r>
      <w:r w:rsidRPr="00E400E4">
        <w:rPr>
          <w:i/>
        </w:rPr>
        <w:t>O. punicae</w:t>
      </w:r>
      <w:r w:rsidRPr="00E400E4">
        <w:t xml:space="preserve"> and </w:t>
      </w:r>
      <w:r w:rsidRPr="00E400E4">
        <w:rPr>
          <w:i/>
        </w:rPr>
        <w:t>O. yothersi</w:t>
      </w:r>
      <w:r w:rsidRPr="00E400E4">
        <w:t xml:space="preserve"> in Australia. In </w:t>
      </w:r>
      <w:r w:rsidRPr="00E400E4">
        <w:lastRenderedPageBreak/>
        <w:t>addition, avocados from Chile are expected to be distributed in Australia in a similar way to the commodities assessed previously.</w:t>
      </w:r>
    </w:p>
    <w:p w:rsidR="00555918" w:rsidRPr="00E400E4" w:rsidRDefault="00555918" w:rsidP="000B1771">
      <w:r w:rsidRPr="00E400E4">
        <w:t xml:space="preserve">Spider mites disperse within and between host plants through crawling </w:t>
      </w:r>
      <w:r>
        <w:rPr>
          <w:noProof/>
        </w:rPr>
        <w:t>(Kennedy &amp; Smitley 1985)</w:t>
      </w:r>
      <w:r w:rsidRPr="00E400E4">
        <w:t xml:space="preserve">. In addition, aerial dispersal, mainly by adult females, has the potential for long-range transport on wind currents, but it is entirely passive once the mites are airborne and most aerially dispersing mites fall out of the air current soon after they are carried aloft </w:t>
      </w:r>
      <w:r>
        <w:rPr>
          <w:noProof/>
        </w:rPr>
        <w:t>(Kennedy &amp; Smitley 1985)</w:t>
      </w:r>
      <w:r w:rsidRPr="00E400E4">
        <w:t xml:space="preserve">. Spider mites may be able to reach nearby hosts from infested avocado waste but the dispersal range would be short. </w:t>
      </w:r>
    </w:p>
    <w:p w:rsidR="00555918" w:rsidRPr="00E400E4" w:rsidRDefault="00555918" w:rsidP="000B1771">
      <w:r w:rsidRPr="00E400E4">
        <w:t xml:space="preserve">Previous assessments for similar spider mites on apples from China, table grapes from China and mangosteens from Indonesia rated the likelihood of distribution as Moderate </w:t>
      </w:r>
      <w:r>
        <w:rPr>
          <w:noProof/>
        </w:rPr>
        <w:t>(Biosecurity Australia 2010a, 2011; DAFF 2012b)</w:t>
      </w:r>
      <w:r w:rsidRPr="00E400E4">
        <w:t xml:space="preserve">. The independence of the likelihood of distribution from the import window, together with the similarities in biological characteristics of the previously assessed spider mites and the spider mites in this pest risk assessment, support the extension of the previously assessed likelihoods of distribution to this pest risk assessment. Therefore, the likelihoods of distribution of </w:t>
      </w:r>
      <w:r w:rsidRPr="00E400E4">
        <w:rPr>
          <w:i/>
        </w:rPr>
        <w:t>O. punicae</w:t>
      </w:r>
      <w:r w:rsidRPr="00E400E4">
        <w:t xml:space="preserve"> and </w:t>
      </w:r>
      <w:r w:rsidRPr="00E400E4">
        <w:rPr>
          <w:i/>
        </w:rPr>
        <w:t>O. yothersi</w:t>
      </w:r>
      <w:r w:rsidRPr="00E400E4">
        <w:t xml:space="preserve"> on avocados from Chile are assessed as Moderate.</w:t>
      </w:r>
    </w:p>
    <w:p w:rsidR="00555918" w:rsidRPr="00E400E4" w:rsidRDefault="00555918" w:rsidP="000B1771">
      <w:pPr>
        <w:pStyle w:val="Heading5"/>
      </w:pPr>
      <w:r w:rsidRPr="00E400E4">
        <w:t>Overall likelihood of entry</w:t>
      </w:r>
    </w:p>
    <w:p w:rsidR="00555918" w:rsidRPr="00E400E4" w:rsidRDefault="00555918" w:rsidP="000B1771">
      <w:r w:rsidRPr="00E400E4">
        <w:t xml:space="preserve">The overall likelihood of entry is determined by combining the likelihood of importation with the likelihood of distribution, using the matrix of rules shown in </w:t>
      </w:r>
      <w:r w:rsidRPr="00E400E4">
        <w:fldChar w:fldCharType="begin"/>
      </w:r>
      <w:r w:rsidRPr="00E400E4">
        <w:instrText xml:space="preserve"> REF _Ref457826328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2</w:t>
      </w:r>
      <w:r w:rsidRPr="00E400E4">
        <w:fldChar w:fldCharType="end"/>
      </w:r>
      <w:r w:rsidRPr="00E400E4">
        <w:t>.</w:t>
      </w:r>
    </w:p>
    <w:p w:rsidR="00555918" w:rsidRPr="00E400E4" w:rsidRDefault="00555918" w:rsidP="000B1771">
      <w:r w:rsidRPr="00E400E4">
        <w:t xml:space="preserve">The likelihood that </w:t>
      </w:r>
      <w:r w:rsidRPr="00E400E4">
        <w:rPr>
          <w:i/>
        </w:rPr>
        <w:t>O. yothersi</w:t>
      </w:r>
      <w:r w:rsidRPr="00E400E4">
        <w:t xml:space="preserve"> will enter Australia as a result of trade in avocados from Chile, and be distributed in a viable state to a susceptible host, is assessed as Moderate.</w:t>
      </w:r>
    </w:p>
    <w:p w:rsidR="00555918" w:rsidRPr="00E400E4" w:rsidRDefault="00555918" w:rsidP="000B1771">
      <w:r w:rsidRPr="00E400E4">
        <w:t xml:space="preserve">The likelihood that </w:t>
      </w:r>
      <w:r w:rsidRPr="00E400E4">
        <w:rPr>
          <w:i/>
        </w:rPr>
        <w:t>O. punicae</w:t>
      </w:r>
      <w:r w:rsidRPr="00E400E4">
        <w:t xml:space="preserve"> will enter Australia as a result of trade in avocados from Chile, and be distributed in a viable state to a susceptible host, is assessed as Low.</w:t>
      </w:r>
    </w:p>
    <w:p w:rsidR="00555918" w:rsidRPr="00E400E4" w:rsidRDefault="00555918" w:rsidP="000B1771">
      <w:pPr>
        <w:pStyle w:val="Heading4"/>
      </w:pPr>
      <w:r w:rsidRPr="00E400E4">
        <w:t>Likelihood of establishment and spread</w:t>
      </w:r>
    </w:p>
    <w:p w:rsidR="00555918" w:rsidRPr="00E400E4" w:rsidRDefault="00555918" w:rsidP="000B1771">
      <w:r w:rsidRPr="00E400E4">
        <w:t xml:space="preserve">The likelihoods of establishment and of spread for </w:t>
      </w:r>
      <w:r w:rsidRPr="00E400E4">
        <w:rPr>
          <w:i/>
        </w:rPr>
        <w:t>O. punicae</w:t>
      </w:r>
      <w:r w:rsidRPr="00E400E4">
        <w:t xml:space="preserve"> and </w:t>
      </w:r>
      <w:r w:rsidRPr="00E400E4">
        <w:rPr>
          <w:i/>
        </w:rPr>
        <w:t>O. yothersi</w:t>
      </w:r>
      <w:r w:rsidRPr="00E400E4">
        <w:t xml:space="preserve"> are independent of the import pathway, and are similar to those provided in previous pest risk assessments for similar spider mites, including the pest risk assessments for spider mites in the risk analyses for apples from China and table grapes from China </w:t>
      </w:r>
      <w:r>
        <w:rPr>
          <w:noProof/>
        </w:rPr>
        <w:t>(Biosecurity Australia 2010a, 2011)</w:t>
      </w:r>
      <w:r w:rsidRPr="00E400E4">
        <w:t>. The ratings from these previous assessments are:</w:t>
      </w:r>
    </w:p>
    <w:p w:rsidR="00555918" w:rsidRPr="00E400E4" w:rsidRDefault="00555918" w:rsidP="000B1771">
      <w:r w:rsidRPr="00E400E4">
        <w:t>Likelihood of establishment:</w:t>
      </w:r>
      <w:r w:rsidRPr="00E400E4">
        <w:tab/>
        <w:t>High</w:t>
      </w:r>
    </w:p>
    <w:p w:rsidR="00555918" w:rsidRPr="00E400E4" w:rsidRDefault="00555918" w:rsidP="000B1771">
      <w:r w:rsidRPr="00E400E4">
        <w:t>Likelihood of spread:</w:t>
      </w:r>
      <w:r w:rsidRPr="00E400E4">
        <w:tab/>
      </w:r>
      <w:r w:rsidRPr="00E400E4">
        <w:tab/>
        <w:t>Moderate</w:t>
      </w:r>
    </w:p>
    <w:p w:rsidR="00555918" w:rsidRPr="00E400E4" w:rsidRDefault="00555918" w:rsidP="000B1771">
      <w:pPr>
        <w:pStyle w:val="Heading4"/>
      </w:pPr>
      <w:r w:rsidRPr="00E400E4">
        <w:t>Overall likelihood of entry, establishment and spread</w:t>
      </w:r>
    </w:p>
    <w:p w:rsidR="00555918" w:rsidRPr="00E400E4" w:rsidRDefault="00555918" w:rsidP="000B1771">
      <w:r w:rsidRPr="00E400E4">
        <w:t xml:space="preserve">The overall likelihood of entry, establishment and spread is determined by combining the likelihoods of entry, establishment, and spread using the matrix of rules shown in </w:t>
      </w:r>
      <w:r w:rsidRPr="00E400E4">
        <w:fldChar w:fldCharType="begin"/>
      </w:r>
      <w:r w:rsidRPr="00E400E4">
        <w:instrText xml:space="preserve"> REF _Ref457826328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2</w:t>
      </w:r>
      <w:r w:rsidRPr="00E400E4">
        <w:fldChar w:fldCharType="end"/>
      </w:r>
      <w:r w:rsidRPr="00E400E4">
        <w:t>.</w:t>
      </w:r>
    </w:p>
    <w:p w:rsidR="00555918" w:rsidRPr="00E400E4" w:rsidRDefault="00555918" w:rsidP="000B1771">
      <w:r w:rsidRPr="00E400E4">
        <w:t xml:space="preserve">The likelihood that </w:t>
      </w:r>
      <w:r w:rsidRPr="00E400E4">
        <w:rPr>
          <w:i/>
        </w:rPr>
        <w:t>O. punicae</w:t>
      </w:r>
      <w:r w:rsidRPr="00E400E4">
        <w:t xml:space="preserve"> and/or </w:t>
      </w:r>
      <w:r w:rsidRPr="00E400E4">
        <w:rPr>
          <w:i/>
        </w:rPr>
        <w:t>O. yothersi</w:t>
      </w:r>
      <w:r w:rsidRPr="00E400E4">
        <w:t xml:space="preserve"> will enter Australia as a result of trade in avocados from Chile, be distributed in a viable state to a susceptible host, establish in Australia, and subsequently spread within Australia is assessed as Low.</w:t>
      </w:r>
    </w:p>
    <w:p w:rsidR="00555918" w:rsidRPr="00E400E4" w:rsidRDefault="00555918" w:rsidP="000B1771">
      <w:pPr>
        <w:pStyle w:val="Heading4"/>
      </w:pPr>
      <w:r w:rsidRPr="00E400E4">
        <w:lastRenderedPageBreak/>
        <w:t>Consequences</w:t>
      </w:r>
    </w:p>
    <w:p w:rsidR="00555918" w:rsidRPr="00E400E4" w:rsidRDefault="00555918" w:rsidP="000B1771">
      <w:r w:rsidRPr="00E400E4">
        <w:t xml:space="preserve">It is considered that the consequences of entry, establishment and spread of </w:t>
      </w:r>
      <w:r w:rsidRPr="00E400E4">
        <w:rPr>
          <w:i/>
        </w:rPr>
        <w:t>O. punicae</w:t>
      </w:r>
      <w:r w:rsidRPr="00E400E4">
        <w:t xml:space="preserve"> and </w:t>
      </w:r>
      <w:r w:rsidRPr="00E400E4">
        <w:rPr>
          <w:i/>
        </w:rPr>
        <w:t>O. yothersi</w:t>
      </w:r>
      <w:r w:rsidRPr="00E400E4">
        <w:t xml:space="preserve"> are independent of the import pathway, and are similar to the outcomes of previous assessments for similar spider mites, including those assessed in the risk analyses for apples from China and table grapes from China </w:t>
      </w:r>
      <w:r>
        <w:rPr>
          <w:noProof/>
        </w:rPr>
        <w:t>(Biosecurity Australia 2010a, 2011)</w:t>
      </w:r>
      <w:r w:rsidRPr="00E400E4">
        <w:t xml:space="preserve">. The rating for overall consequences for similar spider mites in previous risk analyses was Moderate. Therefore, the overall consequences for </w:t>
      </w:r>
      <w:r w:rsidRPr="00E400E4">
        <w:rPr>
          <w:i/>
        </w:rPr>
        <w:t>O. punicae</w:t>
      </w:r>
      <w:r w:rsidRPr="00E400E4">
        <w:t xml:space="preserve"> and </w:t>
      </w:r>
      <w:r w:rsidRPr="00E400E4">
        <w:rPr>
          <w:i/>
        </w:rPr>
        <w:t>O. yothersi</w:t>
      </w:r>
      <w:r w:rsidRPr="00E400E4">
        <w:t xml:space="preserve"> from the avocados from Chile pathway is also assessed as Moderate.</w:t>
      </w:r>
    </w:p>
    <w:p w:rsidR="00555918" w:rsidRPr="00E400E4" w:rsidRDefault="00555918" w:rsidP="000B1771">
      <w:pPr>
        <w:pStyle w:val="Heading4"/>
      </w:pPr>
      <w:r w:rsidRPr="00E400E4">
        <w:t>Unrestricted risk estimate</w:t>
      </w:r>
    </w:p>
    <w:p w:rsidR="00555918" w:rsidRPr="00E400E4" w:rsidRDefault="00555918" w:rsidP="000B1771">
      <w:r w:rsidRPr="00E400E4">
        <w:t xml:space="preserve">Unrestricted risk is the result of combining the likelihoods of entry, establishment and spread with the estimate of consequences. Likelihoods and consequences are combined using the risk estimation matrix shown in </w:t>
      </w:r>
      <w:r w:rsidRPr="00E400E4">
        <w:fldChar w:fldCharType="begin"/>
      </w:r>
      <w:r w:rsidRPr="00E400E4">
        <w:instrText xml:space="preserve"> REF _Ref457826369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5</w:t>
      </w:r>
      <w:r w:rsidRPr="00E400E4">
        <w:fldChar w:fldCharType="end"/>
      </w:r>
      <w:r w:rsidRPr="00E400E4">
        <w:t>.</w:t>
      </w:r>
    </w:p>
    <w:p w:rsidR="00555918" w:rsidRPr="00E400E4" w:rsidRDefault="00555918" w:rsidP="000B1771">
      <w:r w:rsidRPr="00E400E4">
        <w:t xml:space="preserve">The unrestricted risk estimates for </w:t>
      </w:r>
      <w:r w:rsidRPr="00E400E4">
        <w:rPr>
          <w:i/>
        </w:rPr>
        <w:t>O. punicae</w:t>
      </w:r>
      <w:r w:rsidRPr="00E400E4">
        <w:t xml:space="preserve"> and </w:t>
      </w:r>
      <w:r w:rsidRPr="00E400E4">
        <w:rPr>
          <w:i/>
        </w:rPr>
        <w:t>O. yothersi</w:t>
      </w:r>
      <w:r w:rsidRPr="00E400E4">
        <w:t xml:space="preserve"> from the avocados from Chile pathway are assessed as Low, which is identical to the outcomes of previous assessments of similar spider mites, and which does not achieve the ALOP for Australia. Therefore, specific risk management measures are required for these pests.</w:t>
      </w:r>
      <w:r w:rsidRPr="00E400E4">
        <w:br w:type="page"/>
      </w:r>
    </w:p>
    <w:p w:rsidR="00555918" w:rsidRPr="00E400E4" w:rsidRDefault="00555918" w:rsidP="000B1771">
      <w:pPr>
        <w:pStyle w:val="Heading3"/>
      </w:pPr>
      <w:bookmarkStart w:id="123" w:name="_Toc20392248"/>
      <w:r w:rsidRPr="00E400E4">
        <w:lastRenderedPageBreak/>
        <w:t>Citrus red mite</w:t>
      </w:r>
      <w:bookmarkEnd w:id="123"/>
    </w:p>
    <w:p w:rsidR="00555918" w:rsidRPr="00E400E4" w:rsidRDefault="00555918" w:rsidP="000B1771">
      <w:pPr>
        <w:pStyle w:val="Heading4"/>
        <w:numPr>
          <w:ilvl w:val="0"/>
          <w:numId w:val="0"/>
        </w:numPr>
      </w:pPr>
      <w:r w:rsidRPr="00E400E4">
        <w:rPr>
          <w:i/>
        </w:rPr>
        <w:t>Panonychus citri</w:t>
      </w:r>
      <w:r w:rsidRPr="00E400E4">
        <w:t xml:space="preserve"> (EP, WA)</w:t>
      </w:r>
    </w:p>
    <w:p w:rsidR="00555918" w:rsidRPr="00E400E4" w:rsidRDefault="00555918" w:rsidP="000B1771">
      <w:r w:rsidRPr="00E400E4">
        <w:rPr>
          <w:i/>
        </w:rPr>
        <w:t>Panonychus citri</w:t>
      </w:r>
      <w:r w:rsidRPr="00E400E4">
        <w:t xml:space="preserve"> (Citrus red mite) belongs to the Tetranychidae or ‘spider mite’ family. It is distributed throughout the world, and is primarily a pest of citrus, but is also found on avocado </w:t>
      </w:r>
      <w:r>
        <w:rPr>
          <w:noProof/>
        </w:rPr>
        <w:t>(Bolland, Gutierrez &amp; Flechtmann 1998; CABI EPPO 1964; Vacante 2016)</w:t>
      </w:r>
      <w:r w:rsidRPr="00E400E4">
        <w:t xml:space="preserve">. Its host range includes horticultural crops that are widespread in Australia such as avocado, apple, citrus and stone fruit </w:t>
      </w:r>
      <w:r>
        <w:rPr>
          <w:noProof/>
        </w:rPr>
        <w:t>(Bolland, Gutierrez &amp; Flechtmann 1998; NSW DPI 2017; Vacante 2016)</w:t>
      </w:r>
      <w:r w:rsidRPr="00E400E4">
        <w:t>.</w:t>
      </w:r>
    </w:p>
    <w:p w:rsidR="00555918" w:rsidRPr="00E400E4" w:rsidRDefault="00555918" w:rsidP="000B1771">
      <w:r w:rsidRPr="00E400E4">
        <w:rPr>
          <w:i/>
        </w:rPr>
        <w:t>Panonychus citri</w:t>
      </w:r>
      <w:r w:rsidRPr="00E400E4">
        <w:t xml:space="preserve"> is not present in Western Australia and is a pest of regional concern for that state </w:t>
      </w:r>
      <w:r>
        <w:rPr>
          <w:noProof/>
        </w:rPr>
        <w:t>(Government of Western Australia 2019)</w:t>
      </w:r>
      <w:r w:rsidRPr="00E400E4">
        <w:t>.</w:t>
      </w:r>
    </w:p>
    <w:p w:rsidR="00555918" w:rsidRPr="00E400E4" w:rsidRDefault="00555918" w:rsidP="000B1771">
      <w:r w:rsidRPr="00E400E4">
        <w:t xml:space="preserve">Economic damage caused by </w:t>
      </w:r>
      <w:r w:rsidRPr="00E400E4">
        <w:rPr>
          <w:i/>
        </w:rPr>
        <w:t>P. citri</w:t>
      </w:r>
      <w:r w:rsidRPr="00E400E4">
        <w:t xml:space="preserve"> is mainly reported on citrus, which is the major host </w:t>
      </w:r>
      <w:r>
        <w:rPr>
          <w:noProof/>
        </w:rPr>
        <w:t>(CABI 2019a; Jeppson 1989)</w:t>
      </w:r>
      <w:r w:rsidRPr="00E400E4">
        <w:t xml:space="preserve">. </w:t>
      </w:r>
      <w:r w:rsidRPr="00E400E4">
        <w:rPr>
          <w:i/>
        </w:rPr>
        <w:t>Panonychus citri</w:t>
      </w:r>
      <w:r w:rsidRPr="00E400E4">
        <w:t xml:space="preserve"> mainly becomes a problem when broad-spectrum insecticides, which kill natural enemies of </w:t>
      </w:r>
      <w:r w:rsidRPr="00E400E4">
        <w:rPr>
          <w:i/>
        </w:rPr>
        <w:t>P. citri</w:t>
      </w:r>
      <w:r w:rsidRPr="00E400E4">
        <w:t xml:space="preserve">, are used to control other pests </w:t>
      </w:r>
      <w:r>
        <w:rPr>
          <w:noProof/>
        </w:rPr>
        <w:t>(McMurtry 1985b)</w:t>
      </w:r>
      <w:r w:rsidRPr="00E400E4">
        <w:t xml:space="preserve">. Damage to host plants is largely dependent on infestation levels. At low levels, slight leaf or fruit scarring may occur </w:t>
      </w:r>
      <w:r>
        <w:rPr>
          <w:noProof/>
        </w:rPr>
        <w:t>(NSW DPI 2017)</w:t>
      </w:r>
      <w:r w:rsidRPr="00E400E4">
        <w:t xml:space="preserve">. Large populations cause premature fruit drop and leaf fall, impacting plant functions by reducing gas exchange and photosynthetic activity in damaged leaves, and causing fruit scarring, significantly reducing fruit quality </w:t>
      </w:r>
      <w:r>
        <w:rPr>
          <w:noProof/>
        </w:rPr>
        <w:t>(Ripa &amp; Larral 2008; Zanardi et al. 2015)</w:t>
      </w:r>
      <w:r w:rsidRPr="00E400E4">
        <w:t xml:space="preserve">. </w:t>
      </w:r>
    </w:p>
    <w:p w:rsidR="00555918" w:rsidRPr="00E400E4" w:rsidRDefault="00555918" w:rsidP="000B1771">
      <w:r w:rsidRPr="00E400E4">
        <w:rPr>
          <w:i/>
        </w:rPr>
        <w:t>Panonychus citri</w:t>
      </w:r>
      <w:r w:rsidRPr="00E400E4">
        <w:t xml:space="preserve"> has been assessed previously in the risk analyses for sweet oranges from Italy and unshu mandarins from Japan </w:t>
      </w:r>
      <w:r>
        <w:rPr>
          <w:noProof/>
        </w:rPr>
        <w:t>(Biosecurity Australia 2005a, 2009)</w:t>
      </w:r>
      <w:r w:rsidRPr="00E400E4">
        <w:t xml:space="preserve">. </w:t>
      </w:r>
    </w:p>
    <w:p w:rsidR="00555918" w:rsidRPr="00E400E4" w:rsidRDefault="00555918" w:rsidP="000B1771">
      <w:r w:rsidRPr="00E400E4">
        <w:t xml:space="preserve">In those risk analyses, the unrestricted risk estimate for </w:t>
      </w:r>
      <w:r w:rsidRPr="00E400E4">
        <w:rPr>
          <w:i/>
        </w:rPr>
        <w:t>P. citri</w:t>
      </w:r>
      <w:r w:rsidRPr="00E400E4">
        <w:t xml:space="preserve"> was assessed as achieving the ALOP for Australia. Therefore, specific risk management measures are not required for this pest on those pathways.</w:t>
      </w:r>
    </w:p>
    <w:p w:rsidR="00555918" w:rsidRPr="00E400E4" w:rsidRDefault="00555918" w:rsidP="000B1771">
      <w:r w:rsidRPr="00E400E4">
        <w:t xml:space="preserve">As avocado is not a main host of </w:t>
      </w:r>
      <w:r w:rsidRPr="00E400E4">
        <w:rPr>
          <w:i/>
        </w:rPr>
        <w:t xml:space="preserve">P. citri </w:t>
      </w:r>
      <w:r>
        <w:rPr>
          <w:noProof/>
        </w:rPr>
        <w:t>(CABI 2019a; Jeppson 1989)</w:t>
      </w:r>
      <w:r w:rsidRPr="00E400E4">
        <w:t xml:space="preserve">, and the previous assessments of this pest were all for citrus commodities, it is considered necessary to reassess the likelihood of importation of </w:t>
      </w:r>
      <w:r w:rsidRPr="00E400E4">
        <w:rPr>
          <w:i/>
        </w:rPr>
        <w:t>P. citri</w:t>
      </w:r>
      <w:r w:rsidRPr="00E400E4">
        <w:t xml:space="preserve"> on avocados from Chile.</w:t>
      </w:r>
    </w:p>
    <w:p w:rsidR="00555918" w:rsidRPr="00E400E4" w:rsidRDefault="00555918" w:rsidP="000B1771">
      <w:r w:rsidRPr="00E400E4">
        <w:rPr>
          <w:i/>
        </w:rPr>
        <w:t>Panonychus citri</w:t>
      </w:r>
      <w:r w:rsidRPr="00E400E4">
        <w:t xml:space="preserve"> has a wide host range and host material is likely to be available all year in Western Australia. The likelihood of distribution of </w:t>
      </w:r>
      <w:r w:rsidRPr="00E400E4">
        <w:rPr>
          <w:i/>
        </w:rPr>
        <w:t>P. citri</w:t>
      </w:r>
      <w:r w:rsidRPr="00E400E4">
        <w:t xml:space="preserve"> from avocados from Chile is considered similar to that of </w:t>
      </w:r>
      <w:r w:rsidRPr="00E400E4">
        <w:rPr>
          <w:i/>
        </w:rPr>
        <w:t>P. citri</w:t>
      </w:r>
      <w:r w:rsidRPr="00E400E4">
        <w:t xml:space="preserve"> from other commodities assessed previously, since avocados from Chile are expected to be distributed in Western Australia in a similar way to those commodities, and host material is likely to be available all year in Western Australia. In each previous instance the likelihood of distribution was assessed as Low, and the same assessment is adopted in this analysis.</w:t>
      </w:r>
    </w:p>
    <w:p w:rsidR="00555918" w:rsidRPr="00E400E4" w:rsidRDefault="00555918" w:rsidP="000B1771">
      <w:r w:rsidRPr="00E400E4">
        <w:t xml:space="preserve">The likelihoods of establishment and spread of </w:t>
      </w:r>
      <w:r w:rsidRPr="00E400E4">
        <w:rPr>
          <w:i/>
        </w:rPr>
        <w:t>P. citri</w:t>
      </w:r>
      <w:r w:rsidRPr="00E400E4">
        <w:t xml:space="preserve"> in Western Australia from avocados from Chile are also considered to be similar to those of previous assessments. These likelihoods relate specifically to events that occur in Australia, and are principally independent of the import pathway. The likelihoods of establishment and of spread for </w:t>
      </w:r>
      <w:r w:rsidRPr="00E400E4">
        <w:rPr>
          <w:i/>
        </w:rPr>
        <w:t>P. citri</w:t>
      </w:r>
      <w:r w:rsidRPr="00E400E4">
        <w:t xml:space="preserve"> from avocados from Chile are therefore both assessed as Moderate. The consequences of the entry, establishment and spread of </w:t>
      </w:r>
      <w:r w:rsidRPr="00E400E4">
        <w:rPr>
          <w:i/>
        </w:rPr>
        <w:t>P. citri</w:t>
      </w:r>
      <w:r w:rsidRPr="00E400E4">
        <w:t xml:space="preserve"> in Western Australia are also independent of the import pathway, and have been assessed as Low.</w:t>
      </w:r>
    </w:p>
    <w:p w:rsidR="00555918" w:rsidRPr="00E400E4" w:rsidRDefault="00555918" w:rsidP="000B1771">
      <w:r w:rsidRPr="00E400E4">
        <w:lastRenderedPageBreak/>
        <w:t xml:space="preserve">In addition, the department has reviewed the latest literature on </w:t>
      </w:r>
      <w:r w:rsidRPr="00E400E4">
        <w:rPr>
          <w:i/>
        </w:rPr>
        <w:t>P. citri</w:t>
      </w:r>
      <w:r w:rsidRPr="00E400E4">
        <w:t xml:space="preserve">—for example, </w:t>
      </w:r>
      <w:r>
        <w:rPr>
          <w:noProof/>
        </w:rPr>
        <w:t>Zanardi et al. (2015)</w:t>
      </w:r>
      <w:r w:rsidRPr="00E400E4">
        <w:t xml:space="preserve">, </w:t>
      </w:r>
      <w:r>
        <w:rPr>
          <w:noProof/>
        </w:rPr>
        <w:t>Rogers and Stansly (2016)</w:t>
      </w:r>
      <w:r w:rsidRPr="00E400E4">
        <w:t xml:space="preserve"> and </w:t>
      </w:r>
      <w:r>
        <w:rPr>
          <w:noProof/>
        </w:rPr>
        <w:t>Vacante (2016)</w:t>
      </w:r>
      <w:r w:rsidRPr="00E400E4">
        <w:t xml:space="preserve">. No new information has been identified that would significantly change the assessments of risk ratings for distribution, establishment, spread or consequences, as set out for </w:t>
      </w:r>
      <w:r w:rsidRPr="00E400E4">
        <w:rPr>
          <w:i/>
        </w:rPr>
        <w:t>P. citri</w:t>
      </w:r>
      <w:r w:rsidRPr="00E400E4">
        <w:t xml:space="preserve"> in the risk analysis for sweet oranges from Italy </w:t>
      </w:r>
      <w:r>
        <w:rPr>
          <w:noProof/>
        </w:rPr>
        <w:t>(Biosecurity Australia 2005a)</w:t>
      </w:r>
      <w:r w:rsidRPr="00E400E4">
        <w:t>.</w:t>
      </w:r>
    </w:p>
    <w:p w:rsidR="00555918" w:rsidRPr="00E400E4" w:rsidRDefault="00555918" w:rsidP="000B1771">
      <w:r w:rsidRPr="00E400E4">
        <w:t xml:space="preserve">All ratings for the likelihoods of entry, establishment and spread, and the rating for the overall consequences are set out in </w:t>
      </w:r>
      <w:r w:rsidRPr="00E400E4">
        <w:fldChar w:fldCharType="begin"/>
      </w:r>
      <w:r w:rsidRPr="00E400E4">
        <w:instrText xml:space="preserve"> REF _Ref527374592 \h  \* MERGEFORMAT </w:instrText>
      </w:r>
      <w:r w:rsidRPr="00E400E4">
        <w:fldChar w:fldCharType="separate"/>
      </w:r>
      <w:r w:rsidR="006C029B" w:rsidRPr="00E400E4">
        <w:t xml:space="preserve">Table </w:t>
      </w:r>
      <w:r w:rsidR="006C029B">
        <w:rPr>
          <w:noProof/>
        </w:rPr>
        <w:t>4</w:t>
      </w:r>
      <w:r w:rsidR="006C029B" w:rsidRPr="00E400E4">
        <w:rPr>
          <w:noProof/>
        </w:rPr>
        <w:t>.</w:t>
      </w:r>
      <w:r w:rsidR="006C029B">
        <w:rPr>
          <w:noProof/>
        </w:rPr>
        <w:t>5</w:t>
      </w:r>
      <w:r w:rsidRPr="00E400E4">
        <w:fldChar w:fldCharType="end"/>
      </w:r>
      <w:r w:rsidRPr="00E400E4">
        <w:t>.</w:t>
      </w:r>
    </w:p>
    <w:p w:rsidR="00555918" w:rsidRPr="00E400E4" w:rsidRDefault="00555918" w:rsidP="000B1771">
      <w:pPr>
        <w:pStyle w:val="Heading4"/>
      </w:pPr>
      <w:r w:rsidRPr="00E400E4">
        <w:t>Likelihood of entry</w:t>
      </w:r>
    </w:p>
    <w:p w:rsidR="00555918" w:rsidRPr="00E400E4" w:rsidRDefault="00555918" w:rsidP="000B1771">
      <w:r w:rsidRPr="00E400E4">
        <w:t>The likelihood of entry is considered in two parts, the likelihood of importation and the likelihood of distribution, which consider pre-border and post-border issues, respectively.</w:t>
      </w:r>
    </w:p>
    <w:p w:rsidR="00555918" w:rsidRPr="00E400E4" w:rsidRDefault="00555918" w:rsidP="000B1771">
      <w:pPr>
        <w:pStyle w:val="Heading5"/>
      </w:pPr>
      <w:r w:rsidRPr="00E400E4">
        <w:t>Likelihood of importation</w:t>
      </w:r>
    </w:p>
    <w:p w:rsidR="00555918" w:rsidRPr="00E400E4" w:rsidRDefault="00555918" w:rsidP="000B1771">
      <w:r w:rsidRPr="00E400E4">
        <w:t xml:space="preserve">The likelihood that </w:t>
      </w:r>
      <w:r w:rsidRPr="00E400E4">
        <w:rPr>
          <w:i/>
        </w:rPr>
        <w:t>Panonychus citri</w:t>
      </w:r>
      <w:r w:rsidRPr="00E400E4">
        <w:t xml:space="preserve"> will arrive in a viable condition in Western Australia with the importation of avocados from Chile is assessed as Low.</w:t>
      </w:r>
    </w:p>
    <w:p w:rsidR="00555918" w:rsidRPr="00E400E4" w:rsidRDefault="00555918" w:rsidP="000B1771">
      <w:r w:rsidRPr="00E400E4">
        <w:t>The following information provides supporting evidence for this assessment.</w:t>
      </w:r>
    </w:p>
    <w:p w:rsidR="00555918" w:rsidRPr="00E400E4" w:rsidRDefault="00555918" w:rsidP="000B1771">
      <w:r w:rsidRPr="00E400E4">
        <w:rPr>
          <w:i/>
        </w:rPr>
        <w:t>Panonychus citri</w:t>
      </w:r>
      <w:r w:rsidRPr="00E400E4">
        <w:t xml:space="preserve"> is present in avocado growing regions in Chile, but is not considered a pest of avocado in Chile.</w:t>
      </w:r>
    </w:p>
    <w:p w:rsidR="00555918" w:rsidRPr="00E400E4" w:rsidRDefault="00555918" w:rsidP="00555918">
      <w:pPr>
        <w:pStyle w:val="ListBullet"/>
        <w:numPr>
          <w:ilvl w:val="0"/>
          <w:numId w:val="7"/>
        </w:numPr>
      </w:pPr>
      <w:r w:rsidRPr="00E400E4">
        <w:rPr>
          <w:i/>
        </w:rPr>
        <w:t>Panonychus citri</w:t>
      </w:r>
      <w:r w:rsidRPr="00E400E4">
        <w:t xml:space="preserve"> is present in avocado growing regions in Chile </w:t>
      </w:r>
      <w:r>
        <w:rPr>
          <w:noProof/>
        </w:rPr>
        <w:t>(Ripa &amp; Larral 2008)</w:t>
      </w:r>
      <w:r w:rsidRPr="00E400E4">
        <w:t xml:space="preserve">, and is known to affect avocado in other countries </w:t>
      </w:r>
      <w:r>
        <w:rPr>
          <w:noProof/>
        </w:rPr>
        <w:t>(Ehara 1969; Guanilo et al. 2012; Peña et al. 2013; Vacante 2016)</w:t>
      </w:r>
      <w:r w:rsidRPr="00E400E4">
        <w:t>.</w:t>
      </w:r>
    </w:p>
    <w:p w:rsidR="00555918" w:rsidRPr="00E400E4" w:rsidRDefault="00555918" w:rsidP="00555918">
      <w:pPr>
        <w:pStyle w:val="ListBullet"/>
        <w:numPr>
          <w:ilvl w:val="0"/>
          <w:numId w:val="7"/>
        </w:numPr>
      </w:pPr>
      <w:r w:rsidRPr="00E400E4">
        <w:t xml:space="preserve">In Chile, </w:t>
      </w:r>
      <w:r w:rsidRPr="00E400E4">
        <w:rPr>
          <w:i/>
        </w:rPr>
        <w:t>P. citri</w:t>
      </w:r>
      <w:r w:rsidRPr="00E400E4">
        <w:t xml:space="preserve"> is considered a pest of citrus, not of avocado </w:t>
      </w:r>
      <w:r>
        <w:rPr>
          <w:noProof/>
        </w:rPr>
        <w:t>(Ripa &amp; Larral 2008)</w:t>
      </w:r>
      <w:r w:rsidRPr="00E400E4">
        <w:t xml:space="preserve">. No reports to confirm the presence of </w:t>
      </w:r>
      <w:r w:rsidRPr="00E400E4">
        <w:rPr>
          <w:i/>
        </w:rPr>
        <w:t>P. citri</w:t>
      </w:r>
      <w:r w:rsidRPr="00E400E4">
        <w:t xml:space="preserve"> on avocado in Chile could be found. </w:t>
      </w:r>
      <w:r w:rsidRPr="00E400E4">
        <w:rPr>
          <w:i/>
        </w:rPr>
        <w:t>Panonychus citri</w:t>
      </w:r>
      <w:r w:rsidRPr="00E400E4">
        <w:t xml:space="preserve"> is therefore unlikely to be abundant on avocado crops in Chile.</w:t>
      </w:r>
    </w:p>
    <w:p w:rsidR="00555918" w:rsidRPr="00E400E4" w:rsidRDefault="00555918" w:rsidP="000B1771">
      <w:r w:rsidRPr="00E400E4">
        <w:t xml:space="preserve">Larvae and adults of </w:t>
      </w:r>
      <w:r w:rsidRPr="00E400E4">
        <w:rPr>
          <w:i/>
        </w:rPr>
        <w:t>P. citri</w:t>
      </w:r>
      <w:r w:rsidRPr="00E400E4">
        <w:t xml:space="preserve"> may be present on avocado fruit, but packing house processes are likely to reduce any infestation of fruit to be exported.</w:t>
      </w:r>
    </w:p>
    <w:p w:rsidR="00555918" w:rsidRPr="00E400E4" w:rsidRDefault="00555918" w:rsidP="00555918">
      <w:pPr>
        <w:pStyle w:val="ListBullet"/>
        <w:numPr>
          <w:ilvl w:val="0"/>
          <w:numId w:val="7"/>
        </w:numPr>
      </w:pPr>
      <w:r w:rsidRPr="00E400E4">
        <w:t xml:space="preserve">Once hatched, larvae of </w:t>
      </w:r>
      <w:r w:rsidRPr="00E400E4">
        <w:rPr>
          <w:i/>
        </w:rPr>
        <w:t>P. citri</w:t>
      </w:r>
      <w:r w:rsidRPr="00E400E4">
        <w:t xml:space="preserve"> move to the upper side of new avocado leaves where they spend the majority of their life cycle </w:t>
      </w:r>
      <w:r>
        <w:rPr>
          <w:noProof/>
        </w:rPr>
        <w:t>(Aponte &amp; McMurty 1997)</w:t>
      </w:r>
      <w:r w:rsidRPr="00E400E4">
        <w:t xml:space="preserve">. In higher population densities, larvae and adults are known to develop on fruit and stems of host plants </w:t>
      </w:r>
      <w:r>
        <w:rPr>
          <w:noProof/>
        </w:rPr>
        <w:t>(Gibson 1968; Vacante 2016)</w:t>
      </w:r>
      <w:r w:rsidRPr="00E400E4">
        <w:t xml:space="preserve">. On citrus, </w:t>
      </w:r>
      <w:r w:rsidRPr="00E400E4">
        <w:rPr>
          <w:i/>
        </w:rPr>
        <w:t>P. citri</w:t>
      </w:r>
      <w:r w:rsidRPr="00E400E4">
        <w:t xml:space="preserve"> can develop on both mature and immature fruit </w:t>
      </w:r>
      <w:r>
        <w:rPr>
          <w:noProof/>
        </w:rPr>
        <w:t>(Vacante 2009)</w:t>
      </w:r>
      <w:r w:rsidRPr="00E400E4">
        <w:t xml:space="preserve"> and a similar biology is expected on avocado. It is therefore possible that larvae and adults may be present on harvested avocado fruit. However, it is likely that </w:t>
      </w:r>
      <w:r w:rsidRPr="00E400E4">
        <w:rPr>
          <w:i/>
        </w:rPr>
        <w:t>P. citri</w:t>
      </w:r>
      <w:r w:rsidRPr="00E400E4">
        <w:t xml:space="preserve"> infestation would be detected in avocado orchards during field monitoring when high population densities are reached. Infestation may be managed before it reaches the avocado fruit.</w:t>
      </w:r>
    </w:p>
    <w:p w:rsidR="00555918" w:rsidRPr="00E400E4" w:rsidRDefault="00555918" w:rsidP="00555918">
      <w:pPr>
        <w:pStyle w:val="ListBullet"/>
        <w:numPr>
          <w:ilvl w:val="0"/>
          <w:numId w:val="7"/>
        </w:numPr>
      </w:pPr>
      <w:r w:rsidRPr="00E400E4">
        <w:rPr>
          <w:i/>
        </w:rPr>
        <w:t>Panonychus citri</w:t>
      </w:r>
      <w:r w:rsidRPr="00E400E4">
        <w:t xml:space="preserve"> lays its eggs on leaves </w:t>
      </w:r>
      <w:r>
        <w:rPr>
          <w:noProof/>
        </w:rPr>
        <w:t>(NSW DPI 2017)</w:t>
      </w:r>
      <w:r w:rsidRPr="00E400E4">
        <w:t>. No record of oviposition on fruit was found. Eggs are therefore unlikely to be present on avocado fruit.</w:t>
      </w:r>
    </w:p>
    <w:p w:rsidR="00555918" w:rsidRPr="00E400E4" w:rsidRDefault="00555918" w:rsidP="00555918">
      <w:pPr>
        <w:pStyle w:val="ListBullet"/>
        <w:numPr>
          <w:ilvl w:val="0"/>
          <w:numId w:val="7"/>
        </w:numPr>
      </w:pPr>
      <w:r w:rsidRPr="00E400E4">
        <w:t xml:space="preserve">Once harvested, avocados are cleaned by brushing, or brushing and washing, and sorted before being packed. Brushing and/or washing is likely to reduce any infestation with </w:t>
      </w:r>
      <w:r w:rsidRPr="00E400E4">
        <w:rPr>
          <w:i/>
        </w:rPr>
        <w:t>P. citri</w:t>
      </w:r>
      <w:r w:rsidRPr="00E400E4">
        <w:t xml:space="preserve"> on avocado fruit. However, brushing of avocados during packing house processes may not remove </w:t>
      </w:r>
      <w:r w:rsidRPr="00E400E4">
        <w:rPr>
          <w:i/>
        </w:rPr>
        <w:t>P. citri</w:t>
      </w:r>
      <w:r w:rsidRPr="00E400E4">
        <w:t xml:space="preserve"> located near the peduncle.</w:t>
      </w:r>
    </w:p>
    <w:p w:rsidR="00555918" w:rsidRPr="00E400E4" w:rsidRDefault="00555918" w:rsidP="00555918">
      <w:pPr>
        <w:pStyle w:val="ListBullet"/>
        <w:numPr>
          <w:ilvl w:val="0"/>
          <w:numId w:val="7"/>
        </w:numPr>
      </w:pPr>
      <w:r w:rsidRPr="00E400E4">
        <w:t xml:space="preserve">Adult </w:t>
      </w:r>
      <w:r w:rsidRPr="00E400E4">
        <w:rPr>
          <w:i/>
        </w:rPr>
        <w:t>P. citri</w:t>
      </w:r>
      <w:r w:rsidRPr="00E400E4">
        <w:t xml:space="preserve"> reach up to 0.5 millimetres in length </w:t>
      </w:r>
      <w:r>
        <w:rPr>
          <w:noProof/>
        </w:rPr>
        <w:t>(NSW DPI 2017)</w:t>
      </w:r>
      <w:r w:rsidRPr="00E400E4">
        <w:t>, making detection of individuals difficult during packing house processing, especially if present near the peduncle.</w:t>
      </w:r>
    </w:p>
    <w:p w:rsidR="00555918" w:rsidRPr="00E400E4" w:rsidRDefault="00555918" w:rsidP="000B1771">
      <w:r w:rsidRPr="00E400E4">
        <w:lastRenderedPageBreak/>
        <w:t xml:space="preserve">During the avocado harvesting season, temperature and humidity conditions are favourable for </w:t>
      </w:r>
      <w:r w:rsidRPr="00E400E4">
        <w:rPr>
          <w:i/>
        </w:rPr>
        <w:t>P. citri</w:t>
      </w:r>
      <w:r w:rsidRPr="00E400E4">
        <w:t xml:space="preserve"> infestation.</w:t>
      </w:r>
    </w:p>
    <w:p w:rsidR="00555918" w:rsidRPr="00E400E4" w:rsidRDefault="00555918" w:rsidP="00555918">
      <w:pPr>
        <w:pStyle w:val="ListBullet"/>
        <w:numPr>
          <w:ilvl w:val="0"/>
          <w:numId w:val="7"/>
        </w:numPr>
      </w:pPr>
      <w:r w:rsidRPr="00E400E4">
        <w:t xml:space="preserve">The highest rate of breeding for </w:t>
      </w:r>
      <w:r w:rsidRPr="00E400E4">
        <w:rPr>
          <w:i/>
        </w:rPr>
        <w:t>P. citri</w:t>
      </w:r>
      <w:r w:rsidRPr="00E400E4">
        <w:t xml:space="preserve"> occurs at approximately 30 °C, where lifespan is short with a high generational turnover, but mortality is still low </w:t>
      </w:r>
      <w:r>
        <w:rPr>
          <w:noProof/>
        </w:rPr>
        <w:t>(Kasap 2009)</w:t>
      </w:r>
      <w:r w:rsidRPr="00E400E4">
        <w:t xml:space="preserve">. Keetch </w:t>
      </w:r>
      <w:r>
        <w:rPr>
          <w:noProof/>
        </w:rPr>
        <w:t>(1971)</w:t>
      </w:r>
      <w:r w:rsidRPr="00E400E4">
        <w:t xml:space="preserve"> considered extreme temperatures for the species to be &lt;5 °C and &gt;35 °C. Harvesting of avocados in Chile occurs from September to March </w:t>
      </w:r>
      <w:r>
        <w:rPr>
          <w:noProof/>
        </w:rPr>
        <w:t>(Gonzalez 2016)</w:t>
      </w:r>
      <w:r w:rsidRPr="00E400E4">
        <w:t xml:space="preserve">. In the main avocado-producing regions, the months of September to March have a mean maximum temperature of around 20 °C to 30 °C </w:t>
      </w:r>
      <w:r>
        <w:rPr>
          <w:noProof/>
        </w:rPr>
        <w:t>(Climate-data.org 2017)</w:t>
      </w:r>
      <w:r w:rsidRPr="00E400E4">
        <w:t xml:space="preserve">. This temperature range is optimal for low mortality and rapid reproduction of </w:t>
      </w:r>
      <w:r w:rsidRPr="00E400E4">
        <w:rPr>
          <w:i/>
        </w:rPr>
        <w:t>P. citri</w:t>
      </w:r>
      <w:r w:rsidRPr="00E400E4">
        <w:t>, increasing the likelihood of higher level infestations, and therefore potential for presence on fruit during harvest.</w:t>
      </w:r>
    </w:p>
    <w:p w:rsidR="00555918" w:rsidRPr="00E400E4" w:rsidRDefault="00555918" w:rsidP="00555918">
      <w:pPr>
        <w:pStyle w:val="ListBullet"/>
        <w:numPr>
          <w:ilvl w:val="0"/>
          <w:numId w:val="7"/>
        </w:numPr>
      </w:pPr>
      <w:r w:rsidRPr="00E400E4">
        <w:t xml:space="preserve">Dry weather conditions are favourable for the development of </w:t>
      </w:r>
      <w:r w:rsidRPr="00E400E4">
        <w:rPr>
          <w:i/>
        </w:rPr>
        <w:t>P. citri</w:t>
      </w:r>
      <w:r w:rsidRPr="00E400E4">
        <w:t xml:space="preserve"> and spider mites in general </w:t>
      </w:r>
      <w:r>
        <w:rPr>
          <w:noProof/>
        </w:rPr>
        <w:t>(Beattie &amp; Gellatley 2003; Rogers &amp; Stansly 2016)</w:t>
      </w:r>
      <w:r w:rsidRPr="00E400E4">
        <w:t xml:space="preserve">. Mean monthly rainfall during September to March is low in Chile’s main avocado-producing regions </w:t>
      </w:r>
      <w:r>
        <w:rPr>
          <w:noProof/>
        </w:rPr>
        <w:t>(Climate-data.org 2017)</w:t>
      </w:r>
      <w:r w:rsidRPr="00E400E4">
        <w:t xml:space="preserve">, which increases the likelihood of higher infestation levels. </w:t>
      </w:r>
    </w:p>
    <w:p w:rsidR="00555918" w:rsidRPr="00E400E4" w:rsidRDefault="00555918" w:rsidP="000B1771">
      <w:r w:rsidRPr="00E400E4">
        <w:rPr>
          <w:i/>
        </w:rPr>
        <w:t>Panonychus citri</w:t>
      </w:r>
      <w:r w:rsidRPr="00E400E4">
        <w:t xml:space="preserve"> may survive transport from Chile to Australia.</w:t>
      </w:r>
    </w:p>
    <w:p w:rsidR="00555918" w:rsidRPr="00E400E4" w:rsidRDefault="00555918" w:rsidP="00555918">
      <w:pPr>
        <w:pStyle w:val="ListBullet"/>
        <w:numPr>
          <w:ilvl w:val="0"/>
          <w:numId w:val="7"/>
        </w:numPr>
      </w:pPr>
      <w:r w:rsidRPr="00E400E4">
        <w:t xml:space="preserve">Avocados exported from Chile are mainly transported in refrigerated shipping containers which are maintained at around 4 °C to 6 °C. The minimum temperature required for development of </w:t>
      </w:r>
      <w:r w:rsidRPr="00E400E4">
        <w:rPr>
          <w:i/>
        </w:rPr>
        <w:t>P. citri</w:t>
      </w:r>
      <w:r w:rsidRPr="00E400E4">
        <w:t xml:space="preserve"> larvae varies in different studies. Kasap </w:t>
      </w:r>
      <w:r>
        <w:rPr>
          <w:noProof/>
        </w:rPr>
        <w:t>(2009)</w:t>
      </w:r>
      <w:r w:rsidRPr="00E400E4">
        <w:t xml:space="preserve"> and Jones and Morse </w:t>
      </w:r>
      <w:r>
        <w:rPr>
          <w:noProof/>
        </w:rPr>
        <w:t>(1984)</w:t>
      </w:r>
      <w:r w:rsidRPr="00E400E4">
        <w:t xml:space="preserve"> both agree that the minimum temperature required for development of larvae is between 9.4 °C and 9.77 °C, while Yasuda </w:t>
      </w:r>
      <w:r>
        <w:rPr>
          <w:noProof/>
        </w:rPr>
        <w:t>(1982)</w:t>
      </w:r>
      <w:r w:rsidRPr="00E400E4">
        <w:t xml:space="preserve"> claims it is 8.2 °C. There is no information available on the minimum temperature at which 100 per cent mortality occurs. It is therefore possible that larvae and adult </w:t>
      </w:r>
      <w:r w:rsidRPr="00E400E4">
        <w:rPr>
          <w:i/>
        </w:rPr>
        <w:t>P. citri</w:t>
      </w:r>
      <w:r w:rsidRPr="00E400E4">
        <w:t xml:space="preserve"> may survive temperatures during transport.</w:t>
      </w:r>
    </w:p>
    <w:p w:rsidR="00555918" w:rsidRPr="00E400E4" w:rsidRDefault="00555918" w:rsidP="00555918">
      <w:pPr>
        <w:pStyle w:val="ListBullet"/>
        <w:numPr>
          <w:ilvl w:val="0"/>
          <w:numId w:val="7"/>
        </w:numPr>
      </w:pPr>
      <w:r w:rsidRPr="00E400E4">
        <w:t xml:space="preserve">Shipping time by sea is estimated to take 30 to 40 days from Chile to Australia. The typical life span of </w:t>
      </w:r>
      <w:r w:rsidRPr="00E400E4">
        <w:rPr>
          <w:i/>
        </w:rPr>
        <w:t>P. citri</w:t>
      </w:r>
      <w:r w:rsidRPr="00E400E4">
        <w:t xml:space="preserve"> is 9 to 37 days </w:t>
      </w:r>
      <w:r>
        <w:rPr>
          <w:noProof/>
        </w:rPr>
        <w:t>(Kasap 2009)</w:t>
      </w:r>
      <w:r w:rsidRPr="00E400E4">
        <w:t xml:space="preserve">. However, Keetch </w:t>
      </w:r>
      <w:r>
        <w:rPr>
          <w:noProof/>
        </w:rPr>
        <w:t>(1971)</w:t>
      </w:r>
      <w:r w:rsidRPr="00E400E4">
        <w:t xml:space="preserve"> found that the species is able to survive up to 70 days in cool temperatures. It is important to note that these studies were conducted at a significantly higher temperature of 14 °C in the day and 10 °C at night, as compared to the temperatures maintained during transport of avocados. No studies could be found that described the response of </w:t>
      </w:r>
      <w:r w:rsidRPr="00E400E4">
        <w:rPr>
          <w:i/>
        </w:rPr>
        <w:t>P. citri</w:t>
      </w:r>
      <w:r w:rsidRPr="00E400E4">
        <w:t xml:space="preserve"> to prolonged cold temperatures. However, the studies by Keetch </w:t>
      </w:r>
      <w:r>
        <w:rPr>
          <w:noProof/>
        </w:rPr>
        <w:t>(1971)</w:t>
      </w:r>
      <w:r w:rsidRPr="00E400E4">
        <w:t xml:space="preserve"> highlight the possibility that slowed development may assist </w:t>
      </w:r>
      <w:r w:rsidRPr="00E400E4">
        <w:rPr>
          <w:i/>
        </w:rPr>
        <w:t>P. citri</w:t>
      </w:r>
      <w:r w:rsidRPr="00E400E4">
        <w:t xml:space="preserve"> to survive transport temperatures on the 30 to 40 day journey.</w:t>
      </w:r>
    </w:p>
    <w:p w:rsidR="00555918" w:rsidRPr="00E400E4" w:rsidRDefault="00555918" w:rsidP="000B1771">
      <w:r w:rsidRPr="00E400E4">
        <w:rPr>
          <w:i/>
        </w:rPr>
        <w:t>Panonychus citri</w:t>
      </w:r>
      <w:r w:rsidRPr="00E400E4">
        <w:t xml:space="preserve"> is present in Chile’s main avocado production regions and may be present on harvested avocados. Due to its small size, the pest is unlikely to be detected during sorting and packing for export. The harvest season for avocados in Chile coincides with favourable temperature and humidity conditions for </w:t>
      </w:r>
      <w:r w:rsidRPr="00E400E4">
        <w:rPr>
          <w:i/>
        </w:rPr>
        <w:t>P. citri</w:t>
      </w:r>
      <w:r w:rsidRPr="00E400E4">
        <w:t xml:space="preserve">. However, the abundance of </w:t>
      </w:r>
      <w:r w:rsidRPr="00E400E4">
        <w:rPr>
          <w:i/>
        </w:rPr>
        <w:t>P. citri</w:t>
      </w:r>
      <w:r w:rsidRPr="00E400E4">
        <w:t xml:space="preserve"> on avocado in Chile is low, infestations are likely to be managed before the pest spreads to the fruit, and packing house processes are likely to reduce infestation. These factors support a likelihood estimate for importation of Low.</w:t>
      </w:r>
    </w:p>
    <w:p w:rsidR="00555918" w:rsidRPr="00E400E4" w:rsidRDefault="00555918" w:rsidP="000B1771">
      <w:pPr>
        <w:pStyle w:val="Heading5"/>
      </w:pPr>
      <w:r w:rsidRPr="00E400E4">
        <w:t>Likelihood of distribution</w:t>
      </w:r>
    </w:p>
    <w:p w:rsidR="00555918" w:rsidRPr="00E400E4" w:rsidRDefault="00555918" w:rsidP="000B1771">
      <w:r w:rsidRPr="00E400E4">
        <w:rPr>
          <w:i/>
        </w:rPr>
        <w:t>Panonychus citri</w:t>
      </w:r>
      <w:r w:rsidRPr="00E400E4">
        <w:t xml:space="preserve"> has a wide host range including citrus, apple, pear, peach, plum, carambola, papaya and grapevine </w:t>
      </w:r>
      <w:r>
        <w:rPr>
          <w:noProof/>
        </w:rPr>
        <w:t>(Bolland, Gutierrez &amp; Flechtmann 1998)</w:t>
      </w:r>
      <w:r w:rsidRPr="00E400E4">
        <w:t xml:space="preserve">, and host material is likely to be available all year in Western Australia. Therefore, similar to previous assessments of </w:t>
      </w:r>
      <w:r w:rsidRPr="00E400E4">
        <w:rPr>
          <w:i/>
        </w:rPr>
        <w:t>P. citri</w:t>
      </w:r>
      <w:r w:rsidRPr="00E400E4">
        <w:t xml:space="preserve"> on other import pathways, the time of year when importation occurs will not affect the likelihood of distribution for this pest in Western Australia. In addition, avocados from Chile are expected to be distributed in Western Australia in a similar way to the commodities assessed previously.</w:t>
      </w:r>
    </w:p>
    <w:p w:rsidR="00555918" w:rsidRPr="00E400E4" w:rsidRDefault="00555918" w:rsidP="000B1771">
      <w:r w:rsidRPr="00E400E4">
        <w:lastRenderedPageBreak/>
        <w:t xml:space="preserve">The previous assessment for </w:t>
      </w:r>
      <w:r w:rsidRPr="00E400E4">
        <w:rPr>
          <w:i/>
        </w:rPr>
        <w:t>P. citri</w:t>
      </w:r>
      <w:r w:rsidRPr="00E400E4">
        <w:t xml:space="preserve"> on sweet oranges from Italy rated the likelihood of distribution as Low </w:t>
      </w:r>
      <w:r>
        <w:rPr>
          <w:noProof/>
        </w:rPr>
        <w:t>(Biosecurity Australia 2005a)</w:t>
      </w:r>
      <w:r w:rsidRPr="00E400E4">
        <w:t xml:space="preserve">, which was adopted for unshu mandarins from Japan </w:t>
      </w:r>
      <w:r>
        <w:rPr>
          <w:noProof/>
        </w:rPr>
        <w:t>(Biosecurity Australia 2009)</w:t>
      </w:r>
      <w:r w:rsidRPr="00E400E4">
        <w:t xml:space="preserve">. The independence of the likelihood of distribution from the seasonal import window, together with the similarities in the way previously and currently assessed commodities are distributed in Western Australia, support the extension of the previously assessed likelihood of distribution for </w:t>
      </w:r>
      <w:r w:rsidRPr="00E400E4">
        <w:rPr>
          <w:i/>
        </w:rPr>
        <w:t>P. citri</w:t>
      </w:r>
      <w:r w:rsidRPr="00E400E4">
        <w:t xml:space="preserve"> to this pest risk assessment. Therefore, the likelihood of distribution of </w:t>
      </w:r>
      <w:r w:rsidRPr="00E400E4">
        <w:rPr>
          <w:i/>
        </w:rPr>
        <w:t>P. citri</w:t>
      </w:r>
      <w:r w:rsidRPr="00E400E4">
        <w:t xml:space="preserve"> on avocados from Chile is assessed as Low. </w:t>
      </w:r>
    </w:p>
    <w:p w:rsidR="00555918" w:rsidRPr="00E400E4" w:rsidRDefault="00555918" w:rsidP="000B1771">
      <w:pPr>
        <w:pStyle w:val="Heading5"/>
      </w:pPr>
      <w:r w:rsidRPr="00E400E4">
        <w:t>Overall likelihood of entry</w:t>
      </w:r>
    </w:p>
    <w:p w:rsidR="00555918" w:rsidRPr="00E400E4" w:rsidRDefault="00555918" w:rsidP="000B1771">
      <w:r w:rsidRPr="00E400E4">
        <w:t xml:space="preserve">The overall likelihood of entry is determined by combining the likelihood of importation with the likelihood of distribution using the matrix of rules shown in </w:t>
      </w:r>
      <w:r w:rsidRPr="00E400E4">
        <w:fldChar w:fldCharType="begin"/>
      </w:r>
      <w:r w:rsidRPr="00E400E4">
        <w:instrText xml:space="preserve"> REF _Ref457826328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2</w:t>
      </w:r>
      <w:r w:rsidRPr="00E400E4">
        <w:fldChar w:fldCharType="end"/>
      </w:r>
      <w:r w:rsidRPr="00E400E4">
        <w:t>.</w:t>
      </w:r>
    </w:p>
    <w:p w:rsidR="00555918" w:rsidRPr="00E400E4" w:rsidRDefault="00555918" w:rsidP="000B1771">
      <w:r w:rsidRPr="00E400E4">
        <w:t xml:space="preserve">The likelihood that </w:t>
      </w:r>
      <w:r w:rsidRPr="00E400E4">
        <w:rPr>
          <w:i/>
        </w:rPr>
        <w:t>P. citri</w:t>
      </w:r>
      <w:r w:rsidRPr="00E400E4">
        <w:t xml:space="preserve"> will enter Western Australia as a result of trade in avocados from Chile, and be distributed in a viable state to a susceptible host, is assessed as Very Low.</w:t>
      </w:r>
    </w:p>
    <w:p w:rsidR="00555918" w:rsidRPr="00E400E4" w:rsidRDefault="00555918" w:rsidP="000B1771">
      <w:pPr>
        <w:pStyle w:val="Heading4"/>
      </w:pPr>
      <w:r w:rsidRPr="00E400E4">
        <w:t>Likelihood of establishment and spread</w:t>
      </w:r>
    </w:p>
    <w:p w:rsidR="00555918" w:rsidRPr="00E400E4" w:rsidRDefault="00555918" w:rsidP="000B1771">
      <w:r w:rsidRPr="00E400E4">
        <w:t xml:space="preserve">The likelihoods of establishment and of spread for </w:t>
      </w:r>
      <w:r w:rsidRPr="00E400E4">
        <w:rPr>
          <w:i/>
        </w:rPr>
        <w:t>P. citri</w:t>
      </w:r>
      <w:r w:rsidRPr="00E400E4">
        <w:t xml:space="preserve"> are independent of the import pathway, and are similar to those provided in previous pest risk assessments for </w:t>
      </w:r>
      <w:r w:rsidRPr="00E400E4">
        <w:rPr>
          <w:i/>
        </w:rPr>
        <w:t>P. citri</w:t>
      </w:r>
      <w:r w:rsidRPr="00E400E4">
        <w:t xml:space="preserve">, including in the risk analysis for sweet oranges from Italy </w:t>
      </w:r>
      <w:r>
        <w:rPr>
          <w:noProof/>
        </w:rPr>
        <w:t>(Biosecurity Australia 2005a)</w:t>
      </w:r>
      <w:r w:rsidRPr="00E400E4">
        <w:t xml:space="preserve">, which was adopted for unshu mandarins from Japan </w:t>
      </w:r>
      <w:r>
        <w:rPr>
          <w:noProof/>
        </w:rPr>
        <w:t>(Biosecurity Australia 2009)</w:t>
      </w:r>
      <w:r w:rsidRPr="00E400E4">
        <w:t>. The ratings from these previous assessments are:</w:t>
      </w:r>
    </w:p>
    <w:p w:rsidR="00555918" w:rsidRPr="00E400E4" w:rsidRDefault="00555918" w:rsidP="000B1771">
      <w:r w:rsidRPr="00E400E4">
        <w:t>Likelihood of establishment:</w:t>
      </w:r>
      <w:r w:rsidRPr="00E400E4">
        <w:tab/>
      </w:r>
      <w:r w:rsidRPr="00E400E4">
        <w:tab/>
        <w:t>Moderate</w:t>
      </w:r>
    </w:p>
    <w:p w:rsidR="00555918" w:rsidRPr="00E400E4" w:rsidRDefault="00555918" w:rsidP="000B1771">
      <w:r w:rsidRPr="00E400E4">
        <w:t>Likelihood of spread:</w:t>
      </w:r>
      <w:r w:rsidRPr="00E400E4">
        <w:tab/>
      </w:r>
      <w:r w:rsidRPr="00E400E4">
        <w:tab/>
      </w:r>
      <w:r w:rsidRPr="00E400E4">
        <w:tab/>
        <w:t>Moderate</w:t>
      </w:r>
    </w:p>
    <w:p w:rsidR="00555918" w:rsidRPr="00E400E4" w:rsidRDefault="00555918" w:rsidP="000B1771">
      <w:pPr>
        <w:pStyle w:val="Heading4"/>
      </w:pPr>
      <w:r w:rsidRPr="00E400E4">
        <w:t>Overall likelihood of entry, establishment and spread</w:t>
      </w:r>
    </w:p>
    <w:p w:rsidR="00555918" w:rsidRPr="00E400E4" w:rsidRDefault="00555918" w:rsidP="000B1771">
      <w:r w:rsidRPr="00E400E4">
        <w:t xml:space="preserve">The overall likelihood of entry, establishment and spread is determined by combining the likelihoods of entry, establishment and spread using the matrix of rules shown in </w:t>
      </w:r>
      <w:r w:rsidRPr="00E400E4">
        <w:fldChar w:fldCharType="begin"/>
      </w:r>
      <w:r w:rsidRPr="00E400E4">
        <w:instrText xml:space="preserve"> REF _Ref457826328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2</w:t>
      </w:r>
      <w:r w:rsidRPr="00E400E4">
        <w:fldChar w:fldCharType="end"/>
      </w:r>
      <w:r w:rsidRPr="00E400E4">
        <w:t>.</w:t>
      </w:r>
    </w:p>
    <w:p w:rsidR="00555918" w:rsidRPr="00E400E4" w:rsidRDefault="00555918" w:rsidP="000B1771">
      <w:r w:rsidRPr="00E400E4">
        <w:t xml:space="preserve">The likelihood that </w:t>
      </w:r>
      <w:r w:rsidRPr="00E400E4">
        <w:rPr>
          <w:i/>
        </w:rPr>
        <w:t>P. citri</w:t>
      </w:r>
      <w:r w:rsidRPr="00E400E4">
        <w:t xml:space="preserve"> will enter Western Australia as a result of trade in avocados from Chile, be distributed in a viable state to a susceptible host, establish in Western Australia, and subsequently spread within Western Australia is assessed as Very Low.</w:t>
      </w:r>
    </w:p>
    <w:p w:rsidR="00555918" w:rsidRPr="00E400E4" w:rsidRDefault="00555918" w:rsidP="000B1771">
      <w:pPr>
        <w:pStyle w:val="Heading4"/>
      </w:pPr>
      <w:r w:rsidRPr="00E400E4">
        <w:t>Consequences</w:t>
      </w:r>
    </w:p>
    <w:p w:rsidR="00555918" w:rsidRPr="00E400E4" w:rsidRDefault="00555918" w:rsidP="000B1771">
      <w:r w:rsidRPr="00E400E4">
        <w:t xml:space="preserve">It is considered that the consequences of entry, establishment and spread of </w:t>
      </w:r>
      <w:r w:rsidRPr="00E400E4">
        <w:rPr>
          <w:i/>
        </w:rPr>
        <w:t>P. citri</w:t>
      </w:r>
      <w:r w:rsidRPr="00E400E4">
        <w:t xml:space="preserve"> in Western Australia are independent of the import pathway and are similar across pest risk assessments, including the risk analysis for sweet oranges from Italy </w:t>
      </w:r>
      <w:r>
        <w:rPr>
          <w:noProof/>
        </w:rPr>
        <w:t>(Biosecurity Australia 2005a)</w:t>
      </w:r>
      <w:r w:rsidRPr="00E400E4">
        <w:t xml:space="preserve">. The rating for overall consequences for </w:t>
      </w:r>
      <w:r w:rsidRPr="00E400E4">
        <w:rPr>
          <w:i/>
        </w:rPr>
        <w:t>P. citri</w:t>
      </w:r>
      <w:r w:rsidRPr="00E400E4">
        <w:t xml:space="preserve"> in previous risk analyses was Low. Therefore, the overall consequences for </w:t>
      </w:r>
      <w:r w:rsidRPr="00E400E4">
        <w:rPr>
          <w:i/>
        </w:rPr>
        <w:t>P. citri</w:t>
      </w:r>
      <w:r w:rsidRPr="00E400E4">
        <w:t xml:space="preserve"> from the avocados from Chile pathway is also assessed as Low. </w:t>
      </w:r>
    </w:p>
    <w:p w:rsidR="00555918" w:rsidRPr="00E400E4" w:rsidRDefault="00555918" w:rsidP="000B1771">
      <w:pPr>
        <w:pStyle w:val="Heading4"/>
      </w:pPr>
      <w:r w:rsidRPr="00E400E4">
        <w:t>Unrestricted risk estimate</w:t>
      </w:r>
    </w:p>
    <w:p w:rsidR="00555918" w:rsidRPr="00E400E4" w:rsidRDefault="00555918" w:rsidP="000B1771">
      <w:r w:rsidRPr="00E400E4">
        <w:t xml:space="preserve">Unrestricted risk is the result of combining the likelihoods of entry, establishment and spread with the estimate of consequences. Likelihoods and consequences are combined using the risk estimation matrix shown in </w:t>
      </w:r>
      <w:r w:rsidRPr="00E400E4">
        <w:fldChar w:fldCharType="begin"/>
      </w:r>
      <w:r w:rsidRPr="00E400E4">
        <w:instrText xml:space="preserve"> REF _Ref457826369 \h  \* MERGEFORMAT </w:instrText>
      </w:r>
      <w:r w:rsidRPr="00E400E4">
        <w:fldChar w:fldCharType="separate"/>
      </w:r>
      <w:r w:rsidR="006C029B" w:rsidRPr="00E400E4">
        <w:t xml:space="preserve">Table </w:t>
      </w:r>
      <w:r w:rsidR="006C029B">
        <w:rPr>
          <w:noProof/>
        </w:rPr>
        <w:t>2</w:t>
      </w:r>
      <w:r w:rsidR="006C029B" w:rsidRPr="00E400E4">
        <w:rPr>
          <w:noProof/>
        </w:rPr>
        <w:t>.</w:t>
      </w:r>
      <w:r w:rsidR="006C029B">
        <w:rPr>
          <w:noProof/>
        </w:rPr>
        <w:t>5</w:t>
      </w:r>
      <w:r w:rsidRPr="00E400E4">
        <w:fldChar w:fldCharType="end"/>
      </w:r>
      <w:r w:rsidRPr="00E400E4">
        <w:t>.</w:t>
      </w:r>
    </w:p>
    <w:p w:rsidR="00555918" w:rsidRPr="00E400E4" w:rsidRDefault="00555918" w:rsidP="000B1771">
      <w:pPr>
        <w:spacing w:before="240"/>
      </w:pPr>
      <w:r w:rsidRPr="00E400E4">
        <w:lastRenderedPageBreak/>
        <w:t xml:space="preserve">The unrestricted risk estimate for </w:t>
      </w:r>
      <w:r w:rsidRPr="00E400E4">
        <w:rPr>
          <w:i/>
        </w:rPr>
        <w:t>Panonychus citri</w:t>
      </w:r>
      <w:r w:rsidRPr="00E400E4">
        <w:t xml:space="preserve"> from the avocados from Chile pathway is assessed as Negligible, which achieves the ALOP for Australia. Therefore, no specific risk management measures are required for this pest.</w:t>
      </w:r>
    </w:p>
    <w:p w:rsidR="00555918" w:rsidRPr="00E400E4" w:rsidRDefault="00555918" w:rsidP="000B1771">
      <w:pPr>
        <w:pStyle w:val="Heading3"/>
        <w:sectPr w:rsidR="00555918" w:rsidRPr="00E400E4" w:rsidSect="000B1771">
          <w:headerReference w:type="default" r:id="rId56"/>
          <w:pgSz w:w="11906" w:h="16838"/>
          <w:pgMar w:top="1418" w:right="1418" w:bottom="1418" w:left="1418" w:header="567" w:footer="283" w:gutter="0"/>
          <w:cols w:space="708"/>
          <w:docGrid w:linePitch="360"/>
        </w:sectPr>
      </w:pPr>
      <w:bookmarkStart w:id="124" w:name="_Toc389741455"/>
      <w:bookmarkEnd w:id="109"/>
    </w:p>
    <w:p w:rsidR="00555918" w:rsidRPr="00E400E4" w:rsidRDefault="00555918" w:rsidP="000B1771">
      <w:pPr>
        <w:pStyle w:val="Heading3"/>
      </w:pPr>
      <w:bookmarkStart w:id="125" w:name="_Toc20392249"/>
      <w:r w:rsidRPr="00E400E4">
        <w:lastRenderedPageBreak/>
        <w:t>Pest risk assessment conclusions</w:t>
      </w:r>
      <w:bookmarkEnd w:id="124"/>
      <w:bookmarkEnd w:id="125"/>
    </w:p>
    <w:p w:rsidR="00555918" w:rsidRPr="00E400E4" w:rsidRDefault="00555918" w:rsidP="000B1771">
      <w:pPr>
        <w:pStyle w:val="Caption"/>
      </w:pPr>
      <w:bookmarkStart w:id="126" w:name="_Ref527374592"/>
      <w:bookmarkStart w:id="127" w:name="_Ref520367360"/>
      <w:bookmarkStart w:id="128" w:name="_Toc24702449"/>
      <w:r w:rsidRPr="00E400E4">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4</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5</w:t>
      </w:r>
      <w:r w:rsidRPr="00E400E4">
        <w:rPr>
          <w:noProof/>
        </w:rPr>
        <w:fldChar w:fldCharType="end"/>
      </w:r>
      <w:bookmarkEnd w:id="126"/>
      <w:bookmarkEnd w:id="127"/>
      <w:r w:rsidRPr="00E400E4">
        <w:t xml:space="preserve"> Summary of unrestricted risk estimates for quarantine pests associated with avocados from Chile</w:t>
      </w:r>
      <w:bookmarkEnd w:id="128"/>
    </w:p>
    <w:tbl>
      <w:tblPr>
        <w:tblW w:w="5062"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ayout w:type="fixed"/>
        <w:tblLook w:val="0000" w:firstRow="0" w:lastRow="0" w:firstColumn="0" w:lastColumn="0" w:noHBand="0" w:noVBand="0"/>
      </w:tblPr>
      <w:tblGrid>
        <w:gridCol w:w="3118"/>
        <w:gridCol w:w="1415"/>
        <w:gridCol w:w="1418"/>
        <w:gridCol w:w="1420"/>
        <w:gridCol w:w="1559"/>
        <w:gridCol w:w="1418"/>
        <w:gridCol w:w="1276"/>
        <w:gridCol w:w="1418"/>
        <w:gridCol w:w="1134"/>
      </w:tblGrid>
      <w:tr w:rsidR="00555918" w:rsidRPr="00E400E4" w:rsidTr="000B1771">
        <w:trPr>
          <w:cantSplit/>
          <w:tblHeader/>
        </w:trPr>
        <w:tc>
          <w:tcPr>
            <w:tcW w:w="4100" w:type="pct"/>
            <w:gridSpan w:val="7"/>
            <w:tcBorders>
              <w:top w:val="single" w:sz="4" w:space="0" w:color="auto"/>
              <w:left w:val="nil"/>
              <w:bottom w:val="nil"/>
            </w:tcBorders>
          </w:tcPr>
          <w:p w:rsidR="00555918" w:rsidRPr="00E400E4" w:rsidRDefault="00555918">
            <w:pPr>
              <w:pStyle w:val="TableHeading"/>
              <w:jc w:val="center"/>
            </w:pPr>
            <w:r w:rsidRPr="00E400E4">
              <w:t>Likelihood of</w:t>
            </w:r>
          </w:p>
        </w:tc>
        <w:tc>
          <w:tcPr>
            <w:tcW w:w="500" w:type="pct"/>
            <w:vMerge w:val="restart"/>
            <w:tcBorders>
              <w:top w:val="single" w:sz="4" w:space="0" w:color="auto"/>
            </w:tcBorders>
            <w:shd w:val="clear" w:color="auto" w:fill="auto"/>
          </w:tcPr>
          <w:p w:rsidR="00555918" w:rsidRPr="00E400E4" w:rsidRDefault="00555918">
            <w:pPr>
              <w:pStyle w:val="TableHeading"/>
            </w:pPr>
            <w:r w:rsidRPr="00E400E4">
              <w:t>Consequences</w:t>
            </w:r>
          </w:p>
        </w:tc>
        <w:tc>
          <w:tcPr>
            <w:tcW w:w="400" w:type="pct"/>
            <w:vMerge w:val="restart"/>
            <w:tcBorders>
              <w:top w:val="single" w:sz="4" w:space="0" w:color="auto"/>
              <w:right w:val="nil"/>
            </w:tcBorders>
            <w:shd w:val="clear" w:color="auto" w:fill="auto"/>
          </w:tcPr>
          <w:p w:rsidR="00555918" w:rsidRPr="00E400E4" w:rsidRDefault="00555918">
            <w:pPr>
              <w:pStyle w:val="TableHeading"/>
            </w:pPr>
            <w:r w:rsidRPr="00E400E4">
              <w:t>URE</w:t>
            </w:r>
          </w:p>
        </w:tc>
      </w:tr>
      <w:tr w:rsidR="00555918" w:rsidRPr="00E400E4" w:rsidTr="000B1771">
        <w:trPr>
          <w:cantSplit/>
          <w:tblHeader/>
        </w:trPr>
        <w:tc>
          <w:tcPr>
            <w:tcW w:w="1100" w:type="pct"/>
            <w:vMerge w:val="restart"/>
            <w:tcBorders>
              <w:top w:val="nil"/>
              <w:left w:val="nil"/>
              <w:bottom w:val="nil"/>
              <w:right w:val="nil"/>
            </w:tcBorders>
          </w:tcPr>
          <w:p w:rsidR="00555918" w:rsidRPr="00E400E4" w:rsidRDefault="00555918">
            <w:pPr>
              <w:pStyle w:val="TableHeading"/>
            </w:pPr>
            <w:r w:rsidRPr="00E400E4">
              <w:t>Pest name</w:t>
            </w:r>
          </w:p>
        </w:tc>
        <w:tc>
          <w:tcPr>
            <w:tcW w:w="1500" w:type="pct"/>
            <w:gridSpan w:val="3"/>
            <w:tcBorders>
              <w:top w:val="single" w:sz="4" w:space="0" w:color="BFBFBF" w:themeColor="background1" w:themeShade="BF"/>
              <w:left w:val="nil"/>
            </w:tcBorders>
            <w:shd w:val="clear" w:color="auto" w:fill="auto"/>
            <w:vAlign w:val="center"/>
          </w:tcPr>
          <w:p w:rsidR="00555918" w:rsidRPr="00E400E4" w:rsidRDefault="00555918">
            <w:pPr>
              <w:pStyle w:val="TableText"/>
              <w:rPr>
                <w:b/>
              </w:rPr>
            </w:pPr>
            <w:r w:rsidRPr="00E400E4">
              <w:rPr>
                <w:b/>
              </w:rPr>
              <w:t>Entry</w:t>
            </w:r>
          </w:p>
        </w:tc>
        <w:tc>
          <w:tcPr>
            <w:tcW w:w="550" w:type="pct"/>
            <w:vMerge w:val="restart"/>
            <w:tcBorders>
              <w:top w:val="single" w:sz="4" w:space="0" w:color="BFBFBF" w:themeColor="background1" w:themeShade="BF"/>
            </w:tcBorders>
            <w:shd w:val="clear" w:color="auto" w:fill="auto"/>
          </w:tcPr>
          <w:p w:rsidR="00555918" w:rsidRPr="00E400E4" w:rsidRDefault="00555918">
            <w:pPr>
              <w:pStyle w:val="TableText"/>
              <w:rPr>
                <w:b/>
              </w:rPr>
            </w:pPr>
            <w:r w:rsidRPr="00E400E4">
              <w:rPr>
                <w:b/>
              </w:rPr>
              <w:t>Establishment</w:t>
            </w:r>
          </w:p>
        </w:tc>
        <w:tc>
          <w:tcPr>
            <w:tcW w:w="500" w:type="pct"/>
            <w:vMerge w:val="restart"/>
            <w:tcBorders>
              <w:top w:val="single" w:sz="4" w:space="0" w:color="BFBFBF" w:themeColor="background1" w:themeShade="BF"/>
            </w:tcBorders>
            <w:shd w:val="clear" w:color="auto" w:fill="auto"/>
          </w:tcPr>
          <w:p w:rsidR="00555918" w:rsidRPr="00E400E4" w:rsidRDefault="00555918">
            <w:pPr>
              <w:pStyle w:val="TableText"/>
              <w:rPr>
                <w:b/>
              </w:rPr>
            </w:pPr>
            <w:r w:rsidRPr="00E400E4">
              <w:rPr>
                <w:b/>
              </w:rPr>
              <w:t>Spread</w:t>
            </w:r>
          </w:p>
        </w:tc>
        <w:tc>
          <w:tcPr>
            <w:tcW w:w="450" w:type="pct"/>
            <w:vMerge w:val="restart"/>
            <w:tcBorders>
              <w:top w:val="single" w:sz="4" w:space="0" w:color="BFBFBF" w:themeColor="background1" w:themeShade="BF"/>
            </w:tcBorders>
            <w:shd w:val="clear" w:color="auto" w:fill="auto"/>
          </w:tcPr>
          <w:p w:rsidR="00555918" w:rsidRPr="00E400E4" w:rsidRDefault="00555918">
            <w:pPr>
              <w:pStyle w:val="TableText"/>
              <w:rPr>
                <w:b/>
              </w:rPr>
            </w:pPr>
            <w:r w:rsidRPr="00E400E4">
              <w:rPr>
                <w:b/>
              </w:rPr>
              <w:t>EES</w:t>
            </w:r>
          </w:p>
        </w:tc>
        <w:tc>
          <w:tcPr>
            <w:tcW w:w="500" w:type="pct"/>
            <w:vMerge/>
            <w:shd w:val="clear" w:color="auto" w:fill="auto"/>
          </w:tcPr>
          <w:p w:rsidR="00555918" w:rsidRPr="00E400E4" w:rsidRDefault="00555918">
            <w:pPr>
              <w:pStyle w:val="TableText"/>
            </w:pPr>
          </w:p>
        </w:tc>
        <w:tc>
          <w:tcPr>
            <w:tcW w:w="400" w:type="pct"/>
            <w:vMerge/>
            <w:tcBorders>
              <w:right w:val="nil"/>
            </w:tcBorders>
            <w:shd w:val="clear" w:color="auto" w:fill="auto"/>
          </w:tcPr>
          <w:p w:rsidR="00555918" w:rsidRPr="00E400E4" w:rsidRDefault="00555918">
            <w:pPr>
              <w:pStyle w:val="TableText"/>
            </w:pPr>
          </w:p>
        </w:tc>
      </w:tr>
      <w:tr w:rsidR="00555918" w:rsidRPr="00E400E4" w:rsidTr="000B1771">
        <w:trPr>
          <w:cantSplit/>
          <w:tblHeader/>
        </w:trPr>
        <w:tc>
          <w:tcPr>
            <w:tcW w:w="1100" w:type="pct"/>
            <w:vMerge/>
            <w:tcBorders>
              <w:top w:val="single" w:sz="4" w:space="0" w:color="BFBFBF" w:themeColor="background1" w:themeShade="BF"/>
              <w:left w:val="nil"/>
              <w:bottom w:val="nil"/>
              <w:right w:val="nil"/>
            </w:tcBorders>
          </w:tcPr>
          <w:p w:rsidR="00555918" w:rsidRPr="00E400E4" w:rsidRDefault="00555918">
            <w:pPr>
              <w:pStyle w:val="TableText"/>
            </w:pPr>
          </w:p>
        </w:tc>
        <w:tc>
          <w:tcPr>
            <w:tcW w:w="499" w:type="pct"/>
            <w:tcBorders>
              <w:left w:val="nil"/>
            </w:tcBorders>
            <w:shd w:val="clear" w:color="auto" w:fill="auto"/>
          </w:tcPr>
          <w:p w:rsidR="00555918" w:rsidRPr="00E400E4" w:rsidRDefault="00555918">
            <w:pPr>
              <w:pStyle w:val="TableText"/>
            </w:pPr>
            <w:r w:rsidRPr="00E400E4">
              <w:t>Importation</w:t>
            </w:r>
          </w:p>
        </w:tc>
        <w:tc>
          <w:tcPr>
            <w:tcW w:w="500" w:type="pct"/>
            <w:shd w:val="clear" w:color="auto" w:fill="auto"/>
          </w:tcPr>
          <w:p w:rsidR="00555918" w:rsidRPr="00E400E4" w:rsidRDefault="00555918">
            <w:pPr>
              <w:pStyle w:val="TableText"/>
            </w:pPr>
            <w:r w:rsidRPr="00E400E4">
              <w:t>Distribution</w:t>
            </w:r>
          </w:p>
        </w:tc>
        <w:tc>
          <w:tcPr>
            <w:tcW w:w="501" w:type="pct"/>
            <w:shd w:val="clear" w:color="auto" w:fill="auto"/>
          </w:tcPr>
          <w:p w:rsidR="00555918" w:rsidRPr="00E400E4" w:rsidRDefault="00555918">
            <w:pPr>
              <w:pStyle w:val="TableText"/>
              <w:rPr>
                <w:b/>
              </w:rPr>
            </w:pPr>
            <w:r w:rsidRPr="00E400E4">
              <w:rPr>
                <w:b/>
              </w:rPr>
              <w:t>Overall</w:t>
            </w:r>
          </w:p>
        </w:tc>
        <w:tc>
          <w:tcPr>
            <w:tcW w:w="550" w:type="pct"/>
            <w:vMerge/>
            <w:shd w:val="clear" w:color="auto" w:fill="auto"/>
          </w:tcPr>
          <w:p w:rsidR="00555918" w:rsidRPr="00E400E4" w:rsidRDefault="00555918">
            <w:pPr>
              <w:pStyle w:val="TableText"/>
            </w:pPr>
          </w:p>
        </w:tc>
        <w:tc>
          <w:tcPr>
            <w:tcW w:w="500" w:type="pct"/>
            <w:vMerge/>
            <w:shd w:val="clear" w:color="auto" w:fill="auto"/>
          </w:tcPr>
          <w:p w:rsidR="00555918" w:rsidRPr="00E400E4" w:rsidRDefault="00555918">
            <w:pPr>
              <w:pStyle w:val="TableText"/>
            </w:pPr>
          </w:p>
        </w:tc>
        <w:tc>
          <w:tcPr>
            <w:tcW w:w="450" w:type="pct"/>
            <w:vMerge/>
            <w:shd w:val="clear" w:color="auto" w:fill="auto"/>
          </w:tcPr>
          <w:p w:rsidR="00555918" w:rsidRPr="00E400E4" w:rsidRDefault="00555918">
            <w:pPr>
              <w:pStyle w:val="TableText"/>
            </w:pPr>
          </w:p>
        </w:tc>
        <w:tc>
          <w:tcPr>
            <w:tcW w:w="500" w:type="pct"/>
            <w:vMerge/>
            <w:shd w:val="clear" w:color="auto" w:fill="auto"/>
          </w:tcPr>
          <w:p w:rsidR="00555918" w:rsidRPr="00E400E4" w:rsidRDefault="00555918">
            <w:pPr>
              <w:pStyle w:val="TableText"/>
              <w:rPr>
                <w:b/>
              </w:rPr>
            </w:pPr>
          </w:p>
        </w:tc>
        <w:tc>
          <w:tcPr>
            <w:tcW w:w="400" w:type="pct"/>
            <w:vMerge/>
            <w:tcBorders>
              <w:right w:val="nil"/>
            </w:tcBorders>
            <w:shd w:val="clear" w:color="auto" w:fill="auto"/>
          </w:tcPr>
          <w:p w:rsidR="00555918" w:rsidRPr="00E400E4" w:rsidRDefault="00555918">
            <w:pPr>
              <w:pStyle w:val="TableText"/>
            </w:pPr>
          </w:p>
        </w:tc>
      </w:tr>
      <w:tr w:rsidR="00555918" w:rsidRPr="00E400E4" w:rsidTr="000B1771">
        <w:tc>
          <w:tcPr>
            <w:tcW w:w="5000" w:type="pct"/>
            <w:gridSpan w:val="9"/>
            <w:tcBorders>
              <w:top w:val="single" w:sz="4" w:space="0" w:color="BFBFBF" w:themeColor="background1" w:themeShade="BF"/>
              <w:left w:val="nil"/>
              <w:bottom w:val="nil"/>
              <w:right w:val="nil"/>
            </w:tcBorders>
            <w:shd w:val="clear" w:color="auto" w:fill="auto"/>
          </w:tcPr>
          <w:p w:rsidR="00555918" w:rsidRPr="00E400E4" w:rsidRDefault="00555918">
            <w:pPr>
              <w:pStyle w:val="TableText"/>
              <w:rPr>
                <w:b/>
              </w:rPr>
            </w:pPr>
            <w:r w:rsidRPr="00E400E4">
              <w:rPr>
                <w:b/>
              </w:rPr>
              <w:t>Fruit flies [Diptera: Tephritidae]</w:t>
            </w:r>
          </w:p>
        </w:tc>
      </w:tr>
      <w:tr w:rsidR="00555918" w:rsidRPr="00E400E4" w:rsidTr="000B1771">
        <w:tc>
          <w:tcPr>
            <w:tcW w:w="1100" w:type="pct"/>
            <w:tcBorders>
              <w:top w:val="nil"/>
              <w:left w:val="nil"/>
              <w:bottom w:val="single" w:sz="4" w:space="0" w:color="BFBFBF" w:themeColor="background1" w:themeShade="BF"/>
            </w:tcBorders>
          </w:tcPr>
          <w:p w:rsidR="00555918" w:rsidRPr="00E400E4" w:rsidRDefault="00555918">
            <w:pPr>
              <w:pStyle w:val="TableText"/>
              <w:rPr>
                <w:i/>
                <w:lang w:eastAsia="en-AU"/>
              </w:rPr>
            </w:pPr>
            <w:r w:rsidRPr="00E400E4">
              <w:rPr>
                <w:i/>
              </w:rPr>
              <w:t>Ceratitis capitata</w:t>
            </w:r>
            <w:r w:rsidRPr="00E400E4">
              <w:t xml:space="preserve"> (EP)</w:t>
            </w:r>
          </w:p>
        </w:tc>
        <w:tc>
          <w:tcPr>
            <w:tcW w:w="499" w:type="pct"/>
            <w:tcBorders>
              <w:top w:val="nil"/>
              <w:bottom w:val="single" w:sz="4" w:space="0" w:color="BFBFBF" w:themeColor="background1" w:themeShade="BF"/>
            </w:tcBorders>
            <w:shd w:val="clear" w:color="auto" w:fill="auto"/>
          </w:tcPr>
          <w:p w:rsidR="00555918" w:rsidRPr="00E400E4" w:rsidRDefault="00555918">
            <w:pPr>
              <w:pStyle w:val="TableText"/>
            </w:pPr>
            <w:r w:rsidRPr="00E400E4">
              <w:t>Low</w:t>
            </w:r>
          </w:p>
        </w:tc>
        <w:tc>
          <w:tcPr>
            <w:tcW w:w="500" w:type="pct"/>
            <w:tcBorders>
              <w:top w:val="nil"/>
              <w:bottom w:val="single" w:sz="4" w:space="0" w:color="BFBFBF" w:themeColor="background1" w:themeShade="BF"/>
            </w:tcBorders>
            <w:shd w:val="clear" w:color="auto" w:fill="auto"/>
          </w:tcPr>
          <w:p w:rsidR="00555918" w:rsidRPr="00E400E4" w:rsidRDefault="00555918">
            <w:pPr>
              <w:pStyle w:val="TableText"/>
            </w:pPr>
            <w:r w:rsidRPr="00E400E4">
              <w:t>Moderate</w:t>
            </w:r>
          </w:p>
        </w:tc>
        <w:tc>
          <w:tcPr>
            <w:tcW w:w="501" w:type="pct"/>
            <w:tcBorders>
              <w:top w:val="nil"/>
              <w:bottom w:val="single" w:sz="4" w:space="0" w:color="BFBFBF" w:themeColor="background1" w:themeShade="BF"/>
            </w:tcBorders>
            <w:shd w:val="clear" w:color="auto" w:fill="auto"/>
          </w:tcPr>
          <w:p w:rsidR="00555918" w:rsidRPr="00E400E4" w:rsidRDefault="00555918">
            <w:pPr>
              <w:pStyle w:val="TableText"/>
              <w:rPr>
                <w:b/>
              </w:rPr>
            </w:pPr>
            <w:r w:rsidRPr="00E400E4">
              <w:rPr>
                <w:b/>
              </w:rPr>
              <w:t>Low</w:t>
            </w:r>
          </w:p>
        </w:tc>
        <w:tc>
          <w:tcPr>
            <w:tcW w:w="550" w:type="pct"/>
            <w:tcBorders>
              <w:top w:val="nil"/>
              <w:bottom w:val="single" w:sz="4" w:space="0" w:color="BFBFBF" w:themeColor="background1" w:themeShade="BF"/>
            </w:tcBorders>
            <w:shd w:val="clear" w:color="auto" w:fill="auto"/>
          </w:tcPr>
          <w:p w:rsidR="00555918" w:rsidRPr="00E400E4" w:rsidRDefault="00555918">
            <w:pPr>
              <w:pStyle w:val="TableText"/>
            </w:pPr>
            <w:r w:rsidRPr="00E400E4">
              <w:t>High</w:t>
            </w:r>
          </w:p>
        </w:tc>
        <w:tc>
          <w:tcPr>
            <w:tcW w:w="500" w:type="pct"/>
            <w:tcBorders>
              <w:top w:val="nil"/>
              <w:bottom w:val="single" w:sz="4" w:space="0" w:color="BFBFBF" w:themeColor="background1" w:themeShade="BF"/>
            </w:tcBorders>
            <w:shd w:val="clear" w:color="auto" w:fill="auto"/>
          </w:tcPr>
          <w:p w:rsidR="00555918" w:rsidRPr="00E400E4" w:rsidRDefault="00555918">
            <w:pPr>
              <w:pStyle w:val="TableText"/>
            </w:pPr>
            <w:r w:rsidRPr="00E400E4">
              <w:t>Moderate</w:t>
            </w:r>
          </w:p>
        </w:tc>
        <w:tc>
          <w:tcPr>
            <w:tcW w:w="450" w:type="pct"/>
            <w:tcBorders>
              <w:top w:val="nil"/>
              <w:bottom w:val="single" w:sz="4" w:space="0" w:color="BFBFBF" w:themeColor="background1" w:themeShade="BF"/>
            </w:tcBorders>
            <w:shd w:val="clear" w:color="auto" w:fill="auto"/>
          </w:tcPr>
          <w:p w:rsidR="00555918" w:rsidRPr="00E400E4" w:rsidRDefault="00555918">
            <w:pPr>
              <w:pStyle w:val="TableText"/>
            </w:pPr>
            <w:r w:rsidRPr="00E400E4">
              <w:t>Low</w:t>
            </w:r>
          </w:p>
        </w:tc>
        <w:tc>
          <w:tcPr>
            <w:tcW w:w="500" w:type="pct"/>
            <w:tcBorders>
              <w:top w:val="nil"/>
              <w:bottom w:val="single" w:sz="4" w:space="0" w:color="BFBFBF" w:themeColor="background1" w:themeShade="BF"/>
            </w:tcBorders>
            <w:shd w:val="clear" w:color="auto" w:fill="auto"/>
          </w:tcPr>
          <w:p w:rsidR="00555918" w:rsidRPr="00E400E4" w:rsidRDefault="00555918">
            <w:pPr>
              <w:pStyle w:val="TableText"/>
            </w:pPr>
            <w:r w:rsidRPr="00E400E4">
              <w:t>High</w:t>
            </w:r>
          </w:p>
        </w:tc>
        <w:tc>
          <w:tcPr>
            <w:tcW w:w="400" w:type="pct"/>
            <w:tcBorders>
              <w:top w:val="nil"/>
              <w:bottom w:val="single" w:sz="4" w:space="0" w:color="BFBFBF" w:themeColor="background1" w:themeShade="BF"/>
              <w:right w:val="nil"/>
            </w:tcBorders>
            <w:shd w:val="clear" w:color="auto" w:fill="auto"/>
          </w:tcPr>
          <w:p w:rsidR="00555918" w:rsidRPr="00E400E4" w:rsidRDefault="00555918">
            <w:pPr>
              <w:pStyle w:val="TableText"/>
              <w:rPr>
                <w:b/>
              </w:rPr>
            </w:pPr>
            <w:r w:rsidRPr="00E400E4">
              <w:rPr>
                <w:b/>
              </w:rPr>
              <w:t>Moderate</w:t>
            </w:r>
          </w:p>
        </w:tc>
      </w:tr>
      <w:tr w:rsidR="00555918" w:rsidRPr="00E400E4" w:rsidTr="000B1771">
        <w:tc>
          <w:tcPr>
            <w:tcW w:w="5000" w:type="pct"/>
            <w:gridSpan w:val="9"/>
            <w:tcBorders>
              <w:top w:val="single" w:sz="4" w:space="0" w:color="BFBFBF" w:themeColor="background1" w:themeShade="BF"/>
              <w:left w:val="nil"/>
              <w:bottom w:val="nil"/>
              <w:right w:val="nil"/>
            </w:tcBorders>
            <w:shd w:val="clear" w:color="auto" w:fill="auto"/>
          </w:tcPr>
          <w:p w:rsidR="00555918" w:rsidRPr="00E400E4" w:rsidRDefault="00555918">
            <w:pPr>
              <w:pStyle w:val="TableText"/>
              <w:rPr>
                <w:b/>
              </w:rPr>
            </w:pPr>
            <w:r w:rsidRPr="00E400E4">
              <w:rPr>
                <w:b/>
              </w:rPr>
              <w:t>Armoured scales [Hemiptera: Diaspididae]</w:t>
            </w:r>
          </w:p>
        </w:tc>
      </w:tr>
      <w:tr w:rsidR="00555918" w:rsidRPr="00E400E4" w:rsidTr="000B1771">
        <w:tc>
          <w:tcPr>
            <w:tcW w:w="1100" w:type="pct"/>
            <w:tcBorders>
              <w:top w:val="nil"/>
              <w:left w:val="nil"/>
              <w:bottom w:val="nil"/>
            </w:tcBorders>
          </w:tcPr>
          <w:p w:rsidR="00555918" w:rsidRPr="00E400E4" w:rsidRDefault="00555918" w:rsidP="000B1771">
            <w:pPr>
              <w:pStyle w:val="TableText"/>
              <w:rPr>
                <w:i/>
                <w:lang w:eastAsia="en-AU"/>
              </w:rPr>
            </w:pPr>
            <w:r w:rsidRPr="00E400E4">
              <w:rPr>
                <w:i/>
              </w:rPr>
              <w:t xml:space="preserve">Chrysomphalus dictyospermi </w:t>
            </w:r>
            <w:r w:rsidRPr="00E400E4">
              <w:t>(EP, WA)</w:t>
            </w:r>
          </w:p>
        </w:tc>
        <w:tc>
          <w:tcPr>
            <w:tcW w:w="499" w:type="pct"/>
            <w:tcBorders>
              <w:top w:val="nil"/>
              <w:bottom w:val="nil"/>
            </w:tcBorders>
            <w:shd w:val="clear" w:color="auto" w:fill="auto"/>
          </w:tcPr>
          <w:p w:rsidR="00555918" w:rsidRPr="00E400E4" w:rsidRDefault="00555918">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Low</w:t>
            </w:r>
          </w:p>
        </w:tc>
        <w:tc>
          <w:tcPr>
            <w:tcW w:w="501" w:type="pct"/>
            <w:tcBorders>
              <w:top w:val="nil"/>
              <w:bottom w:val="nil"/>
            </w:tcBorders>
            <w:shd w:val="clear" w:color="auto" w:fill="auto"/>
          </w:tcPr>
          <w:p w:rsidR="00555918" w:rsidRPr="00E400E4" w:rsidRDefault="00555918" w:rsidP="000B1771">
            <w:pPr>
              <w:pStyle w:val="TableText"/>
              <w:rPr>
                <w:b/>
              </w:rPr>
            </w:pPr>
            <w:r w:rsidRPr="00E400E4">
              <w:rPr>
                <w:b/>
              </w:rPr>
              <w:t>Low</w:t>
            </w:r>
          </w:p>
        </w:tc>
        <w:tc>
          <w:tcPr>
            <w:tcW w:w="550" w:type="pct"/>
            <w:tcBorders>
              <w:top w:val="nil"/>
              <w:bottom w:val="nil"/>
            </w:tcBorders>
            <w:shd w:val="clear" w:color="auto" w:fill="auto"/>
          </w:tcPr>
          <w:p w:rsidR="00555918" w:rsidRPr="00E400E4" w:rsidRDefault="00555918">
            <w:pPr>
              <w:pStyle w:val="TableText"/>
            </w:pPr>
            <w:r w:rsidRPr="00E400E4">
              <w:t>High</w:t>
            </w:r>
          </w:p>
        </w:tc>
        <w:tc>
          <w:tcPr>
            <w:tcW w:w="500" w:type="pct"/>
            <w:tcBorders>
              <w:top w:val="nil"/>
              <w:bottom w:val="nil"/>
            </w:tcBorders>
            <w:shd w:val="clear" w:color="auto" w:fill="auto"/>
          </w:tcPr>
          <w:p w:rsidR="00555918" w:rsidRPr="00E400E4" w:rsidRDefault="00555918">
            <w:pPr>
              <w:pStyle w:val="TableText"/>
            </w:pPr>
            <w:r w:rsidRPr="00E400E4">
              <w:t>Moderate</w:t>
            </w:r>
          </w:p>
        </w:tc>
        <w:tc>
          <w:tcPr>
            <w:tcW w:w="450" w:type="pct"/>
            <w:tcBorders>
              <w:top w:val="nil"/>
              <w:bottom w:val="nil"/>
            </w:tcBorders>
            <w:shd w:val="clear" w:color="auto" w:fill="auto"/>
          </w:tcPr>
          <w:p w:rsidR="00555918" w:rsidRPr="00E400E4" w:rsidRDefault="00555918">
            <w:pPr>
              <w:pStyle w:val="TableText"/>
            </w:pPr>
            <w:r w:rsidRPr="00E400E4">
              <w:t>Low</w:t>
            </w:r>
          </w:p>
        </w:tc>
        <w:tc>
          <w:tcPr>
            <w:tcW w:w="500" w:type="pct"/>
            <w:tcBorders>
              <w:top w:val="nil"/>
              <w:bottom w:val="nil"/>
            </w:tcBorders>
            <w:shd w:val="clear" w:color="auto" w:fill="auto"/>
          </w:tcPr>
          <w:p w:rsidR="00555918" w:rsidRPr="00E400E4" w:rsidRDefault="00555918">
            <w:pPr>
              <w:pStyle w:val="TableText"/>
            </w:pPr>
            <w:r w:rsidRPr="00E400E4">
              <w:t>Low</w:t>
            </w:r>
          </w:p>
        </w:tc>
        <w:tc>
          <w:tcPr>
            <w:tcW w:w="400" w:type="pct"/>
            <w:tcBorders>
              <w:top w:val="nil"/>
              <w:bottom w:val="nil"/>
              <w:right w:val="nil"/>
            </w:tcBorders>
            <w:shd w:val="clear" w:color="auto" w:fill="auto"/>
          </w:tcPr>
          <w:p w:rsidR="00555918" w:rsidRPr="00E400E4" w:rsidRDefault="00555918">
            <w:pPr>
              <w:pStyle w:val="TableText"/>
              <w:rPr>
                <w:b/>
              </w:rPr>
            </w:pPr>
            <w:r w:rsidRPr="00E400E4">
              <w:rPr>
                <w:b/>
              </w:rPr>
              <w:t>Very Low</w:t>
            </w:r>
          </w:p>
        </w:tc>
      </w:tr>
      <w:tr w:rsidR="00555918" w:rsidRPr="00E400E4" w:rsidTr="000B1771">
        <w:tc>
          <w:tcPr>
            <w:tcW w:w="1100" w:type="pct"/>
            <w:tcBorders>
              <w:top w:val="nil"/>
              <w:left w:val="nil"/>
              <w:bottom w:val="nil"/>
            </w:tcBorders>
          </w:tcPr>
          <w:p w:rsidR="00555918" w:rsidRPr="00E400E4" w:rsidRDefault="00555918" w:rsidP="000B1771">
            <w:pPr>
              <w:pStyle w:val="TableText"/>
              <w:rPr>
                <w:i/>
              </w:rPr>
            </w:pPr>
            <w:r w:rsidRPr="00E400E4">
              <w:rPr>
                <w:i/>
              </w:rPr>
              <w:t>Fiorinia fioriniae</w:t>
            </w:r>
            <w:r w:rsidRPr="00E400E4">
              <w:t xml:space="preserve"> (WA)</w:t>
            </w:r>
          </w:p>
        </w:tc>
        <w:tc>
          <w:tcPr>
            <w:tcW w:w="499" w:type="pct"/>
            <w:tcBorders>
              <w:top w:val="nil"/>
              <w:bottom w:val="nil"/>
            </w:tcBorders>
            <w:shd w:val="clear" w:color="auto" w:fill="auto"/>
          </w:tcPr>
          <w:p w:rsidR="00555918" w:rsidRPr="00E400E4" w:rsidRDefault="00555918" w:rsidP="000B1771">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Low</w:t>
            </w:r>
          </w:p>
        </w:tc>
        <w:tc>
          <w:tcPr>
            <w:tcW w:w="501" w:type="pct"/>
            <w:tcBorders>
              <w:top w:val="nil"/>
              <w:bottom w:val="nil"/>
            </w:tcBorders>
            <w:shd w:val="clear" w:color="auto" w:fill="auto"/>
          </w:tcPr>
          <w:p w:rsidR="00555918" w:rsidRPr="00E400E4" w:rsidRDefault="00555918" w:rsidP="000B1771">
            <w:pPr>
              <w:pStyle w:val="TableText"/>
              <w:rPr>
                <w:b/>
              </w:rPr>
            </w:pPr>
            <w:r w:rsidRPr="00E400E4">
              <w:rPr>
                <w:b/>
              </w:rPr>
              <w:t>Low</w:t>
            </w:r>
          </w:p>
        </w:tc>
        <w:tc>
          <w:tcPr>
            <w:tcW w:w="550" w:type="pct"/>
            <w:tcBorders>
              <w:top w:val="nil"/>
              <w:bottom w:val="nil"/>
            </w:tcBorders>
            <w:shd w:val="clear" w:color="auto" w:fill="auto"/>
          </w:tcPr>
          <w:p w:rsidR="00555918" w:rsidRPr="00E400E4" w:rsidRDefault="00555918" w:rsidP="000B1771">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Moderate</w:t>
            </w:r>
          </w:p>
        </w:tc>
        <w:tc>
          <w:tcPr>
            <w:tcW w:w="450" w:type="pct"/>
            <w:tcBorders>
              <w:top w:val="nil"/>
              <w:bottom w:val="nil"/>
            </w:tcBorders>
            <w:shd w:val="clear" w:color="auto" w:fill="auto"/>
          </w:tcPr>
          <w:p w:rsidR="00555918" w:rsidRPr="00E400E4" w:rsidRDefault="00555918" w:rsidP="000B1771">
            <w:pPr>
              <w:pStyle w:val="TableText"/>
            </w:pPr>
            <w:r w:rsidRPr="00E400E4">
              <w:t>Low</w:t>
            </w:r>
          </w:p>
        </w:tc>
        <w:tc>
          <w:tcPr>
            <w:tcW w:w="500" w:type="pct"/>
            <w:tcBorders>
              <w:top w:val="nil"/>
              <w:bottom w:val="nil"/>
            </w:tcBorders>
            <w:shd w:val="clear" w:color="auto" w:fill="auto"/>
          </w:tcPr>
          <w:p w:rsidR="00555918" w:rsidRPr="00E400E4" w:rsidRDefault="00555918" w:rsidP="000B1771">
            <w:pPr>
              <w:pStyle w:val="TableText"/>
            </w:pPr>
            <w:r w:rsidRPr="00E400E4">
              <w:t>Low</w:t>
            </w:r>
          </w:p>
        </w:tc>
        <w:tc>
          <w:tcPr>
            <w:tcW w:w="400" w:type="pct"/>
            <w:tcBorders>
              <w:top w:val="nil"/>
              <w:bottom w:val="nil"/>
              <w:right w:val="nil"/>
            </w:tcBorders>
            <w:shd w:val="clear" w:color="auto" w:fill="auto"/>
          </w:tcPr>
          <w:p w:rsidR="00555918" w:rsidRPr="00E400E4" w:rsidRDefault="00555918" w:rsidP="000B1771">
            <w:pPr>
              <w:pStyle w:val="TableText"/>
            </w:pPr>
            <w:r w:rsidRPr="00E400E4">
              <w:rPr>
                <w:b/>
              </w:rPr>
              <w:t>Very Low</w:t>
            </w:r>
          </w:p>
        </w:tc>
      </w:tr>
      <w:tr w:rsidR="00555918" w:rsidRPr="00E400E4" w:rsidTr="000B1771">
        <w:tc>
          <w:tcPr>
            <w:tcW w:w="1100" w:type="pct"/>
            <w:tcBorders>
              <w:top w:val="nil"/>
              <w:left w:val="nil"/>
              <w:bottom w:val="nil"/>
            </w:tcBorders>
          </w:tcPr>
          <w:p w:rsidR="00555918" w:rsidRPr="00E400E4" w:rsidRDefault="00555918" w:rsidP="000B1771">
            <w:pPr>
              <w:pStyle w:val="TableText"/>
              <w:rPr>
                <w:i/>
              </w:rPr>
            </w:pPr>
            <w:r w:rsidRPr="00E400E4">
              <w:rPr>
                <w:i/>
              </w:rPr>
              <w:t>Hemiberlesia cyanophylli</w:t>
            </w:r>
            <w:r w:rsidRPr="00E400E4">
              <w:t xml:space="preserve"> (EP, WA)</w:t>
            </w:r>
          </w:p>
        </w:tc>
        <w:tc>
          <w:tcPr>
            <w:tcW w:w="499" w:type="pct"/>
            <w:tcBorders>
              <w:top w:val="nil"/>
              <w:bottom w:val="nil"/>
            </w:tcBorders>
            <w:shd w:val="clear" w:color="auto" w:fill="auto"/>
          </w:tcPr>
          <w:p w:rsidR="00555918" w:rsidRPr="00E400E4" w:rsidRDefault="00555918" w:rsidP="000B1771">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Low</w:t>
            </w:r>
          </w:p>
        </w:tc>
        <w:tc>
          <w:tcPr>
            <w:tcW w:w="501" w:type="pct"/>
            <w:tcBorders>
              <w:top w:val="nil"/>
              <w:bottom w:val="nil"/>
            </w:tcBorders>
            <w:shd w:val="clear" w:color="auto" w:fill="auto"/>
          </w:tcPr>
          <w:p w:rsidR="00555918" w:rsidRPr="00E400E4" w:rsidRDefault="00555918" w:rsidP="000B1771">
            <w:pPr>
              <w:pStyle w:val="TableText"/>
              <w:rPr>
                <w:b/>
              </w:rPr>
            </w:pPr>
            <w:r w:rsidRPr="00E400E4">
              <w:rPr>
                <w:b/>
              </w:rPr>
              <w:t>Low</w:t>
            </w:r>
          </w:p>
        </w:tc>
        <w:tc>
          <w:tcPr>
            <w:tcW w:w="550" w:type="pct"/>
            <w:tcBorders>
              <w:top w:val="nil"/>
              <w:bottom w:val="nil"/>
            </w:tcBorders>
            <w:shd w:val="clear" w:color="auto" w:fill="auto"/>
          </w:tcPr>
          <w:p w:rsidR="00555918" w:rsidRPr="00E400E4" w:rsidRDefault="00555918" w:rsidP="000B1771">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Moderate</w:t>
            </w:r>
          </w:p>
        </w:tc>
        <w:tc>
          <w:tcPr>
            <w:tcW w:w="450" w:type="pct"/>
            <w:tcBorders>
              <w:top w:val="nil"/>
              <w:bottom w:val="nil"/>
            </w:tcBorders>
            <w:shd w:val="clear" w:color="auto" w:fill="auto"/>
          </w:tcPr>
          <w:p w:rsidR="00555918" w:rsidRPr="00E400E4" w:rsidRDefault="00555918" w:rsidP="000B1771">
            <w:pPr>
              <w:pStyle w:val="TableText"/>
            </w:pPr>
            <w:r w:rsidRPr="00E400E4">
              <w:t>Low</w:t>
            </w:r>
          </w:p>
        </w:tc>
        <w:tc>
          <w:tcPr>
            <w:tcW w:w="500" w:type="pct"/>
            <w:tcBorders>
              <w:top w:val="nil"/>
              <w:bottom w:val="nil"/>
            </w:tcBorders>
            <w:shd w:val="clear" w:color="auto" w:fill="auto"/>
          </w:tcPr>
          <w:p w:rsidR="00555918" w:rsidRPr="00E400E4" w:rsidRDefault="00555918" w:rsidP="000B1771">
            <w:pPr>
              <w:pStyle w:val="TableText"/>
            </w:pPr>
            <w:r w:rsidRPr="00E400E4">
              <w:t>Low</w:t>
            </w:r>
          </w:p>
        </w:tc>
        <w:tc>
          <w:tcPr>
            <w:tcW w:w="400" w:type="pct"/>
            <w:tcBorders>
              <w:top w:val="nil"/>
              <w:bottom w:val="nil"/>
              <w:right w:val="nil"/>
            </w:tcBorders>
            <w:shd w:val="clear" w:color="auto" w:fill="auto"/>
          </w:tcPr>
          <w:p w:rsidR="00555918" w:rsidRPr="00E400E4" w:rsidRDefault="00555918" w:rsidP="000B1771">
            <w:pPr>
              <w:pStyle w:val="TableText"/>
            </w:pPr>
            <w:r w:rsidRPr="00E400E4">
              <w:rPr>
                <w:b/>
              </w:rPr>
              <w:t>Very Low</w:t>
            </w:r>
          </w:p>
        </w:tc>
      </w:tr>
      <w:tr w:rsidR="00555918" w:rsidRPr="00E400E4" w:rsidTr="000B1771">
        <w:tc>
          <w:tcPr>
            <w:tcW w:w="1100" w:type="pct"/>
            <w:tcBorders>
              <w:top w:val="nil"/>
              <w:left w:val="nil"/>
              <w:bottom w:val="nil"/>
            </w:tcBorders>
          </w:tcPr>
          <w:p w:rsidR="00555918" w:rsidRPr="00E400E4" w:rsidRDefault="00555918" w:rsidP="000B1771">
            <w:pPr>
              <w:pStyle w:val="TableText"/>
              <w:rPr>
                <w:i/>
              </w:rPr>
            </w:pPr>
            <w:r w:rsidRPr="00E400E4">
              <w:rPr>
                <w:i/>
              </w:rPr>
              <w:t>Hemiberlesia latastei</w:t>
            </w:r>
          </w:p>
        </w:tc>
        <w:tc>
          <w:tcPr>
            <w:tcW w:w="499" w:type="pct"/>
            <w:tcBorders>
              <w:top w:val="nil"/>
              <w:bottom w:val="nil"/>
            </w:tcBorders>
            <w:shd w:val="clear" w:color="auto" w:fill="auto"/>
          </w:tcPr>
          <w:p w:rsidR="00555918" w:rsidRPr="00E400E4" w:rsidRDefault="00555918" w:rsidP="000B1771">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Low</w:t>
            </w:r>
          </w:p>
        </w:tc>
        <w:tc>
          <w:tcPr>
            <w:tcW w:w="501" w:type="pct"/>
            <w:tcBorders>
              <w:top w:val="nil"/>
              <w:bottom w:val="nil"/>
            </w:tcBorders>
            <w:shd w:val="clear" w:color="auto" w:fill="auto"/>
          </w:tcPr>
          <w:p w:rsidR="00555918" w:rsidRPr="00E400E4" w:rsidRDefault="00555918" w:rsidP="000B1771">
            <w:pPr>
              <w:pStyle w:val="TableText"/>
              <w:rPr>
                <w:b/>
              </w:rPr>
            </w:pPr>
            <w:r w:rsidRPr="00E400E4">
              <w:rPr>
                <w:b/>
              </w:rPr>
              <w:t>Low</w:t>
            </w:r>
          </w:p>
        </w:tc>
        <w:tc>
          <w:tcPr>
            <w:tcW w:w="550" w:type="pct"/>
            <w:tcBorders>
              <w:top w:val="nil"/>
              <w:bottom w:val="nil"/>
            </w:tcBorders>
            <w:shd w:val="clear" w:color="auto" w:fill="auto"/>
          </w:tcPr>
          <w:p w:rsidR="00555918" w:rsidRPr="00E400E4" w:rsidRDefault="00555918" w:rsidP="000B1771">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Moderate</w:t>
            </w:r>
          </w:p>
        </w:tc>
        <w:tc>
          <w:tcPr>
            <w:tcW w:w="450" w:type="pct"/>
            <w:tcBorders>
              <w:top w:val="nil"/>
              <w:bottom w:val="nil"/>
            </w:tcBorders>
            <w:shd w:val="clear" w:color="auto" w:fill="auto"/>
          </w:tcPr>
          <w:p w:rsidR="00555918" w:rsidRPr="00E400E4" w:rsidRDefault="00555918" w:rsidP="000B1771">
            <w:pPr>
              <w:pStyle w:val="TableText"/>
            </w:pPr>
            <w:r w:rsidRPr="00E400E4">
              <w:t>Low</w:t>
            </w:r>
          </w:p>
        </w:tc>
        <w:tc>
          <w:tcPr>
            <w:tcW w:w="500" w:type="pct"/>
            <w:tcBorders>
              <w:top w:val="nil"/>
              <w:bottom w:val="nil"/>
            </w:tcBorders>
            <w:shd w:val="clear" w:color="auto" w:fill="auto"/>
          </w:tcPr>
          <w:p w:rsidR="00555918" w:rsidRPr="00E400E4" w:rsidRDefault="00555918" w:rsidP="000B1771">
            <w:pPr>
              <w:pStyle w:val="TableText"/>
            </w:pPr>
            <w:r w:rsidRPr="00E400E4">
              <w:t>Low</w:t>
            </w:r>
          </w:p>
        </w:tc>
        <w:tc>
          <w:tcPr>
            <w:tcW w:w="400" w:type="pct"/>
            <w:tcBorders>
              <w:top w:val="nil"/>
              <w:bottom w:val="nil"/>
              <w:right w:val="nil"/>
            </w:tcBorders>
            <w:shd w:val="clear" w:color="auto" w:fill="auto"/>
          </w:tcPr>
          <w:p w:rsidR="00555918" w:rsidRPr="00E400E4" w:rsidRDefault="00555918" w:rsidP="000B1771">
            <w:pPr>
              <w:pStyle w:val="TableText"/>
            </w:pPr>
            <w:r w:rsidRPr="00E400E4">
              <w:rPr>
                <w:b/>
              </w:rPr>
              <w:t>Very Low</w:t>
            </w:r>
          </w:p>
        </w:tc>
      </w:tr>
      <w:tr w:rsidR="00555918" w:rsidRPr="00E400E4" w:rsidTr="000B1771">
        <w:tc>
          <w:tcPr>
            <w:tcW w:w="1100" w:type="pct"/>
            <w:tcBorders>
              <w:top w:val="nil"/>
              <w:left w:val="nil"/>
              <w:bottom w:val="nil"/>
            </w:tcBorders>
          </w:tcPr>
          <w:p w:rsidR="00555918" w:rsidRPr="00E400E4" w:rsidRDefault="00555918" w:rsidP="000B1771">
            <w:pPr>
              <w:pStyle w:val="TableText"/>
              <w:rPr>
                <w:i/>
              </w:rPr>
            </w:pPr>
            <w:r w:rsidRPr="00E400E4">
              <w:rPr>
                <w:i/>
              </w:rPr>
              <w:t>Pinnaspis aspidistrae</w:t>
            </w:r>
            <w:r w:rsidRPr="00E400E4">
              <w:t xml:space="preserve"> (EP, WA)</w:t>
            </w:r>
          </w:p>
        </w:tc>
        <w:tc>
          <w:tcPr>
            <w:tcW w:w="499" w:type="pct"/>
            <w:tcBorders>
              <w:top w:val="nil"/>
              <w:bottom w:val="nil"/>
            </w:tcBorders>
            <w:shd w:val="clear" w:color="auto" w:fill="auto"/>
          </w:tcPr>
          <w:p w:rsidR="00555918" w:rsidRPr="00E400E4" w:rsidRDefault="00555918" w:rsidP="000B1771">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Low</w:t>
            </w:r>
          </w:p>
        </w:tc>
        <w:tc>
          <w:tcPr>
            <w:tcW w:w="501" w:type="pct"/>
            <w:tcBorders>
              <w:top w:val="nil"/>
              <w:bottom w:val="nil"/>
            </w:tcBorders>
            <w:shd w:val="clear" w:color="auto" w:fill="auto"/>
          </w:tcPr>
          <w:p w:rsidR="00555918" w:rsidRPr="00E400E4" w:rsidRDefault="00555918" w:rsidP="000B1771">
            <w:pPr>
              <w:pStyle w:val="TableText"/>
              <w:rPr>
                <w:b/>
              </w:rPr>
            </w:pPr>
            <w:r w:rsidRPr="00E400E4">
              <w:rPr>
                <w:b/>
              </w:rPr>
              <w:t>Low</w:t>
            </w:r>
          </w:p>
        </w:tc>
        <w:tc>
          <w:tcPr>
            <w:tcW w:w="550" w:type="pct"/>
            <w:tcBorders>
              <w:top w:val="nil"/>
              <w:bottom w:val="nil"/>
            </w:tcBorders>
            <w:shd w:val="clear" w:color="auto" w:fill="auto"/>
          </w:tcPr>
          <w:p w:rsidR="00555918" w:rsidRPr="00E400E4" w:rsidRDefault="00555918" w:rsidP="000B1771">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Moderate</w:t>
            </w:r>
          </w:p>
        </w:tc>
        <w:tc>
          <w:tcPr>
            <w:tcW w:w="450" w:type="pct"/>
            <w:tcBorders>
              <w:top w:val="nil"/>
              <w:bottom w:val="nil"/>
            </w:tcBorders>
            <w:shd w:val="clear" w:color="auto" w:fill="auto"/>
          </w:tcPr>
          <w:p w:rsidR="00555918" w:rsidRPr="00E400E4" w:rsidRDefault="00555918" w:rsidP="000B1771">
            <w:pPr>
              <w:pStyle w:val="TableText"/>
            </w:pPr>
            <w:r w:rsidRPr="00E400E4">
              <w:t>Low</w:t>
            </w:r>
          </w:p>
        </w:tc>
        <w:tc>
          <w:tcPr>
            <w:tcW w:w="500" w:type="pct"/>
            <w:tcBorders>
              <w:top w:val="nil"/>
              <w:bottom w:val="nil"/>
            </w:tcBorders>
            <w:shd w:val="clear" w:color="auto" w:fill="auto"/>
          </w:tcPr>
          <w:p w:rsidR="00555918" w:rsidRPr="00E400E4" w:rsidRDefault="00555918" w:rsidP="000B1771">
            <w:pPr>
              <w:pStyle w:val="TableText"/>
            </w:pPr>
            <w:r w:rsidRPr="00E400E4">
              <w:t>Low</w:t>
            </w:r>
          </w:p>
        </w:tc>
        <w:tc>
          <w:tcPr>
            <w:tcW w:w="400" w:type="pct"/>
            <w:tcBorders>
              <w:top w:val="nil"/>
              <w:bottom w:val="nil"/>
              <w:right w:val="nil"/>
            </w:tcBorders>
            <w:shd w:val="clear" w:color="auto" w:fill="auto"/>
          </w:tcPr>
          <w:p w:rsidR="00555918" w:rsidRPr="00E400E4" w:rsidRDefault="00555918" w:rsidP="000B1771">
            <w:pPr>
              <w:pStyle w:val="TableText"/>
            </w:pPr>
            <w:r w:rsidRPr="00E400E4">
              <w:rPr>
                <w:b/>
              </w:rPr>
              <w:t>Very Low</w:t>
            </w:r>
          </w:p>
        </w:tc>
      </w:tr>
      <w:tr w:rsidR="00555918" w:rsidRPr="00E400E4" w:rsidTr="000B1771">
        <w:tc>
          <w:tcPr>
            <w:tcW w:w="1100" w:type="pct"/>
            <w:tcBorders>
              <w:top w:val="nil"/>
              <w:left w:val="nil"/>
              <w:bottom w:val="single" w:sz="4" w:space="0" w:color="BFBFBF" w:themeColor="background1" w:themeShade="BF"/>
            </w:tcBorders>
          </w:tcPr>
          <w:p w:rsidR="00555918" w:rsidRPr="00E400E4" w:rsidRDefault="00555918" w:rsidP="000B1771">
            <w:pPr>
              <w:pStyle w:val="TableText"/>
              <w:rPr>
                <w:i/>
              </w:rPr>
            </w:pPr>
            <w:r w:rsidRPr="00E400E4">
              <w:rPr>
                <w:i/>
              </w:rPr>
              <w:t>Unaspis citri</w:t>
            </w:r>
            <w:r w:rsidRPr="00E400E4">
              <w:t xml:space="preserve"> (EP, WA)</w:t>
            </w:r>
          </w:p>
        </w:tc>
        <w:tc>
          <w:tcPr>
            <w:tcW w:w="499" w:type="pct"/>
            <w:tcBorders>
              <w:top w:val="nil"/>
              <w:bottom w:val="single" w:sz="4" w:space="0" w:color="BFBFBF" w:themeColor="background1" w:themeShade="BF"/>
            </w:tcBorders>
            <w:shd w:val="clear" w:color="auto" w:fill="auto"/>
          </w:tcPr>
          <w:p w:rsidR="00555918" w:rsidRPr="00E400E4" w:rsidRDefault="00555918" w:rsidP="000B1771">
            <w:pPr>
              <w:pStyle w:val="TableText"/>
            </w:pPr>
            <w:r w:rsidRPr="00E400E4">
              <w:t>High</w:t>
            </w:r>
          </w:p>
        </w:tc>
        <w:tc>
          <w:tcPr>
            <w:tcW w:w="500" w:type="pct"/>
            <w:tcBorders>
              <w:top w:val="nil"/>
              <w:bottom w:val="single" w:sz="4" w:space="0" w:color="BFBFBF" w:themeColor="background1" w:themeShade="BF"/>
            </w:tcBorders>
            <w:shd w:val="clear" w:color="auto" w:fill="auto"/>
          </w:tcPr>
          <w:p w:rsidR="00555918" w:rsidRPr="00E400E4" w:rsidRDefault="00555918" w:rsidP="000B1771">
            <w:pPr>
              <w:pStyle w:val="TableText"/>
            </w:pPr>
            <w:r w:rsidRPr="00E400E4">
              <w:t>Low</w:t>
            </w:r>
          </w:p>
        </w:tc>
        <w:tc>
          <w:tcPr>
            <w:tcW w:w="501" w:type="pct"/>
            <w:tcBorders>
              <w:top w:val="nil"/>
              <w:bottom w:val="single" w:sz="4" w:space="0" w:color="BFBFBF" w:themeColor="background1" w:themeShade="BF"/>
            </w:tcBorders>
            <w:shd w:val="clear" w:color="auto" w:fill="auto"/>
          </w:tcPr>
          <w:p w:rsidR="00555918" w:rsidRPr="00E400E4" w:rsidRDefault="00555918" w:rsidP="000B1771">
            <w:pPr>
              <w:pStyle w:val="TableText"/>
              <w:rPr>
                <w:b/>
              </w:rPr>
            </w:pPr>
            <w:r w:rsidRPr="00E400E4">
              <w:rPr>
                <w:b/>
              </w:rPr>
              <w:t>Low</w:t>
            </w:r>
          </w:p>
        </w:tc>
        <w:tc>
          <w:tcPr>
            <w:tcW w:w="550" w:type="pct"/>
            <w:tcBorders>
              <w:top w:val="nil"/>
              <w:bottom w:val="single" w:sz="4" w:space="0" w:color="BFBFBF" w:themeColor="background1" w:themeShade="BF"/>
            </w:tcBorders>
            <w:shd w:val="clear" w:color="auto" w:fill="auto"/>
          </w:tcPr>
          <w:p w:rsidR="00555918" w:rsidRPr="00E400E4" w:rsidRDefault="00555918" w:rsidP="000B1771">
            <w:pPr>
              <w:pStyle w:val="TableText"/>
            </w:pPr>
            <w:r w:rsidRPr="00E400E4">
              <w:t>High</w:t>
            </w:r>
          </w:p>
        </w:tc>
        <w:tc>
          <w:tcPr>
            <w:tcW w:w="500" w:type="pct"/>
            <w:tcBorders>
              <w:top w:val="nil"/>
              <w:bottom w:val="single" w:sz="4" w:space="0" w:color="BFBFBF" w:themeColor="background1" w:themeShade="BF"/>
            </w:tcBorders>
            <w:shd w:val="clear" w:color="auto" w:fill="auto"/>
          </w:tcPr>
          <w:p w:rsidR="00555918" w:rsidRPr="00E400E4" w:rsidRDefault="00555918" w:rsidP="000B1771">
            <w:pPr>
              <w:pStyle w:val="TableText"/>
            </w:pPr>
            <w:r w:rsidRPr="00E400E4">
              <w:t>Moderate</w:t>
            </w:r>
          </w:p>
        </w:tc>
        <w:tc>
          <w:tcPr>
            <w:tcW w:w="450" w:type="pct"/>
            <w:tcBorders>
              <w:top w:val="nil"/>
              <w:bottom w:val="single" w:sz="4" w:space="0" w:color="BFBFBF" w:themeColor="background1" w:themeShade="BF"/>
            </w:tcBorders>
            <w:shd w:val="clear" w:color="auto" w:fill="auto"/>
          </w:tcPr>
          <w:p w:rsidR="00555918" w:rsidRPr="00E400E4" w:rsidRDefault="00555918" w:rsidP="000B1771">
            <w:pPr>
              <w:pStyle w:val="TableText"/>
            </w:pPr>
            <w:r w:rsidRPr="00E400E4">
              <w:t>Low</w:t>
            </w:r>
          </w:p>
        </w:tc>
        <w:tc>
          <w:tcPr>
            <w:tcW w:w="500" w:type="pct"/>
            <w:tcBorders>
              <w:top w:val="nil"/>
              <w:bottom w:val="single" w:sz="4" w:space="0" w:color="BFBFBF" w:themeColor="background1" w:themeShade="BF"/>
            </w:tcBorders>
            <w:shd w:val="clear" w:color="auto" w:fill="auto"/>
          </w:tcPr>
          <w:p w:rsidR="00555918" w:rsidRPr="00E400E4" w:rsidRDefault="00555918" w:rsidP="000B1771">
            <w:pPr>
              <w:pStyle w:val="TableText"/>
            </w:pPr>
            <w:r w:rsidRPr="00E400E4">
              <w:t>Low</w:t>
            </w:r>
          </w:p>
        </w:tc>
        <w:tc>
          <w:tcPr>
            <w:tcW w:w="400" w:type="pct"/>
            <w:tcBorders>
              <w:top w:val="nil"/>
              <w:bottom w:val="single" w:sz="4" w:space="0" w:color="BFBFBF" w:themeColor="background1" w:themeShade="BF"/>
              <w:right w:val="nil"/>
            </w:tcBorders>
            <w:shd w:val="clear" w:color="auto" w:fill="auto"/>
          </w:tcPr>
          <w:p w:rsidR="00555918" w:rsidRPr="00E400E4" w:rsidRDefault="00555918" w:rsidP="000B1771">
            <w:pPr>
              <w:pStyle w:val="TableText"/>
            </w:pPr>
            <w:r w:rsidRPr="00E400E4">
              <w:rPr>
                <w:b/>
              </w:rPr>
              <w:t>Very Low</w:t>
            </w:r>
          </w:p>
        </w:tc>
      </w:tr>
      <w:tr w:rsidR="00555918" w:rsidRPr="00E400E4" w:rsidTr="000B1771">
        <w:tc>
          <w:tcPr>
            <w:tcW w:w="5000" w:type="pct"/>
            <w:gridSpan w:val="9"/>
            <w:tcBorders>
              <w:top w:val="single" w:sz="4" w:space="0" w:color="BFBFBF" w:themeColor="background1" w:themeShade="BF"/>
              <w:left w:val="nil"/>
              <w:bottom w:val="nil"/>
              <w:right w:val="nil"/>
            </w:tcBorders>
            <w:shd w:val="clear" w:color="auto" w:fill="auto"/>
          </w:tcPr>
          <w:p w:rsidR="00555918" w:rsidRPr="00E400E4" w:rsidRDefault="00555918">
            <w:pPr>
              <w:pStyle w:val="TableText"/>
              <w:rPr>
                <w:b/>
              </w:rPr>
            </w:pPr>
            <w:r w:rsidRPr="00E400E4">
              <w:rPr>
                <w:b/>
              </w:rPr>
              <w:t>Mealybugs [Hemiptera: Pseudococcidae]</w:t>
            </w:r>
          </w:p>
        </w:tc>
      </w:tr>
      <w:tr w:rsidR="00555918" w:rsidRPr="00E400E4" w:rsidTr="000B1771">
        <w:tc>
          <w:tcPr>
            <w:tcW w:w="1100" w:type="pct"/>
            <w:tcBorders>
              <w:top w:val="nil"/>
              <w:left w:val="nil"/>
            </w:tcBorders>
          </w:tcPr>
          <w:p w:rsidR="00555918" w:rsidRPr="00E400E4" w:rsidRDefault="00555918" w:rsidP="000B1771">
            <w:pPr>
              <w:pStyle w:val="TableText"/>
              <w:rPr>
                <w:lang w:eastAsia="en-AU"/>
              </w:rPr>
            </w:pPr>
            <w:r w:rsidRPr="00E400E4">
              <w:rPr>
                <w:i/>
              </w:rPr>
              <w:t>Pseudococcus maritimus</w:t>
            </w:r>
            <w:r w:rsidRPr="00E400E4">
              <w:t xml:space="preserve"> (EP)</w:t>
            </w:r>
          </w:p>
        </w:tc>
        <w:tc>
          <w:tcPr>
            <w:tcW w:w="499" w:type="pct"/>
            <w:tcBorders>
              <w:top w:val="nil"/>
              <w:bottom w:val="nil"/>
            </w:tcBorders>
            <w:shd w:val="clear" w:color="auto" w:fill="auto"/>
          </w:tcPr>
          <w:p w:rsidR="00555918" w:rsidRPr="00E400E4" w:rsidRDefault="00555918">
            <w:pPr>
              <w:pStyle w:val="TableText"/>
            </w:pPr>
            <w:r w:rsidRPr="00E400E4">
              <w:t>High</w:t>
            </w:r>
          </w:p>
        </w:tc>
        <w:tc>
          <w:tcPr>
            <w:tcW w:w="500" w:type="pct"/>
            <w:tcBorders>
              <w:top w:val="nil"/>
              <w:bottom w:val="nil"/>
            </w:tcBorders>
            <w:shd w:val="clear" w:color="auto" w:fill="auto"/>
          </w:tcPr>
          <w:p w:rsidR="00555918" w:rsidRPr="00E400E4" w:rsidRDefault="00555918">
            <w:pPr>
              <w:pStyle w:val="TableText"/>
            </w:pPr>
            <w:r w:rsidRPr="00E400E4">
              <w:t>Moderate</w:t>
            </w:r>
          </w:p>
        </w:tc>
        <w:tc>
          <w:tcPr>
            <w:tcW w:w="501" w:type="pct"/>
            <w:tcBorders>
              <w:top w:val="nil"/>
              <w:bottom w:val="nil"/>
            </w:tcBorders>
            <w:shd w:val="clear" w:color="auto" w:fill="auto"/>
          </w:tcPr>
          <w:p w:rsidR="00555918" w:rsidRPr="00E400E4" w:rsidRDefault="00555918">
            <w:pPr>
              <w:pStyle w:val="TableText"/>
              <w:rPr>
                <w:b/>
              </w:rPr>
            </w:pPr>
            <w:r w:rsidRPr="00E400E4">
              <w:rPr>
                <w:b/>
              </w:rPr>
              <w:t>Moderate</w:t>
            </w:r>
          </w:p>
        </w:tc>
        <w:tc>
          <w:tcPr>
            <w:tcW w:w="550" w:type="pct"/>
            <w:tcBorders>
              <w:top w:val="nil"/>
              <w:bottom w:val="nil"/>
            </w:tcBorders>
            <w:shd w:val="clear" w:color="auto" w:fill="auto"/>
          </w:tcPr>
          <w:p w:rsidR="00555918" w:rsidRPr="00E400E4" w:rsidRDefault="00555918">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High</w:t>
            </w:r>
          </w:p>
        </w:tc>
        <w:tc>
          <w:tcPr>
            <w:tcW w:w="450" w:type="pct"/>
            <w:tcBorders>
              <w:top w:val="nil"/>
              <w:bottom w:val="nil"/>
            </w:tcBorders>
            <w:shd w:val="clear" w:color="auto" w:fill="auto"/>
          </w:tcPr>
          <w:p w:rsidR="00555918" w:rsidRPr="00E400E4" w:rsidRDefault="00555918">
            <w:pPr>
              <w:pStyle w:val="TableText"/>
            </w:pPr>
            <w:r w:rsidRPr="00E400E4">
              <w:t>Moderate</w:t>
            </w:r>
          </w:p>
        </w:tc>
        <w:tc>
          <w:tcPr>
            <w:tcW w:w="500" w:type="pct"/>
            <w:tcBorders>
              <w:top w:val="nil"/>
              <w:bottom w:val="nil"/>
            </w:tcBorders>
            <w:shd w:val="clear" w:color="auto" w:fill="auto"/>
            <w:vAlign w:val="center"/>
          </w:tcPr>
          <w:p w:rsidR="00555918" w:rsidRPr="00E400E4" w:rsidRDefault="00555918">
            <w:pPr>
              <w:pStyle w:val="TableText"/>
            </w:pPr>
            <w:r w:rsidRPr="00E400E4">
              <w:t>Low</w:t>
            </w:r>
          </w:p>
        </w:tc>
        <w:tc>
          <w:tcPr>
            <w:tcW w:w="400" w:type="pct"/>
            <w:tcBorders>
              <w:top w:val="nil"/>
              <w:bottom w:val="nil"/>
              <w:right w:val="nil"/>
            </w:tcBorders>
            <w:shd w:val="clear" w:color="auto" w:fill="auto"/>
            <w:vAlign w:val="center"/>
          </w:tcPr>
          <w:p w:rsidR="00555918" w:rsidRPr="00E400E4" w:rsidRDefault="00555918">
            <w:pPr>
              <w:pStyle w:val="TableText"/>
              <w:rPr>
                <w:b/>
              </w:rPr>
            </w:pPr>
            <w:r w:rsidRPr="00E400E4">
              <w:rPr>
                <w:b/>
              </w:rPr>
              <w:t>Low</w:t>
            </w:r>
          </w:p>
        </w:tc>
      </w:tr>
      <w:tr w:rsidR="00555918" w:rsidRPr="00E400E4" w:rsidTr="000B1771">
        <w:tc>
          <w:tcPr>
            <w:tcW w:w="5000" w:type="pct"/>
            <w:gridSpan w:val="9"/>
            <w:tcBorders>
              <w:top w:val="single" w:sz="4" w:space="0" w:color="BFBFBF" w:themeColor="background1" w:themeShade="BF"/>
              <w:left w:val="nil"/>
              <w:bottom w:val="nil"/>
              <w:right w:val="nil"/>
            </w:tcBorders>
            <w:shd w:val="clear" w:color="auto" w:fill="auto"/>
          </w:tcPr>
          <w:p w:rsidR="00555918" w:rsidRPr="00E400E4" w:rsidRDefault="00555918">
            <w:pPr>
              <w:pStyle w:val="TableText"/>
              <w:rPr>
                <w:b/>
              </w:rPr>
            </w:pPr>
            <w:r w:rsidRPr="00E400E4">
              <w:rPr>
                <w:b/>
              </w:rPr>
              <w:t>Thrips [Thysanoptera: Thripidae]</w:t>
            </w:r>
          </w:p>
        </w:tc>
      </w:tr>
      <w:tr w:rsidR="00555918" w:rsidRPr="00E400E4" w:rsidTr="000B1771">
        <w:tc>
          <w:tcPr>
            <w:tcW w:w="1100" w:type="pct"/>
            <w:tcBorders>
              <w:top w:val="nil"/>
              <w:left w:val="nil"/>
              <w:bottom w:val="nil"/>
            </w:tcBorders>
          </w:tcPr>
          <w:p w:rsidR="00555918" w:rsidRPr="00E400E4" w:rsidRDefault="00555918" w:rsidP="000B1771">
            <w:pPr>
              <w:pStyle w:val="TableText"/>
            </w:pPr>
            <w:r w:rsidRPr="00E400E4">
              <w:rPr>
                <w:i/>
              </w:rPr>
              <w:t>Frankliniella australis</w:t>
            </w:r>
            <w:r w:rsidRPr="00E400E4">
              <w:t xml:space="preserve"> (GP)</w:t>
            </w:r>
          </w:p>
        </w:tc>
        <w:tc>
          <w:tcPr>
            <w:tcW w:w="499" w:type="pct"/>
            <w:tcBorders>
              <w:top w:val="nil"/>
              <w:bottom w:val="nil"/>
            </w:tcBorders>
            <w:shd w:val="clear" w:color="auto" w:fill="auto"/>
          </w:tcPr>
          <w:p w:rsidR="00555918" w:rsidRPr="00E400E4" w:rsidRDefault="00555918">
            <w:pPr>
              <w:pStyle w:val="TableText"/>
            </w:pPr>
            <w:r w:rsidRPr="00E400E4">
              <w:t>High</w:t>
            </w:r>
          </w:p>
        </w:tc>
        <w:tc>
          <w:tcPr>
            <w:tcW w:w="500" w:type="pct"/>
            <w:tcBorders>
              <w:top w:val="nil"/>
              <w:bottom w:val="nil"/>
            </w:tcBorders>
            <w:shd w:val="clear" w:color="auto" w:fill="auto"/>
          </w:tcPr>
          <w:p w:rsidR="00555918" w:rsidRPr="00E400E4" w:rsidRDefault="00555918">
            <w:pPr>
              <w:pStyle w:val="TableText"/>
            </w:pPr>
            <w:r w:rsidRPr="00E400E4">
              <w:t>Moderate</w:t>
            </w:r>
          </w:p>
        </w:tc>
        <w:tc>
          <w:tcPr>
            <w:tcW w:w="501" w:type="pct"/>
            <w:tcBorders>
              <w:top w:val="nil"/>
              <w:bottom w:val="nil"/>
            </w:tcBorders>
            <w:shd w:val="clear" w:color="auto" w:fill="auto"/>
          </w:tcPr>
          <w:p w:rsidR="00555918" w:rsidRPr="00E400E4" w:rsidRDefault="00555918">
            <w:pPr>
              <w:pStyle w:val="TableText"/>
              <w:rPr>
                <w:b/>
              </w:rPr>
            </w:pPr>
            <w:r w:rsidRPr="00E400E4">
              <w:rPr>
                <w:b/>
              </w:rPr>
              <w:t>Moderate</w:t>
            </w:r>
          </w:p>
        </w:tc>
        <w:tc>
          <w:tcPr>
            <w:tcW w:w="550" w:type="pct"/>
            <w:tcBorders>
              <w:top w:val="nil"/>
              <w:bottom w:val="nil"/>
            </w:tcBorders>
            <w:shd w:val="clear" w:color="auto" w:fill="auto"/>
          </w:tcPr>
          <w:p w:rsidR="00555918" w:rsidRPr="00E400E4" w:rsidRDefault="00555918">
            <w:pPr>
              <w:pStyle w:val="TableText"/>
            </w:pPr>
            <w:r w:rsidRPr="00E400E4">
              <w:t>High</w:t>
            </w:r>
          </w:p>
        </w:tc>
        <w:tc>
          <w:tcPr>
            <w:tcW w:w="500" w:type="pct"/>
            <w:tcBorders>
              <w:top w:val="nil"/>
              <w:bottom w:val="nil"/>
            </w:tcBorders>
            <w:shd w:val="clear" w:color="auto" w:fill="auto"/>
          </w:tcPr>
          <w:p w:rsidR="00555918" w:rsidRPr="00E400E4" w:rsidRDefault="00555918">
            <w:pPr>
              <w:pStyle w:val="TableText"/>
            </w:pPr>
            <w:r w:rsidRPr="00E400E4">
              <w:t>High</w:t>
            </w:r>
          </w:p>
        </w:tc>
        <w:tc>
          <w:tcPr>
            <w:tcW w:w="450" w:type="pct"/>
            <w:tcBorders>
              <w:top w:val="nil"/>
              <w:bottom w:val="nil"/>
            </w:tcBorders>
            <w:shd w:val="clear" w:color="auto" w:fill="auto"/>
          </w:tcPr>
          <w:p w:rsidR="00555918" w:rsidRPr="00E400E4" w:rsidRDefault="00555918">
            <w:pPr>
              <w:pStyle w:val="TableText"/>
            </w:pPr>
            <w:r w:rsidRPr="00E400E4">
              <w:t>Moderate</w:t>
            </w:r>
          </w:p>
        </w:tc>
        <w:tc>
          <w:tcPr>
            <w:tcW w:w="500" w:type="pct"/>
            <w:tcBorders>
              <w:top w:val="nil"/>
              <w:bottom w:val="nil"/>
            </w:tcBorders>
            <w:shd w:val="clear" w:color="auto" w:fill="auto"/>
          </w:tcPr>
          <w:p w:rsidR="00555918" w:rsidRPr="00E400E4" w:rsidRDefault="00555918">
            <w:pPr>
              <w:pStyle w:val="TableText"/>
            </w:pPr>
            <w:r w:rsidRPr="00E400E4">
              <w:t>Low</w:t>
            </w:r>
          </w:p>
        </w:tc>
        <w:tc>
          <w:tcPr>
            <w:tcW w:w="400" w:type="pct"/>
            <w:tcBorders>
              <w:top w:val="nil"/>
              <w:bottom w:val="nil"/>
              <w:right w:val="nil"/>
            </w:tcBorders>
            <w:shd w:val="clear" w:color="auto" w:fill="auto"/>
          </w:tcPr>
          <w:p w:rsidR="00555918" w:rsidRPr="00E400E4" w:rsidRDefault="00555918">
            <w:pPr>
              <w:pStyle w:val="TableText"/>
              <w:rPr>
                <w:b/>
              </w:rPr>
            </w:pPr>
            <w:r w:rsidRPr="00E400E4">
              <w:rPr>
                <w:b/>
              </w:rPr>
              <w:t>Low</w:t>
            </w:r>
          </w:p>
        </w:tc>
      </w:tr>
      <w:tr w:rsidR="00555918" w:rsidRPr="00E400E4" w:rsidTr="000B1771">
        <w:tc>
          <w:tcPr>
            <w:tcW w:w="1100" w:type="pct"/>
            <w:tcBorders>
              <w:top w:val="nil"/>
              <w:left w:val="nil"/>
              <w:bottom w:val="nil"/>
            </w:tcBorders>
          </w:tcPr>
          <w:p w:rsidR="00555918" w:rsidRPr="00E400E4" w:rsidRDefault="00555918" w:rsidP="000B1771">
            <w:pPr>
              <w:pStyle w:val="TableText"/>
            </w:pPr>
            <w:r w:rsidRPr="00E400E4">
              <w:rPr>
                <w:i/>
              </w:rPr>
              <w:t xml:space="preserve">Frankliniella gemina </w:t>
            </w:r>
            <w:r w:rsidRPr="00E400E4">
              <w:t>(GP)</w:t>
            </w:r>
          </w:p>
        </w:tc>
        <w:tc>
          <w:tcPr>
            <w:tcW w:w="499" w:type="pct"/>
            <w:tcBorders>
              <w:top w:val="nil"/>
              <w:bottom w:val="nil"/>
            </w:tcBorders>
            <w:shd w:val="clear" w:color="auto" w:fill="auto"/>
          </w:tcPr>
          <w:p w:rsidR="00555918" w:rsidRPr="00E400E4" w:rsidRDefault="00555918" w:rsidP="000B1771">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Moderate</w:t>
            </w:r>
          </w:p>
        </w:tc>
        <w:tc>
          <w:tcPr>
            <w:tcW w:w="501" w:type="pct"/>
            <w:tcBorders>
              <w:top w:val="nil"/>
              <w:bottom w:val="nil"/>
            </w:tcBorders>
            <w:shd w:val="clear" w:color="auto" w:fill="auto"/>
          </w:tcPr>
          <w:p w:rsidR="00555918" w:rsidRPr="00E400E4" w:rsidRDefault="00555918" w:rsidP="000B1771">
            <w:pPr>
              <w:pStyle w:val="TableText"/>
            </w:pPr>
            <w:r w:rsidRPr="00E400E4">
              <w:rPr>
                <w:b/>
              </w:rPr>
              <w:t>Moderate</w:t>
            </w:r>
          </w:p>
        </w:tc>
        <w:tc>
          <w:tcPr>
            <w:tcW w:w="550" w:type="pct"/>
            <w:tcBorders>
              <w:top w:val="nil"/>
              <w:bottom w:val="nil"/>
            </w:tcBorders>
            <w:shd w:val="clear" w:color="auto" w:fill="auto"/>
          </w:tcPr>
          <w:p w:rsidR="00555918" w:rsidRPr="00E400E4" w:rsidRDefault="00555918" w:rsidP="000B1771">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High</w:t>
            </w:r>
          </w:p>
        </w:tc>
        <w:tc>
          <w:tcPr>
            <w:tcW w:w="450" w:type="pct"/>
            <w:tcBorders>
              <w:top w:val="nil"/>
              <w:bottom w:val="nil"/>
            </w:tcBorders>
            <w:shd w:val="clear" w:color="auto" w:fill="auto"/>
          </w:tcPr>
          <w:p w:rsidR="00555918" w:rsidRPr="00E400E4" w:rsidRDefault="00555918" w:rsidP="000B1771">
            <w:pPr>
              <w:pStyle w:val="TableText"/>
            </w:pPr>
            <w:r w:rsidRPr="00E400E4">
              <w:t>Moderate</w:t>
            </w:r>
          </w:p>
        </w:tc>
        <w:tc>
          <w:tcPr>
            <w:tcW w:w="500" w:type="pct"/>
            <w:tcBorders>
              <w:top w:val="nil"/>
              <w:bottom w:val="nil"/>
            </w:tcBorders>
            <w:shd w:val="clear" w:color="auto" w:fill="auto"/>
          </w:tcPr>
          <w:p w:rsidR="00555918" w:rsidRPr="00E400E4" w:rsidRDefault="00555918" w:rsidP="000B1771">
            <w:pPr>
              <w:pStyle w:val="TableText"/>
            </w:pPr>
            <w:r w:rsidRPr="00E400E4">
              <w:t>Low</w:t>
            </w:r>
          </w:p>
        </w:tc>
        <w:tc>
          <w:tcPr>
            <w:tcW w:w="400" w:type="pct"/>
            <w:tcBorders>
              <w:top w:val="nil"/>
              <w:bottom w:val="nil"/>
              <w:right w:val="nil"/>
            </w:tcBorders>
            <w:shd w:val="clear" w:color="auto" w:fill="auto"/>
          </w:tcPr>
          <w:p w:rsidR="00555918" w:rsidRPr="00E400E4" w:rsidRDefault="00555918" w:rsidP="000B1771">
            <w:pPr>
              <w:pStyle w:val="TableText"/>
            </w:pPr>
            <w:r w:rsidRPr="00E400E4">
              <w:rPr>
                <w:b/>
              </w:rPr>
              <w:t>Low</w:t>
            </w:r>
          </w:p>
        </w:tc>
      </w:tr>
      <w:tr w:rsidR="00555918" w:rsidRPr="00E400E4" w:rsidTr="000B1771">
        <w:tc>
          <w:tcPr>
            <w:tcW w:w="1100" w:type="pct"/>
            <w:tcBorders>
              <w:top w:val="nil"/>
              <w:left w:val="nil"/>
              <w:bottom w:val="single" w:sz="4" w:space="0" w:color="BFBFBF" w:themeColor="background1" w:themeShade="BF"/>
            </w:tcBorders>
          </w:tcPr>
          <w:p w:rsidR="00555918" w:rsidRPr="00E400E4" w:rsidRDefault="00555918" w:rsidP="000B1771">
            <w:pPr>
              <w:pStyle w:val="TableText"/>
              <w:rPr>
                <w:i/>
              </w:rPr>
            </w:pPr>
            <w:r w:rsidRPr="00E400E4">
              <w:rPr>
                <w:i/>
              </w:rPr>
              <w:t>Frankliniella occidentalis</w:t>
            </w:r>
            <w:r w:rsidRPr="00E400E4">
              <w:t xml:space="preserve"> (GP, NT, RA)</w:t>
            </w:r>
          </w:p>
        </w:tc>
        <w:tc>
          <w:tcPr>
            <w:tcW w:w="499" w:type="pct"/>
            <w:tcBorders>
              <w:top w:val="nil"/>
              <w:bottom w:val="single" w:sz="4" w:space="0" w:color="BFBFBF" w:themeColor="background1" w:themeShade="BF"/>
            </w:tcBorders>
            <w:shd w:val="clear" w:color="auto" w:fill="auto"/>
          </w:tcPr>
          <w:p w:rsidR="00555918" w:rsidRPr="00E400E4" w:rsidRDefault="00555918" w:rsidP="000B1771">
            <w:pPr>
              <w:pStyle w:val="TableText"/>
            </w:pPr>
            <w:r w:rsidRPr="00E400E4">
              <w:t>High</w:t>
            </w:r>
          </w:p>
        </w:tc>
        <w:tc>
          <w:tcPr>
            <w:tcW w:w="500" w:type="pct"/>
            <w:tcBorders>
              <w:top w:val="nil"/>
              <w:bottom w:val="single" w:sz="4" w:space="0" w:color="BFBFBF" w:themeColor="background1" w:themeShade="BF"/>
            </w:tcBorders>
            <w:shd w:val="clear" w:color="auto" w:fill="auto"/>
          </w:tcPr>
          <w:p w:rsidR="00555918" w:rsidRPr="00E400E4" w:rsidRDefault="00555918" w:rsidP="000B1771">
            <w:pPr>
              <w:pStyle w:val="TableText"/>
            </w:pPr>
            <w:r w:rsidRPr="00E400E4">
              <w:t>Moderate</w:t>
            </w:r>
          </w:p>
        </w:tc>
        <w:tc>
          <w:tcPr>
            <w:tcW w:w="501" w:type="pct"/>
            <w:tcBorders>
              <w:top w:val="nil"/>
              <w:bottom w:val="single" w:sz="4" w:space="0" w:color="BFBFBF" w:themeColor="background1" w:themeShade="BF"/>
            </w:tcBorders>
            <w:shd w:val="clear" w:color="auto" w:fill="auto"/>
          </w:tcPr>
          <w:p w:rsidR="00555918" w:rsidRPr="00E400E4" w:rsidRDefault="00555918" w:rsidP="000B1771">
            <w:pPr>
              <w:pStyle w:val="TableText"/>
            </w:pPr>
            <w:r w:rsidRPr="00E400E4">
              <w:rPr>
                <w:b/>
              </w:rPr>
              <w:t>Moderate</w:t>
            </w:r>
          </w:p>
        </w:tc>
        <w:tc>
          <w:tcPr>
            <w:tcW w:w="550" w:type="pct"/>
            <w:tcBorders>
              <w:top w:val="nil"/>
              <w:bottom w:val="single" w:sz="4" w:space="0" w:color="BFBFBF" w:themeColor="background1" w:themeShade="BF"/>
            </w:tcBorders>
            <w:shd w:val="clear" w:color="auto" w:fill="auto"/>
          </w:tcPr>
          <w:p w:rsidR="00555918" w:rsidRPr="00E400E4" w:rsidRDefault="00555918" w:rsidP="000B1771">
            <w:pPr>
              <w:pStyle w:val="TableText"/>
            </w:pPr>
            <w:r w:rsidRPr="00E400E4">
              <w:t>High</w:t>
            </w:r>
          </w:p>
        </w:tc>
        <w:tc>
          <w:tcPr>
            <w:tcW w:w="500" w:type="pct"/>
            <w:tcBorders>
              <w:top w:val="nil"/>
              <w:bottom w:val="single" w:sz="4" w:space="0" w:color="BFBFBF" w:themeColor="background1" w:themeShade="BF"/>
            </w:tcBorders>
            <w:shd w:val="clear" w:color="auto" w:fill="auto"/>
          </w:tcPr>
          <w:p w:rsidR="00555918" w:rsidRPr="00E400E4" w:rsidRDefault="00555918" w:rsidP="000B1771">
            <w:pPr>
              <w:pStyle w:val="TableText"/>
            </w:pPr>
            <w:r w:rsidRPr="00E400E4">
              <w:t>High</w:t>
            </w:r>
          </w:p>
        </w:tc>
        <w:tc>
          <w:tcPr>
            <w:tcW w:w="450" w:type="pct"/>
            <w:tcBorders>
              <w:top w:val="nil"/>
              <w:bottom w:val="single" w:sz="4" w:space="0" w:color="BFBFBF" w:themeColor="background1" w:themeShade="BF"/>
            </w:tcBorders>
            <w:shd w:val="clear" w:color="auto" w:fill="auto"/>
          </w:tcPr>
          <w:p w:rsidR="00555918" w:rsidRPr="00E400E4" w:rsidRDefault="00555918" w:rsidP="000B1771">
            <w:pPr>
              <w:pStyle w:val="TableText"/>
            </w:pPr>
            <w:r w:rsidRPr="00E400E4">
              <w:t>Moderate</w:t>
            </w:r>
          </w:p>
        </w:tc>
        <w:tc>
          <w:tcPr>
            <w:tcW w:w="500" w:type="pct"/>
            <w:tcBorders>
              <w:top w:val="nil"/>
              <w:bottom w:val="single" w:sz="4" w:space="0" w:color="BFBFBF" w:themeColor="background1" w:themeShade="BF"/>
            </w:tcBorders>
            <w:shd w:val="clear" w:color="auto" w:fill="auto"/>
          </w:tcPr>
          <w:p w:rsidR="00555918" w:rsidRPr="00E400E4" w:rsidRDefault="00555918" w:rsidP="000B1771">
            <w:pPr>
              <w:pStyle w:val="TableText"/>
            </w:pPr>
            <w:r w:rsidRPr="00E400E4">
              <w:t>Low</w:t>
            </w:r>
          </w:p>
        </w:tc>
        <w:tc>
          <w:tcPr>
            <w:tcW w:w="400" w:type="pct"/>
            <w:tcBorders>
              <w:top w:val="nil"/>
              <w:bottom w:val="single" w:sz="4" w:space="0" w:color="BFBFBF" w:themeColor="background1" w:themeShade="BF"/>
              <w:right w:val="nil"/>
            </w:tcBorders>
            <w:shd w:val="clear" w:color="auto" w:fill="auto"/>
          </w:tcPr>
          <w:p w:rsidR="00555918" w:rsidRPr="00E400E4" w:rsidRDefault="00555918" w:rsidP="000B1771">
            <w:pPr>
              <w:pStyle w:val="TableText"/>
            </w:pPr>
            <w:r w:rsidRPr="00E400E4">
              <w:rPr>
                <w:b/>
              </w:rPr>
              <w:t>Low</w:t>
            </w:r>
          </w:p>
        </w:tc>
      </w:tr>
      <w:tr w:rsidR="00555918" w:rsidRPr="00E400E4" w:rsidTr="000B1771">
        <w:tc>
          <w:tcPr>
            <w:tcW w:w="5000" w:type="pct"/>
            <w:gridSpan w:val="9"/>
            <w:tcBorders>
              <w:top w:val="single" w:sz="4" w:space="0" w:color="A6A6A6" w:themeColor="background1" w:themeShade="A6"/>
              <w:left w:val="nil"/>
              <w:bottom w:val="nil"/>
              <w:right w:val="nil"/>
            </w:tcBorders>
          </w:tcPr>
          <w:p w:rsidR="00555918" w:rsidRPr="00E400E4" w:rsidRDefault="00555918" w:rsidP="000B1771">
            <w:pPr>
              <w:pStyle w:val="TableText"/>
              <w:keepNext/>
              <w:rPr>
                <w:b/>
              </w:rPr>
            </w:pPr>
            <w:r w:rsidRPr="00E400E4">
              <w:rPr>
                <w:b/>
              </w:rPr>
              <w:t>Spider mites [Trombidiformes: Tetranychidae]</w:t>
            </w:r>
          </w:p>
        </w:tc>
      </w:tr>
      <w:tr w:rsidR="00555918" w:rsidRPr="00E400E4" w:rsidTr="000B1771">
        <w:tc>
          <w:tcPr>
            <w:tcW w:w="1100" w:type="pct"/>
            <w:tcBorders>
              <w:top w:val="nil"/>
              <w:left w:val="nil"/>
              <w:bottom w:val="nil"/>
            </w:tcBorders>
          </w:tcPr>
          <w:p w:rsidR="00555918" w:rsidRPr="00E400E4" w:rsidRDefault="00555918" w:rsidP="000B1771">
            <w:pPr>
              <w:pStyle w:val="TableText"/>
              <w:rPr>
                <w:i/>
              </w:rPr>
            </w:pPr>
            <w:r w:rsidRPr="00E400E4">
              <w:rPr>
                <w:i/>
              </w:rPr>
              <w:t>Oligonychus punicae</w:t>
            </w:r>
          </w:p>
        </w:tc>
        <w:tc>
          <w:tcPr>
            <w:tcW w:w="499" w:type="pct"/>
            <w:tcBorders>
              <w:top w:val="nil"/>
              <w:bottom w:val="nil"/>
            </w:tcBorders>
            <w:shd w:val="clear" w:color="auto" w:fill="auto"/>
          </w:tcPr>
          <w:p w:rsidR="00555918" w:rsidRPr="00E400E4" w:rsidRDefault="00555918">
            <w:pPr>
              <w:pStyle w:val="TableText"/>
            </w:pPr>
            <w:r w:rsidRPr="00E400E4">
              <w:t>Low</w:t>
            </w:r>
          </w:p>
        </w:tc>
        <w:tc>
          <w:tcPr>
            <w:tcW w:w="500" w:type="pct"/>
            <w:tcBorders>
              <w:top w:val="nil"/>
              <w:bottom w:val="nil"/>
            </w:tcBorders>
            <w:shd w:val="clear" w:color="auto" w:fill="auto"/>
          </w:tcPr>
          <w:p w:rsidR="00555918" w:rsidRPr="00E400E4" w:rsidRDefault="00555918">
            <w:pPr>
              <w:pStyle w:val="TableText"/>
            </w:pPr>
            <w:r w:rsidRPr="00E400E4">
              <w:t>Moderate</w:t>
            </w:r>
          </w:p>
        </w:tc>
        <w:tc>
          <w:tcPr>
            <w:tcW w:w="501" w:type="pct"/>
            <w:tcBorders>
              <w:top w:val="nil"/>
              <w:bottom w:val="nil"/>
            </w:tcBorders>
            <w:shd w:val="clear" w:color="auto" w:fill="auto"/>
          </w:tcPr>
          <w:p w:rsidR="00555918" w:rsidRPr="00E400E4" w:rsidRDefault="00555918">
            <w:pPr>
              <w:pStyle w:val="TableText"/>
              <w:rPr>
                <w:b/>
              </w:rPr>
            </w:pPr>
            <w:r w:rsidRPr="00E400E4">
              <w:rPr>
                <w:b/>
              </w:rPr>
              <w:t>Low</w:t>
            </w:r>
          </w:p>
        </w:tc>
        <w:tc>
          <w:tcPr>
            <w:tcW w:w="550" w:type="pct"/>
            <w:tcBorders>
              <w:top w:val="nil"/>
              <w:bottom w:val="nil"/>
            </w:tcBorders>
            <w:shd w:val="clear" w:color="auto" w:fill="auto"/>
          </w:tcPr>
          <w:p w:rsidR="00555918" w:rsidRPr="00E400E4" w:rsidRDefault="00555918">
            <w:pPr>
              <w:pStyle w:val="TableText"/>
            </w:pPr>
            <w:r w:rsidRPr="00E400E4">
              <w:t>High</w:t>
            </w:r>
          </w:p>
        </w:tc>
        <w:tc>
          <w:tcPr>
            <w:tcW w:w="500" w:type="pct"/>
            <w:tcBorders>
              <w:top w:val="nil"/>
              <w:bottom w:val="nil"/>
            </w:tcBorders>
            <w:shd w:val="clear" w:color="auto" w:fill="auto"/>
          </w:tcPr>
          <w:p w:rsidR="00555918" w:rsidRPr="00E400E4" w:rsidRDefault="00555918">
            <w:pPr>
              <w:pStyle w:val="TableText"/>
            </w:pPr>
            <w:r w:rsidRPr="00E400E4">
              <w:t>Moderate</w:t>
            </w:r>
          </w:p>
        </w:tc>
        <w:tc>
          <w:tcPr>
            <w:tcW w:w="450" w:type="pct"/>
            <w:tcBorders>
              <w:top w:val="nil"/>
              <w:bottom w:val="nil"/>
            </w:tcBorders>
            <w:shd w:val="clear" w:color="auto" w:fill="auto"/>
          </w:tcPr>
          <w:p w:rsidR="00555918" w:rsidRPr="00E400E4" w:rsidRDefault="00555918">
            <w:pPr>
              <w:pStyle w:val="TableText"/>
            </w:pPr>
            <w:r w:rsidRPr="00E400E4">
              <w:t>Low</w:t>
            </w:r>
          </w:p>
        </w:tc>
        <w:tc>
          <w:tcPr>
            <w:tcW w:w="500" w:type="pct"/>
            <w:tcBorders>
              <w:top w:val="nil"/>
              <w:bottom w:val="nil"/>
            </w:tcBorders>
            <w:shd w:val="clear" w:color="auto" w:fill="auto"/>
          </w:tcPr>
          <w:p w:rsidR="00555918" w:rsidRPr="00E400E4" w:rsidRDefault="00555918">
            <w:pPr>
              <w:pStyle w:val="TableText"/>
            </w:pPr>
            <w:r w:rsidRPr="00E400E4">
              <w:t>Moderate</w:t>
            </w:r>
          </w:p>
        </w:tc>
        <w:tc>
          <w:tcPr>
            <w:tcW w:w="400" w:type="pct"/>
            <w:tcBorders>
              <w:top w:val="nil"/>
              <w:bottom w:val="nil"/>
              <w:right w:val="nil"/>
            </w:tcBorders>
            <w:shd w:val="clear" w:color="auto" w:fill="auto"/>
          </w:tcPr>
          <w:p w:rsidR="00555918" w:rsidRPr="00E400E4" w:rsidRDefault="00555918">
            <w:pPr>
              <w:pStyle w:val="TableText"/>
              <w:rPr>
                <w:b/>
              </w:rPr>
            </w:pPr>
            <w:r w:rsidRPr="00E400E4">
              <w:rPr>
                <w:b/>
              </w:rPr>
              <w:t>Low</w:t>
            </w:r>
          </w:p>
        </w:tc>
      </w:tr>
      <w:tr w:rsidR="00555918" w:rsidRPr="00E400E4" w:rsidTr="000B1771">
        <w:tc>
          <w:tcPr>
            <w:tcW w:w="1100" w:type="pct"/>
            <w:tcBorders>
              <w:top w:val="nil"/>
              <w:left w:val="nil"/>
              <w:bottom w:val="nil"/>
            </w:tcBorders>
          </w:tcPr>
          <w:p w:rsidR="00555918" w:rsidRPr="00E400E4" w:rsidRDefault="00555918" w:rsidP="000B1771">
            <w:pPr>
              <w:pStyle w:val="TableText"/>
              <w:rPr>
                <w:i/>
              </w:rPr>
            </w:pPr>
            <w:r w:rsidRPr="00E400E4">
              <w:rPr>
                <w:i/>
              </w:rPr>
              <w:t>Oligonychus yothersi</w:t>
            </w:r>
          </w:p>
        </w:tc>
        <w:tc>
          <w:tcPr>
            <w:tcW w:w="499" w:type="pct"/>
            <w:tcBorders>
              <w:top w:val="nil"/>
              <w:bottom w:val="nil"/>
            </w:tcBorders>
            <w:shd w:val="clear" w:color="auto" w:fill="auto"/>
          </w:tcPr>
          <w:p w:rsidR="00555918" w:rsidRPr="00E400E4" w:rsidRDefault="00555918" w:rsidP="000B1771">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Moderate</w:t>
            </w:r>
          </w:p>
        </w:tc>
        <w:tc>
          <w:tcPr>
            <w:tcW w:w="501" w:type="pct"/>
            <w:tcBorders>
              <w:top w:val="nil"/>
              <w:bottom w:val="nil"/>
            </w:tcBorders>
            <w:shd w:val="clear" w:color="auto" w:fill="auto"/>
          </w:tcPr>
          <w:p w:rsidR="00555918" w:rsidRPr="00E400E4" w:rsidRDefault="00555918" w:rsidP="000B1771">
            <w:pPr>
              <w:pStyle w:val="TableText"/>
            </w:pPr>
            <w:r w:rsidRPr="00E400E4">
              <w:rPr>
                <w:b/>
              </w:rPr>
              <w:t>Moderate</w:t>
            </w:r>
          </w:p>
        </w:tc>
        <w:tc>
          <w:tcPr>
            <w:tcW w:w="550" w:type="pct"/>
            <w:tcBorders>
              <w:top w:val="nil"/>
              <w:bottom w:val="nil"/>
            </w:tcBorders>
            <w:shd w:val="clear" w:color="auto" w:fill="auto"/>
          </w:tcPr>
          <w:p w:rsidR="00555918" w:rsidRPr="00E400E4" w:rsidRDefault="00555918" w:rsidP="000B1771">
            <w:pPr>
              <w:pStyle w:val="TableText"/>
            </w:pPr>
            <w:r w:rsidRPr="00E400E4">
              <w:t>High</w:t>
            </w:r>
          </w:p>
        </w:tc>
        <w:tc>
          <w:tcPr>
            <w:tcW w:w="500" w:type="pct"/>
            <w:tcBorders>
              <w:top w:val="nil"/>
              <w:bottom w:val="nil"/>
            </w:tcBorders>
            <w:shd w:val="clear" w:color="auto" w:fill="auto"/>
          </w:tcPr>
          <w:p w:rsidR="00555918" w:rsidRPr="00E400E4" w:rsidRDefault="00555918" w:rsidP="000B1771">
            <w:pPr>
              <w:pStyle w:val="TableText"/>
            </w:pPr>
            <w:r w:rsidRPr="00E400E4">
              <w:t>Moderate</w:t>
            </w:r>
          </w:p>
        </w:tc>
        <w:tc>
          <w:tcPr>
            <w:tcW w:w="450" w:type="pct"/>
            <w:tcBorders>
              <w:top w:val="nil"/>
              <w:bottom w:val="nil"/>
            </w:tcBorders>
            <w:shd w:val="clear" w:color="auto" w:fill="auto"/>
          </w:tcPr>
          <w:p w:rsidR="00555918" w:rsidRPr="00E400E4" w:rsidRDefault="00555918" w:rsidP="000B1771">
            <w:pPr>
              <w:pStyle w:val="TableText"/>
            </w:pPr>
            <w:r w:rsidRPr="00E400E4">
              <w:t>Low</w:t>
            </w:r>
          </w:p>
        </w:tc>
        <w:tc>
          <w:tcPr>
            <w:tcW w:w="500" w:type="pct"/>
            <w:tcBorders>
              <w:top w:val="nil"/>
              <w:bottom w:val="nil"/>
            </w:tcBorders>
            <w:shd w:val="clear" w:color="auto" w:fill="auto"/>
          </w:tcPr>
          <w:p w:rsidR="00555918" w:rsidRPr="00E400E4" w:rsidRDefault="00555918" w:rsidP="000B1771">
            <w:pPr>
              <w:pStyle w:val="TableText"/>
            </w:pPr>
            <w:r w:rsidRPr="00E400E4">
              <w:t>Moderate</w:t>
            </w:r>
          </w:p>
        </w:tc>
        <w:tc>
          <w:tcPr>
            <w:tcW w:w="400" w:type="pct"/>
            <w:tcBorders>
              <w:top w:val="nil"/>
              <w:bottom w:val="nil"/>
              <w:right w:val="nil"/>
            </w:tcBorders>
            <w:shd w:val="clear" w:color="auto" w:fill="auto"/>
          </w:tcPr>
          <w:p w:rsidR="00555918" w:rsidRPr="00E400E4" w:rsidRDefault="00555918" w:rsidP="000B1771">
            <w:pPr>
              <w:pStyle w:val="TableText"/>
            </w:pPr>
            <w:r w:rsidRPr="00E400E4">
              <w:rPr>
                <w:b/>
              </w:rPr>
              <w:t>Low</w:t>
            </w:r>
          </w:p>
        </w:tc>
      </w:tr>
      <w:tr w:rsidR="00555918" w:rsidRPr="00E400E4" w:rsidTr="000B1771">
        <w:tc>
          <w:tcPr>
            <w:tcW w:w="1100" w:type="pct"/>
            <w:tcBorders>
              <w:top w:val="single" w:sz="4" w:space="0" w:color="BFBFBF" w:themeColor="background1" w:themeShade="BF"/>
              <w:left w:val="nil"/>
              <w:bottom w:val="single" w:sz="4" w:space="0" w:color="BFBFBF" w:themeColor="background1" w:themeShade="BF"/>
            </w:tcBorders>
          </w:tcPr>
          <w:p w:rsidR="00555918" w:rsidRPr="00E400E4" w:rsidRDefault="00555918" w:rsidP="000B1771">
            <w:pPr>
              <w:pStyle w:val="TableText"/>
              <w:rPr>
                <w:i/>
              </w:rPr>
            </w:pPr>
            <w:r w:rsidRPr="00E400E4">
              <w:rPr>
                <w:i/>
              </w:rPr>
              <w:t>Panonychus citri</w:t>
            </w:r>
            <w:r w:rsidRPr="00E400E4">
              <w:t xml:space="preserve"> (EP, WA)</w:t>
            </w:r>
          </w:p>
        </w:tc>
        <w:tc>
          <w:tcPr>
            <w:tcW w:w="499"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pPr>
              <w:pStyle w:val="TableText"/>
            </w:pPr>
            <w:r w:rsidRPr="00E400E4">
              <w:t>Low</w:t>
            </w:r>
          </w:p>
        </w:tc>
        <w:tc>
          <w:tcPr>
            <w:tcW w:w="500"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pPr>
              <w:pStyle w:val="TableText"/>
            </w:pPr>
            <w:r w:rsidRPr="00E400E4">
              <w:t>Low</w:t>
            </w:r>
          </w:p>
        </w:tc>
        <w:tc>
          <w:tcPr>
            <w:tcW w:w="501"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rsidP="000B1771">
            <w:pPr>
              <w:pStyle w:val="TableText"/>
              <w:rPr>
                <w:b/>
              </w:rPr>
            </w:pPr>
            <w:r w:rsidRPr="00E400E4">
              <w:rPr>
                <w:b/>
              </w:rPr>
              <w:t>Very Low</w:t>
            </w:r>
          </w:p>
        </w:tc>
        <w:tc>
          <w:tcPr>
            <w:tcW w:w="550"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pPr>
              <w:pStyle w:val="TableText"/>
            </w:pPr>
            <w:r w:rsidRPr="00E400E4">
              <w:t>Moderate</w:t>
            </w:r>
          </w:p>
        </w:tc>
        <w:tc>
          <w:tcPr>
            <w:tcW w:w="500"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pPr>
              <w:pStyle w:val="TableText"/>
            </w:pPr>
            <w:r w:rsidRPr="00E400E4">
              <w:t>Moderate</w:t>
            </w:r>
          </w:p>
        </w:tc>
        <w:tc>
          <w:tcPr>
            <w:tcW w:w="450"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rsidP="000B1771">
            <w:pPr>
              <w:pStyle w:val="TableText"/>
            </w:pPr>
            <w:r w:rsidRPr="00E400E4">
              <w:t>Very Low</w:t>
            </w:r>
          </w:p>
        </w:tc>
        <w:tc>
          <w:tcPr>
            <w:tcW w:w="500"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pPr>
              <w:pStyle w:val="TableText"/>
            </w:pPr>
            <w:r w:rsidRPr="00E400E4">
              <w:t>Low</w:t>
            </w:r>
          </w:p>
        </w:tc>
        <w:tc>
          <w:tcPr>
            <w:tcW w:w="400" w:type="pct"/>
            <w:tcBorders>
              <w:top w:val="single" w:sz="4" w:space="0" w:color="BFBFBF" w:themeColor="background1" w:themeShade="BF"/>
              <w:bottom w:val="single" w:sz="4" w:space="0" w:color="BFBFBF" w:themeColor="background1" w:themeShade="BF"/>
              <w:right w:val="nil"/>
            </w:tcBorders>
            <w:shd w:val="clear" w:color="auto" w:fill="auto"/>
          </w:tcPr>
          <w:p w:rsidR="00555918" w:rsidRPr="00E400E4" w:rsidRDefault="00555918">
            <w:pPr>
              <w:pStyle w:val="TableText"/>
              <w:rPr>
                <w:b/>
              </w:rPr>
            </w:pPr>
            <w:r w:rsidRPr="00E400E4">
              <w:rPr>
                <w:b/>
              </w:rPr>
              <w:t>Negligible</w:t>
            </w:r>
          </w:p>
        </w:tc>
      </w:tr>
      <w:tr w:rsidR="00555918" w:rsidRPr="00E400E4" w:rsidTr="000B1771">
        <w:tc>
          <w:tcPr>
            <w:tcW w:w="5000" w:type="pct"/>
            <w:gridSpan w:val="9"/>
            <w:tcBorders>
              <w:top w:val="single" w:sz="4" w:space="0" w:color="BFBFBF" w:themeColor="background1" w:themeShade="BF"/>
              <w:left w:val="nil"/>
              <w:bottom w:val="single" w:sz="4" w:space="0" w:color="BFBFBF" w:themeColor="background1" w:themeShade="BF"/>
            </w:tcBorders>
          </w:tcPr>
          <w:p w:rsidR="00555918" w:rsidRPr="00E400E4" w:rsidRDefault="00555918" w:rsidP="000B1771">
            <w:pPr>
              <w:pStyle w:val="TableText"/>
              <w:keepNext/>
              <w:rPr>
                <w:b/>
              </w:rPr>
            </w:pPr>
            <w:r w:rsidRPr="00E400E4">
              <w:rPr>
                <w:b/>
              </w:rPr>
              <w:lastRenderedPageBreak/>
              <w:t>Orthotospoviruses [Bunyavirales: Tospoviridae] vectored by regulated thrips (</w:t>
            </w:r>
            <w:r w:rsidRPr="00E400E4">
              <w:rPr>
                <w:b/>
                <w:i/>
              </w:rPr>
              <w:t>Frankliniella occidentalis</w:t>
            </w:r>
            <w:r w:rsidRPr="00E400E4">
              <w:rPr>
                <w:b/>
              </w:rPr>
              <w:t>) (a)</w:t>
            </w:r>
          </w:p>
        </w:tc>
      </w:tr>
      <w:tr w:rsidR="00555918" w:rsidRPr="00E400E4" w:rsidTr="000B1771">
        <w:tc>
          <w:tcPr>
            <w:tcW w:w="1100" w:type="pct"/>
            <w:tcBorders>
              <w:top w:val="single" w:sz="4" w:space="0" w:color="BFBFBF" w:themeColor="background1" w:themeShade="BF"/>
              <w:left w:val="nil"/>
              <w:bottom w:val="single" w:sz="4" w:space="0" w:color="BFBFBF" w:themeColor="background1" w:themeShade="BF"/>
            </w:tcBorders>
          </w:tcPr>
          <w:p w:rsidR="00555918" w:rsidRPr="00E400E4" w:rsidRDefault="00555918" w:rsidP="000B1771">
            <w:pPr>
              <w:pStyle w:val="TableText"/>
              <w:keepNext/>
            </w:pPr>
            <w:r w:rsidRPr="00E400E4">
              <w:t xml:space="preserve">Listed in the thrips </w:t>
            </w:r>
            <w:r>
              <w:t>G</w:t>
            </w:r>
            <w:r w:rsidRPr="00E400E4">
              <w:t>roup PRA</w:t>
            </w:r>
          </w:p>
        </w:tc>
        <w:tc>
          <w:tcPr>
            <w:tcW w:w="499"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rsidP="000B1771">
            <w:pPr>
              <w:pStyle w:val="TableText"/>
              <w:keepNext/>
            </w:pPr>
            <w:r w:rsidRPr="00E400E4">
              <w:t>Moderate</w:t>
            </w:r>
          </w:p>
        </w:tc>
        <w:tc>
          <w:tcPr>
            <w:tcW w:w="500"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rsidP="000B1771">
            <w:pPr>
              <w:pStyle w:val="TableText"/>
              <w:keepNext/>
            </w:pPr>
            <w:r w:rsidRPr="00E400E4">
              <w:t>Moderate</w:t>
            </w:r>
          </w:p>
        </w:tc>
        <w:tc>
          <w:tcPr>
            <w:tcW w:w="501"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rsidP="000B1771">
            <w:pPr>
              <w:pStyle w:val="TableText"/>
              <w:keepNext/>
              <w:rPr>
                <w:b/>
              </w:rPr>
            </w:pPr>
            <w:r w:rsidRPr="00E400E4">
              <w:rPr>
                <w:b/>
              </w:rPr>
              <w:t>Low</w:t>
            </w:r>
          </w:p>
        </w:tc>
        <w:tc>
          <w:tcPr>
            <w:tcW w:w="550"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rsidP="000B1771">
            <w:pPr>
              <w:pStyle w:val="TableText"/>
              <w:keepNext/>
            </w:pPr>
            <w:r w:rsidRPr="00E400E4">
              <w:t>Moderate</w:t>
            </w:r>
          </w:p>
        </w:tc>
        <w:tc>
          <w:tcPr>
            <w:tcW w:w="500"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rsidP="000B1771">
            <w:pPr>
              <w:pStyle w:val="TableText"/>
              <w:keepNext/>
            </w:pPr>
            <w:r w:rsidRPr="00E400E4">
              <w:t>High</w:t>
            </w:r>
          </w:p>
        </w:tc>
        <w:tc>
          <w:tcPr>
            <w:tcW w:w="450"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rsidP="000B1771">
            <w:pPr>
              <w:pStyle w:val="TableText"/>
              <w:keepNext/>
            </w:pPr>
            <w:r w:rsidRPr="00E400E4">
              <w:t>Low</w:t>
            </w:r>
          </w:p>
        </w:tc>
        <w:tc>
          <w:tcPr>
            <w:tcW w:w="500" w:type="pct"/>
            <w:tcBorders>
              <w:top w:val="single" w:sz="4" w:space="0" w:color="BFBFBF" w:themeColor="background1" w:themeShade="BF"/>
              <w:bottom w:val="single" w:sz="4" w:space="0" w:color="BFBFBF" w:themeColor="background1" w:themeShade="BF"/>
            </w:tcBorders>
            <w:shd w:val="clear" w:color="auto" w:fill="auto"/>
          </w:tcPr>
          <w:p w:rsidR="00555918" w:rsidRPr="00E400E4" w:rsidRDefault="00555918" w:rsidP="000B1771">
            <w:pPr>
              <w:pStyle w:val="TableText"/>
              <w:keepNext/>
            </w:pPr>
            <w:r w:rsidRPr="00E400E4">
              <w:t>Moderate</w:t>
            </w:r>
          </w:p>
        </w:tc>
        <w:tc>
          <w:tcPr>
            <w:tcW w:w="400" w:type="pct"/>
            <w:tcBorders>
              <w:top w:val="single" w:sz="4" w:space="0" w:color="BFBFBF" w:themeColor="background1" w:themeShade="BF"/>
              <w:bottom w:val="single" w:sz="4" w:space="0" w:color="BFBFBF" w:themeColor="background1" w:themeShade="BF"/>
              <w:right w:val="nil"/>
            </w:tcBorders>
            <w:shd w:val="clear" w:color="auto" w:fill="auto"/>
          </w:tcPr>
          <w:p w:rsidR="00555918" w:rsidRPr="00E400E4" w:rsidRDefault="00555918" w:rsidP="000B1771">
            <w:pPr>
              <w:pStyle w:val="TableText"/>
              <w:keepNext/>
              <w:rPr>
                <w:b/>
              </w:rPr>
            </w:pPr>
            <w:r w:rsidRPr="00E400E4">
              <w:rPr>
                <w:b/>
              </w:rPr>
              <w:t>Low</w:t>
            </w:r>
          </w:p>
        </w:tc>
      </w:tr>
    </w:tbl>
    <w:p w:rsidR="00555918" w:rsidRPr="00E400E4" w:rsidRDefault="00555918" w:rsidP="000B1771">
      <w:pPr>
        <w:pStyle w:val="FigureTableNoteSource"/>
      </w:pPr>
      <w:r w:rsidRPr="00E400E4">
        <w:rPr>
          <w:b/>
        </w:rPr>
        <w:t>EP:</w:t>
      </w:r>
      <w:r w:rsidRPr="00E400E4">
        <w:t xml:space="preserve"> Species has been assessed previously and import policy already exists. </w:t>
      </w:r>
      <w:r w:rsidRPr="00E400E4">
        <w:rPr>
          <w:b/>
        </w:rPr>
        <w:t>GP:</w:t>
      </w:r>
      <w:r w:rsidRPr="00E400E4">
        <w:t xml:space="preserve"> Species has been assessed previously in a Group PRA and the Group PRA has been applied. </w:t>
      </w:r>
      <w:r w:rsidRPr="00E400E4">
        <w:rPr>
          <w:b/>
        </w:rPr>
        <w:t xml:space="preserve">RA: </w:t>
      </w:r>
      <w:r w:rsidRPr="00E400E4">
        <w:t xml:space="preserve">Regulated article, refer to Section 4.4 for definition of a regulated article. </w:t>
      </w:r>
      <w:r w:rsidRPr="00E400E4">
        <w:rPr>
          <w:b/>
        </w:rPr>
        <w:t>WA:</w:t>
      </w:r>
      <w:r w:rsidRPr="00E400E4">
        <w:t xml:space="preserve"> Pest of biosecurity concern for Western Australia.</w:t>
      </w:r>
      <w:r w:rsidRPr="00E400E4">
        <w:rPr>
          <w:b/>
        </w:rPr>
        <w:t xml:space="preserve"> </w:t>
      </w:r>
      <w:r w:rsidRPr="00E400E4" w:rsidDel="00F665DD">
        <w:rPr>
          <w:b/>
        </w:rPr>
        <w:t>NT:</w:t>
      </w:r>
      <w:r w:rsidRPr="00E400E4" w:rsidDel="00F665DD">
        <w:t xml:space="preserve"> Pest of biosecurity concern for the Northern Territory. </w:t>
      </w:r>
      <w:r w:rsidRPr="00E400E4" w:rsidDel="00F665DD">
        <w:rPr>
          <w:b/>
        </w:rPr>
        <w:t>EES</w:t>
      </w:r>
      <w:r w:rsidRPr="00E400E4" w:rsidDel="00F665DD">
        <w:t xml:space="preserve">: Overall likelihood of entry, establishment and spread. </w:t>
      </w:r>
      <w:r w:rsidRPr="00E400E4" w:rsidDel="00F665DD">
        <w:rPr>
          <w:b/>
        </w:rPr>
        <w:t>URE</w:t>
      </w:r>
      <w:r w:rsidRPr="00E400E4" w:rsidDel="00F665DD">
        <w:t>: Unrestricted risk estimate. This is expressed in an ascending scale from negligible to extreme.</w:t>
      </w:r>
      <w:r w:rsidRPr="00E400E4">
        <w:br/>
      </w:r>
      <w:r w:rsidRPr="00E400E4" w:rsidDel="00F665DD">
        <w:rPr>
          <w:b/>
        </w:rPr>
        <w:t>a:</w:t>
      </w:r>
      <w:r w:rsidRPr="00E400E4" w:rsidDel="00F665DD">
        <w:t xml:space="preserve"> The identified regulated thrips vectors emerging quarantine orthotospoviruses, and this table presents the risk estimates for these viruses from the thrips </w:t>
      </w:r>
      <w:r>
        <w:t>G</w:t>
      </w:r>
      <w:r w:rsidRPr="00E400E4" w:rsidDel="00F665DD">
        <w:t xml:space="preserve">roup PRA </w:t>
      </w:r>
      <w:r>
        <w:rPr>
          <w:noProof/>
        </w:rPr>
        <w:t>(Australian Government Department of Agriculture and Water Resources 2017)</w:t>
      </w:r>
      <w:r w:rsidRPr="00E400E4" w:rsidDel="00F665DD">
        <w:t>.</w:t>
      </w:r>
    </w:p>
    <w:p w:rsidR="00555918" w:rsidRPr="00E400E4" w:rsidRDefault="00555918">
      <w:pPr>
        <w:sectPr w:rsidR="00555918" w:rsidRPr="00E400E4" w:rsidSect="000B1771">
          <w:pgSz w:w="16838" w:h="11906" w:orient="landscape"/>
          <w:pgMar w:top="1418" w:right="1418" w:bottom="1418" w:left="1418" w:header="567" w:footer="283" w:gutter="0"/>
          <w:cols w:space="708"/>
          <w:docGrid w:linePitch="360"/>
        </w:sectPr>
      </w:pPr>
    </w:p>
    <w:p w:rsidR="00555918" w:rsidRPr="00E400E4" w:rsidRDefault="00555918" w:rsidP="000B1771">
      <w:pPr>
        <w:pStyle w:val="Heading3"/>
      </w:pPr>
      <w:bookmarkStart w:id="129" w:name="_Toc20392250"/>
      <w:r w:rsidRPr="00E400E4">
        <w:lastRenderedPageBreak/>
        <w:t>Summary of assessment of quarantine pests of concern</w:t>
      </w:r>
      <w:bookmarkEnd w:id="129"/>
    </w:p>
    <w:p w:rsidR="00555918" w:rsidRPr="00E400E4" w:rsidRDefault="00555918" w:rsidP="000B1771">
      <w:r w:rsidRPr="00E400E4">
        <w:t xml:space="preserve">This section provides a summary of the process of assessment of potential and confirmed quarantine pests of concern (shown in </w:t>
      </w:r>
      <w:r w:rsidRPr="00E400E4">
        <w:fldChar w:fldCharType="begin"/>
      </w:r>
      <w:r w:rsidRPr="00E400E4">
        <w:instrText xml:space="preserve"> REF _Ref512334472 \h  \* MERGEFORMAT </w:instrText>
      </w:r>
      <w:r w:rsidRPr="00E400E4">
        <w:fldChar w:fldCharType="separate"/>
      </w:r>
      <w:r w:rsidR="006C029B" w:rsidRPr="00E400E4">
        <w:t xml:space="preserve">Figure </w:t>
      </w:r>
      <w:r w:rsidR="006C029B">
        <w:rPr>
          <w:noProof/>
        </w:rPr>
        <w:t>19</w:t>
      </w:r>
      <w:r w:rsidRPr="00E400E4">
        <w:fldChar w:fldCharType="end"/>
      </w:r>
      <w:r w:rsidRPr="00E400E4">
        <w:t>).</w:t>
      </w:r>
    </w:p>
    <w:p w:rsidR="00555918" w:rsidRPr="00E400E4" w:rsidRDefault="00555918" w:rsidP="000B1771">
      <w:r w:rsidRPr="00E400E4">
        <w:t>The pest categorisation process (Appendix A) identified 158 pests. Of these 158 pests:</w:t>
      </w:r>
    </w:p>
    <w:p w:rsidR="00555918" w:rsidRPr="00E400E4" w:rsidRDefault="00555918" w:rsidP="00555918">
      <w:pPr>
        <w:pStyle w:val="ListBullet"/>
        <w:numPr>
          <w:ilvl w:val="0"/>
          <w:numId w:val="7"/>
        </w:numPr>
      </w:pPr>
      <w:r w:rsidRPr="00E400E4">
        <w:t>3 pests are considered to be absent from Chile (due to unreliable/invalid records or due to eradication), and therefore were not further considered;</w:t>
      </w:r>
    </w:p>
    <w:p w:rsidR="00555918" w:rsidRPr="00E400E4" w:rsidRDefault="00555918" w:rsidP="00555918">
      <w:pPr>
        <w:pStyle w:val="ListBullet"/>
        <w:numPr>
          <w:ilvl w:val="0"/>
          <w:numId w:val="7"/>
        </w:numPr>
      </w:pPr>
      <w:r w:rsidRPr="00E400E4">
        <w:t>5 pests are only present on Easter Island, with quarantine procedures in place to prevent the entry of pests from Easter Island to mainland Chile, and therefore were not further considered.</w:t>
      </w:r>
    </w:p>
    <w:p w:rsidR="00555918" w:rsidRPr="00E400E4" w:rsidRDefault="00555918" w:rsidP="000B1771">
      <w:r w:rsidRPr="00E400E4">
        <w:t>Of the remaining 150 pests:</w:t>
      </w:r>
    </w:p>
    <w:p w:rsidR="00555918" w:rsidRPr="00E400E4" w:rsidRDefault="00555918" w:rsidP="00555918">
      <w:pPr>
        <w:pStyle w:val="ListBullet"/>
        <w:numPr>
          <w:ilvl w:val="0"/>
          <w:numId w:val="7"/>
        </w:numPr>
      </w:pPr>
      <w:r w:rsidRPr="00E400E4">
        <w:t>98 pests are already present in Australia, and not under official control, and therefore were not further considered;</w:t>
      </w:r>
    </w:p>
    <w:p w:rsidR="00555918" w:rsidRPr="00E400E4" w:rsidRDefault="00555918" w:rsidP="00555918">
      <w:pPr>
        <w:pStyle w:val="ListBullet"/>
        <w:numPr>
          <w:ilvl w:val="0"/>
          <w:numId w:val="7"/>
        </w:numPr>
      </w:pPr>
      <w:r w:rsidRPr="00E400E4">
        <w:t>38 pests were assessed as not having potential to be on the fresh avocado fruit pathway, and therefore were not further considered.</w:t>
      </w:r>
    </w:p>
    <w:p w:rsidR="00555918" w:rsidRPr="00E400E4" w:rsidRDefault="00555918" w:rsidP="000B1771">
      <w:r w:rsidRPr="00E400E4">
        <w:t>The outcome of the above process left 14 pests that required further consideration, that is pest risk assessment. Pest risk assessments for these 14 pests were completed:</w:t>
      </w:r>
    </w:p>
    <w:p w:rsidR="00555918" w:rsidRPr="00E400E4" w:rsidRDefault="00555918" w:rsidP="00555918">
      <w:pPr>
        <w:pStyle w:val="ListBullet"/>
        <w:numPr>
          <w:ilvl w:val="0"/>
          <w:numId w:val="7"/>
        </w:numPr>
      </w:pPr>
      <w:r w:rsidRPr="00E400E4">
        <w:t>The estimated unrestricted risks for seven pests (six armoured scale species and one spider mite species) were assessed as achieving the ALOP for Australia, and therefore no specific risk management measures are required for these pests on this pathway. These pests are:</w:t>
      </w:r>
    </w:p>
    <w:p w:rsidR="00555918" w:rsidRPr="00E400E4" w:rsidRDefault="00555918" w:rsidP="00555918">
      <w:pPr>
        <w:pStyle w:val="ListBullet2"/>
        <w:numPr>
          <w:ilvl w:val="1"/>
          <w:numId w:val="7"/>
        </w:numPr>
      </w:pPr>
      <w:r w:rsidRPr="00E400E4">
        <w:t>Spanish red scale (</w:t>
      </w:r>
      <w:r w:rsidRPr="00E400E4">
        <w:rPr>
          <w:i/>
        </w:rPr>
        <w:t>Chrysomphalus dictyospermi</w:t>
      </w:r>
      <w:r w:rsidRPr="00E400E4">
        <w:t>)</w:t>
      </w:r>
    </w:p>
    <w:p w:rsidR="00555918" w:rsidRPr="00E400E4" w:rsidRDefault="00555918" w:rsidP="00555918">
      <w:pPr>
        <w:pStyle w:val="ListBullet2"/>
        <w:numPr>
          <w:ilvl w:val="1"/>
          <w:numId w:val="7"/>
        </w:numPr>
      </w:pPr>
      <w:r w:rsidRPr="00E400E4">
        <w:t>Fiorinia scale (</w:t>
      </w:r>
      <w:r w:rsidRPr="00E400E4">
        <w:rPr>
          <w:i/>
        </w:rPr>
        <w:t>Fiorinia fioriniae</w:t>
      </w:r>
      <w:r w:rsidRPr="00E400E4">
        <w:t>)</w:t>
      </w:r>
    </w:p>
    <w:p w:rsidR="00555918" w:rsidRPr="00E400E4" w:rsidRDefault="00555918" w:rsidP="00555918">
      <w:pPr>
        <w:pStyle w:val="ListBullet2"/>
        <w:numPr>
          <w:ilvl w:val="1"/>
          <w:numId w:val="7"/>
        </w:numPr>
      </w:pPr>
      <w:r w:rsidRPr="00E400E4">
        <w:t>Cyanophyllum scale</w:t>
      </w:r>
      <w:r w:rsidRPr="00E400E4">
        <w:rPr>
          <w:i/>
        </w:rPr>
        <w:t xml:space="preserve"> </w:t>
      </w:r>
      <w:r w:rsidRPr="00E400E4">
        <w:t>(</w:t>
      </w:r>
      <w:r w:rsidRPr="00E400E4">
        <w:rPr>
          <w:i/>
        </w:rPr>
        <w:t>Hemiberlesia cyanophylli</w:t>
      </w:r>
      <w:r w:rsidRPr="00E400E4">
        <w:t>)</w:t>
      </w:r>
    </w:p>
    <w:p w:rsidR="00555918" w:rsidRPr="00E400E4" w:rsidRDefault="00555918" w:rsidP="00555918">
      <w:pPr>
        <w:pStyle w:val="ListBullet2"/>
        <w:numPr>
          <w:ilvl w:val="1"/>
          <w:numId w:val="7"/>
        </w:numPr>
      </w:pPr>
      <w:r w:rsidRPr="00E400E4">
        <w:t>Lataste scale</w:t>
      </w:r>
      <w:r w:rsidRPr="00E400E4">
        <w:rPr>
          <w:i/>
        </w:rPr>
        <w:t xml:space="preserve"> </w:t>
      </w:r>
      <w:r w:rsidRPr="00E400E4">
        <w:t>(</w:t>
      </w:r>
      <w:r w:rsidRPr="00E400E4">
        <w:rPr>
          <w:i/>
        </w:rPr>
        <w:t>Hemiberlesia latastei</w:t>
      </w:r>
      <w:r w:rsidRPr="00E400E4">
        <w:t>)</w:t>
      </w:r>
    </w:p>
    <w:p w:rsidR="00555918" w:rsidRPr="00E400E4" w:rsidRDefault="00555918" w:rsidP="00555918">
      <w:pPr>
        <w:pStyle w:val="ListBullet2"/>
        <w:numPr>
          <w:ilvl w:val="1"/>
          <w:numId w:val="7"/>
        </w:numPr>
      </w:pPr>
      <w:r w:rsidRPr="00E400E4">
        <w:t>Fern scale (</w:t>
      </w:r>
      <w:r w:rsidRPr="00E400E4">
        <w:rPr>
          <w:i/>
        </w:rPr>
        <w:t>Pinnaspis aspidistrae</w:t>
      </w:r>
      <w:r w:rsidRPr="00E400E4">
        <w:t>)</w:t>
      </w:r>
    </w:p>
    <w:p w:rsidR="00555918" w:rsidRPr="00E400E4" w:rsidRDefault="00555918" w:rsidP="00555918">
      <w:pPr>
        <w:pStyle w:val="ListBullet2"/>
        <w:numPr>
          <w:ilvl w:val="1"/>
          <w:numId w:val="7"/>
        </w:numPr>
      </w:pPr>
      <w:r w:rsidRPr="00E400E4">
        <w:t>Citrus snow scale</w:t>
      </w:r>
      <w:r w:rsidRPr="00E400E4">
        <w:rPr>
          <w:i/>
        </w:rPr>
        <w:t xml:space="preserve"> </w:t>
      </w:r>
      <w:r w:rsidRPr="00E400E4">
        <w:t>(</w:t>
      </w:r>
      <w:r w:rsidRPr="00E400E4">
        <w:rPr>
          <w:i/>
        </w:rPr>
        <w:t>Unaspis citri</w:t>
      </w:r>
      <w:r w:rsidRPr="00E400E4">
        <w:t>)</w:t>
      </w:r>
    </w:p>
    <w:p w:rsidR="00555918" w:rsidRPr="00E400E4" w:rsidRDefault="00555918" w:rsidP="00555918">
      <w:pPr>
        <w:pStyle w:val="ListBullet2"/>
        <w:numPr>
          <w:ilvl w:val="1"/>
          <w:numId w:val="7"/>
        </w:numPr>
      </w:pPr>
      <w:r w:rsidRPr="00E400E4">
        <w:t>Citrus red mite (</w:t>
      </w:r>
      <w:r w:rsidRPr="00E400E4">
        <w:rPr>
          <w:i/>
        </w:rPr>
        <w:t>Panonychus citri</w:t>
      </w:r>
      <w:r w:rsidRPr="00E400E4">
        <w:t>)</w:t>
      </w:r>
    </w:p>
    <w:p w:rsidR="00555918" w:rsidRPr="00E400E4" w:rsidRDefault="00555918" w:rsidP="00555918">
      <w:pPr>
        <w:pStyle w:val="ListBullet"/>
        <w:numPr>
          <w:ilvl w:val="0"/>
          <w:numId w:val="7"/>
        </w:numPr>
      </w:pPr>
      <w:r w:rsidRPr="00E400E4">
        <w:t>The estimated unrestricted risks for seven pests (one fruit fly species, one mealybug species, two spider mite species and three thrips species) were assessed as not achieving the ALOP for Australia, and therefore these seven pests require specific risk management measures for this pathway. These pests are:</w:t>
      </w:r>
    </w:p>
    <w:p w:rsidR="00555918" w:rsidRPr="00E400E4" w:rsidRDefault="00555918" w:rsidP="00555918">
      <w:pPr>
        <w:pStyle w:val="ListBullet2"/>
        <w:numPr>
          <w:ilvl w:val="1"/>
          <w:numId w:val="7"/>
        </w:numPr>
        <w:rPr>
          <w:i/>
        </w:rPr>
      </w:pPr>
      <w:r w:rsidRPr="00E400E4">
        <w:t>Mediterranean fruit fly (</w:t>
      </w:r>
      <w:r w:rsidRPr="00E400E4">
        <w:rPr>
          <w:i/>
        </w:rPr>
        <w:t>Ceratitis capitata</w:t>
      </w:r>
      <w:r w:rsidRPr="00E400E4">
        <w:t>)</w:t>
      </w:r>
    </w:p>
    <w:p w:rsidR="00555918" w:rsidRPr="00E400E4" w:rsidRDefault="00555918" w:rsidP="00555918">
      <w:pPr>
        <w:pStyle w:val="ListBullet2"/>
        <w:numPr>
          <w:ilvl w:val="1"/>
          <w:numId w:val="7"/>
        </w:numPr>
        <w:rPr>
          <w:i/>
        </w:rPr>
      </w:pPr>
      <w:r w:rsidRPr="00E400E4">
        <w:t>Grape mealybug</w:t>
      </w:r>
      <w:r w:rsidRPr="00E400E4">
        <w:rPr>
          <w:i/>
        </w:rPr>
        <w:t xml:space="preserve"> </w:t>
      </w:r>
      <w:r w:rsidRPr="00E400E4">
        <w:t>(</w:t>
      </w:r>
      <w:r w:rsidRPr="00E400E4">
        <w:rPr>
          <w:i/>
        </w:rPr>
        <w:t>Pseudococcus maritimus</w:t>
      </w:r>
      <w:r w:rsidRPr="00E400E4">
        <w:t>)</w:t>
      </w:r>
    </w:p>
    <w:p w:rsidR="00555918" w:rsidRPr="00E400E4" w:rsidRDefault="00555918" w:rsidP="00555918">
      <w:pPr>
        <w:pStyle w:val="ListBullet2"/>
        <w:numPr>
          <w:ilvl w:val="1"/>
          <w:numId w:val="7"/>
        </w:numPr>
        <w:rPr>
          <w:i/>
        </w:rPr>
      </w:pPr>
      <w:r w:rsidRPr="00E400E4">
        <w:t>Avocado brown mite</w:t>
      </w:r>
      <w:r w:rsidRPr="00E400E4">
        <w:rPr>
          <w:i/>
        </w:rPr>
        <w:t xml:space="preserve"> </w:t>
      </w:r>
      <w:r w:rsidRPr="00E400E4">
        <w:t>(</w:t>
      </w:r>
      <w:r w:rsidRPr="00E400E4">
        <w:rPr>
          <w:i/>
        </w:rPr>
        <w:t>Oligonychus punicae</w:t>
      </w:r>
      <w:r w:rsidRPr="00E400E4">
        <w:t>)</w:t>
      </w:r>
    </w:p>
    <w:p w:rsidR="00555918" w:rsidRPr="00E400E4" w:rsidRDefault="00555918" w:rsidP="00555918">
      <w:pPr>
        <w:pStyle w:val="ListBullet2"/>
        <w:numPr>
          <w:ilvl w:val="1"/>
          <w:numId w:val="7"/>
        </w:numPr>
        <w:rPr>
          <w:i/>
        </w:rPr>
      </w:pPr>
      <w:r w:rsidRPr="00E400E4">
        <w:t>Avocado red mite</w:t>
      </w:r>
      <w:r w:rsidRPr="00E400E4">
        <w:rPr>
          <w:i/>
        </w:rPr>
        <w:t xml:space="preserve"> </w:t>
      </w:r>
      <w:r w:rsidRPr="00E400E4">
        <w:t>(</w:t>
      </w:r>
      <w:r w:rsidRPr="00E400E4">
        <w:rPr>
          <w:i/>
        </w:rPr>
        <w:t>Oligonychus yothersi</w:t>
      </w:r>
      <w:r w:rsidRPr="00E400E4">
        <w:t>)</w:t>
      </w:r>
    </w:p>
    <w:p w:rsidR="00555918" w:rsidRPr="00E400E4" w:rsidRDefault="00555918" w:rsidP="00555918">
      <w:pPr>
        <w:pStyle w:val="ListBullet2"/>
        <w:numPr>
          <w:ilvl w:val="1"/>
          <w:numId w:val="7"/>
        </w:numPr>
        <w:rPr>
          <w:i/>
        </w:rPr>
      </w:pPr>
      <w:r w:rsidRPr="00E400E4">
        <w:t>Chilean flower thrips (</w:t>
      </w:r>
      <w:r w:rsidRPr="00E400E4">
        <w:rPr>
          <w:i/>
        </w:rPr>
        <w:t>Frankliniella australis</w:t>
      </w:r>
      <w:r w:rsidRPr="00E400E4">
        <w:t>)</w:t>
      </w:r>
    </w:p>
    <w:p w:rsidR="00555918" w:rsidRPr="00E400E4" w:rsidRDefault="00555918" w:rsidP="00555918">
      <w:pPr>
        <w:pStyle w:val="ListBullet2"/>
        <w:numPr>
          <w:ilvl w:val="1"/>
          <w:numId w:val="7"/>
        </w:numPr>
        <w:rPr>
          <w:i/>
        </w:rPr>
      </w:pPr>
      <w:r w:rsidRPr="00E400E4">
        <w:t>Tamarugo thrips</w:t>
      </w:r>
      <w:r w:rsidRPr="00E400E4">
        <w:rPr>
          <w:i/>
        </w:rPr>
        <w:t xml:space="preserve"> </w:t>
      </w:r>
      <w:r w:rsidRPr="00E400E4">
        <w:t>(</w:t>
      </w:r>
      <w:r w:rsidRPr="00E400E4">
        <w:rPr>
          <w:i/>
        </w:rPr>
        <w:t>Frankliniella gemina</w:t>
      </w:r>
      <w:r w:rsidRPr="00E400E4">
        <w:t>)</w:t>
      </w:r>
    </w:p>
    <w:p w:rsidR="00555918" w:rsidRPr="00E400E4" w:rsidRDefault="00555918" w:rsidP="00555918">
      <w:pPr>
        <w:pStyle w:val="ListBullet2"/>
        <w:numPr>
          <w:ilvl w:val="1"/>
          <w:numId w:val="7"/>
        </w:numPr>
      </w:pPr>
      <w:r w:rsidRPr="00E400E4">
        <w:t>Western flower thrips (</w:t>
      </w:r>
      <w:r w:rsidRPr="00E400E4">
        <w:rPr>
          <w:i/>
        </w:rPr>
        <w:t>Frankliniella occidentalis</w:t>
      </w:r>
      <w:r w:rsidRPr="00E400E4">
        <w:t>)</w:t>
      </w:r>
      <w:r w:rsidRPr="00E400E4">
        <w:rPr>
          <w:i/>
        </w:rPr>
        <w:t xml:space="preserve"> </w:t>
      </w:r>
      <w:r w:rsidRPr="00E400E4">
        <w:t>(also assessed as a regulated article)</w:t>
      </w:r>
    </w:p>
    <w:p w:rsidR="00555918" w:rsidRPr="00E400E4" w:rsidRDefault="00555918" w:rsidP="00555918">
      <w:pPr>
        <w:pStyle w:val="ListBullet"/>
        <w:numPr>
          <w:ilvl w:val="0"/>
          <w:numId w:val="7"/>
        </w:numPr>
      </w:pPr>
      <w:r w:rsidRPr="00E400E4">
        <w:br w:type="page"/>
      </w:r>
    </w:p>
    <w:p w:rsidR="00555918" w:rsidRPr="00E400E4" w:rsidRDefault="00555918" w:rsidP="000B1771">
      <w:pPr>
        <w:pStyle w:val="Caption"/>
      </w:pPr>
      <w:bookmarkStart w:id="130" w:name="_Ref512334472"/>
      <w:bookmarkStart w:id="131" w:name="_Toc24702436"/>
      <w:r w:rsidRPr="00E400E4">
        <w:lastRenderedPageBreak/>
        <w:t xml:space="preserve">Figure </w:t>
      </w:r>
      <w:r w:rsidRPr="00E400E4">
        <w:rPr>
          <w:noProof/>
        </w:rPr>
        <w:fldChar w:fldCharType="begin"/>
      </w:r>
      <w:r w:rsidRPr="00E400E4">
        <w:rPr>
          <w:noProof/>
        </w:rPr>
        <w:instrText xml:space="preserve"> SEQ Figure \* ARABIC </w:instrText>
      </w:r>
      <w:r w:rsidRPr="00E400E4">
        <w:rPr>
          <w:noProof/>
        </w:rPr>
        <w:fldChar w:fldCharType="separate"/>
      </w:r>
      <w:r w:rsidR="006C029B">
        <w:rPr>
          <w:noProof/>
        </w:rPr>
        <w:t>19</w:t>
      </w:r>
      <w:r w:rsidRPr="00E400E4">
        <w:rPr>
          <w:noProof/>
        </w:rPr>
        <w:fldChar w:fldCharType="end"/>
      </w:r>
      <w:bookmarkEnd w:id="130"/>
      <w:r w:rsidRPr="00E400E4">
        <w:t xml:space="preserve"> Summary of assessment of quarantine pests of concern</w:t>
      </w:r>
      <w:bookmarkEnd w:id="131"/>
    </w:p>
    <w:p w:rsidR="00555918" w:rsidRPr="00E400E4" w:rsidRDefault="009E79B2" w:rsidP="000B1771">
      <w:r>
        <w:pict>
          <v:shape id="_x0000_i1026" type="#_x0000_t75" style="width:9in;height:439.5pt">
            <v:imagedata r:id="rId57" o:title=""/>
          </v:shape>
        </w:pict>
      </w:r>
    </w:p>
    <w:p w:rsidR="00555918" w:rsidRPr="00E400E4" w:rsidRDefault="00555918" w:rsidP="00555918">
      <w:pPr>
        <w:pStyle w:val="ListBullet"/>
        <w:numPr>
          <w:ilvl w:val="0"/>
          <w:numId w:val="7"/>
        </w:numPr>
        <w:sectPr w:rsidR="00555918" w:rsidRPr="00E400E4" w:rsidSect="000B1771">
          <w:headerReference w:type="default" r:id="rId58"/>
          <w:pgSz w:w="11906" w:h="16838"/>
          <w:pgMar w:top="1418" w:right="1418" w:bottom="1418" w:left="1418" w:header="567" w:footer="283" w:gutter="0"/>
          <w:cols w:space="708"/>
          <w:docGrid w:linePitch="360"/>
        </w:sectPr>
      </w:pPr>
    </w:p>
    <w:p w:rsidR="00555918" w:rsidRPr="00E400E4" w:rsidRDefault="00555918" w:rsidP="000B1771">
      <w:pPr>
        <w:pStyle w:val="Heading2"/>
      </w:pPr>
      <w:bookmarkStart w:id="132" w:name="_Toc20392251"/>
      <w:r w:rsidRPr="00E400E4">
        <w:lastRenderedPageBreak/>
        <w:t>Pest risk management</w:t>
      </w:r>
      <w:bookmarkEnd w:id="132"/>
    </w:p>
    <w:p w:rsidR="00555918" w:rsidRPr="00E400E4" w:rsidRDefault="00555918">
      <w:r w:rsidRPr="00E400E4">
        <w:t>This chapter provides information on the management of quarantine pests and regulated thrips identified as having an unrestricted risk that does not achieve the appropriate level of protection (ALOP) for Australia. The recommended risk management measures for these pests are described in this chapter. This chapter also describes the operational system that is required for the maintenance and verification of the phytosanitary status of fresh avocado fruit from Chile for export to Australia.</w:t>
      </w:r>
    </w:p>
    <w:p w:rsidR="00555918" w:rsidRPr="00E400E4" w:rsidRDefault="00555918" w:rsidP="000B1771">
      <w:pPr>
        <w:pStyle w:val="Heading3"/>
      </w:pPr>
      <w:bookmarkStart w:id="133" w:name="_Toc20392252"/>
      <w:r w:rsidRPr="00E400E4">
        <w:t>Pest risk management measures and phytosanitary procedures</w:t>
      </w:r>
      <w:bookmarkEnd w:id="133"/>
    </w:p>
    <w:p w:rsidR="00555918" w:rsidRPr="00E400E4" w:rsidRDefault="00555918" w:rsidP="000B1771">
      <w:r w:rsidRPr="00E400E4">
        <w:t>Pest risk management evaluates and selects options for measures to reduce the risk of entry, establishment or spread of quarantine pests and regulated thrips for Australia, where they have been assessed to have an unrestricted risk that does not achieve the ALOP for Australia. In calculating the unrestricted risk estimates, the standard commercial production practices in Chile have been considered, including the post-harvest procedures and the packing of fruit (as described in Chapter 3: Chile’s commercial production practices for avocados).</w:t>
      </w:r>
    </w:p>
    <w:p w:rsidR="00555918" w:rsidRPr="00E400E4" w:rsidRDefault="00555918" w:rsidP="000B1771">
      <w:r w:rsidRPr="00E400E4">
        <w:t xml:space="preserve">Pest risk management measures identified for quarantine thrips are considered appropriate for the regulated thrips. </w:t>
      </w:r>
    </w:p>
    <w:p w:rsidR="00555918" w:rsidRPr="00E400E4" w:rsidRDefault="00555918" w:rsidP="000B1771">
      <w:r w:rsidRPr="00E400E4">
        <w:t>In addition to Chile’s standard commercial production systems and packing house operations for avocados (as described in Chapter 3: Chile’s commercial production practices for avocados), specific pest risk management measures are recommended in order to achieve the ALOP for Australia.</w:t>
      </w:r>
    </w:p>
    <w:p w:rsidR="00555918" w:rsidRPr="00E400E4" w:rsidRDefault="00555918" w:rsidP="000B1771">
      <w:r w:rsidRPr="00E400E4">
        <w:t>In this chapter, the Department of Agriculture has recommended risk management measures that may be applied to consignments of avocados sourced from Chile. Finalisation of the import conditions may be undertaken with input from the Australian states and territories as appropriate.</w:t>
      </w:r>
    </w:p>
    <w:p w:rsidR="00555918" w:rsidRPr="00E400E4" w:rsidRDefault="00555918" w:rsidP="000B1771">
      <w:pPr>
        <w:pStyle w:val="Heading4"/>
      </w:pPr>
      <w:r w:rsidRPr="00E400E4">
        <w:t>Analysis of pest interception data to date</w:t>
      </w:r>
    </w:p>
    <w:p w:rsidR="00555918" w:rsidRPr="00E400E4" w:rsidRDefault="00555918" w:rsidP="000B1771">
      <w:r w:rsidRPr="00E400E4">
        <w:t>Australia currently only allows imports of avocados from New Zealand, with over 160,000 tonnes imported since 2006. Data for imports show that the organisms intercepted on avocado consignments include species of mites (Trombidiformes), armoured scales (Diaspididae), mealybugs (Pseudococcidae) and thrips (Thripidae). All of the organisms intercepted are actioned appropriately according to their quarantine status.</w:t>
      </w:r>
    </w:p>
    <w:p w:rsidR="00555918" w:rsidRPr="00E400E4" w:rsidRDefault="00555918" w:rsidP="000B1771">
      <w:pPr>
        <w:pStyle w:val="Heading4"/>
      </w:pPr>
      <w:r w:rsidRPr="00E400E4">
        <w:t>Pest risk management for quarantine pests and regulated thrips associated with avocados from Chile</w:t>
      </w:r>
    </w:p>
    <w:p w:rsidR="00555918" w:rsidRPr="00E400E4" w:rsidRDefault="00555918">
      <w:r w:rsidRPr="00E400E4">
        <w:t xml:space="preserve">The pest risk assessment process identified the quarantine pests and regulated thrips listed in </w:t>
      </w:r>
      <w:r w:rsidRPr="00E400E4">
        <w:fldChar w:fldCharType="begin"/>
      </w:r>
      <w:r w:rsidRPr="00E400E4">
        <w:instrText xml:space="preserve"> REF _Ref512849989 \h  \* MERGEFORMAT </w:instrText>
      </w:r>
      <w:r w:rsidRPr="00E400E4">
        <w:fldChar w:fldCharType="separate"/>
      </w:r>
      <w:r w:rsidR="006C029B" w:rsidRPr="00E400E4">
        <w:t xml:space="preserve">Table </w:t>
      </w:r>
      <w:r w:rsidR="006C029B">
        <w:rPr>
          <w:noProof/>
        </w:rPr>
        <w:t>5</w:t>
      </w:r>
      <w:r w:rsidR="006C029B" w:rsidRPr="00E400E4">
        <w:rPr>
          <w:noProof/>
        </w:rPr>
        <w:t>.</w:t>
      </w:r>
      <w:r w:rsidR="006C029B">
        <w:rPr>
          <w:noProof/>
        </w:rPr>
        <w:t>1</w:t>
      </w:r>
      <w:r w:rsidRPr="00E400E4">
        <w:fldChar w:fldCharType="end"/>
      </w:r>
      <w:r w:rsidRPr="00E400E4">
        <w:t xml:space="preserve"> as having unrestricted risks that do not achieve the ALOP for Australia. Therefore, risk management measures are required to manage the risks posed by these pests. The recommended measures are listed in </w:t>
      </w:r>
      <w:r w:rsidRPr="00E400E4">
        <w:fldChar w:fldCharType="begin"/>
      </w:r>
      <w:r w:rsidRPr="00E400E4">
        <w:instrText xml:space="preserve"> REF _Ref512849989 \h  \* MERGEFORMAT </w:instrText>
      </w:r>
      <w:r w:rsidRPr="00E400E4">
        <w:fldChar w:fldCharType="separate"/>
      </w:r>
      <w:r w:rsidR="006C029B" w:rsidRPr="00E400E4">
        <w:t xml:space="preserve">Table </w:t>
      </w:r>
      <w:r w:rsidR="006C029B">
        <w:rPr>
          <w:noProof/>
        </w:rPr>
        <w:t>5</w:t>
      </w:r>
      <w:r w:rsidR="006C029B" w:rsidRPr="00E400E4">
        <w:rPr>
          <w:noProof/>
        </w:rPr>
        <w:t>.</w:t>
      </w:r>
      <w:r w:rsidR="006C029B">
        <w:rPr>
          <w:noProof/>
        </w:rPr>
        <w:t>1</w:t>
      </w:r>
      <w:r w:rsidRPr="00E400E4">
        <w:fldChar w:fldCharType="end"/>
      </w:r>
      <w:r w:rsidRPr="00E400E4">
        <w:t>.</w:t>
      </w:r>
    </w:p>
    <w:p w:rsidR="00555918" w:rsidRPr="00E400E4" w:rsidRDefault="00555918">
      <w:pPr>
        <w:spacing w:after="0" w:line="240" w:lineRule="auto"/>
        <w:rPr>
          <w:shd w:val="clear" w:color="auto" w:fill="DEEAF6" w:themeFill="accent1" w:themeFillTint="33"/>
        </w:rPr>
      </w:pPr>
      <w:r w:rsidRPr="00E400E4">
        <w:rPr>
          <w:shd w:val="clear" w:color="auto" w:fill="DEEAF6" w:themeFill="accent1" w:themeFillTint="33"/>
        </w:rPr>
        <w:br w:type="page"/>
      </w:r>
    </w:p>
    <w:p w:rsidR="00555918" w:rsidRPr="00E400E4" w:rsidRDefault="00555918" w:rsidP="000B1771">
      <w:pPr>
        <w:pStyle w:val="Caption"/>
      </w:pPr>
      <w:bookmarkStart w:id="134" w:name="_Ref512849989"/>
      <w:bookmarkStart w:id="135" w:name="_Toc24702450"/>
      <w:r w:rsidRPr="00E400E4">
        <w:lastRenderedPageBreak/>
        <w:t xml:space="preserve">Table </w:t>
      </w:r>
      <w:r w:rsidRPr="00E400E4">
        <w:rPr>
          <w:noProof/>
        </w:rPr>
        <w:fldChar w:fldCharType="begin"/>
      </w:r>
      <w:r w:rsidRPr="00E400E4">
        <w:rPr>
          <w:noProof/>
        </w:rPr>
        <w:instrText xml:space="preserve"> STYLEREF 2 \s </w:instrText>
      </w:r>
      <w:r w:rsidRPr="00E400E4">
        <w:rPr>
          <w:noProof/>
        </w:rPr>
        <w:fldChar w:fldCharType="separate"/>
      </w:r>
      <w:r w:rsidR="006C029B">
        <w:rPr>
          <w:noProof/>
        </w:rPr>
        <w:t>5</w:t>
      </w:r>
      <w:r w:rsidRPr="00E400E4">
        <w:rPr>
          <w:noProof/>
        </w:rPr>
        <w:fldChar w:fldCharType="end"/>
      </w:r>
      <w:r w:rsidRPr="00E400E4">
        <w:t>.</w:t>
      </w:r>
      <w:r w:rsidRPr="00E400E4">
        <w:rPr>
          <w:noProof/>
        </w:rPr>
        <w:fldChar w:fldCharType="begin"/>
      </w:r>
      <w:r w:rsidRPr="00E400E4">
        <w:rPr>
          <w:noProof/>
        </w:rPr>
        <w:instrText xml:space="preserve"> SEQ Table \* ARABIC \s 2 </w:instrText>
      </w:r>
      <w:r w:rsidRPr="00E400E4">
        <w:rPr>
          <w:noProof/>
        </w:rPr>
        <w:fldChar w:fldCharType="separate"/>
      </w:r>
      <w:r w:rsidR="006C029B">
        <w:rPr>
          <w:noProof/>
        </w:rPr>
        <w:t>1</w:t>
      </w:r>
      <w:r w:rsidRPr="00E400E4">
        <w:rPr>
          <w:noProof/>
        </w:rPr>
        <w:fldChar w:fldCharType="end"/>
      </w:r>
      <w:bookmarkEnd w:id="134"/>
      <w:r w:rsidRPr="00E400E4">
        <w:t xml:space="preserve"> Risk management measures recommended for quarantine pests and regulated thrips associated with avocados from Chile</w:t>
      </w:r>
      <w:bookmarkEnd w:id="135"/>
    </w:p>
    <w:tbl>
      <w:tblPr>
        <w:tblW w:w="0" w:type="auto"/>
        <w:tblBorders>
          <w:top w:val="single" w:sz="4" w:space="0" w:color="auto"/>
          <w:bottom w:val="single" w:sz="4" w:space="0" w:color="auto"/>
        </w:tblBorders>
        <w:tblLook w:val="04A0" w:firstRow="1" w:lastRow="0" w:firstColumn="1" w:lastColumn="0" w:noHBand="0" w:noVBand="1"/>
      </w:tblPr>
      <w:tblGrid>
        <w:gridCol w:w="3119"/>
        <w:gridCol w:w="2126"/>
        <w:gridCol w:w="3825"/>
      </w:tblGrid>
      <w:tr w:rsidR="00555918" w:rsidRPr="00E400E4" w:rsidTr="000B1771">
        <w:tc>
          <w:tcPr>
            <w:tcW w:w="3119" w:type="dxa"/>
            <w:tcBorders>
              <w:top w:val="single" w:sz="4" w:space="0" w:color="auto"/>
              <w:bottom w:val="nil"/>
            </w:tcBorders>
          </w:tcPr>
          <w:p w:rsidR="00555918" w:rsidRPr="00E400E4" w:rsidRDefault="00555918" w:rsidP="000B1771">
            <w:pPr>
              <w:pStyle w:val="TableHeading"/>
            </w:pPr>
            <w:r w:rsidRPr="00E400E4">
              <w:t>Pest</w:t>
            </w:r>
          </w:p>
        </w:tc>
        <w:tc>
          <w:tcPr>
            <w:tcW w:w="2126" w:type="dxa"/>
            <w:tcBorders>
              <w:top w:val="single" w:sz="4" w:space="0" w:color="auto"/>
              <w:bottom w:val="nil"/>
            </w:tcBorders>
          </w:tcPr>
          <w:p w:rsidR="00555918" w:rsidRPr="00E400E4" w:rsidRDefault="00555918" w:rsidP="000B1771">
            <w:pPr>
              <w:pStyle w:val="TableHeading"/>
            </w:pPr>
            <w:r w:rsidRPr="00E400E4">
              <w:t>Common name</w:t>
            </w:r>
          </w:p>
        </w:tc>
        <w:tc>
          <w:tcPr>
            <w:tcW w:w="3825" w:type="dxa"/>
            <w:tcBorders>
              <w:top w:val="single" w:sz="4" w:space="0" w:color="auto"/>
              <w:bottom w:val="nil"/>
            </w:tcBorders>
          </w:tcPr>
          <w:p w:rsidR="00555918" w:rsidRPr="00E400E4" w:rsidRDefault="00555918" w:rsidP="000B1771">
            <w:pPr>
              <w:pStyle w:val="TableHeading"/>
            </w:pPr>
            <w:r w:rsidRPr="00E400E4">
              <w:t>Measures</w:t>
            </w:r>
          </w:p>
        </w:tc>
      </w:tr>
      <w:tr w:rsidR="00555918" w:rsidRPr="00E400E4" w:rsidTr="000B1771">
        <w:tc>
          <w:tcPr>
            <w:tcW w:w="3119" w:type="dxa"/>
            <w:tcBorders>
              <w:top w:val="single" w:sz="4" w:space="0" w:color="D9D9D9" w:themeColor="background1" w:themeShade="D9"/>
              <w:bottom w:val="single" w:sz="4" w:space="0" w:color="D9D9D9" w:themeColor="background1" w:themeShade="D9"/>
            </w:tcBorders>
          </w:tcPr>
          <w:p w:rsidR="00555918" w:rsidRPr="00E400E4" w:rsidRDefault="00555918" w:rsidP="000B1771">
            <w:pPr>
              <w:pStyle w:val="TableText"/>
              <w:rPr>
                <w:b/>
              </w:rPr>
            </w:pPr>
            <w:r w:rsidRPr="00E400E4">
              <w:rPr>
                <w:b/>
              </w:rPr>
              <w:t>Fruit fly</w:t>
            </w:r>
          </w:p>
        </w:tc>
        <w:tc>
          <w:tcPr>
            <w:tcW w:w="2126" w:type="dxa"/>
            <w:tcBorders>
              <w:top w:val="single" w:sz="4" w:space="0" w:color="D9D9D9" w:themeColor="background1" w:themeShade="D9"/>
              <w:bottom w:val="single" w:sz="4" w:space="0" w:color="D9D9D9" w:themeColor="background1" w:themeShade="D9"/>
            </w:tcBorders>
          </w:tcPr>
          <w:p w:rsidR="00555918" w:rsidRPr="00E400E4" w:rsidRDefault="00555918" w:rsidP="000B1771">
            <w:pPr>
              <w:pStyle w:val="TableText"/>
            </w:pPr>
          </w:p>
        </w:tc>
        <w:tc>
          <w:tcPr>
            <w:tcW w:w="3825" w:type="dxa"/>
            <w:tcBorders>
              <w:top w:val="single" w:sz="4" w:space="0" w:color="D9D9D9" w:themeColor="background1" w:themeShade="D9"/>
              <w:bottom w:val="single" w:sz="4" w:space="0" w:color="D9D9D9" w:themeColor="background1" w:themeShade="D9"/>
            </w:tcBorders>
          </w:tcPr>
          <w:p w:rsidR="00555918" w:rsidRPr="00E400E4" w:rsidRDefault="00555918" w:rsidP="000B1771">
            <w:pPr>
              <w:pStyle w:val="TableText"/>
            </w:pPr>
          </w:p>
        </w:tc>
      </w:tr>
      <w:tr w:rsidR="00555918" w:rsidRPr="00E400E4" w:rsidTr="000B1771">
        <w:tc>
          <w:tcPr>
            <w:tcW w:w="3119" w:type="dxa"/>
            <w:tcBorders>
              <w:top w:val="single" w:sz="4" w:space="0" w:color="D9D9D9" w:themeColor="background1" w:themeShade="D9"/>
              <w:bottom w:val="single" w:sz="4" w:space="0" w:color="auto"/>
            </w:tcBorders>
          </w:tcPr>
          <w:p w:rsidR="00555918" w:rsidRPr="00E400E4" w:rsidRDefault="00555918" w:rsidP="000B1771">
            <w:pPr>
              <w:pStyle w:val="TableText"/>
              <w:rPr>
                <w:vertAlign w:val="superscript"/>
              </w:rPr>
            </w:pPr>
            <w:r w:rsidRPr="00E400E4">
              <w:rPr>
                <w:i/>
              </w:rPr>
              <w:t>Ceratitis capitata</w:t>
            </w:r>
            <w:r w:rsidRPr="00E400E4">
              <w:t xml:space="preserve"> (EP)</w:t>
            </w:r>
          </w:p>
        </w:tc>
        <w:tc>
          <w:tcPr>
            <w:tcW w:w="2126" w:type="dxa"/>
            <w:tcBorders>
              <w:top w:val="single" w:sz="4" w:space="0" w:color="D9D9D9" w:themeColor="background1" w:themeShade="D9"/>
              <w:bottom w:val="single" w:sz="4" w:space="0" w:color="auto"/>
            </w:tcBorders>
          </w:tcPr>
          <w:p w:rsidR="00555918" w:rsidRPr="00E400E4" w:rsidRDefault="00555918" w:rsidP="000B1771">
            <w:pPr>
              <w:pStyle w:val="TableText"/>
            </w:pPr>
            <w:r w:rsidRPr="00E400E4">
              <w:t>Mediterranean fruit fly</w:t>
            </w:r>
          </w:p>
        </w:tc>
        <w:tc>
          <w:tcPr>
            <w:tcW w:w="3825" w:type="dxa"/>
            <w:tcBorders>
              <w:top w:val="single" w:sz="4" w:space="0" w:color="D9D9D9" w:themeColor="background1" w:themeShade="D9"/>
              <w:bottom w:val="single" w:sz="4" w:space="0" w:color="auto"/>
            </w:tcBorders>
          </w:tcPr>
          <w:p w:rsidR="00555918" w:rsidRPr="00E400E4" w:rsidRDefault="00555918" w:rsidP="000B1771">
            <w:pPr>
              <w:pStyle w:val="TableText"/>
            </w:pPr>
            <w:r w:rsidRPr="00E400E4">
              <w:t xml:space="preserve">Area freedom </w:t>
            </w:r>
            <w:r w:rsidRPr="00E400E4">
              <w:rPr>
                <w:b/>
              </w:rPr>
              <w:t>a</w:t>
            </w:r>
          </w:p>
          <w:p w:rsidR="00555918" w:rsidRPr="00E400E4" w:rsidRDefault="00555918" w:rsidP="000B1771">
            <w:pPr>
              <w:pStyle w:val="TableText"/>
            </w:pPr>
            <w:r w:rsidRPr="00E400E4">
              <w:t>OR</w:t>
            </w:r>
          </w:p>
          <w:p w:rsidR="00555918" w:rsidRPr="00E400E4" w:rsidRDefault="00555918" w:rsidP="000B1771">
            <w:pPr>
              <w:pStyle w:val="TableText"/>
            </w:pPr>
            <w:r w:rsidRPr="00E400E4">
              <w:t xml:space="preserve">Fruit treatment considered to be effective against all life stages of </w:t>
            </w:r>
            <w:r w:rsidRPr="00E400E4">
              <w:rPr>
                <w:i/>
              </w:rPr>
              <w:t>C. capitata</w:t>
            </w:r>
            <w:r w:rsidRPr="00E400E4">
              <w:t xml:space="preserve"> (for example, cold disinfestation treatment) for all cultivars</w:t>
            </w:r>
          </w:p>
          <w:p w:rsidR="00555918" w:rsidRPr="00E400E4" w:rsidRDefault="00555918" w:rsidP="000B1771">
            <w:pPr>
              <w:pStyle w:val="TableText"/>
            </w:pPr>
            <w:r w:rsidRPr="00E400E4">
              <w:t>OR</w:t>
            </w:r>
          </w:p>
          <w:p w:rsidR="00555918" w:rsidRPr="00E400E4" w:rsidRDefault="00555918" w:rsidP="000B1771">
            <w:pPr>
              <w:pStyle w:val="TableText"/>
            </w:pPr>
            <w:r w:rsidRPr="00E400E4">
              <w:t xml:space="preserve">Hard condition of fruit for Hass cultivar only </w:t>
            </w:r>
          </w:p>
        </w:tc>
      </w:tr>
      <w:tr w:rsidR="00555918" w:rsidRPr="00E400E4" w:rsidTr="000B1771">
        <w:tc>
          <w:tcPr>
            <w:tcW w:w="3119" w:type="dxa"/>
            <w:tcBorders>
              <w:top w:val="single" w:sz="4" w:space="0" w:color="auto"/>
              <w:bottom w:val="single" w:sz="4" w:space="0" w:color="D9D9D9" w:themeColor="background1" w:themeShade="D9"/>
            </w:tcBorders>
          </w:tcPr>
          <w:p w:rsidR="00555918" w:rsidRPr="00E400E4" w:rsidRDefault="00555918" w:rsidP="000B1771">
            <w:pPr>
              <w:pStyle w:val="TableText"/>
              <w:rPr>
                <w:b/>
              </w:rPr>
            </w:pPr>
            <w:r w:rsidRPr="00E400E4">
              <w:rPr>
                <w:b/>
              </w:rPr>
              <w:t>Mealybug</w:t>
            </w:r>
          </w:p>
        </w:tc>
        <w:tc>
          <w:tcPr>
            <w:tcW w:w="2126" w:type="dxa"/>
            <w:tcBorders>
              <w:top w:val="single" w:sz="4" w:space="0" w:color="auto"/>
              <w:bottom w:val="single" w:sz="4" w:space="0" w:color="D9D9D9" w:themeColor="background1" w:themeShade="D9"/>
            </w:tcBorders>
          </w:tcPr>
          <w:p w:rsidR="00555918" w:rsidRPr="00E400E4" w:rsidRDefault="00555918" w:rsidP="000B1771">
            <w:pPr>
              <w:pStyle w:val="TableText"/>
            </w:pPr>
          </w:p>
        </w:tc>
        <w:tc>
          <w:tcPr>
            <w:tcW w:w="3825" w:type="dxa"/>
            <w:tcBorders>
              <w:top w:val="single" w:sz="4" w:space="0" w:color="auto"/>
              <w:bottom w:val="single" w:sz="4" w:space="0" w:color="D9D9D9" w:themeColor="background1" w:themeShade="D9"/>
            </w:tcBorders>
          </w:tcPr>
          <w:p w:rsidR="00555918" w:rsidRPr="00E400E4" w:rsidRDefault="00555918" w:rsidP="000B1771">
            <w:pPr>
              <w:pStyle w:val="TableText"/>
            </w:pPr>
          </w:p>
        </w:tc>
      </w:tr>
      <w:tr w:rsidR="00555918" w:rsidRPr="00E400E4" w:rsidTr="000B1771">
        <w:tc>
          <w:tcPr>
            <w:tcW w:w="3119" w:type="dxa"/>
            <w:tcBorders>
              <w:top w:val="single" w:sz="4" w:space="0" w:color="D9D9D9" w:themeColor="background1" w:themeShade="D9"/>
              <w:bottom w:val="single" w:sz="4" w:space="0" w:color="auto"/>
            </w:tcBorders>
          </w:tcPr>
          <w:p w:rsidR="00555918" w:rsidRPr="00E400E4" w:rsidRDefault="00555918" w:rsidP="000B1771">
            <w:pPr>
              <w:pStyle w:val="TableText"/>
              <w:rPr>
                <w:b/>
              </w:rPr>
            </w:pPr>
            <w:r w:rsidRPr="00E400E4">
              <w:rPr>
                <w:i/>
              </w:rPr>
              <w:t>Pseudococcus maritimus</w:t>
            </w:r>
            <w:r w:rsidRPr="00E400E4">
              <w:t xml:space="preserve"> (EP)</w:t>
            </w:r>
          </w:p>
        </w:tc>
        <w:tc>
          <w:tcPr>
            <w:tcW w:w="2126" w:type="dxa"/>
            <w:tcBorders>
              <w:top w:val="single" w:sz="4" w:space="0" w:color="D9D9D9" w:themeColor="background1" w:themeShade="D9"/>
              <w:bottom w:val="single" w:sz="4" w:space="0" w:color="auto"/>
            </w:tcBorders>
          </w:tcPr>
          <w:p w:rsidR="00555918" w:rsidRPr="00E400E4" w:rsidRDefault="00555918" w:rsidP="000B1771">
            <w:pPr>
              <w:pStyle w:val="TableText"/>
            </w:pPr>
            <w:r w:rsidRPr="00E400E4">
              <w:t>Grape mealybug</w:t>
            </w:r>
          </w:p>
        </w:tc>
        <w:tc>
          <w:tcPr>
            <w:tcW w:w="3825" w:type="dxa"/>
            <w:tcBorders>
              <w:top w:val="single" w:sz="4" w:space="0" w:color="D9D9D9" w:themeColor="background1" w:themeShade="D9"/>
              <w:bottom w:val="single" w:sz="4" w:space="0" w:color="auto"/>
            </w:tcBorders>
          </w:tcPr>
          <w:p w:rsidR="00555918" w:rsidRPr="00E400E4" w:rsidRDefault="00555918" w:rsidP="000B1771">
            <w:pPr>
              <w:pStyle w:val="TableText"/>
            </w:pPr>
            <w:r w:rsidRPr="00E400E4">
              <w:t xml:space="preserve">Pre-export visual inspection and, if found, remedial action </w:t>
            </w:r>
            <w:r w:rsidRPr="00E400E4">
              <w:rPr>
                <w:b/>
              </w:rPr>
              <w:t>b</w:t>
            </w:r>
          </w:p>
        </w:tc>
      </w:tr>
      <w:tr w:rsidR="00555918" w:rsidRPr="00E400E4" w:rsidTr="000B1771">
        <w:tc>
          <w:tcPr>
            <w:tcW w:w="3119" w:type="dxa"/>
            <w:tcBorders>
              <w:top w:val="single" w:sz="4" w:space="0" w:color="auto"/>
              <w:bottom w:val="single" w:sz="4" w:space="0" w:color="D9D9D9" w:themeColor="background1" w:themeShade="D9"/>
            </w:tcBorders>
          </w:tcPr>
          <w:p w:rsidR="00555918" w:rsidRPr="00E400E4" w:rsidRDefault="00555918" w:rsidP="000B1771">
            <w:pPr>
              <w:pStyle w:val="TableText"/>
              <w:rPr>
                <w:b/>
              </w:rPr>
            </w:pPr>
            <w:r w:rsidRPr="00E400E4">
              <w:rPr>
                <w:b/>
              </w:rPr>
              <w:t>Thrips</w:t>
            </w:r>
          </w:p>
        </w:tc>
        <w:tc>
          <w:tcPr>
            <w:tcW w:w="2126" w:type="dxa"/>
            <w:tcBorders>
              <w:top w:val="single" w:sz="4" w:space="0" w:color="auto"/>
              <w:bottom w:val="single" w:sz="4" w:space="0" w:color="D9D9D9" w:themeColor="background1" w:themeShade="D9"/>
            </w:tcBorders>
          </w:tcPr>
          <w:p w:rsidR="00555918" w:rsidRPr="00E400E4" w:rsidRDefault="00555918" w:rsidP="000B1771">
            <w:pPr>
              <w:pStyle w:val="TableText"/>
            </w:pPr>
          </w:p>
        </w:tc>
        <w:tc>
          <w:tcPr>
            <w:tcW w:w="3825" w:type="dxa"/>
            <w:tcBorders>
              <w:top w:val="single" w:sz="4" w:space="0" w:color="auto"/>
              <w:bottom w:val="single" w:sz="4" w:space="0" w:color="D9D9D9" w:themeColor="background1" w:themeShade="D9"/>
            </w:tcBorders>
          </w:tcPr>
          <w:p w:rsidR="00555918" w:rsidRPr="00E400E4" w:rsidRDefault="00555918" w:rsidP="000B1771">
            <w:pPr>
              <w:pStyle w:val="TableText"/>
            </w:pPr>
          </w:p>
        </w:tc>
      </w:tr>
      <w:tr w:rsidR="00555918" w:rsidRPr="00E400E4" w:rsidTr="000B1771">
        <w:tc>
          <w:tcPr>
            <w:tcW w:w="3119" w:type="dxa"/>
            <w:tcBorders>
              <w:top w:val="single" w:sz="4" w:space="0" w:color="D9D9D9" w:themeColor="background1" w:themeShade="D9"/>
              <w:bottom w:val="single" w:sz="4" w:space="0" w:color="D9D9D9" w:themeColor="background1" w:themeShade="D9"/>
            </w:tcBorders>
          </w:tcPr>
          <w:p w:rsidR="00555918" w:rsidRPr="00E400E4" w:rsidRDefault="00555918" w:rsidP="000B1771">
            <w:pPr>
              <w:pStyle w:val="TableText"/>
              <w:rPr>
                <w:i/>
              </w:rPr>
            </w:pPr>
            <w:r w:rsidRPr="00E400E4">
              <w:rPr>
                <w:i/>
              </w:rPr>
              <w:t xml:space="preserve">Frankliniella australis </w:t>
            </w:r>
            <w:r w:rsidRPr="00E400E4">
              <w:t>(GP)</w:t>
            </w:r>
          </w:p>
        </w:tc>
        <w:tc>
          <w:tcPr>
            <w:tcW w:w="2126" w:type="dxa"/>
            <w:tcBorders>
              <w:top w:val="single" w:sz="4" w:space="0" w:color="D9D9D9" w:themeColor="background1" w:themeShade="D9"/>
              <w:bottom w:val="single" w:sz="4" w:space="0" w:color="D9D9D9" w:themeColor="background1" w:themeShade="D9"/>
            </w:tcBorders>
          </w:tcPr>
          <w:p w:rsidR="00555918" w:rsidRPr="00E400E4" w:rsidRDefault="00555918" w:rsidP="000B1771">
            <w:pPr>
              <w:pStyle w:val="TableText"/>
            </w:pPr>
            <w:r w:rsidRPr="00E400E4">
              <w:t>Chilean flower thrips</w:t>
            </w:r>
          </w:p>
        </w:tc>
        <w:tc>
          <w:tcPr>
            <w:tcW w:w="3825" w:type="dxa"/>
            <w:tcBorders>
              <w:top w:val="single" w:sz="4" w:space="0" w:color="D9D9D9" w:themeColor="background1" w:themeShade="D9"/>
              <w:bottom w:val="single" w:sz="4" w:space="0" w:color="D9D9D9" w:themeColor="background1" w:themeShade="D9"/>
            </w:tcBorders>
          </w:tcPr>
          <w:p w:rsidR="00555918" w:rsidRPr="00E400E4" w:rsidRDefault="00555918" w:rsidP="000B1771">
            <w:pPr>
              <w:pStyle w:val="TableText"/>
            </w:pPr>
            <w:r w:rsidRPr="00E400E4">
              <w:t xml:space="preserve">Pre-export visual inspection and, if found, remedial action </w:t>
            </w:r>
            <w:r w:rsidRPr="00E400E4">
              <w:rPr>
                <w:b/>
              </w:rPr>
              <w:t>b</w:t>
            </w:r>
          </w:p>
        </w:tc>
      </w:tr>
      <w:tr w:rsidR="00555918" w:rsidRPr="00E400E4" w:rsidTr="000B1771">
        <w:tc>
          <w:tcPr>
            <w:tcW w:w="3119" w:type="dxa"/>
            <w:tcBorders>
              <w:top w:val="single" w:sz="4" w:space="0" w:color="D9D9D9" w:themeColor="background1" w:themeShade="D9"/>
              <w:bottom w:val="single" w:sz="4" w:space="0" w:color="D9D9D9" w:themeColor="background1" w:themeShade="D9"/>
            </w:tcBorders>
          </w:tcPr>
          <w:p w:rsidR="00555918" w:rsidRPr="00E400E4" w:rsidRDefault="00555918" w:rsidP="000B1771">
            <w:pPr>
              <w:pStyle w:val="TableText"/>
              <w:rPr>
                <w:i/>
              </w:rPr>
            </w:pPr>
            <w:r w:rsidRPr="00E400E4">
              <w:rPr>
                <w:i/>
              </w:rPr>
              <w:t>Frankliniella gemina</w:t>
            </w:r>
            <w:r w:rsidRPr="00E400E4">
              <w:t xml:space="preserve"> (GP)</w:t>
            </w:r>
          </w:p>
        </w:tc>
        <w:tc>
          <w:tcPr>
            <w:tcW w:w="2126" w:type="dxa"/>
            <w:tcBorders>
              <w:top w:val="single" w:sz="4" w:space="0" w:color="D9D9D9" w:themeColor="background1" w:themeShade="D9"/>
              <w:bottom w:val="single" w:sz="4" w:space="0" w:color="D9D9D9" w:themeColor="background1" w:themeShade="D9"/>
            </w:tcBorders>
          </w:tcPr>
          <w:p w:rsidR="00555918" w:rsidRPr="00E400E4" w:rsidRDefault="00555918" w:rsidP="000B1771">
            <w:pPr>
              <w:pStyle w:val="TableText"/>
            </w:pPr>
            <w:r w:rsidRPr="00E400E4">
              <w:t>Tamarugo thrips</w:t>
            </w:r>
          </w:p>
        </w:tc>
        <w:tc>
          <w:tcPr>
            <w:tcW w:w="3825" w:type="dxa"/>
            <w:tcBorders>
              <w:top w:val="single" w:sz="4" w:space="0" w:color="D9D9D9" w:themeColor="background1" w:themeShade="D9"/>
              <w:bottom w:val="single" w:sz="4" w:space="0" w:color="D9D9D9" w:themeColor="background1" w:themeShade="D9"/>
            </w:tcBorders>
          </w:tcPr>
          <w:p w:rsidR="00555918" w:rsidRPr="00E400E4" w:rsidRDefault="00555918" w:rsidP="000B1771">
            <w:pPr>
              <w:pStyle w:val="TableText"/>
            </w:pPr>
            <w:r w:rsidRPr="00E400E4">
              <w:t xml:space="preserve">Pre-export visual inspection and, if found, remedial action </w:t>
            </w:r>
            <w:r w:rsidRPr="00E400E4">
              <w:rPr>
                <w:b/>
              </w:rPr>
              <w:t>b</w:t>
            </w:r>
          </w:p>
        </w:tc>
      </w:tr>
      <w:tr w:rsidR="00555918" w:rsidRPr="00E400E4" w:rsidTr="000B1771">
        <w:tc>
          <w:tcPr>
            <w:tcW w:w="3119" w:type="dxa"/>
            <w:tcBorders>
              <w:top w:val="single" w:sz="4" w:space="0" w:color="D9D9D9" w:themeColor="background1" w:themeShade="D9"/>
              <w:bottom w:val="single" w:sz="4" w:space="0" w:color="auto"/>
            </w:tcBorders>
          </w:tcPr>
          <w:p w:rsidR="00555918" w:rsidRPr="00E400E4" w:rsidRDefault="00555918" w:rsidP="000B1771">
            <w:pPr>
              <w:pStyle w:val="TableText"/>
              <w:rPr>
                <w:i/>
              </w:rPr>
            </w:pPr>
            <w:r w:rsidRPr="00E400E4">
              <w:rPr>
                <w:i/>
              </w:rPr>
              <w:t>Frankliniella occidentalis</w:t>
            </w:r>
            <w:r w:rsidRPr="00E400E4">
              <w:t xml:space="preserve"> (GP, NT, RA)</w:t>
            </w:r>
          </w:p>
        </w:tc>
        <w:tc>
          <w:tcPr>
            <w:tcW w:w="2126" w:type="dxa"/>
            <w:tcBorders>
              <w:top w:val="single" w:sz="4" w:space="0" w:color="D9D9D9" w:themeColor="background1" w:themeShade="D9"/>
              <w:bottom w:val="single" w:sz="4" w:space="0" w:color="auto"/>
            </w:tcBorders>
          </w:tcPr>
          <w:p w:rsidR="00555918" w:rsidRPr="00E400E4" w:rsidRDefault="00555918" w:rsidP="000B1771">
            <w:pPr>
              <w:pStyle w:val="TableText"/>
            </w:pPr>
            <w:r w:rsidRPr="00E400E4">
              <w:t>Western flower thrips</w:t>
            </w:r>
          </w:p>
        </w:tc>
        <w:tc>
          <w:tcPr>
            <w:tcW w:w="3825" w:type="dxa"/>
            <w:tcBorders>
              <w:top w:val="single" w:sz="4" w:space="0" w:color="D9D9D9" w:themeColor="background1" w:themeShade="D9"/>
              <w:bottom w:val="single" w:sz="4" w:space="0" w:color="auto"/>
            </w:tcBorders>
          </w:tcPr>
          <w:p w:rsidR="00555918" w:rsidRPr="00E400E4" w:rsidRDefault="00555918" w:rsidP="000B1771">
            <w:pPr>
              <w:pStyle w:val="TableText"/>
            </w:pPr>
            <w:r w:rsidRPr="00E400E4">
              <w:t xml:space="preserve">Pre-export visual inspection and, if found, remedial action </w:t>
            </w:r>
            <w:r w:rsidRPr="00E400E4">
              <w:rPr>
                <w:b/>
              </w:rPr>
              <w:t>b</w:t>
            </w:r>
          </w:p>
        </w:tc>
      </w:tr>
      <w:tr w:rsidR="00555918" w:rsidRPr="00E400E4" w:rsidTr="000B1771">
        <w:tc>
          <w:tcPr>
            <w:tcW w:w="3119" w:type="dxa"/>
            <w:tcBorders>
              <w:top w:val="single" w:sz="4" w:space="0" w:color="auto"/>
              <w:bottom w:val="single" w:sz="4" w:space="0" w:color="D9D9D9" w:themeColor="background1" w:themeShade="D9"/>
            </w:tcBorders>
          </w:tcPr>
          <w:p w:rsidR="00555918" w:rsidRPr="00E400E4" w:rsidRDefault="00555918" w:rsidP="000B1771">
            <w:pPr>
              <w:pStyle w:val="TableText"/>
              <w:rPr>
                <w:b/>
              </w:rPr>
            </w:pPr>
            <w:r w:rsidRPr="00E400E4">
              <w:rPr>
                <w:b/>
                <w:i/>
              </w:rPr>
              <w:t>Oligonychus</w:t>
            </w:r>
            <w:r w:rsidRPr="00E400E4">
              <w:rPr>
                <w:b/>
              </w:rPr>
              <w:t xml:space="preserve"> spider mites</w:t>
            </w:r>
          </w:p>
        </w:tc>
        <w:tc>
          <w:tcPr>
            <w:tcW w:w="2126" w:type="dxa"/>
            <w:tcBorders>
              <w:top w:val="single" w:sz="4" w:space="0" w:color="auto"/>
              <w:bottom w:val="single" w:sz="4" w:space="0" w:color="D9D9D9" w:themeColor="background1" w:themeShade="D9"/>
            </w:tcBorders>
          </w:tcPr>
          <w:p w:rsidR="00555918" w:rsidRPr="00E400E4" w:rsidRDefault="00555918" w:rsidP="000B1771">
            <w:pPr>
              <w:pStyle w:val="TableText"/>
            </w:pPr>
          </w:p>
        </w:tc>
        <w:tc>
          <w:tcPr>
            <w:tcW w:w="3825" w:type="dxa"/>
            <w:tcBorders>
              <w:top w:val="single" w:sz="4" w:space="0" w:color="auto"/>
              <w:bottom w:val="single" w:sz="4" w:space="0" w:color="D9D9D9" w:themeColor="background1" w:themeShade="D9"/>
            </w:tcBorders>
          </w:tcPr>
          <w:p w:rsidR="00555918" w:rsidRPr="00E400E4" w:rsidRDefault="00555918" w:rsidP="000B1771">
            <w:pPr>
              <w:pStyle w:val="TableText"/>
            </w:pPr>
          </w:p>
        </w:tc>
      </w:tr>
      <w:tr w:rsidR="00555918" w:rsidRPr="00E400E4" w:rsidTr="000B1771">
        <w:tc>
          <w:tcPr>
            <w:tcW w:w="3119" w:type="dxa"/>
            <w:tcBorders>
              <w:top w:val="single" w:sz="4" w:space="0" w:color="D9D9D9" w:themeColor="background1" w:themeShade="D9"/>
              <w:bottom w:val="single" w:sz="4" w:space="0" w:color="D9D9D9" w:themeColor="background1" w:themeShade="D9"/>
            </w:tcBorders>
          </w:tcPr>
          <w:p w:rsidR="00555918" w:rsidRPr="00E400E4" w:rsidRDefault="00555918" w:rsidP="000B1771">
            <w:pPr>
              <w:pStyle w:val="TableText"/>
              <w:rPr>
                <w:b/>
              </w:rPr>
            </w:pPr>
            <w:r w:rsidRPr="00E400E4">
              <w:rPr>
                <w:i/>
              </w:rPr>
              <w:t>Oligonychus punicae</w:t>
            </w:r>
          </w:p>
        </w:tc>
        <w:tc>
          <w:tcPr>
            <w:tcW w:w="2126" w:type="dxa"/>
            <w:tcBorders>
              <w:top w:val="single" w:sz="4" w:space="0" w:color="D9D9D9" w:themeColor="background1" w:themeShade="D9"/>
              <w:bottom w:val="single" w:sz="4" w:space="0" w:color="D9D9D9" w:themeColor="background1" w:themeShade="D9"/>
            </w:tcBorders>
          </w:tcPr>
          <w:p w:rsidR="00555918" w:rsidRPr="00E400E4" w:rsidRDefault="00555918" w:rsidP="000B1771">
            <w:pPr>
              <w:pStyle w:val="TableText"/>
            </w:pPr>
            <w:r w:rsidRPr="00E400E4">
              <w:t>Avocado brown mite</w:t>
            </w:r>
          </w:p>
        </w:tc>
        <w:tc>
          <w:tcPr>
            <w:tcW w:w="3825" w:type="dxa"/>
            <w:tcBorders>
              <w:top w:val="single" w:sz="4" w:space="0" w:color="D9D9D9" w:themeColor="background1" w:themeShade="D9"/>
              <w:bottom w:val="single" w:sz="4" w:space="0" w:color="D9D9D9" w:themeColor="background1" w:themeShade="D9"/>
            </w:tcBorders>
          </w:tcPr>
          <w:p w:rsidR="00555918" w:rsidRPr="00E400E4" w:rsidRDefault="00555918" w:rsidP="000B1771">
            <w:pPr>
              <w:pStyle w:val="TableText"/>
            </w:pPr>
            <w:r w:rsidRPr="00E400E4">
              <w:t xml:space="preserve">Pre-export visual inspection and, if found, remedial action </w:t>
            </w:r>
            <w:r w:rsidRPr="00E400E4">
              <w:rPr>
                <w:b/>
              </w:rPr>
              <w:t>b</w:t>
            </w:r>
          </w:p>
        </w:tc>
      </w:tr>
      <w:tr w:rsidR="00555918" w:rsidRPr="00E400E4" w:rsidTr="000B1771">
        <w:tc>
          <w:tcPr>
            <w:tcW w:w="3119" w:type="dxa"/>
            <w:tcBorders>
              <w:top w:val="single" w:sz="4" w:space="0" w:color="D9D9D9" w:themeColor="background1" w:themeShade="D9"/>
              <w:bottom w:val="single" w:sz="4" w:space="0" w:color="auto"/>
            </w:tcBorders>
          </w:tcPr>
          <w:p w:rsidR="00555918" w:rsidRPr="00E400E4" w:rsidRDefault="00555918" w:rsidP="000B1771">
            <w:pPr>
              <w:pStyle w:val="TableText"/>
              <w:rPr>
                <w:i/>
              </w:rPr>
            </w:pPr>
            <w:r w:rsidRPr="00E400E4">
              <w:rPr>
                <w:i/>
              </w:rPr>
              <w:t>Oligonychus yothersi</w:t>
            </w:r>
          </w:p>
        </w:tc>
        <w:tc>
          <w:tcPr>
            <w:tcW w:w="2126" w:type="dxa"/>
            <w:tcBorders>
              <w:top w:val="single" w:sz="4" w:space="0" w:color="D9D9D9" w:themeColor="background1" w:themeShade="D9"/>
              <w:bottom w:val="single" w:sz="4" w:space="0" w:color="auto"/>
            </w:tcBorders>
          </w:tcPr>
          <w:p w:rsidR="00555918" w:rsidRPr="00E400E4" w:rsidRDefault="00555918" w:rsidP="000B1771">
            <w:pPr>
              <w:pStyle w:val="TableText"/>
            </w:pPr>
            <w:r w:rsidRPr="00E400E4">
              <w:t>Avocado red mite</w:t>
            </w:r>
          </w:p>
        </w:tc>
        <w:tc>
          <w:tcPr>
            <w:tcW w:w="3825" w:type="dxa"/>
            <w:tcBorders>
              <w:top w:val="single" w:sz="4" w:space="0" w:color="D9D9D9" w:themeColor="background1" w:themeShade="D9"/>
              <w:bottom w:val="single" w:sz="4" w:space="0" w:color="auto"/>
            </w:tcBorders>
          </w:tcPr>
          <w:p w:rsidR="00555918" w:rsidRPr="00E400E4" w:rsidRDefault="00555918" w:rsidP="000B1771">
            <w:pPr>
              <w:pStyle w:val="TableText"/>
            </w:pPr>
            <w:r w:rsidRPr="00E400E4">
              <w:t xml:space="preserve">Pre-export visual inspection and, if found, remedial action </w:t>
            </w:r>
            <w:r w:rsidRPr="00E400E4">
              <w:rPr>
                <w:b/>
              </w:rPr>
              <w:t>b</w:t>
            </w:r>
          </w:p>
        </w:tc>
      </w:tr>
    </w:tbl>
    <w:p w:rsidR="00555918" w:rsidRPr="00E400E4" w:rsidRDefault="00555918" w:rsidP="000B1771">
      <w:pPr>
        <w:pStyle w:val="FigureTableNoteSource"/>
      </w:pPr>
      <w:r w:rsidRPr="00E400E4">
        <w:rPr>
          <w:b/>
        </w:rPr>
        <w:t>a</w:t>
      </w:r>
      <w:r w:rsidRPr="00E400E4">
        <w:t xml:space="preserve"> Area freedom may include pest free areas, pest free places of production and/or pest free production sites. </w:t>
      </w:r>
      <w:r w:rsidRPr="00E400E4">
        <w:rPr>
          <w:b/>
        </w:rPr>
        <w:t>b</w:t>
      </w:r>
      <w:r w:rsidRPr="00E400E4">
        <w:t xml:space="preserve"> Remedial action (depending on the location of the inspection) may include treatment of the consignment to ensure that the pest is no longer viable or withdrawal of the consignment from export to Australia. </w:t>
      </w:r>
      <w:r w:rsidRPr="00E400E4">
        <w:rPr>
          <w:b/>
        </w:rPr>
        <w:br/>
        <w:t>EP:</w:t>
      </w:r>
      <w:r w:rsidRPr="00E400E4">
        <w:t xml:space="preserve"> Species has been assessed previously and import policy already exists.</w:t>
      </w:r>
      <w:r w:rsidRPr="00E400E4">
        <w:rPr>
          <w:b/>
        </w:rPr>
        <w:t xml:space="preserve"> GP</w:t>
      </w:r>
      <w:r w:rsidRPr="00E400E4">
        <w:t>: Species has been assessed pre</w:t>
      </w:r>
      <w:r>
        <w:t>viously in a Group PRA (thrips G</w:t>
      </w:r>
      <w:r w:rsidRPr="00E400E4">
        <w:t xml:space="preserve">roup PRA) and the Group PRA has been applied. </w:t>
      </w:r>
      <w:r w:rsidRPr="00E400E4">
        <w:rPr>
          <w:b/>
        </w:rPr>
        <w:t xml:space="preserve">NT: </w:t>
      </w:r>
      <w:r w:rsidRPr="00E400E4">
        <w:t xml:space="preserve">Pest of biosecurity concern for the Northern Territory. </w:t>
      </w:r>
      <w:r w:rsidRPr="00E400E4">
        <w:rPr>
          <w:b/>
        </w:rPr>
        <w:t xml:space="preserve">RA: </w:t>
      </w:r>
      <w:r w:rsidRPr="00E400E4">
        <w:t>Regulated article, refer to Section 4.4 for definition of a regulated article.</w:t>
      </w:r>
    </w:p>
    <w:p w:rsidR="00555918" w:rsidRPr="00E400E4" w:rsidRDefault="00555918" w:rsidP="000B1771">
      <w:pPr>
        <w:pStyle w:val="Heading4"/>
      </w:pPr>
      <w:r w:rsidRPr="00E400E4">
        <w:t>Risk management measures for quarantine pests and regulated thrips</w:t>
      </w:r>
    </w:p>
    <w:p w:rsidR="00555918" w:rsidRPr="00E400E4" w:rsidRDefault="00555918" w:rsidP="000B1771">
      <w:r>
        <w:t>The thrips G</w:t>
      </w:r>
      <w:r w:rsidRPr="00E400E4">
        <w:t xml:space="preserve">roup PRA has identified thrips and emerging orthotospoviruses of biosecurity importance to Australia </w:t>
      </w:r>
      <w:r>
        <w:rPr>
          <w:noProof/>
        </w:rPr>
        <w:t>(Australian Government Department of Agriculture and Water Resources 2017)</w:t>
      </w:r>
      <w:r w:rsidRPr="00E400E4">
        <w:t xml:space="preserve">. </w:t>
      </w:r>
      <w:r w:rsidRPr="00E400E4">
        <w:rPr>
          <w:i/>
        </w:rPr>
        <w:t>Frankliniella australis</w:t>
      </w:r>
      <w:r w:rsidRPr="00E400E4">
        <w:t xml:space="preserve">, </w:t>
      </w:r>
      <w:r w:rsidRPr="00E400E4">
        <w:rPr>
          <w:i/>
        </w:rPr>
        <w:t>F. gemina</w:t>
      </w:r>
      <w:r w:rsidRPr="00E400E4">
        <w:t xml:space="preserve"> and </w:t>
      </w:r>
      <w:r w:rsidRPr="00E400E4">
        <w:rPr>
          <w:i/>
        </w:rPr>
        <w:t>F. occidentalis</w:t>
      </w:r>
      <w:r w:rsidRPr="00E400E4">
        <w:t xml:space="preserve"> are associated with avocados from Chile. Risk management measures are required to reduce the risk posed by these quarantine thrips, and the emerging quarantine orthotospoviruses that </w:t>
      </w:r>
      <w:r w:rsidRPr="00E400E4">
        <w:rPr>
          <w:i/>
        </w:rPr>
        <w:t xml:space="preserve">F. occidentalis </w:t>
      </w:r>
      <w:r w:rsidRPr="00E400E4">
        <w:t xml:space="preserve">vectors, to achieve the ALOP for Australia. The recommended measures are listed in </w:t>
      </w:r>
      <w:r w:rsidRPr="00E400E4">
        <w:fldChar w:fldCharType="begin"/>
      </w:r>
      <w:r w:rsidRPr="00E400E4">
        <w:instrText xml:space="preserve"> REF _Ref512849989 \h  \* MERGEFORMAT </w:instrText>
      </w:r>
      <w:r w:rsidRPr="00E400E4">
        <w:fldChar w:fldCharType="separate"/>
      </w:r>
      <w:r w:rsidR="006C029B" w:rsidRPr="00E400E4">
        <w:t xml:space="preserve">Table </w:t>
      </w:r>
      <w:r w:rsidR="006C029B">
        <w:rPr>
          <w:noProof/>
        </w:rPr>
        <w:t>5</w:t>
      </w:r>
      <w:r w:rsidR="006C029B" w:rsidRPr="00E400E4">
        <w:rPr>
          <w:noProof/>
        </w:rPr>
        <w:t>.</w:t>
      </w:r>
      <w:r w:rsidR="006C029B">
        <w:rPr>
          <w:noProof/>
        </w:rPr>
        <w:t>1</w:t>
      </w:r>
      <w:r w:rsidRPr="00E400E4">
        <w:fldChar w:fldCharType="end"/>
      </w:r>
      <w:r w:rsidRPr="00E400E4">
        <w:t>.</w:t>
      </w:r>
    </w:p>
    <w:p w:rsidR="00555918" w:rsidRPr="00E400E4" w:rsidRDefault="00555918" w:rsidP="000B1771">
      <w:r w:rsidRPr="00E400E4">
        <w:t xml:space="preserve">Risk management measures recommended here for quarantine pests and regulated thrips are consistent with the risk management measures recommended for the same pests and/or pest groups in existing policies. These policies are for the import of apples from China </w:t>
      </w:r>
      <w:r>
        <w:rPr>
          <w:noProof/>
        </w:rPr>
        <w:t>(Biosecurity Australia 2010a)</w:t>
      </w:r>
      <w:r w:rsidRPr="00E400E4">
        <w:t xml:space="preserve">, citrus from Egypt </w:t>
      </w:r>
      <w:r>
        <w:rPr>
          <w:noProof/>
        </w:rPr>
        <w:t>(Biosecurity Australia 2002)</w:t>
      </w:r>
      <w:r w:rsidRPr="00E400E4">
        <w:t xml:space="preserve">, mangoes from Indonesia, Thailand and Vietnam </w:t>
      </w:r>
      <w:r>
        <w:rPr>
          <w:noProof/>
        </w:rPr>
        <w:t>(Department of Agriculture and Water Resources 2015)</w:t>
      </w:r>
      <w:r w:rsidRPr="00E400E4">
        <w:t xml:space="preserve">, mangoes from India </w:t>
      </w:r>
      <w:r>
        <w:rPr>
          <w:noProof/>
        </w:rPr>
        <w:t>(Biosecurity Australia 2008a)</w:t>
      </w:r>
      <w:r w:rsidRPr="00E400E4">
        <w:t xml:space="preserve">, mangoes from Taiwan </w:t>
      </w:r>
      <w:r>
        <w:rPr>
          <w:noProof/>
        </w:rPr>
        <w:t>(Biosecurity Australia 2006b)</w:t>
      </w:r>
      <w:r w:rsidRPr="00E400E4">
        <w:t xml:space="preserve">, mangosteens from Indonesia </w:t>
      </w:r>
      <w:r>
        <w:rPr>
          <w:noProof/>
        </w:rPr>
        <w:t>(DAFF 2012b)</w:t>
      </w:r>
      <w:r w:rsidRPr="00E400E4">
        <w:t xml:space="preserve">, persimmons from Japan, Korea and Israel </w:t>
      </w:r>
      <w:r>
        <w:rPr>
          <w:noProof/>
        </w:rPr>
        <w:t xml:space="preserve">(DAFF </w:t>
      </w:r>
      <w:r>
        <w:rPr>
          <w:noProof/>
        </w:rPr>
        <w:lastRenderedPageBreak/>
        <w:t>2004)</w:t>
      </w:r>
      <w:r w:rsidRPr="00E400E4">
        <w:t xml:space="preserve">, decrowned pineapples from Malaysia </w:t>
      </w:r>
      <w:r>
        <w:rPr>
          <w:noProof/>
        </w:rPr>
        <w:t>(DAFF 2012a)</w:t>
      </w:r>
      <w:r w:rsidRPr="00E400E4">
        <w:t xml:space="preserve">, stone fruit from the USA </w:t>
      </w:r>
      <w:r>
        <w:rPr>
          <w:noProof/>
        </w:rPr>
        <w:t>(Biosecurity Australia 2010b)</w:t>
      </w:r>
      <w:r w:rsidRPr="00E400E4">
        <w:t xml:space="preserve">, sweet oranges from Italy </w:t>
      </w:r>
      <w:r>
        <w:rPr>
          <w:noProof/>
        </w:rPr>
        <w:t>(Biosecurity Australia 2005a)</w:t>
      </w:r>
      <w:r w:rsidRPr="00E400E4">
        <w:t xml:space="preserve">, table grapes from Chile </w:t>
      </w:r>
      <w:r>
        <w:rPr>
          <w:noProof/>
        </w:rPr>
        <w:t>(Biosecurity Australia 2005b)</w:t>
      </w:r>
      <w:r w:rsidRPr="00E400E4">
        <w:t xml:space="preserve"> and table grapes from China </w:t>
      </w:r>
      <w:r>
        <w:rPr>
          <w:noProof/>
        </w:rPr>
        <w:t>(Biosecurity Australia 2011)</w:t>
      </w:r>
      <w:r w:rsidRPr="00E400E4">
        <w:t xml:space="preserve">, as well as the thrips </w:t>
      </w:r>
      <w:r>
        <w:t>G</w:t>
      </w:r>
      <w:r w:rsidRPr="00E400E4">
        <w:t xml:space="preserve">roup PRA </w:t>
      </w:r>
      <w:r>
        <w:rPr>
          <w:noProof/>
        </w:rPr>
        <w:t>(Australian Government Department of Agriculture and Water Resources 2017)</w:t>
      </w:r>
      <w:r w:rsidRPr="00E400E4">
        <w:t xml:space="preserve">. These policies include most of the pests and all of the pest groups identified in </w:t>
      </w:r>
      <w:r w:rsidRPr="00E400E4">
        <w:fldChar w:fldCharType="begin"/>
      </w:r>
      <w:r w:rsidRPr="00E400E4">
        <w:instrText xml:space="preserve"> REF _Ref512849989 \h  \* MERGEFORMAT </w:instrText>
      </w:r>
      <w:r w:rsidRPr="00E400E4">
        <w:fldChar w:fldCharType="separate"/>
      </w:r>
      <w:r w:rsidR="006C029B" w:rsidRPr="00E400E4">
        <w:t xml:space="preserve">Table </w:t>
      </w:r>
      <w:r w:rsidR="006C029B">
        <w:rPr>
          <w:noProof/>
        </w:rPr>
        <w:t>5</w:t>
      </w:r>
      <w:r w:rsidR="006C029B" w:rsidRPr="00E400E4">
        <w:rPr>
          <w:noProof/>
        </w:rPr>
        <w:t>.</w:t>
      </w:r>
      <w:r w:rsidR="006C029B">
        <w:rPr>
          <w:noProof/>
        </w:rPr>
        <w:t>1</w:t>
      </w:r>
      <w:r w:rsidRPr="00E400E4">
        <w:fldChar w:fldCharType="end"/>
      </w:r>
      <w:r w:rsidRPr="00E400E4">
        <w:t xml:space="preserve"> of this report.</w:t>
      </w:r>
    </w:p>
    <w:p w:rsidR="00555918" w:rsidRPr="00E400E4" w:rsidRDefault="00555918" w:rsidP="000B1771">
      <w:r w:rsidRPr="00E400E4">
        <w:t>There has been trade in apples from China (over 2,600 tonnes), table grapes from China (over 14 tonnes), persimmons from Korea and Israel (over 1,000 tonnes), citrus from Egypt (over 10,000 tonnes), mangoes from India and Vietnam (over 26 tonnes) and stone fruit from the USA (over 33,000 tonnes). The risk management measures implemented for these commodities have successfully managed the pests associated with these pathways.</w:t>
      </w:r>
    </w:p>
    <w:p w:rsidR="00555918" w:rsidRPr="00E400E4" w:rsidRDefault="00555918" w:rsidP="000B1771">
      <w:r w:rsidRPr="00E400E4">
        <w:t>This final report recommends that when the following risk management measures are followed, the restricted risk for all identified quarantine pests and regulated thrips, and hence the orthotospoviruses the thrips may vector, will achieve the appropriate level of protection (ALOP) for Australia. These measures are:</w:t>
      </w:r>
    </w:p>
    <w:p w:rsidR="00555918" w:rsidRPr="00E400E4" w:rsidRDefault="00555918" w:rsidP="00555918">
      <w:pPr>
        <w:pStyle w:val="ListBullet"/>
        <w:numPr>
          <w:ilvl w:val="0"/>
          <w:numId w:val="7"/>
        </w:numPr>
      </w:pPr>
      <w:r w:rsidRPr="00E400E4">
        <w:t>area freedom, fruit treatment (such as cold disinfestation treatment) for all cultivars or hard condition of fruit for the Hass cultivar only for Mediterranean fruit fly.</w:t>
      </w:r>
    </w:p>
    <w:p w:rsidR="00555918" w:rsidRPr="00E400E4" w:rsidRDefault="00555918" w:rsidP="00555918">
      <w:pPr>
        <w:pStyle w:val="ListBullet"/>
        <w:numPr>
          <w:ilvl w:val="0"/>
          <w:numId w:val="7"/>
        </w:numPr>
      </w:pPr>
      <w:r w:rsidRPr="00E400E4">
        <w:t xml:space="preserve">pre-export visual inspection and, remedial action for grape mealybug, </w:t>
      </w:r>
      <w:r w:rsidRPr="00E400E4">
        <w:rPr>
          <w:i/>
        </w:rPr>
        <w:t xml:space="preserve">Oligonychus </w:t>
      </w:r>
      <w:r w:rsidRPr="00E400E4">
        <w:t>spider mites and thrips if live pests are found.</w:t>
      </w:r>
    </w:p>
    <w:p w:rsidR="00555918" w:rsidRPr="00E400E4" w:rsidRDefault="00555918" w:rsidP="000B1771">
      <w:pPr>
        <w:pStyle w:val="Heading5"/>
      </w:pPr>
      <w:r w:rsidRPr="00E400E4">
        <w:t xml:space="preserve">Management for </w:t>
      </w:r>
      <w:r w:rsidRPr="00E400E4">
        <w:rPr>
          <w:i/>
        </w:rPr>
        <w:t>Ceratitis capitata</w:t>
      </w:r>
    </w:p>
    <w:p w:rsidR="00555918" w:rsidRPr="00E400E4" w:rsidRDefault="00555918" w:rsidP="000B1771">
      <w:r w:rsidRPr="00E400E4">
        <w:t xml:space="preserve">The Department of Agriculture recommends the options of area freedom or cold disinfestation treatment for all cultivars, or hard condition of fruit for Hass variety only, as measures for </w:t>
      </w:r>
      <w:r w:rsidRPr="00E400E4">
        <w:rPr>
          <w:i/>
        </w:rPr>
        <w:t>Ceratitis capitata</w:t>
      </w:r>
      <w:r w:rsidRPr="00E400E4">
        <w:t>. The objective of each of the recommended measures is to reduce the risk associated with this pest to achieve the ALOP for Australia.</w:t>
      </w:r>
    </w:p>
    <w:p w:rsidR="00555918" w:rsidRPr="00E400E4" w:rsidRDefault="00555918" w:rsidP="000B1771">
      <w:pPr>
        <w:pStyle w:val="Heading6"/>
      </w:pPr>
      <w:r w:rsidRPr="00E400E4">
        <w:t>Recommended measure 1: Area freedom</w:t>
      </w:r>
    </w:p>
    <w:p w:rsidR="00555918" w:rsidRPr="00E400E4" w:rsidRDefault="00555918" w:rsidP="000B1771">
      <w:r w:rsidRPr="00E400E4">
        <w:t xml:space="preserve">Area freedom (including pest free areas, pest free places of production or pest free production sites) is a measure that can be applied to manage the risk posed by </w:t>
      </w:r>
      <w:r w:rsidRPr="00E400E4">
        <w:rPr>
          <w:i/>
        </w:rPr>
        <w:t>Ceratitis capitata</w:t>
      </w:r>
      <w:r w:rsidRPr="00E400E4">
        <w:t xml:space="preserve">. The requirements for establishing pest free areas, pest free places of production, or pest free production sites are set out in ISPM 4: </w:t>
      </w:r>
      <w:r w:rsidRPr="00E400E4">
        <w:rPr>
          <w:i/>
        </w:rPr>
        <w:t>Requirements for the establishment of pest free areas</w:t>
      </w:r>
      <w:r w:rsidRPr="00E400E4">
        <w:t xml:space="preserve"> </w:t>
      </w:r>
      <w:r>
        <w:rPr>
          <w:noProof/>
        </w:rPr>
        <w:t>(FAO 2017a)</w:t>
      </w:r>
      <w:r w:rsidRPr="00E400E4">
        <w:t xml:space="preserve">, ISPM 10: </w:t>
      </w:r>
      <w:r w:rsidRPr="00E400E4">
        <w:rPr>
          <w:i/>
        </w:rPr>
        <w:t>Requirements for the establishment of pest free places of production and pest free production sites</w:t>
      </w:r>
      <w:r w:rsidRPr="00E400E4">
        <w:t xml:space="preserve"> </w:t>
      </w:r>
      <w:r>
        <w:rPr>
          <w:noProof/>
        </w:rPr>
        <w:t>(FAO 2016b)</w:t>
      </w:r>
      <w:r w:rsidRPr="00E400E4">
        <w:t xml:space="preserve"> and, more specifically, ISPM 26: </w:t>
      </w:r>
      <w:r w:rsidRPr="00E400E4">
        <w:rPr>
          <w:i/>
        </w:rPr>
        <w:t>Establishment of pest free areas for fruit flies</w:t>
      </w:r>
      <w:r w:rsidRPr="00E400E4">
        <w:t xml:space="preserve"> (Tephritidae) </w:t>
      </w:r>
      <w:r>
        <w:rPr>
          <w:noProof/>
        </w:rPr>
        <w:t>(FAO 2019e)</w:t>
      </w:r>
      <w:r w:rsidRPr="00E400E4">
        <w:t>.</w:t>
      </w:r>
    </w:p>
    <w:p w:rsidR="00555918" w:rsidRPr="00E400E4" w:rsidRDefault="00555918" w:rsidP="000B1771">
      <w:r w:rsidRPr="00E400E4">
        <w:t xml:space="preserve">The Department of Agriculture recognises Chile as free from </w:t>
      </w:r>
      <w:r w:rsidRPr="00E400E4">
        <w:rPr>
          <w:i/>
        </w:rPr>
        <w:t>Ceratitis capitata</w:t>
      </w:r>
      <w:r w:rsidRPr="00E400E4">
        <w:t xml:space="preserve">. Under the area freedom option, SAG is to be responsible for maintaining area freedom, which includes monitoring and trapping for </w:t>
      </w:r>
      <w:r w:rsidRPr="00E400E4">
        <w:rPr>
          <w:i/>
        </w:rPr>
        <w:t>C. capitata</w:t>
      </w:r>
      <w:r w:rsidRPr="00E400E4">
        <w:t xml:space="preserve"> and regulating the movement of risk material on an ongoing basis. SAG would be required to notify the Department of Agriculture of an outbreak of </w:t>
      </w:r>
      <w:r w:rsidRPr="00E400E4">
        <w:rPr>
          <w:i/>
        </w:rPr>
        <w:t>C. capitata</w:t>
      </w:r>
      <w:r w:rsidRPr="00E400E4">
        <w:t xml:space="preserve"> in Chile within 48 hours. </w:t>
      </w:r>
    </w:p>
    <w:p w:rsidR="00555918" w:rsidRPr="00E400E4" w:rsidRDefault="00555918" w:rsidP="000B1771">
      <w:r w:rsidRPr="00E400E4">
        <w:t xml:space="preserve">In the case of an outbreak of </w:t>
      </w:r>
      <w:r w:rsidRPr="00E400E4">
        <w:rPr>
          <w:i/>
        </w:rPr>
        <w:t>C. capitata</w:t>
      </w:r>
      <w:r w:rsidRPr="00E400E4">
        <w:t xml:space="preserve"> in Chile, avocados sourced from the area within a certain distance of the outbreak area, as specified in Chile’s national fruit fly program, will require a mandatory treatment (recommended measure 2) or an alternative risk management measure (recommended measure 3) for </w:t>
      </w:r>
      <w:r w:rsidRPr="00E400E4">
        <w:rPr>
          <w:i/>
        </w:rPr>
        <w:t>C. capitata</w:t>
      </w:r>
      <w:r w:rsidRPr="00E400E4">
        <w:t xml:space="preserve">. SAG must notify the Department of Agriculture if </w:t>
      </w:r>
      <w:r w:rsidRPr="00E400E4">
        <w:lastRenderedPageBreak/>
        <w:t xml:space="preserve">there are any significant changes to Chile’s national fruit fly program, particularly the management of </w:t>
      </w:r>
      <w:r w:rsidRPr="00E400E4">
        <w:rPr>
          <w:i/>
        </w:rPr>
        <w:t>C. capitata</w:t>
      </w:r>
      <w:r w:rsidRPr="00E400E4">
        <w:t xml:space="preserve"> outbreaks.</w:t>
      </w:r>
    </w:p>
    <w:p w:rsidR="00555918" w:rsidRPr="00E400E4" w:rsidRDefault="00555918" w:rsidP="000B1771">
      <w:r w:rsidRPr="00E400E4">
        <w:t>SAG is required to report to the Department of Agriculture any actions undertaken, including eradication activities. Reinstatement of the area freedom status will be subject to joint investigation between SAG and the Department of Agriculture on the eradication outcomes.</w:t>
      </w:r>
    </w:p>
    <w:p w:rsidR="00555918" w:rsidRPr="00E400E4" w:rsidRDefault="00555918" w:rsidP="000B1771">
      <w:r w:rsidRPr="00E400E4">
        <w:t>If any fruit flies of economi</w:t>
      </w:r>
      <w:r>
        <w:t xml:space="preserve">c importance are detected at on </w:t>
      </w:r>
      <w:r w:rsidRPr="00E400E4">
        <w:t>arrival inspection, trade will be suspended immediately, pending the outcome of an investigation.</w:t>
      </w:r>
    </w:p>
    <w:p w:rsidR="00555918" w:rsidRPr="00E400E4" w:rsidRDefault="00555918" w:rsidP="000B1771">
      <w:pPr>
        <w:pStyle w:val="Heading6"/>
      </w:pPr>
      <w:r w:rsidRPr="00E400E4">
        <w:t>Recommended measure 2: Cold disinfestation treatment</w:t>
      </w:r>
    </w:p>
    <w:p w:rsidR="00555918" w:rsidRPr="00E400E4" w:rsidRDefault="00555918" w:rsidP="000B1771">
      <w:r w:rsidRPr="00E400E4">
        <w:t xml:space="preserve">In the case of an outbreak of </w:t>
      </w:r>
      <w:r w:rsidRPr="00E400E4">
        <w:rPr>
          <w:i/>
        </w:rPr>
        <w:t>C. capitata</w:t>
      </w:r>
      <w:r w:rsidRPr="00E400E4">
        <w:t>, cold disinfestation treatment can be used as a measure to manage the risk posed by this pest. Cold disinfestation treatments can be conducted pre-export in Chile or in-transit to Australia.</w:t>
      </w:r>
    </w:p>
    <w:p w:rsidR="00555918" w:rsidRPr="00E400E4" w:rsidRDefault="00555918" w:rsidP="000B1771">
      <w:r w:rsidRPr="00E400E4">
        <w:t xml:space="preserve">Cold disinfestation treatment has been used since the early 20th century as an effective treatment method to provide phytosanitary control of fruit flies for a variety of fruits grown around the world </w:t>
      </w:r>
      <w:r>
        <w:rPr>
          <w:noProof/>
        </w:rPr>
        <w:t>(Heather &amp; Hallman 2008)</w:t>
      </w:r>
      <w:r w:rsidRPr="00E400E4">
        <w:t>.</w:t>
      </w:r>
    </w:p>
    <w:p w:rsidR="00555918" w:rsidRPr="00E400E4" w:rsidRDefault="00555918" w:rsidP="000B1771">
      <w:r w:rsidRPr="00E400E4">
        <w:t xml:space="preserve">A treatment regime consistent with the USDA treatment schedule </w:t>
      </w:r>
      <w:r>
        <w:rPr>
          <w:noProof/>
        </w:rPr>
        <w:t>(USDA 2019)</w:t>
      </w:r>
      <w:r w:rsidRPr="00E400E4">
        <w:t xml:space="preserve"> for </w:t>
      </w:r>
      <w:r w:rsidRPr="00E400E4">
        <w:rPr>
          <w:i/>
        </w:rPr>
        <w:t>C. capitata</w:t>
      </w:r>
      <w:r w:rsidRPr="00E400E4">
        <w:t xml:space="preserve"> on a range of commodities, including avocado, is recommended by Australia. </w:t>
      </w:r>
    </w:p>
    <w:p w:rsidR="00555918" w:rsidRPr="00E400E4" w:rsidRDefault="00555918" w:rsidP="000B1771">
      <w:r w:rsidRPr="00E400E4">
        <w:t>Thus, the Department of Agriculture recommends the following specifications for temperatures and exposure times where cold disinfestation treatment is utilised:</w:t>
      </w:r>
    </w:p>
    <w:p w:rsidR="00555918" w:rsidRPr="00E400E4" w:rsidRDefault="00555918" w:rsidP="00555918">
      <w:pPr>
        <w:pStyle w:val="ListBullet"/>
        <w:numPr>
          <w:ilvl w:val="0"/>
          <w:numId w:val="7"/>
        </w:numPr>
      </w:pPr>
      <w:r w:rsidRPr="00E400E4">
        <w:t>fruit held at 1.11 °C or below for 14 days, or</w:t>
      </w:r>
    </w:p>
    <w:p w:rsidR="00555918" w:rsidRPr="00E400E4" w:rsidRDefault="00555918" w:rsidP="00555918">
      <w:pPr>
        <w:pStyle w:val="ListBullet"/>
        <w:numPr>
          <w:ilvl w:val="0"/>
          <w:numId w:val="7"/>
        </w:numPr>
      </w:pPr>
      <w:r w:rsidRPr="00E400E4">
        <w:t>fruit held at 1.67 °C or below for 16 days, or</w:t>
      </w:r>
    </w:p>
    <w:p w:rsidR="00555918" w:rsidRPr="00E400E4" w:rsidRDefault="00555918" w:rsidP="00555918">
      <w:pPr>
        <w:pStyle w:val="ListBullet"/>
        <w:numPr>
          <w:ilvl w:val="0"/>
          <w:numId w:val="7"/>
        </w:numPr>
      </w:pPr>
      <w:r w:rsidRPr="00E400E4">
        <w:t>fruit held at 2.22 °C or below for 18 days.</w:t>
      </w:r>
    </w:p>
    <w:p w:rsidR="00555918" w:rsidRPr="00E400E4" w:rsidRDefault="00555918" w:rsidP="000B1771">
      <w:r w:rsidRPr="00E400E4">
        <w:t>Should Chile wish to use pre-export cold disinfestation treatment as a phytosanitary measure, SAG would need to provide a submission to the Australian Government Department of Agriculture that demonstrates it has processes and procedures for the registration, approval and audit of treatment facilities. The Australian Government Department of Agriculture may request on-site verification of the treatment facilities.</w:t>
      </w:r>
    </w:p>
    <w:p w:rsidR="00555918" w:rsidRPr="00E400E4" w:rsidRDefault="00555918" w:rsidP="000B1771">
      <w:r w:rsidRPr="00E400E4">
        <w:t xml:space="preserve">Both pre-export and in-transit cold disinfestation treatment must fulfil the requirements as set out in the Australian phytosanitary treatment application standard for cold disinfestation treatment available at </w:t>
      </w:r>
      <w:hyperlink r:id="rId59" w:history="1">
        <w:r w:rsidRPr="00E400E4">
          <w:rPr>
            <w:rStyle w:val="Hyperlink"/>
          </w:rPr>
          <w:t>http://www.agriculture.gov.au/SiteCollectionDocuments/biosecurity/export/plants-plant-products/plant-exports-manual/resources/australian-phytosanitary-treatment-cold.pdf</w:t>
        </w:r>
      </w:hyperlink>
      <w:r w:rsidRPr="00E400E4">
        <w:t>.</w:t>
      </w:r>
    </w:p>
    <w:p w:rsidR="00555918" w:rsidRPr="00E400E4" w:rsidRDefault="00555918" w:rsidP="000B1771">
      <w:pPr>
        <w:pStyle w:val="Heading6"/>
      </w:pPr>
      <w:r w:rsidRPr="00E400E4">
        <w:t>Recommended measure 3: Hard condition of fruit for the Hass cultivar only</w:t>
      </w:r>
    </w:p>
    <w:p w:rsidR="00555918" w:rsidRPr="00E400E4" w:rsidRDefault="00555918" w:rsidP="000B1771">
      <w:r w:rsidRPr="00E400E4">
        <w:t xml:space="preserve">Hard condition of fruit is a measure that can be applied to manage the risk posed by </w:t>
      </w:r>
      <w:r w:rsidRPr="00E400E4">
        <w:rPr>
          <w:i/>
        </w:rPr>
        <w:t>C. capitata</w:t>
      </w:r>
      <w:r w:rsidRPr="00E400E4">
        <w:t xml:space="preserve"> on the Hass avocado cultivar. A number of studies have shown that </w:t>
      </w:r>
      <w:r w:rsidRPr="00E400E4">
        <w:rPr>
          <w:i/>
        </w:rPr>
        <w:t>C. capitata</w:t>
      </w:r>
      <w:r w:rsidRPr="00E400E4">
        <w:t xml:space="preserve"> is not able to infest hard mature Hass avocado fruit </w:t>
      </w:r>
      <w:r>
        <w:rPr>
          <w:noProof/>
        </w:rPr>
        <w:t>(De Lima 1995; Liquido et al. 2011)</w:t>
      </w:r>
      <w:r w:rsidRPr="00E400E4">
        <w:t xml:space="preserve">. Hard mature Hass avocado fruit are thus not considered a host of </w:t>
      </w:r>
      <w:r w:rsidRPr="00E400E4">
        <w:rPr>
          <w:i/>
        </w:rPr>
        <w:t>C. capitata</w:t>
      </w:r>
      <w:r w:rsidRPr="00E400E4">
        <w:t>.</w:t>
      </w:r>
    </w:p>
    <w:p w:rsidR="00555918" w:rsidRPr="00E400E4" w:rsidRDefault="00555918" w:rsidP="000B1771">
      <w:r w:rsidRPr="00E400E4">
        <w:t>The Department of Agriculture recommends the following specifications for the hard condition</w:t>
      </w:r>
    </w:p>
    <w:p w:rsidR="00555918" w:rsidRPr="00E400E4" w:rsidRDefault="00555918" w:rsidP="00555918">
      <w:pPr>
        <w:pStyle w:val="ListBullet"/>
        <w:numPr>
          <w:ilvl w:val="0"/>
          <w:numId w:val="7"/>
        </w:numPr>
      </w:pPr>
      <w:r w:rsidRPr="00E400E4">
        <w:lastRenderedPageBreak/>
        <w:t>Fruit must be harvested from trees while in a hard condition and stored in secure conditions within a defined period after harvest.</w:t>
      </w:r>
    </w:p>
    <w:p w:rsidR="00555918" w:rsidRPr="00E400E4" w:rsidRDefault="00555918" w:rsidP="00555918">
      <w:pPr>
        <w:pStyle w:val="ListBullet"/>
        <w:numPr>
          <w:ilvl w:val="0"/>
          <w:numId w:val="7"/>
        </w:numPr>
      </w:pPr>
      <w:r w:rsidRPr="00E400E4">
        <w:t>Hard condition means avocados showing no signs of softening, or having any isolated soft areas or broken skin on any part of the fruit that have been deliberately detached from healthy branches of living trees.</w:t>
      </w:r>
    </w:p>
    <w:p w:rsidR="00555918" w:rsidRPr="00E400E4" w:rsidRDefault="00555918" w:rsidP="000B1771">
      <w:r w:rsidRPr="00E400E4">
        <w:t xml:space="preserve">Should Chile wish to use the hard condition of fruit as a measure to manage the risk posed by </w:t>
      </w:r>
      <w:r w:rsidRPr="00E400E4">
        <w:rPr>
          <w:i/>
        </w:rPr>
        <w:t xml:space="preserve">C. capitata </w:t>
      </w:r>
      <w:r w:rsidRPr="00E400E4">
        <w:t>on the Hass cultivar, SAG would have to submit a proposal outlining components and procedures of the system to certify Hass avocado fruit for hard condition. The Department of Agriculture will consider the effectiveness of the system proposed by SAG.</w:t>
      </w:r>
    </w:p>
    <w:p w:rsidR="00555918" w:rsidRPr="00E400E4" w:rsidRDefault="00555918" w:rsidP="000B1771">
      <w:pPr>
        <w:pStyle w:val="Heading5"/>
      </w:pPr>
      <w:r w:rsidRPr="00E400E4">
        <w:t xml:space="preserve">Management for </w:t>
      </w:r>
      <w:r w:rsidRPr="00E400E4">
        <w:rPr>
          <w:i/>
        </w:rPr>
        <w:t>Pseudococcus maritimus, Oligonychus punicae</w:t>
      </w:r>
      <w:r w:rsidRPr="00E400E4">
        <w:t xml:space="preserve"> and </w:t>
      </w:r>
      <w:r w:rsidRPr="00E400E4">
        <w:rPr>
          <w:i/>
        </w:rPr>
        <w:t>Oligonychus yothersi</w:t>
      </w:r>
    </w:p>
    <w:p w:rsidR="00555918" w:rsidRPr="00E400E4" w:rsidRDefault="00555918" w:rsidP="000B1771">
      <w:r w:rsidRPr="00E400E4">
        <w:t xml:space="preserve">The Department of Agriculture recommends pre-export visual inspection, and, if found, remedial action to manage the risk of </w:t>
      </w:r>
      <w:r w:rsidRPr="00E400E4">
        <w:rPr>
          <w:i/>
        </w:rPr>
        <w:t>Pseudococcus maritimus</w:t>
      </w:r>
      <w:r w:rsidRPr="00E400E4">
        <w:t xml:space="preserve">, </w:t>
      </w:r>
      <w:r w:rsidRPr="00E400E4">
        <w:rPr>
          <w:i/>
        </w:rPr>
        <w:t>Oligonychus punicae</w:t>
      </w:r>
      <w:r w:rsidRPr="00E400E4">
        <w:t xml:space="preserve"> and </w:t>
      </w:r>
      <w:r w:rsidRPr="00E400E4">
        <w:rPr>
          <w:i/>
        </w:rPr>
        <w:t>Oligonychus yothersi</w:t>
      </w:r>
      <w:r w:rsidRPr="00E400E4">
        <w:t xml:space="preserve">. The objective of the recommended measure is to reduce the risk associated with these pests to achieve the ALOP for Australia. </w:t>
      </w:r>
    </w:p>
    <w:p w:rsidR="00555918" w:rsidRPr="00E400E4" w:rsidRDefault="00555918" w:rsidP="000B1771">
      <w:pPr>
        <w:pStyle w:val="Heading6"/>
      </w:pPr>
      <w:r w:rsidRPr="00E400E4">
        <w:t xml:space="preserve">Recommended measure: Pre-export visual inspection and, if found, remedial action </w:t>
      </w:r>
    </w:p>
    <w:p w:rsidR="00555918" w:rsidRPr="00E400E4" w:rsidRDefault="00555918" w:rsidP="000B1771">
      <w:r w:rsidRPr="00E400E4">
        <w:t xml:space="preserve">All consignments of avocados exported to Australia must be inspected by SAG, Chile’s NPPO, and found free of </w:t>
      </w:r>
      <w:r w:rsidRPr="00E400E4">
        <w:rPr>
          <w:i/>
        </w:rPr>
        <w:t>P. maritimus, O. punicae</w:t>
      </w:r>
      <w:r w:rsidRPr="00E400E4">
        <w:t xml:space="preserve"> and </w:t>
      </w:r>
      <w:r w:rsidRPr="00E400E4">
        <w:rPr>
          <w:i/>
        </w:rPr>
        <w:t>O. yothersi</w:t>
      </w:r>
      <w:r w:rsidRPr="00E400E4">
        <w:t xml:space="preserve">. Pre-export visual inspection must be undertaken by SAG in accordance with ISPM 23: </w:t>
      </w:r>
      <w:r w:rsidRPr="00E400E4">
        <w:rPr>
          <w:i/>
        </w:rPr>
        <w:t>Guidelines for inspection</w:t>
      </w:r>
      <w:r w:rsidRPr="00E400E4">
        <w:t xml:space="preserve"> </w:t>
      </w:r>
      <w:r>
        <w:rPr>
          <w:noProof/>
        </w:rPr>
        <w:t>(FAO 2019d)</w:t>
      </w:r>
      <w:r w:rsidRPr="00E400E4">
        <w:t xml:space="preserve"> and consistent with the principles of ISPM 31: </w:t>
      </w:r>
      <w:r w:rsidRPr="00E400E4">
        <w:rPr>
          <w:i/>
        </w:rPr>
        <w:t>Methodologies for sampling of consignments</w:t>
      </w:r>
      <w:r w:rsidRPr="00E400E4">
        <w:t xml:space="preserve"> </w:t>
      </w:r>
      <w:r>
        <w:rPr>
          <w:noProof/>
        </w:rPr>
        <w:t>(FAO 2016c)</w:t>
      </w:r>
      <w:r w:rsidRPr="00E400E4">
        <w:t xml:space="preserve"> ensuring that the inspection method is designed to detect </w:t>
      </w:r>
      <w:r w:rsidRPr="00E400E4">
        <w:rPr>
          <w:i/>
        </w:rPr>
        <w:t>P. maritimus, O. punicae</w:t>
      </w:r>
      <w:r w:rsidRPr="00E400E4">
        <w:t xml:space="preserve"> and </w:t>
      </w:r>
      <w:r w:rsidRPr="00E400E4">
        <w:rPr>
          <w:i/>
        </w:rPr>
        <w:t>O. yothersi</w:t>
      </w:r>
      <w:r w:rsidRPr="00E400E4">
        <w:t>. Export consignments found to contain these pests must be subjected to remedial action. Remedial action may include withdrawing the consignment from export to Australia or, if available, applying approved treatment to the export consignment to ensure that the pest is no longer viable.</w:t>
      </w:r>
    </w:p>
    <w:p w:rsidR="00555918" w:rsidRPr="00E400E4" w:rsidRDefault="00555918" w:rsidP="000B1771">
      <w:pPr>
        <w:pStyle w:val="Heading5"/>
      </w:pPr>
      <w:r w:rsidRPr="00E400E4">
        <w:t>Management for quarantine thrips and regulated thrips</w:t>
      </w:r>
    </w:p>
    <w:p w:rsidR="00555918" w:rsidRPr="00E400E4" w:rsidRDefault="00555918" w:rsidP="000B1771">
      <w:r w:rsidRPr="00E400E4">
        <w:t xml:space="preserve">The Department of Agriculture recommends pre-export visual inspection and, if found, remedial action to manage the risk of quarantine thrips and regulated thrips. This measure is consistent with the options provided in the thrips </w:t>
      </w:r>
      <w:r>
        <w:t>G</w:t>
      </w:r>
      <w:r w:rsidRPr="00E400E4">
        <w:t xml:space="preserve">roup PRA </w:t>
      </w:r>
      <w:r>
        <w:rPr>
          <w:noProof/>
        </w:rPr>
        <w:t>(Australian Government Department of Agriculture and Water Resources 2017)</w:t>
      </w:r>
      <w:r w:rsidRPr="00E400E4">
        <w:t>. The objective of the recommended measure is to reduce the risk associated with these pests to achieve the ALOP for Australia.</w:t>
      </w:r>
    </w:p>
    <w:p w:rsidR="00555918" w:rsidRPr="00E400E4" w:rsidRDefault="00555918" w:rsidP="000B1771">
      <w:r w:rsidRPr="00E400E4">
        <w:t xml:space="preserve">The recommended measure applies to all phytophagous quarantine thrips and regulated thrips on the avocados from Chile pathway, irrespective of their specific identification in this document, consistent with the thrips </w:t>
      </w:r>
      <w:r>
        <w:t>G</w:t>
      </w:r>
      <w:r w:rsidRPr="00E400E4">
        <w:t>roup PRA.</w:t>
      </w:r>
    </w:p>
    <w:p w:rsidR="00555918" w:rsidRPr="00E400E4" w:rsidRDefault="00555918" w:rsidP="000B1771">
      <w:pPr>
        <w:pStyle w:val="Heading6"/>
      </w:pPr>
      <w:r w:rsidRPr="00E400E4">
        <w:t xml:space="preserve">Recommended measure: Pre-export visual inspection and, if found, remedial action </w:t>
      </w:r>
    </w:p>
    <w:p w:rsidR="00555918" w:rsidRPr="00E400E4" w:rsidRDefault="00555918" w:rsidP="000B1771">
      <w:r w:rsidRPr="00E400E4">
        <w:t xml:space="preserve">All consignments of avocados exported to Australia must be inspected by SAG, Chile’s NPPO, and found free of quarantine thrips and regulated thrips. Pre-export visual inspection must be undertaken by SAG in accordance with ISPM 23: </w:t>
      </w:r>
      <w:r w:rsidRPr="00E400E4">
        <w:rPr>
          <w:i/>
        </w:rPr>
        <w:t>Guidelines for inspection</w:t>
      </w:r>
      <w:r w:rsidRPr="00E400E4">
        <w:t xml:space="preserve"> </w:t>
      </w:r>
      <w:r>
        <w:rPr>
          <w:noProof/>
        </w:rPr>
        <w:t>(FAO 2019d)</w:t>
      </w:r>
      <w:r w:rsidRPr="00E400E4">
        <w:t xml:space="preserve"> and consistent with the principles of ISPM 31: </w:t>
      </w:r>
      <w:r w:rsidRPr="00E400E4">
        <w:rPr>
          <w:i/>
        </w:rPr>
        <w:t>Methodologies for sampling of consignments</w:t>
      </w:r>
      <w:r w:rsidRPr="00E400E4">
        <w:t xml:space="preserve"> </w:t>
      </w:r>
      <w:r>
        <w:rPr>
          <w:noProof/>
        </w:rPr>
        <w:t>(FAO 2016c)</w:t>
      </w:r>
      <w:r w:rsidRPr="00E400E4">
        <w:t xml:space="preserve"> ensuring that the inspection method is designed to detect thrips. Export consignments found to contain any quarantine thrips or regulated thrips must be subjected to remedial action. Remedial action may include withdrawing the consignment from export to Australia or, if </w:t>
      </w:r>
      <w:r w:rsidRPr="00E400E4">
        <w:lastRenderedPageBreak/>
        <w:t>available, applying an approved treatment to the export consignment to ensure that the pest is no longer viable.</w:t>
      </w:r>
    </w:p>
    <w:p w:rsidR="00555918" w:rsidRPr="00E400E4" w:rsidRDefault="00555918" w:rsidP="000B1771">
      <w:pPr>
        <w:pStyle w:val="Heading4"/>
      </w:pPr>
      <w:r w:rsidRPr="00E400E4">
        <w:t>Consideration of alternative measures</w:t>
      </w:r>
    </w:p>
    <w:p w:rsidR="00555918" w:rsidRPr="00E400E4" w:rsidRDefault="00555918" w:rsidP="000B1771">
      <w:r w:rsidRPr="00E400E4">
        <w:t xml:space="preserve">Consistent with the principle of equivalence detailed in ISPM 11: </w:t>
      </w:r>
      <w:r w:rsidRPr="00E400E4">
        <w:rPr>
          <w:i/>
        </w:rPr>
        <w:t>Pest risk analysis for quarantine pests</w:t>
      </w:r>
      <w:r w:rsidRPr="00E400E4">
        <w:t xml:space="preserve"> </w:t>
      </w:r>
      <w:r>
        <w:rPr>
          <w:noProof/>
        </w:rPr>
        <w:t>(FAO 2019c)</w:t>
      </w:r>
      <w:r w:rsidRPr="00E400E4">
        <w:t>, the Department of Agriculture will consider any alternative measure proposed by SAG, providing that it demonstrably manages the target pests to achieve the ALOP for Australia. Evaluation of any such measure will require a technical submission from SAG that details the proposed measures, including suitable information to support the claimed efficacy, for consideration by the Department of Agriculture.</w:t>
      </w:r>
    </w:p>
    <w:p w:rsidR="00555918" w:rsidRPr="00E400E4" w:rsidRDefault="00555918" w:rsidP="000B1771">
      <w:pPr>
        <w:pStyle w:val="Heading3"/>
      </w:pPr>
      <w:bookmarkStart w:id="136" w:name="_Toc20392253"/>
      <w:r w:rsidRPr="00E400E4">
        <w:t>Operational system for the maintenance and verification of phytosanitary status</w:t>
      </w:r>
      <w:bookmarkEnd w:id="136"/>
    </w:p>
    <w:p w:rsidR="00555918" w:rsidRPr="00E400E4" w:rsidRDefault="00555918">
      <w:r w:rsidRPr="00E400E4">
        <w:t>A system of operational procedures is necessary to maintain and verify the phytosanitary status of avocados from Chile. This is to ensure that the recommended risk management measures have been met and are maintained.</w:t>
      </w:r>
    </w:p>
    <w:p w:rsidR="00555918" w:rsidRPr="00E400E4" w:rsidRDefault="00555918" w:rsidP="000B1771">
      <w:pPr>
        <w:pStyle w:val="Heading4"/>
      </w:pPr>
      <w:r w:rsidRPr="00E400E4">
        <w:t>A system of traceability to source orchards</w:t>
      </w:r>
    </w:p>
    <w:p w:rsidR="00555918" w:rsidRPr="00E400E4" w:rsidRDefault="00555918" w:rsidP="000B1771">
      <w:pPr>
        <w:keepNext/>
      </w:pPr>
      <w:r w:rsidRPr="00E400E4">
        <w:t>The objectives of this recommended requirement are to ensure that:</w:t>
      </w:r>
    </w:p>
    <w:p w:rsidR="00555918" w:rsidRPr="00E400E4" w:rsidRDefault="00555918" w:rsidP="00555918">
      <w:pPr>
        <w:pStyle w:val="ListBullet"/>
        <w:numPr>
          <w:ilvl w:val="0"/>
          <w:numId w:val="7"/>
        </w:numPr>
      </w:pPr>
      <w:r w:rsidRPr="00E400E4">
        <w:t>avocados are sourced only from orchards producing commercial export-</w:t>
      </w:r>
      <w:r>
        <w:t>quality fruit</w:t>
      </w:r>
    </w:p>
    <w:p w:rsidR="00555918" w:rsidRPr="00E400E4" w:rsidRDefault="00555918" w:rsidP="00555918">
      <w:pPr>
        <w:pStyle w:val="ListBullet"/>
        <w:numPr>
          <w:ilvl w:val="0"/>
          <w:numId w:val="7"/>
        </w:numPr>
      </w:pPr>
      <w:r w:rsidRPr="00E400E4">
        <w:t>orchards from which avocados are sourced can be identified, so that any investigation and corrective action can be targeted rather than applied to all contributing export orchards, in the event that live/viable pests are intercepted.</w:t>
      </w:r>
    </w:p>
    <w:p w:rsidR="00555918" w:rsidRPr="00E400E4" w:rsidRDefault="00555918" w:rsidP="000B1771">
      <w:pPr>
        <w:pBdr>
          <w:top w:val="single" w:sz="4" w:space="1" w:color="auto"/>
          <w:left w:val="single" w:sz="4" w:space="4" w:color="auto"/>
          <w:bottom w:val="single" w:sz="4" w:space="1" w:color="auto"/>
          <w:right w:val="single" w:sz="4" w:space="4" w:color="auto"/>
        </w:pBdr>
      </w:pPr>
      <w:r w:rsidRPr="00E400E4">
        <w:t>SAG must ensure that avocados for export to Australia can be traced back to orchard level. SAG would be responsible for ensuring that export avocado growers are aware of pests of biosecurity concern to Australia and the required risk management measures.</w:t>
      </w:r>
    </w:p>
    <w:p w:rsidR="00555918" w:rsidRPr="00E400E4" w:rsidRDefault="00555918" w:rsidP="000B1771">
      <w:pPr>
        <w:pStyle w:val="Heading4"/>
      </w:pPr>
      <w:r w:rsidRPr="00E400E4">
        <w:t>Registration of packing houses and auditing of procedures</w:t>
      </w:r>
    </w:p>
    <w:p w:rsidR="00555918" w:rsidRPr="00E400E4" w:rsidRDefault="00555918" w:rsidP="000B1771">
      <w:r w:rsidRPr="00E400E4">
        <w:t>The objective of this recommended procedure is to ensure that:</w:t>
      </w:r>
    </w:p>
    <w:p w:rsidR="00555918" w:rsidRPr="00E400E4" w:rsidRDefault="00555918" w:rsidP="00555918">
      <w:pPr>
        <w:pStyle w:val="ListBullet"/>
        <w:numPr>
          <w:ilvl w:val="0"/>
          <w:numId w:val="7"/>
        </w:numPr>
      </w:pPr>
      <w:r w:rsidRPr="00E400E4">
        <w:t>avocados are sourced only from packing</w:t>
      </w:r>
      <w:r>
        <w:t xml:space="preserve"> </w:t>
      </w:r>
      <w:r w:rsidRPr="00E400E4">
        <w:t>houses</w:t>
      </w:r>
      <w:r>
        <w:t xml:space="preserve"> </w:t>
      </w:r>
      <w:r w:rsidRPr="00E400E4">
        <w:t>approved by SAG</w:t>
      </w:r>
      <w:r>
        <w:t xml:space="preserve"> for</w:t>
      </w:r>
      <w:r w:rsidRPr="00E400E4">
        <w:t xml:space="preserve"> processing </w:t>
      </w:r>
      <w:r>
        <w:t xml:space="preserve">of </w:t>
      </w:r>
      <w:r w:rsidRPr="00E400E4">
        <w:t>commercial-quality fresh avocados.</w:t>
      </w:r>
    </w:p>
    <w:p w:rsidR="00555918" w:rsidRPr="00E400E4" w:rsidRDefault="00555918" w:rsidP="000B1771">
      <w:pPr>
        <w:pStyle w:val="ListBullet"/>
        <w:pBdr>
          <w:top w:val="single" w:sz="4" w:space="1" w:color="auto"/>
          <w:left w:val="single" w:sz="4" w:space="4" w:color="auto"/>
          <w:bottom w:val="single" w:sz="4" w:space="1" w:color="auto"/>
          <w:right w:val="single" w:sz="4" w:space="4" w:color="auto"/>
        </w:pBdr>
        <w:tabs>
          <w:tab w:val="clear" w:pos="567"/>
        </w:tabs>
        <w:ind w:left="0" w:firstLine="0"/>
      </w:pPr>
      <w:r w:rsidRPr="00E400E4">
        <w:t>Export packing houses must be registered with SAG before the commencement of harvest each season. The list of registered packing houses must be kept by SAG. SAG is required to ensure that the registered packing houses are suitably equipped and have a system in place to carry out the specified phytosanitary activities. The list of registered packing houses and records of SAG audits must be made available to the Department of Agriculture upon request.</w:t>
      </w:r>
    </w:p>
    <w:p w:rsidR="00555918" w:rsidRPr="00E400E4" w:rsidRDefault="00555918" w:rsidP="000B1771">
      <w:pPr>
        <w:pStyle w:val="Heading4"/>
      </w:pPr>
      <w:r w:rsidRPr="00E400E4">
        <w:t>Registration of treatment providers and auditing of procedures</w:t>
      </w:r>
    </w:p>
    <w:p w:rsidR="00555918" w:rsidRPr="00E400E4" w:rsidRDefault="00555918" w:rsidP="000B1771">
      <w:pPr>
        <w:keepNext/>
      </w:pPr>
      <w:r w:rsidRPr="00E400E4">
        <w:t>The objectives of this recommended procedure are to ensure that:</w:t>
      </w:r>
    </w:p>
    <w:p w:rsidR="00555918" w:rsidRPr="00E400E4" w:rsidRDefault="00555918" w:rsidP="00555918">
      <w:pPr>
        <w:pStyle w:val="ListBullet"/>
        <w:numPr>
          <w:ilvl w:val="0"/>
          <w:numId w:val="7"/>
        </w:numPr>
      </w:pPr>
      <w:r w:rsidRPr="00E400E4">
        <w:t>avocados are treated by treatment providers that have been approved by SAG.</w:t>
      </w:r>
    </w:p>
    <w:p w:rsidR="00555918" w:rsidRPr="00E400E4" w:rsidRDefault="00555918" w:rsidP="000B1771">
      <w:pPr>
        <w:pStyle w:val="ListBullet"/>
        <w:pBdr>
          <w:top w:val="single" w:sz="4" w:space="1" w:color="auto"/>
          <w:left w:val="single" w:sz="4" w:space="4" w:color="auto"/>
          <w:bottom w:val="single" w:sz="4" w:space="1" w:color="auto"/>
          <w:right w:val="single" w:sz="4" w:space="4" w:color="auto"/>
        </w:pBdr>
        <w:tabs>
          <w:tab w:val="clear" w:pos="567"/>
        </w:tabs>
        <w:ind w:left="0" w:firstLine="0"/>
      </w:pPr>
      <w:r w:rsidRPr="00E400E4">
        <w:t>In circumstances where avocados undergo treatment prior to export, this process must be undertaken by treatment providers that have been registered with and audited by SAG for that purpose. The list of registered treatment providers, and records of SAG registration requirements and audits must be made available to the Department of Agriculture upon request.</w:t>
      </w:r>
    </w:p>
    <w:p w:rsidR="00555918" w:rsidRPr="00E400E4" w:rsidRDefault="00555918" w:rsidP="000B1771">
      <w:pPr>
        <w:pStyle w:val="ListBullet"/>
        <w:pBdr>
          <w:top w:val="single" w:sz="4" w:space="1" w:color="auto"/>
          <w:left w:val="single" w:sz="4" w:space="4" w:color="auto"/>
          <w:bottom w:val="single" w:sz="4" w:space="1" w:color="auto"/>
          <w:right w:val="single" w:sz="4" w:space="4" w:color="auto"/>
        </w:pBdr>
        <w:tabs>
          <w:tab w:val="clear" w:pos="567"/>
        </w:tabs>
        <w:ind w:left="0" w:firstLine="0"/>
      </w:pPr>
      <w:r w:rsidRPr="00E400E4">
        <w:lastRenderedPageBreak/>
        <w:t>Approval of treatment providers by SAG must include verification that suitable systems are in place to ensure compliance with the treatment requirements. This may include:</w:t>
      </w:r>
    </w:p>
    <w:p w:rsidR="00555918" w:rsidRPr="00E400E4" w:rsidRDefault="00555918" w:rsidP="000B1771">
      <w:pPr>
        <w:pStyle w:val="ListBullet"/>
        <w:numPr>
          <w:ilvl w:val="0"/>
          <w:numId w:val="12"/>
        </w:numPr>
        <w:pBdr>
          <w:top w:val="single" w:sz="4" w:space="1" w:color="auto"/>
          <w:left w:val="single" w:sz="4" w:space="4" w:color="auto"/>
          <w:bottom w:val="single" w:sz="4" w:space="1" w:color="auto"/>
          <w:right w:val="single" w:sz="4" w:space="4" w:color="auto"/>
        </w:pBdr>
      </w:pPr>
      <w:r w:rsidRPr="00E400E4">
        <w:t>documented procedures to ensure avocados are appropriately treated and safeguarded post treatment</w:t>
      </w:r>
    </w:p>
    <w:p w:rsidR="00555918" w:rsidRPr="00E400E4" w:rsidRDefault="00555918" w:rsidP="000B1771">
      <w:pPr>
        <w:pStyle w:val="ListBullet"/>
        <w:numPr>
          <w:ilvl w:val="0"/>
          <w:numId w:val="12"/>
        </w:numPr>
        <w:pBdr>
          <w:top w:val="single" w:sz="4" w:space="1" w:color="auto"/>
          <w:left w:val="single" w:sz="4" w:space="4" w:color="auto"/>
          <w:bottom w:val="single" w:sz="4" w:space="1" w:color="auto"/>
          <w:right w:val="single" w:sz="4" w:space="4" w:color="auto"/>
        </w:pBdr>
      </w:pPr>
      <w:r w:rsidRPr="00E400E4">
        <w:t>staff training to ensure compliance with procedures</w:t>
      </w:r>
    </w:p>
    <w:p w:rsidR="00555918" w:rsidRPr="00E400E4" w:rsidRDefault="00555918" w:rsidP="000B1771">
      <w:pPr>
        <w:pStyle w:val="ListBullet"/>
        <w:numPr>
          <w:ilvl w:val="0"/>
          <w:numId w:val="12"/>
        </w:numPr>
        <w:pBdr>
          <w:top w:val="single" w:sz="4" w:space="1" w:color="auto"/>
          <w:left w:val="single" w:sz="4" w:space="4" w:color="auto"/>
          <w:bottom w:val="single" w:sz="4" w:space="1" w:color="auto"/>
          <w:right w:val="single" w:sz="4" w:space="4" w:color="auto"/>
        </w:pBdr>
      </w:pPr>
      <w:r w:rsidRPr="00E400E4">
        <w:t>record keeping procedures</w:t>
      </w:r>
    </w:p>
    <w:p w:rsidR="00555918" w:rsidRPr="00E400E4" w:rsidRDefault="00555918" w:rsidP="000B1771">
      <w:pPr>
        <w:pStyle w:val="ListBullet"/>
        <w:numPr>
          <w:ilvl w:val="0"/>
          <w:numId w:val="12"/>
        </w:numPr>
        <w:pBdr>
          <w:top w:val="single" w:sz="4" w:space="1" w:color="auto"/>
          <w:left w:val="single" w:sz="4" w:space="4" w:color="auto"/>
          <w:bottom w:val="single" w:sz="4" w:space="1" w:color="auto"/>
          <w:right w:val="single" w:sz="4" w:space="4" w:color="auto"/>
        </w:pBdr>
      </w:pPr>
      <w:r w:rsidRPr="00E400E4">
        <w:t>suitability of facilities and equipment</w:t>
      </w:r>
    </w:p>
    <w:p w:rsidR="00555918" w:rsidRPr="00E400E4" w:rsidRDefault="00555918" w:rsidP="000B1771">
      <w:pPr>
        <w:pStyle w:val="ListBullet"/>
        <w:numPr>
          <w:ilvl w:val="0"/>
          <w:numId w:val="12"/>
        </w:numPr>
        <w:pBdr>
          <w:top w:val="single" w:sz="4" w:space="1" w:color="auto"/>
          <w:left w:val="single" w:sz="4" w:space="4" w:color="auto"/>
          <w:bottom w:val="single" w:sz="4" w:space="1" w:color="auto"/>
          <w:right w:val="single" w:sz="4" w:space="4" w:color="auto"/>
        </w:pBdr>
      </w:pPr>
      <w:r w:rsidRPr="00E400E4">
        <w:t>compliance with SAG’s system of oversight of treatment application or system of authorisation of treatment oversight.</w:t>
      </w:r>
    </w:p>
    <w:p w:rsidR="00555918" w:rsidRPr="00E400E4" w:rsidRDefault="00555918" w:rsidP="000B1771">
      <w:pPr>
        <w:pStyle w:val="ListBullet"/>
        <w:pBdr>
          <w:top w:val="single" w:sz="4" w:space="1" w:color="auto"/>
          <w:left w:val="single" w:sz="4" w:space="4" w:color="auto"/>
          <w:bottom w:val="single" w:sz="4" w:space="1" w:color="auto"/>
          <w:right w:val="single" w:sz="4" w:space="4" w:color="auto"/>
        </w:pBdr>
        <w:tabs>
          <w:tab w:val="clear" w:pos="567"/>
        </w:tabs>
        <w:ind w:left="0" w:firstLine="0"/>
      </w:pPr>
      <w:r w:rsidRPr="00E400E4">
        <w:t>The Australian NPPO provides final approval of facilities, following review of the regulatory oversight provided by the exporting NPPO and the capability demonstrated by the facility. Site visits may be required for the Australian NPPO to have assurance that the treatment can be applied accurately and consistently</w:t>
      </w:r>
      <w:r>
        <w:t>.</w:t>
      </w:r>
    </w:p>
    <w:p w:rsidR="00555918" w:rsidRPr="00E400E4" w:rsidRDefault="00555918" w:rsidP="000B1771">
      <w:pPr>
        <w:pStyle w:val="Heading4"/>
      </w:pPr>
      <w:r w:rsidRPr="00E400E4">
        <w:t>Packaging, labelling and containers</w:t>
      </w:r>
    </w:p>
    <w:p w:rsidR="00555918" w:rsidRPr="00E400E4" w:rsidRDefault="00555918" w:rsidP="000B1771">
      <w:pPr>
        <w:keepNext/>
      </w:pPr>
      <w:r w:rsidRPr="00E400E4">
        <w:t>The objectives of this recommended procedure are to ensure that:</w:t>
      </w:r>
    </w:p>
    <w:p w:rsidR="00555918" w:rsidRPr="00E400E4" w:rsidRDefault="00555918" w:rsidP="00555918">
      <w:pPr>
        <w:pStyle w:val="ListBullet"/>
        <w:numPr>
          <w:ilvl w:val="0"/>
          <w:numId w:val="7"/>
        </w:numPr>
      </w:pPr>
      <w:r w:rsidRPr="00E400E4">
        <w:t xml:space="preserve">avocados intended for export to Australia, and associated packaging, are not contaminated by quarantine pests or regulated articles (as defined in ISPM 5: </w:t>
      </w:r>
      <w:r w:rsidRPr="00E400E4">
        <w:rPr>
          <w:i/>
        </w:rPr>
        <w:t>Glossary of phytosanitary terms</w:t>
      </w:r>
      <w:r w:rsidRPr="00E400E4">
        <w:t xml:space="preserve"> </w:t>
      </w:r>
      <w:r>
        <w:rPr>
          <w:noProof/>
        </w:rPr>
        <w:t>(FAO 2019b)</w:t>
      </w:r>
      <w:r w:rsidRPr="00E400E4">
        <w:t xml:space="preserve">) </w:t>
      </w:r>
    </w:p>
    <w:p w:rsidR="00555918" w:rsidRPr="00E400E4" w:rsidRDefault="00555918" w:rsidP="00555918">
      <w:pPr>
        <w:pStyle w:val="ListBullet"/>
        <w:numPr>
          <w:ilvl w:val="0"/>
          <w:numId w:val="7"/>
        </w:numPr>
      </w:pPr>
      <w:r w:rsidRPr="00E400E4">
        <w:t>unprocessed packing material, which is not permitted, as it may vector other pests not associated with avocados, is not imported with Chilean avocados</w:t>
      </w:r>
    </w:p>
    <w:p w:rsidR="00555918" w:rsidRPr="00E400E4" w:rsidRDefault="00555918" w:rsidP="00555918">
      <w:pPr>
        <w:pStyle w:val="ListBullet"/>
        <w:numPr>
          <w:ilvl w:val="0"/>
          <w:numId w:val="7"/>
        </w:numPr>
      </w:pPr>
      <w:r w:rsidRPr="00E400E4">
        <w:t>all wood material associated with the consignment used in packaging and transport of avocados must comply with the Department of Agriculture’s import conditions, as published on BICON</w:t>
      </w:r>
    </w:p>
    <w:p w:rsidR="00555918" w:rsidRPr="00E400E4" w:rsidRDefault="00555918" w:rsidP="000B1771">
      <w:pPr>
        <w:pStyle w:val="ListBullet"/>
        <w:numPr>
          <w:ilvl w:val="0"/>
          <w:numId w:val="22"/>
        </w:numPr>
        <w:spacing w:line="276" w:lineRule="auto"/>
        <w:rPr>
          <w:lang w:val="en"/>
        </w:rPr>
      </w:pPr>
      <w:r w:rsidRPr="00E400E4">
        <w:t xml:space="preserve">secure packaging is used for export of avocados to Australia to prevent re-infestation during storage and transport and prevent escape of pests during clearance procedures on arrival in Australia. </w:t>
      </w:r>
      <w:r w:rsidRPr="00E400E4">
        <w:rPr>
          <w:lang w:val="en"/>
        </w:rPr>
        <w:t>To make consignments insect-proof and secure, at least one of the following packaging options must be used:</w:t>
      </w:r>
    </w:p>
    <w:p w:rsidR="00555918" w:rsidRPr="00E400E4" w:rsidRDefault="00555918" w:rsidP="000B1771">
      <w:pPr>
        <w:pStyle w:val="ListBullet"/>
        <w:numPr>
          <w:ilvl w:val="1"/>
          <w:numId w:val="22"/>
        </w:numPr>
        <w:spacing w:line="276" w:lineRule="auto"/>
        <w:rPr>
          <w:lang w:val="en"/>
        </w:rPr>
      </w:pPr>
      <w:r w:rsidRPr="00E400E4">
        <w:rPr>
          <w:b/>
          <w:bCs/>
          <w:lang w:val="en"/>
        </w:rPr>
        <w:t>Integral cartons</w:t>
      </w:r>
      <w:r w:rsidRPr="00E400E4">
        <w:rPr>
          <w:bCs/>
          <w:lang w:val="en"/>
        </w:rPr>
        <w:t xml:space="preserve">: </w:t>
      </w:r>
      <w:r w:rsidRPr="00E400E4">
        <w:rPr>
          <w:lang w:val="en"/>
        </w:rPr>
        <w:t>produce may be packed in integral (fully enclosed) cartons (packages) with boxes having no ventilation holes and lids tightly fixed to the bases.</w:t>
      </w:r>
    </w:p>
    <w:p w:rsidR="00555918" w:rsidRPr="00E400E4" w:rsidRDefault="00555918" w:rsidP="000B1771">
      <w:pPr>
        <w:pStyle w:val="ListBullet"/>
        <w:numPr>
          <w:ilvl w:val="1"/>
          <w:numId w:val="22"/>
        </w:numPr>
        <w:spacing w:line="276" w:lineRule="auto"/>
        <w:rPr>
          <w:lang w:val="en"/>
        </w:rPr>
      </w:pPr>
      <w:r w:rsidRPr="00E400E4">
        <w:rPr>
          <w:b/>
          <w:bCs/>
          <w:lang w:val="en"/>
        </w:rPr>
        <w:t xml:space="preserve">Ventilation holes of cartons covered: </w:t>
      </w:r>
      <w:r w:rsidRPr="00E400E4">
        <w:rPr>
          <w:lang w:val="en"/>
        </w:rPr>
        <w:t>cartons (packages) with ventilation holes must have the holes covered/sealed with a mesh/screen of no more than 1.6 mm pore size and not less than 0.16 mm strand thickness. Alternatively, the vent holes could be taped over.</w:t>
      </w:r>
    </w:p>
    <w:p w:rsidR="00555918" w:rsidRPr="00E400E4" w:rsidRDefault="00555918" w:rsidP="000B1771">
      <w:pPr>
        <w:pStyle w:val="ListBullet"/>
        <w:numPr>
          <w:ilvl w:val="1"/>
          <w:numId w:val="22"/>
        </w:numPr>
        <w:spacing w:line="276" w:lineRule="auto"/>
        <w:rPr>
          <w:lang w:val="en"/>
        </w:rPr>
      </w:pPr>
      <w:r w:rsidRPr="00E400E4">
        <w:rPr>
          <w:b/>
          <w:bCs/>
          <w:lang w:val="en"/>
        </w:rPr>
        <w:t xml:space="preserve">Polythene liners </w:t>
      </w:r>
      <w:r w:rsidRPr="00E400E4">
        <w:rPr>
          <w:lang w:val="en"/>
        </w:rPr>
        <w:t>- vented cartons (packages) with sealed polythene liners/bags within are acceptable (folded polythene bags are acceptable).</w:t>
      </w:r>
    </w:p>
    <w:p w:rsidR="00555918" w:rsidRPr="00E400E4" w:rsidRDefault="00555918" w:rsidP="000B1771">
      <w:pPr>
        <w:pStyle w:val="ListBullet"/>
        <w:numPr>
          <w:ilvl w:val="1"/>
          <w:numId w:val="22"/>
        </w:numPr>
        <w:rPr>
          <w:lang w:val="en"/>
        </w:rPr>
      </w:pPr>
      <w:r w:rsidRPr="00E400E4">
        <w:rPr>
          <w:b/>
          <w:bCs/>
          <w:lang w:val="en"/>
        </w:rPr>
        <w:t>Meshed or shrink wrapped pallets or Unit Loading Devices (ULDs)</w:t>
      </w:r>
      <w:r w:rsidRPr="00E400E4">
        <w:rPr>
          <w:lang w:val="en"/>
        </w:rPr>
        <w:t>:ULDs transporting cartons with open ventilation holes/gaps, or palletised cartons with ventilation holes/gaps must be fully covered or wrapped with polythene/plastic/foil sheet or mesh/screen of no more than 1.6 mm diameter pore size.</w:t>
      </w:r>
      <w:r w:rsidRPr="00E400E4">
        <w:t xml:space="preserve"> </w:t>
      </w:r>
      <w:r w:rsidRPr="00E400E4">
        <w:rPr>
          <w:lang w:val="en"/>
        </w:rPr>
        <w:t>The wrapped pallet or ULD must be loaded and sealed at packing house or treatment facility.</w:t>
      </w:r>
    </w:p>
    <w:p w:rsidR="00555918" w:rsidRPr="00E400E4" w:rsidRDefault="00555918" w:rsidP="000B1771">
      <w:pPr>
        <w:pStyle w:val="ListBullet"/>
        <w:numPr>
          <w:ilvl w:val="1"/>
          <w:numId w:val="22"/>
        </w:numPr>
        <w:spacing w:line="276" w:lineRule="auto"/>
        <w:rPr>
          <w:lang w:val="en"/>
        </w:rPr>
      </w:pPr>
      <w:r w:rsidRPr="00E400E4">
        <w:rPr>
          <w:b/>
          <w:bCs/>
          <w:lang w:val="en"/>
        </w:rPr>
        <w:t xml:space="preserve">Produce transported in fully enclosed containers: </w:t>
      </w:r>
      <w:r w:rsidRPr="00E400E4">
        <w:rPr>
          <w:lang w:val="en"/>
        </w:rPr>
        <w:t xml:space="preserve">cartons (packages) with holes as loose boxes or on pallets may be transported in fully enclosed containers. Enclosed </w:t>
      </w:r>
      <w:r w:rsidRPr="00E400E4">
        <w:rPr>
          <w:lang w:val="en"/>
        </w:rPr>
        <w:lastRenderedPageBreak/>
        <w:t>containers include 6-sided container with solid sides, or ULDs with tarpaulin sides that have no holes or gaps. The container must be loaded and sealed at the packing house or treatment facility.</w:t>
      </w:r>
    </w:p>
    <w:p w:rsidR="00555918" w:rsidRPr="00E400E4" w:rsidRDefault="00555918" w:rsidP="00555918">
      <w:pPr>
        <w:pStyle w:val="ListBullet"/>
        <w:numPr>
          <w:ilvl w:val="0"/>
          <w:numId w:val="7"/>
        </w:numPr>
      </w:pPr>
      <w:r w:rsidRPr="00E400E4">
        <w:t xml:space="preserve">the packaged avocados are labelled with sufficient identification for the purposes of traceability of goods to orchard, packing house and treatment provider (if required). </w:t>
      </w:r>
    </w:p>
    <w:p w:rsidR="00555918" w:rsidRPr="00E400E4" w:rsidRDefault="00555918" w:rsidP="000B1771">
      <w:pPr>
        <w:pBdr>
          <w:top w:val="single" w:sz="4" w:space="1" w:color="auto"/>
          <w:left w:val="single" w:sz="4" w:space="4" w:color="auto"/>
          <w:bottom w:val="single" w:sz="4" w:space="1" w:color="auto"/>
          <w:right w:val="single" w:sz="4" w:space="4" w:color="auto"/>
        </w:pBdr>
        <w:rPr>
          <w:color w:val="000000"/>
        </w:rPr>
      </w:pPr>
      <w:r w:rsidRPr="00E400E4">
        <w:rPr>
          <w:color w:val="000000"/>
        </w:rPr>
        <w:t>Export packing houses and treatment providers (where applicable) must ensure packaging and labelling are appropriate to maintain phytosanitary status of the export consignments.</w:t>
      </w:r>
    </w:p>
    <w:p w:rsidR="00555918" w:rsidRPr="00E400E4" w:rsidRDefault="00555918" w:rsidP="000B1771">
      <w:pPr>
        <w:pStyle w:val="Heading4"/>
      </w:pPr>
      <w:r w:rsidRPr="00E400E4">
        <w:t>Specific conditions for storage and movement</w:t>
      </w:r>
    </w:p>
    <w:p w:rsidR="00555918" w:rsidRPr="00E400E4" w:rsidRDefault="00555918" w:rsidP="000B1771">
      <w:r w:rsidRPr="00E400E4">
        <w:t>The objective of this recommended procedure is to ensure that the quarantine integrity of the commodity is maintained during storage and movement.</w:t>
      </w:r>
    </w:p>
    <w:p w:rsidR="00555918" w:rsidRPr="00E400E4" w:rsidRDefault="00555918" w:rsidP="000B1771">
      <w:pPr>
        <w:pBdr>
          <w:top w:val="single" w:sz="4" w:space="1" w:color="auto"/>
          <w:left w:val="single" w:sz="4" w:space="4" w:color="auto"/>
          <w:bottom w:val="single" w:sz="4" w:space="1" w:color="auto"/>
          <w:right w:val="single" w:sz="4" w:space="4" w:color="auto"/>
        </w:pBdr>
      </w:pPr>
      <w:r w:rsidRPr="00E400E4">
        <w:t>Treated and/or inspected avocados for export to Australia must be kept secure and segregated at all times from any fruit for domestic or other markets, and from untreated/non pre-inspected product to prevent mixing or cross-contamination.</w:t>
      </w:r>
    </w:p>
    <w:p w:rsidR="00555918" w:rsidRPr="00E400E4" w:rsidRDefault="00555918" w:rsidP="000B1771">
      <w:pPr>
        <w:pStyle w:val="Heading4"/>
      </w:pPr>
      <w:r w:rsidRPr="00E400E4">
        <w:t>Freedom from trash</w:t>
      </w:r>
    </w:p>
    <w:p w:rsidR="00555918" w:rsidRPr="00E400E4" w:rsidRDefault="00555918" w:rsidP="000B1771">
      <w:r w:rsidRPr="00E400E4">
        <w:t>The objective of this recommended procedure is to ensure that avocados for export are free from trash (for example, loose stem and leaf material, seeds, soil, animal matter/parts or other extraneous material) and foreign matter.</w:t>
      </w:r>
    </w:p>
    <w:p w:rsidR="00555918" w:rsidRPr="00E400E4" w:rsidRDefault="00555918" w:rsidP="000B1771">
      <w:pPr>
        <w:pBdr>
          <w:top w:val="single" w:sz="4" w:space="1" w:color="auto"/>
          <w:left w:val="single" w:sz="4" w:space="4" w:color="auto"/>
          <w:bottom w:val="single" w:sz="4" w:space="1" w:color="auto"/>
          <w:right w:val="single" w:sz="4" w:space="4" w:color="auto"/>
        </w:pBdr>
      </w:pPr>
      <w:r w:rsidRPr="00E400E4">
        <w:t>Freedom from trash will be confirmed by the inspection procedures. Export lots or consignments found to contain trash or foreign matter must be withdrawn from export unless approved remedial action such as reconditioning is available and applied to the export consignment and then re-inspected.</w:t>
      </w:r>
    </w:p>
    <w:p w:rsidR="00555918" w:rsidRPr="00E400E4" w:rsidRDefault="00555918" w:rsidP="000B1771">
      <w:pPr>
        <w:pStyle w:val="Heading4"/>
      </w:pPr>
      <w:r w:rsidRPr="00E400E4">
        <w:t>Pre-export phytosanitary inspection and certification by SAG</w:t>
      </w:r>
    </w:p>
    <w:p w:rsidR="00555918" w:rsidRPr="00E400E4" w:rsidRDefault="00555918" w:rsidP="000B1771">
      <w:r w:rsidRPr="00E400E4">
        <w:t>The objectives of this recommended procedure are to ensure that Australia’s import conditions have been met.</w:t>
      </w:r>
    </w:p>
    <w:p w:rsidR="00555918" w:rsidRPr="00E400E4" w:rsidRDefault="00555918" w:rsidP="00555918">
      <w:pPr>
        <w:pStyle w:val="ListBullet"/>
        <w:numPr>
          <w:ilvl w:val="0"/>
          <w:numId w:val="7"/>
        </w:numPr>
        <w:pBdr>
          <w:top w:val="single" w:sz="4" w:space="1" w:color="auto"/>
          <w:left w:val="single" w:sz="4" w:space="4" w:color="auto"/>
          <w:bottom w:val="single" w:sz="4" w:space="1" w:color="auto"/>
          <w:right w:val="single" w:sz="4" w:space="4" w:color="auto"/>
        </w:pBdr>
      </w:pPr>
      <w:r w:rsidRPr="00E400E4">
        <w:t xml:space="preserve">All consignments must be inspected in accordance with official procedures for all visually detectable quarantine pests and other regulated articles (including soil, animal and plant debris) at a random 600 unit sampling rate per phytosanitary certificate, or equivalent (as defined in ISPM 31: Methodologies for sampling consignments </w:t>
      </w:r>
      <w:r>
        <w:rPr>
          <w:noProof/>
        </w:rPr>
        <w:t>(FAO 2016c)</w:t>
      </w:r>
      <w:r w:rsidRPr="00E400E4">
        <w:t>. One unit is considered to be a single avocado fruit.</w:t>
      </w:r>
    </w:p>
    <w:p w:rsidR="00555918" w:rsidRPr="00E400E4" w:rsidRDefault="00555918" w:rsidP="00555918">
      <w:pPr>
        <w:pStyle w:val="ListBullet"/>
        <w:numPr>
          <w:ilvl w:val="0"/>
          <w:numId w:val="7"/>
        </w:numPr>
        <w:pBdr>
          <w:top w:val="single" w:sz="4" w:space="1" w:color="auto"/>
          <w:left w:val="single" w:sz="4" w:space="4" w:color="auto"/>
          <w:bottom w:val="single" w:sz="4" w:space="1" w:color="auto"/>
          <w:right w:val="single" w:sz="4" w:space="4" w:color="auto"/>
        </w:pBdr>
      </w:pPr>
      <w:r w:rsidRPr="00E400E4">
        <w:t>The department may request information from SAG on the inspection method used to identify quarantine pests.</w:t>
      </w:r>
    </w:p>
    <w:p w:rsidR="00555918" w:rsidRPr="00E400E4" w:rsidRDefault="00555918" w:rsidP="00555918">
      <w:pPr>
        <w:pStyle w:val="ListBullet"/>
        <w:numPr>
          <w:ilvl w:val="0"/>
          <w:numId w:val="7"/>
        </w:numPr>
        <w:pBdr>
          <w:top w:val="single" w:sz="4" w:space="1" w:color="auto"/>
          <w:left w:val="single" w:sz="4" w:space="4" w:color="auto"/>
          <w:bottom w:val="single" w:sz="4" w:space="1" w:color="auto"/>
          <w:right w:val="single" w:sz="4" w:space="4" w:color="auto"/>
        </w:pBdr>
      </w:pPr>
      <w:r w:rsidRPr="00E400E4">
        <w:t>A phytosanitary certificate must be issued for each consignment upon completion of pre-export inspection to verify that the required risk management measures have been undertaken prior to export and the consignment meets Australia’s import requirements.</w:t>
      </w:r>
    </w:p>
    <w:p w:rsidR="00555918" w:rsidRPr="00E400E4" w:rsidRDefault="00555918" w:rsidP="00555918">
      <w:pPr>
        <w:pStyle w:val="ListBullet"/>
        <w:numPr>
          <w:ilvl w:val="0"/>
          <w:numId w:val="7"/>
        </w:numPr>
        <w:pBdr>
          <w:top w:val="single" w:sz="4" w:space="1" w:color="auto"/>
          <w:left w:val="single" w:sz="4" w:space="4" w:color="auto"/>
          <w:bottom w:val="single" w:sz="4" w:space="1" w:color="auto"/>
          <w:right w:val="single" w:sz="4" w:space="4" w:color="auto"/>
        </w:pBdr>
      </w:pPr>
      <w:r w:rsidRPr="00E400E4">
        <w:t>Each phytosanitary certificate must include:</w:t>
      </w:r>
    </w:p>
    <w:p w:rsidR="00555918" w:rsidRPr="00E400E4" w:rsidRDefault="00555918" w:rsidP="000B1771">
      <w:pPr>
        <w:pStyle w:val="ListBullet"/>
        <w:numPr>
          <w:ilvl w:val="0"/>
          <w:numId w:val="12"/>
        </w:numPr>
        <w:pBdr>
          <w:top w:val="single" w:sz="4" w:space="1" w:color="auto"/>
          <w:left w:val="single" w:sz="4" w:space="4" w:color="auto"/>
          <w:bottom w:val="single" w:sz="4" w:space="1" w:color="auto"/>
          <w:right w:val="single" w:sz="4" w:space="4" w:color="auto"/>
        </w:pBdr>
      </w:pPr>
      <w:r w:rsidRPr="00E400E4">
        <w:t>a description of the consignment (including traceability information)</w:t>
      </w:r>
    </w:p>
    <w:p w:rsidR="00555918" w:rsidRPr="00E400E4" w:rsidRDefault="00555918" w:rsidP="000B1771">
      <w:pPr>
        <w:pStyle w:val="ListBullet"/>
        <w:numPr>
          <w:ilvl w:val="0"/>
          <w:numId w:val="12"/>
        </w:numPr>
        <w:pBdr>
          <w:top w:val="single" w:sz="4" w:space="1" w:color="auto"/>
          <w:left w:val="single" w:sz="4" w:space="4" w:color="auto"/>
          <w:bottom w:val="single" w:sz="4" w:space="1" w:color="auto"/>
          <w:right w:val="single" w:sz="4" w:space="4" w:color="auto"/>
        </w:pBdr>
      </w:pPr>
      <w:r w:rsidRPr="00E400E4">
        <w:t>details of disinfestation treatments (for example, cold disinfestation treatment)</w:t>
      </w:r>
    </w:p>
    <w:p w:rsidR="00555918" w:rsidRPr="00E400E4" w:rsidRDefault="00555918" w:rsidP="000B1771">
      <w:pPr>
        <w:pStyle w:val="ListBullet"/>
        <w:numPr>
          <w:ilvl w:val="0"/>
          <w:numId w:val="12"/>
        </w:numPr>
        <w:pBdr>
          <w:top w:val="single" w:sz="4" w:space="1" w:color="auto"/>
          <w:left w:val="single" w:sz="4" w:space="4" w:color="auto"/>
          <w:bottom w:val="single" w:sz="4" w:space="1" w:color="auto"/>
          <w:right w:val="single" w:sz="4" w:space="4" w:color="auto"/>
        </w:pBdr>
      </w:pPr>
      <w:r w:rsidRPr="00E400E4">
        <w:t>any other statements that may be required such as identification of the consignment as being sourced from a recognised pest free area.</w:t>
      </w:r>
    </w:p>
    <w:p w:rsidR="00555918" w:rsidRPr="00E400E4" w:rsidRDefault="00555918" w:rsidP="000B1771">
      <w:pPr>
        <w:pStyle w:val="Heading4"/>
      </w:pPr>
      <w:r w:rsidRPr="00E400E4">
        <w:lastRenderedPageBreak/>
        <w:t>Phytosanitary inspection by the Department of Agriculture</w:t>
      </w:r>
    </w:p>
    <w:p w:rsidR="00555918" w:rsidRPr="00E400E4" w:rsidRDefault="00555918" w:rsidP="000B1771">
      <w:pPr>
        <w:keepNext/>
      </w:pPr>
      <w:r w:rsidRPr="00E400E4">
        <w:t>The objectives of this recommended procedure are to ensure that:</w:t>
      </w:r>
    </w:p>
    <w:p w:rsidR="00555918" w:rsidRPr="00E400E4" w:rsidRDefault="00555918" w:rsidP="00555918">
      <w:pPr>
        <w:pStyle w:val="ListBullet"/>
        <w:numPr>
          <w:ilvl w:val="0"/>
          <w:numId w:val="7"/>
        </w:numPr>
      </w:pPr>
      <w:r w:rsidRPr="00E400E4">
        <w:t>consignments comply with Australian import requirements</w:t>
      </w:r>
    </w:p>
    <w:p w:rsidR="00555918" w:rsidRPr="00E400E4" w:rsidRDefault="00555918" w:rsidP="00555918">
      <w:pPr>
        <w:pStyle w:val="ListBullet"/>
        <w:numPr>
          <w:ilvl w:val="0"/>
          <w:numId w:val="7"/>
        </w:numPr>
      </w:pPr>
      <w:r w:rsidRPr="00E400E4">
        <w:t>consignments are as described on the phytosanitary certificate and</w:t>
      </w:r>
    </w:p>
    <w:p w:rsidR="00555918" w:rsidRPr="00E400E4" w:rsidRDefault="00555918" w:rsidP="00555918">
      <w:pPr>
        <w:pStyle w:val="ListBullet"/>
        <w:numPr>
          <w:ilvl w:val="0"/>
          <w:numId w:val="7"/>
        </w:numPr>
      </w:pPr>
      <w:r w:rsidRPr="00E400E4">
        <w:t>quarantine integrity has been maintained.</w:t>
      </w:r>
    </w:p>
    <w:p w:rsidR="00555918" w:rsidRPr="00E400E4" w:rsidRDefault="00555918" w:rsidP="000B1771">
      <w:pPr>
        <w:pBdr>
          <w:top w:val="single" w:sz="4" w:space="1" w:color="auto"/>
          <w:left w:val="single" w:sz="4" w:space="4" w:color="auto"/>
          <w:bottom w:val="single" w:sz="4" w:space="1" w:color="auto"/>
          <w:right w:val="single" w:sz="4" w:space="4" w:color="auto"/>
        </w:pBdr>
        <w:rPr>
          <w:color w:val="000000"/>
        </w:rPr>
      </w:pPr>
      <w:r w:rsidRPr="00E400E4">
        <w:t xml:space="preserve">On arrival in Australia, the </w:t>
      </w:r>
      <w:r w:rsidRPr="00E400E4">
        <w:rPr>
          <w:color w:val="000000"/>
        </w:rPr>
        <w:t>Department of Agriculture will:</w:t>
      </w:r>
    </w:p>
    <w:p w:rsidR="00555918" w:rsidRPr="00E400E4" w:rsidRDefault="00555918" w:rsidP="000B1771">
      <w:pPr>
        <w:pStyle w:val="ListBullet"/>
        <w:numPr>
          <w:ilvl w:val="0"/>
          <w:numId w:val="12"/>
        </w:numPr>
        <w:pBdr>
          <w:top w:val="single" w:sz="4" w:space="1" w:color="auto"/>
          <w:left w:val="single" w:sz="4" w:space="4" w:color="auto"/>
          <w:bottom w:val="single" w:sz="4" w:space="1" w:color="auto"/>
          <w:right w:val="single" w:sz="4" w:space="4" w:color="auto"/>
        </w:pBdr>
      </w:pPr>
      <w:r w:rsidRPr="00E400E4">
        <w:t>assess documentation to verify that the consignment is as described on the phytosanitary certificate, that required phytosanitary actions have been undertaken, and that product security has been maintained</w:t>
      </w:r>
    </w:p>
    <w:p w:rsidR="00555918" w:rsidRPr="00E400E4" w:rsidRDefault="00555918" w:rsidP="000B1771">
      <w:pPr>
        <w:pStyle w:val="ListBullet"/>
        <w:numPr>
          <w:ilvl w:val="0"/>
          <w:numId w:val="12"/>
        </w:numPr>
        <w:pBdr>
          <w:top w:val="single" w:sz="4" w:space="1" w:color="auto"/>
          <w:left w:val="single" w:sz="4" w:space="4" w:color="auto"/>
          <w:bottom w:val="single" w:sz="4" w:space="1" w:color="auto"/>
          <w:right w:val="single" w:sz="4" w:space="4" w:color="auto"/>
        </w:pBdr>
      </w:pPr>
      <w:r w:rsidRPr="00E400E4">
        <w:t xml:space="preserve">verify that the biosecurity status of consignments of avocados from Chile meet Australia’s import conditions. When inspecting consignments, the </w:t>
      </w:r>
      <w:r w:rsidRPr="00E400E4">
        <w:rPr>
          <w:color w:val="000000"/>
        </w:rPr>
        <w:t xml:space="preserve">department </w:t>
      </w:r>
      <w:r w:rsidRPr="00E400E4">
        <w:t>will use random samples of 600 units, or equivalent, per phytosanitary certificate (or as goods are lodged) and inspection methods suitable for the commodity.</w:t>
      </w:r>
    </w:p>
    <w:p w:rsidR="00555918" w:rsidRPr="00E400E4" w:rsidRDefault="00555918" w:rsidP="000B1771">
      <w:pPr>
        <w:pStyle w:val="Heading4"/>
      </w:pPr>
      <w:r w:rsidRPr="00E400E4">
        <w:t>Remedial action(s) for non-compliance</w:t>
      </w:r>
    </w:p>
    <w:p w:rsidR="00555918" w:rsidRPr="00E400E4" w:rsidRDefault="00555918">
      <w:r w:rsidRPr="00E400E4">
        <w:t>The objectives of remedial action(s) for non-compliance are to ensure that:</w:t>
      </w:r>
    </w:p>
    <w:p w:rsidR="00555918" w:rsidRPr="00E400E4" w:rsidRDefault="00555918" w:rsidP="00555918">
      <w:pPr>
        <w:pStyle w:val="ListBullet"/>
        <w:numPr>
          <w:ilvl w:val="0"/>
          <w:numId w:val="7"/>
        </w:numPr>
      </w:pPr>
      <w:r w:rsidRPr="00E400E4">
        <w:t>any quarantine pest or regulated article, including trash, is addressed by remedial action, as appropriate</w:t>
      </w:r>
    </w:p>
    <w:p w:rsidR="00555918" w:rsidRPr="00E400E4" w:rsidRDefault="00555918" w:rsidP="00555918">
      <w:pPr>
        <w:pStyle w:val="ListBullet"/>
        <w:numPr>
          <w:ilvl w:val="0"/>
          <w:numId w:val="7"/>
        </w:numPr>
      </w:pPr>
      <w:r w:rsidRPr="00E400E4">
        <w:t>non-compliance with import requirements is addressed, as appropriate.</w:t>
      </w:r>
    </w:p>
    <w:p w:rsidR="00555918" w:rsidRPr="00E400E4" w:rsidRDefault="00555918" w:rsidP="000B1771">
      <w:pPr>
        <w:pBdr>
          <w:top w:val="single" w:sz="4" w:space="1" w:color="auto"/>
          <w:left w:val="single" w:sz="4" w:space="4" w:color="auto"/>
          <w:bottom w:val="single" w:sz="4" w:space="1" w:color="auto"/>
          <w:right w:val="single" w:sz="4" w:space="4" w:color="auto"/>
        </w:pBdr>
      </w:pPr>
      <w:r w:rsidRPr="00E400E4">
        <w:t>Any consignment that fails to meet Australia’s import conditions will be subject to suitable remedial treatment where an effective treatment is available and biosecurity risks associated with applying the treatment can be effectively managed, or the imported consignment will be exported or destroyed.</w:t>
      </w:r>
    </w:p>
    <w:p w:rsidR="00555918" w:rsidRPr="00E400E4" w:rsidRDefault="00555918">
      <w:r w:rsidRPr="00E400E4">
        <w:t>Other actions including partial or complete suspension of the import pathway may be taken depending on the identity and/or importance of the pest intercepted, for example, fruit flies of economic importance.</w:t>
      </w:r>
    </w:p>
    <w:p w:rsidR="00555918" w:rsidRPr="00E400E4" w:rsidRDefault="00555918">
      <w:r w:rsidRPr="00E400E4">
        <w:t>In the event that avocado consignments are repeatedly non-compliant, the Department of Agriculture reserves the right to suspend imports (either all imports, or imports from specific pathways) and conduct an audit of the risk management systems. Imports will be allowed to recommence only when the Department of Agriculture is satisfied that appropriate corrective action has been undertaken.</w:t>
      </w:r>
    </w:p>
    <w:p w:rsidR="00555918" w:rsidRPr="00E400E4" w:rsidRDefault="00555918" w:rsidP="000B1771">
      <w:pPr>
        <w:pStyle w:val="Heading3"/>
      </w:pPr>
      <w:bookmarkStart w:id="137" w:name="_Toc389741459"/>
      <w:bookmarkStart w:id="138" w:name="_Toc20392254"/>
      <w:r w:rsidRPr="00E400E4">
        <w:t>Uncategorised pests</w:t>
      </w:r>
      <w:bookmarkEnd w:id="137"/>
      <w:bookmarkEnd w:id="138"/>
    </w:p>
    <w:p w:rsidR="00555918" w:rsidRPr="00E400E4" w:rsidRDefault="00555918" w:rsidP="000B1771">
      <w:r w:rsidRPr="00E400E4">
        <w:t>If an organism that has not been categorised, including a contaminant pest, is reported on avocados in Chile or detected on avocados on arrival in Australia, it will require assessment by the Department of Agriculture to determine its quarantine status and whether phytosanitary action is required.</w:t>
      </w:r>
    </w:p>
    <w:p w:rsidR="00555918" w:rsidRPr="00E400E4" w:rsidRDefault="00555918" w:rsidP="000B1771">
      <w:r w:rsidRPr="00E400E4">
        <w:t xml:space="preserve">Assessment is also required if the detected species was categorised as not likely to be on the import pathway. If the detected species was categorised as on the pathway but assessed as having an unrestricted risk that achieves the ALOP for Australia, then it may require reassessment. The detection of any pests of biosecurity concern not already identified in this </w:t>
      </w:r>
      <w:r w:rsidRPr="00E400E4">
        <w:lastRenderedPageBreak/>
        <w:t>analysis may result in remedial action and/or temporary suspension of trade while a review is conducted to ensure that existing measures continue to provide the appropriate level of protection for Australia.</w:t>
      </w:r>
    </w:p>
    <w:p w:rsidR="00555918" w:rsidRPr="00E400E4" w:rsidRDefault="00555918" w:rsidP="000B1771">
      <w:pPr>
        <w:pStyle w:val="Heading3"/>
      </w:pPr>
      <w:bookmarkStart w:id="139" w:name="_Toc20392255"/>
      <w:r w:rsidRPr="00E400E4">
        <w:t>Review of processes</w:t>
      </w:r>
      <w:bookmarkEnd w:id="139"/>
    </w:p>
    <w:p w:rsidR="00555918" w:rsidRPr="00E400E4" w:rsidRDefault="00555918" w:rsidP="000B1771">
      <w:pPr>
        <w:pStyle w:val="Heading4"/>
      </w:pPr>
      <w:r w:rsidRPr="00E400E4">
        <w:t>Verification of protocol</w:t>
      </w:r>
    </w:p>
    <w:p w:rsidR="00555918" w:rsidRPr="00E400E4" w:rsidRDefault="00555918" w:rsidP="000B1771">
      <w:pPr>
        <w:rPr>
          <w:shd w:val="clear" w:color="auto" w:fill="DEEAF6" w:themeFill="accent1" w:themeFillTint="33"/>
        </w:rPr>
      </w:pPr>
      <w:r w:rsidRPr="00E400E4">
        <w:t>Prior to or during the first season of trade, the Department of Agriculture will verify the implementation of the required import conditions and phytosanitary measures including registration, operational procedures and treatment providers, where applicable. For example, for measures conducted off shore, the department may require information about standard operating procedures (SOPs). This may involve representatives from the Department of Agriculture visiting areas in Chile that produce avocados for export to Australia.</w:t>
      </w:r>
    </w:p>
    <w:p w:rsidR="00555918" w:rsidRPr="00E400E4" w:rsidRDefault="00555918" w:rsidP="000B1771">
      <w:pPr>
        <w:pStyle w:val="Heading4"/>
      </w:pPr>
      <w:r w:rsidRPr="00E400E4">
        <w:t>Review of policy</w:t>
      </w:r>
    </w:p>
    <w:p w:rsidR="00555918" w:rsidRPr="00E400E4" w:rsidRDefault="00555918" w:rsidP="000B1771">
      <w:r w:rsidRPr="00E400E4">
        <w:t>The Department of Agriculture will review the import policy after a suitable volume of trade has been achieved. In addition, the department reserves the right to review the import policy as deemed necessary, including if there is reason to believe that the pest or phytosanitary status in Chile has changed.</w:t>
      </w:r>
    </w:p>
    <w:p w:rsidR="00555918" w:rsidRPr="00E400E4" w:rsidRDefault="00555918" w:rsidP="000B1771">
      <w:r w:rsidRPr="00E400E4">
        <w:t xml:space="preserve">SAG must inform the Department of Agriculture immediately on detection of any newly identified pests of avocado that might be of potential biosecurity concern to Australia, or when the phytosanitary status of a pest has changed, in accordance with ISPM 8: </w:t>
      </w:r>
      <w:r w:rsidRPr="00E400E4">
        <w:rPr>
          <w:i/>
        </w:rPr>
        <w:t>Determination of pest status in an area</w:t>
      </w:r>
      <w:r w:rsidRPr="00E400E4">
        <w:t xml:space="preserve"> </w:t>
      </w:r>
      <w:r>
        <w:rPr>
          <w:noProof/>
        </w:rPr>
        <w:t>(FAO 2017b)</w:t>
      </w:r>
      <w:r w:rsidRPr="00E400E4">
        <w:t xml:space="preserve">. </w:t>
      </w:r>
    </w:p>
    <w:p w:rsidR="00555918" w:rsidRPr="00E400E4" w:rsidRDefault="00555918" w:rsidP="000B1771">
      <w:pPr>
        <w:pStyle w:val="Heading3"/>
      </w:pPr>
      <w:bookmarkStart w:id="140" w:name="_Toc20392256"/>
      <w:r w:rsidRPr="00E400E4">
        <w:t>Meeting Australia’s food laws</w:t>
      </w:r>
      <w:bookmarkEnd w:id="140"/>
    </w:p>
    <w:p w:rsidR="00555918" w:rsidRPr="00E400E4" w:rsidRDefault="00555918" w:rsidP="000B1771">
      <w:pPr>
        <w:rPr>
          <w:rFonts w:eastAsiaTheme="minorEastAsia" w:cs="Times New Roman"/>
        </w:rPr>
      </w:pPr>
      <w:r w:rsidRPr="00E400E4">
        <w:t xml:space="preserve">Imported food for human consumption must comply with the requirements of the </w:t>
      </w:r>
      <w:r w:rsidRPr="00E400E4">
        <w:rPr>
          <w:i/>
          <w:iCs/>
        </w:rPr>
        <w:t>Imported Food Control Act 1992</w:t>
      </w:r>
      <w:r w:rsidRPr="00E400E4">
        <w:t>, as well as Australian state and territory food laws. Among other things, these laws require all food, including imported food, to meet the standards set out in the Australia New Zealand Food Standards Code (the Code).</w:t>
      </w:r>
    </w:p>
    <w:p w:rsidR="00555918" w:rsidRPr="00E400E4" w:rsidRDefault="00555918" w:rsidP="000B1771">
      <w:r w:rsidRPr="00E400E4">
        <w:t xml:space="preserve">The Department of Agriculture administers the </w:t>
      </w:r>
      <w:r w:rsidRPr="00E400E4">
        <w:rPr>
          <w:i/>
          <w:iCs/>
        </w:rPr>
        <w:t>Imported Food Control Act 1992</w:t>
      </w:r>
      <w:r w:rsidRPr="00E400E4">
        <w:t xml:space="preserve">. This legislation provides for the inspection and control of imported food using a risk-based border inspection program, the Imported Food Inspection Scheme. More information on this inspection scheme, including the testing of imported food, is available from the </w:t>
      </w:r>
      <w:hyperlink r:id="rId60" w:history="1">
        <w:r w:rsidRPr="00E400E4">
          <w:t>department’s website</w:t>
        </w:r>
      </w:hyperlink>
      <w:r w:rsidRPr="00E400E4">
        <w:t xml:space="preserve"> at </w:t>
      </w:r>
      <w:hyperlink r:id="rId61" w:history="1">
        <w:r w:rsidRPr="00E400E4">
          <w:rPr>
            <w:rStyle w:val="Hyperlink"/>
          </w:rPr>
          <w:t>http://agriculture.gov.au/import/goods/food/inspection-compliance/inspection-scheme</w:t>
        </w:r>
      </w:hyperlink>
      <w:r w:rsidRPr="00E400E4">
        <w:t>.</w:t>
      </w:r>
    </w:p>
    <w:p w:rsidR="00555918" w:rsidRPr="00E400E4" w:rsidRDefault="00555918" w:rsidP="000B1771">
      <w:r w:rsidRPr="00E400E4">
        <w:t xml:space="preserve">Food Standards Australia New Zealand (FSANZ) is responsible for developing and maintaining the Code, including Standard 1.4.2 - Agvet chemicals. This standard is available on the </w:t>
      </w:r>
      <w:hyperlink r:id="rId62" w:history="1">
        <w:r w:rsidRPr="00E400E4">
          <w:t>Federal Register of Legislation</w:t>
        </w:r>
      </w:hyperlink>
      <w:r w:rsidRPr="00E400E4">
        <w:t xml:space="preserve"> at </w:t>
      </w:r>
      <w:hyperlink r:id="rId63" w:history="1">
        <w:r w:rsidRPr="00E400E4">
          <w:rPr>
            <w:rStyle w:val="Hyperlink"/>
          </w:rPr>
          <w:t>http://www.legislation.gov.au/</w:t>
        </w:r>
      </w:hyperlink>
      <w:r w:rsidRPr="00E400E4">
        <w:t xml:space="preserve"> or through the </w:t>
      </w:r>
      <w:hyperlink r:id="rId64" w:history="1">
        <w:r w:rsidRPr="00E400E4">
          <w:t>FSANZ website</w:t>
        </w:r>
      </w:hyperlink>
      <w:r w:rsidRPr="00E400E4">
        <w:t xml:space="preserve"> at</w:t>
      </w:r>
      <w:r w:rsidRPr="00E400E4">
        <w:rPr>
          <w:rStyle w:val="Hyperlink"/>
        </w:rPr>
        <w:t xml:space="preserve"> </w:t>
      </w:r>
      <w:hyperlink r:id="rId65" w:history="1">
        <w:r w:rsidRPr="00E400E4">
          <w:rPr>
            <w:rStyle w:val="Hyperlink"/>
          </w:rPr>
          <w:t>http://www.foodstandards.gov.au/code/Pages/default.aspx</w:t>
        </w:r>
      </w:hyperlink>
      <w:r w:rsidRPr="00E400E4">
        <w:t xml:space="preserve">. </w:t>
      </w:r>
    </w:p>
    <w:p w:rsidR="00555918" w:rsidRPr="00E400E4" w:rsidRDefault="00555918" w:rsidP="000B1771">
      <w:r w:rsidRPr="00E400E4">
        <w:t>Standard 1.4.2 and Schedules 20 and 21 of the Code set out the maximum residue limits (MRLs) and extraneous residue limits (ERLs) for agricultural or veterinary chemicals that are permitted in food, including imported food.</w:t>
      </w:r>
    </w:p>
    <w:p w:rsidR="00555918" w:rsidRPr="00E400E4" w:rsidRDefault="00555918">
      <w:pPr>
        <w:sectPr w:rsidR="00555918" w:rsidRPr="00E400E4" w:rsidSect="000B1771">
          <w:headerReference w:type="default" r:id="rId66"/>
          <w:pgSz w:w="11906" w:h="16838"/>
          <w:pgMar w:top="1418" w:right="1418" w:bottom="1418" w:left="1418" w:header="567" w:footer="283" w:gutter="0"/>
          <w:cols w:space="708"/>
          <w:docGrid w:linePitch="360"/>
        </w:sectPr>
      </w:pPr>
      <w:r w:rsidRPr="00E400E4">
        <w:t xml:space="preserve">Standard 1.1.1 of the Code specifies that a food must not have, as an ingredient or a component, a detectable amount of an agvet chemical or a metabolite or a degradation product of the agvet chemical unless expressly permitted by the Code. </w:t>
      </w:r>
    </w:p>
    <w:p w:rsidR="00555918" w:rsidRPr="00E400E4" w:rsidRDefault="00555918" w:rsidP="000B1771">
      <w:pPr>
        <w:pStyle w:val="Heading2"/>
      </w:pPr>
      <w:bookmarkStart w:id="141" w:name="_Toc20392257"/>
      <w:r w:rsidRPr="00E400E4">
        <w:lastRenderedPageBreak/>
        <w:t>Conclusion</w:t>
      </w:r>
      <w:bookmarkEnd w:id="141"/>
    </w:p>
    <w:p w:rsidR="00555918" w:rsidRPr="00E400E4" w:rsidRDefault="00555918" w:rsidP="000B1771">
      <w:r w:rsidRPr="00E400E4">
        <w:t xml:space="preserve">The findings of this final risk analysis for fresh avocados from Chile are based on a comprehensive scientific analysis of relevant literature, and other avenues of enquiry. </w:t>
      </w:r>
    </w:p>
    <w:p w:rsidR="00555918" w:rsidRPr="00E400E4" w:rsidRDefault="00555918" w:rsidP="000B1771">
      <w:r w:rsidRPr="00E400E4">
        <w:t>The Department of Agriculture considers that the risk management measures recommended in this report will provide an appropriate level of protection against the quarantine pests and regulated thrips identified as associated with the trade of fresh avocados from Chile.</w:t>
      </w:r>
    </w:p>
    <w:p w:rsidR="00555918" w:rsidRPr="00E400E4" w:rsidRDefault="00555918" w:rsidP="000B1771"/>
    <w:p w:rsidR="00555918" w:rsidRPr="00E400E4" w:rsidRDefault="00555918" w:rsidP="000B1771">
      <w:pPr>
        <w:sectPr w:rsidR="00555918" w:rsidRPr="00E400E4">
          <w:headerReference w:type="default" r:id="rId67"/>
          <w:pgSz w:w="11906" w:h="16838"/>
          <w:pgMar w:top="1418" w:right="1418" w:bottom="1418" w:left="1418" w:header="567" w:footer="283" w:gutter="0"/>
          <w:cols w:space="708"/>
          <w:docGrid w:linePitch="360"/>
        </w:sectPr>
      </w:pPr>
    </w:p>
    <w:p w:rsidR="00555918" w:rsidRPr="00E400E4" w:rsidRDefault="00555918" w:rsidP="000B1771">
      <w:pPr>
        <w:pStyle w:val="Heading2"/>
        <w:numPr>
          <w:ilvl w:val="0"/>
          <w:numId w:val="0"/>
        </w:numPr>
      </w:pPr>
      <w:bookmarkStart w:id="142" w:name="_Toc20392258"/>
      <w:r w:rsidRPr="00E400E4">
        <w:lastRenderedPageBreak/>
        <w:t>Appendix A: Initiation and categorisation for pests of fresh avocado fruit from Chile</w:t>
      </w:r>
      <w:bookmarkEnd w:id="142"/>
    </w:p>
    <w:p w:rsidR="00555918" w:rsidRPr="00E400E4" w:rsidRDefault="00555918" w:rsidP="000B1771">
      <w:r w:rsidRPr="00E400E4">
        <w:t xml:space="preserve">The following table identifies pests that have the potential to be present on avocados grown in Chile using standard commercial production and packing procedures, and to be imported into Australia. </w:t>
      </w:r>
    </w:p>
    <w:p w:rsidR="00555918" w:rsidRPr="00E400E4" w:rsidRDefault="00555918" w:rsidP="000B1771">
      <w:r w:rsidRPr="00E400E4">
        <w:t>The purpose of pest categorisation is to ascertain which of these pests require detailed assessment in order to determine whether phytosanitary measures are required. The steps in the pest categorisation process are considered sequentially. The assessment terminates at ‘Yes’ for the third column (presence within Australia), except for pests that are present but under official control, and/or are pests of regional concern. In cases where this does not apply, assessment terminates at the first ‘No’ in any of the following columns.</w:t>
      </w:r>
    </w:p>
    <w:p w:rsidR="00555918" w:rsidRPr="00E400E4" w:rsidRDefault="00555918" w:rsidP="000B1771">
      <w:r w:rsidRPr="00E400E4">
        <w:t xml:space="preserve">In the final column of the table (column 7) the acronyms ‘EP’ and ‘WA’ are used. The acronym ‘EP’ (existing policy) is used for pests that have previously been assessed by Australia and for which import policy exists. The acronym ‘WA’ (Western Australia) is used to identify organisms that have been recorded in some regions of Australia but, due to interstate quarantine regulations, are considered pests of regional concern to Western Australia. </w:t>
      </w:r>
    </w:p>
    <w:p w:rsidR="00555918" w:rsidRPr="00E400E4" w:rsidRDefault="00555918" w:rsidP="000B1771">
      <w:r w:rsidRPr="00E400E4" w:rsidDel="00910DCC">
        <w:t xml:space="preserve">The </w:t>
      </w:r>
      <w:r w:rsidRPr="00E400E4" w:rsidDel="00910DCC">
        <w:rPr>
          <w:i/>
        </w:rPr>
        <w:t>Final group pest risk analysis for thrips and orthotospoviruses on fresh fruit, vegetables, cut-flower and foliage imports</w:t>
      </w:r>
      <w:r w:rsidRPr="00E400E4" w:rsidDel="00910DCC">
        <w:t xml:space="preserve"> </w:t>
      </w:r>
      <w:r>
        <w:rPr>
          <w:noProof/>
        </w:rPr>
        <w:t>(Australian Government Department of Agriculture and Water Resources 2017)</w:t>
      </w:r>
      <w:r w:rsidRPr="00E400E4" w:rsidDel="00910DCC">
        <w:t xml:space="preserve"> has been applied in this risk analysis.</w:t>
      </w:r>
      <w:r w:rsidRPr="00E400E4">
        <w:t xml:space="preserve"> Application of group policy involves identification of up to three species of each relevant group associated with the commodity pathway. However, if any other quarantine pests or regulated articles not included in this risk analysis and/or in the relevant group policies is detec</w:t>
      </w:r>
      <w:r>
        <w:t xml:space="preserve">ted at pre-export or on </w:t>
      </w:r>
      <w:r w:rsidRPr="00E400E4">
        <w:t>arrival in Australia, the relevant group policy will also apply.</w:t>
      </w:r>
    </w:p>
    <w:p w:rsidR="00555918" w:rsidRPr="00E400E4" w:rsidDel="00910DCC" w:rsidRDefault="00555918" w:rsidP="000B1771">
      <w:r w:rsidRPr="00E400E4">
        <w:t>Details of the method used in this risk analysis are given in Section 2: Method for pest risk analysis.</w:t>
      </w:r>
    </w:p>
    <w:p w:rsidR="00555918" w:rsidRPr="00E400E4" w:rsidRDefault="00555918" w:rsidP="000B1771">
      <w:r w:rsidRPr="00E400E4">
        <w:t xml:space="preserve">This is not a comprehensive list of all pests associated with the entire avocado plant, and it does not include soil-borne pests and pathogens, or wood-borers, root pests and secondary pests, as these are not directly related to the export pathway of fresh fruit. Other pests that may occasionally be detected in trade, which are not specifically associated with avocado fruit, are not considered here. Any such contaminant pests detected at the border are managed under existing standard operational procedures. It is important to note that any quarantine pests detected on arrival by quarantine inspections will be actioned appropriately, even if they have not been assessed in this report. </w:t>
      </w:r>
    </w:p>
    <w:p w:rsidR="00555918" w:rsidRPr="00E400E4" w:rsidRDefault="00555918" w:rsidP="000B1771">
      <w:pPr>
        <w:sectPr w:rsidR="00555918" w:rsidRPr="00E400E4" w:rsidSect="000B1771">
          <w:headerReference w:type="default" r:id="rId68"/>
          <w:footerReference w:type="default" r:id="rId69"/>
          <w:pgSz w:w="11906" w:h="16838"/>
          <w:pgMar w:top="1418" w:right="1418" w:bottom="1418" w:left="1418" w:header="567" w:footer="284" w:gutter="0"/>
          <w:cols w:space="708"/>
          <w:docGrid w:linePitch="360"/>
        </w:sectPr>
      </w:pPr>
      <w:r w:rsidRPr="00E400E4">
        <w:t xml:space="preserve">The department is aware of the recent changes in fungal nomenclature concerning the separate naming of different states of fungi with a pleomorphic life cycle. However, as the nomenclature for these fungi is in a phase of transition and many priorities of names are still to be resolved, this report uses the generally accepted names and provides alternatively used names as synonyms, where required. The department is also aware of the changes in nomenclature of arthropod species based on the latest morphological and molecular reviews. As official lists of accepted names become available, these names will be adopted. </w:t>
      </w:r>
    </w:p>
    <w:tbl>
      <w:tblPr>
        <w:tblW w:w="4811"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2268"/>
        <w:gridCol w:w="1961"/>
        <w:gridCol w:w="2147"/>
        <w:gridCol w:w="2125"/>
        <w:gridCol w:w="1842"/>
        <w:gridCol w:w="1956"/>
        <w:gridCol w:w="1174"/>
      </w:tblGrid>
      <w:tr w:rsidR="00555918" w:rsidRPr="00E400E4" w:rsidTr="000B1771">
        <w:trPr>
          <w:cantSplit/>
          <w:tblHeader/>
          <w:jc w:val="center"/>
        </w:trPr>
        <w:tc>
          <w:tcPr>
            <w:tcW w:w="842" w:type="pct"/>
            <w:shd w:val="clear" w:color="auto" w:fill="auto"/>
            <w:vAlign w:val="bottom"/>
          </w:tcPr>
          <w:p w:rsidR="00555918" w:rsidRPr="00E400E4" w:rsidRDefault="00555918" w:rsidP="000B1771">
            <w:pPr>
              <w:pStyle w:val="TableHeading"/>
            </w:pPr>
            <w:r w:rsidRPr="00E400E4">
              <w:lastRenderedPageBreak/>
              <w:t>Pest</w:t>
            </w:r>
          </w:p>
        </w:tc>
        <w:tc>
          <w:tcPr>
            <w:tcW w:w="728" w:type="pct"/>
            <w:shd w:val="clear" w:color="auto" w:fill="auto"/>
            <w:vAlign w:val="bottom"/>
          </w:tcPr>
          <w:p w:rsidR="00555918" w:rsidRPr="00E400E4" w:rsidRDefault="00555918" w:rsidP="000B1771">
            <w:pPr>
              <w:pStyle w:val="TableHeading"/>
            </w:pPr>
            <w:r w:rsidRPr="00E400E4">
              <w:t xml:space="preserve">Present in Chile </w:t>
            </w:r>
          </w:p>
        </w:tc>
        <w:tc>
          <w:tcPr>
            <w:tcW w:w="797" w:type="pct"/>
            <w:shd w:val="clear" w:color="auto" w:fill="auto"/>
            <w:vAlign w:val="bottom"/>
          </w:tcPr>
          <w:p w:rsidR="00555918" w:rsidRPr="00E400E4" w:rsidRDefault="00555918" w:rsidP="000B1771">
            <w:pPr>
              <w:pStyle w:val="TableHeading"/>
            </w:pPr>
            <w:r w:rsidRPr="00E400E4">
              <w:t>Present within Australia</w:t>
            </w:r>
          </w:p>
        </w:tc>
        <w:tc>
          <w:tcPr>
            <w:tcW w:w="789" w:type="pct"/>
            <w:shd w:val="clear" w:color="auto" w:fill="auto"/>
            <w:vAlign w:val="bottom"/>
          </w:tcPr>
          <w:p w:rsidR="00555918" w:rsidRPr="00E400E4" w:rsidRDefault="00555918" w:rsidP="000B1771">
            <w:pPr>
              <w:pStyle w:val="TableHeading"/>
            </w:pPr>
            <w:r w:rsidRPr="00E400E4">
              <w:t>Potential to be on pathway</w:t>
            </w:r>
          </w:p>
        </w:tc>
        <w:tc>
          <w:tcPr>
            <w:tcW w:w="684" w:type="pct"/>
            <w:shd w:val="clear" w:color="auto" w:fill="auto"/>
            <w:vAlign w:val="bottom"/>
          </w:tcPr>
          <w:p w:rsidR="00555918" w:rsidRPr="00E400E4" w:rsidRDefault="00555918" w:rsidP="000B1771">
            <w:pPr>
              <w:pStyle w:val="TableHeading"/>
            </w:pPr>
            <w:r w:rsidRPr="00E400E4">
              <w:t>Potential for establishment and spread</w:t>
            </w:r>
          </w:p>
        </w:tc>
        <w:tc>
          <w:tcPr>
            <w:tcW w:w="726" w:type="pct"/>
            <w:shd w:val="clear" w:color="auto" w:fill="auto"/>
            <w:vAlign w:val="bottom"/>
          </w:tcPr>
          <w:p w:rsidR="00555918" w:rsidRPr="00E400E4" w:rsidRDefault="00555918" w:rsidP="000B1771">
            <w:pPr>
              <w:pStyle w:val="TableHeading"/>
            </w:pPr>
            <w:r w:rsidRPr="00E400E4">
              <w:t>Potential for economic consequences</w:t>
            </w:r>
          </w:p>
        </w:tc>
        <w:tc>
          <w:tcPr>
            <w:tcW w:w="436" w:type="pct"/>
            <w:shd w:val="clear" w:color="auto" w:fill="auto"/>
            <w:vAlign w:val="bottom"/>
          </w:tcPr>
          <w:p w:rsidR="00555918" w:rsidRPr="00E400E4" w:rsidRDefault="00555918" w:rsidP="000B1771">
            <w:pPr>
              <w:pStyle w:val="TableHeading"/>
            </w:pPr>
            <w:r w:rsidRPr="00E400E4">
              <w:t>Pest risk assessment required</w:t>
            </w:r>
          </w:p>
        </w:tc>
      </w:tr>
      <w:tr w:rsidR="00555918" w:rsidRPr="00E400E4">
        <w:trPr>
          <w:cantSplit/>
          <w:jc w:val="center"/>
        </w:trPr>
        <w:tc>
          <w:tcPr>
            <w:tcW w:w="5000" w:type="pct"/>
            <w:gridSpan w:val="7"/>
            <w:shd w:val="clear" w:color="auto" w:fill="auto"/>
          </w:tcPr>
          <w:p w:rsidR="00555918" w:rsidRPr="00E400E4" w:rsidRDefault="00555918" w:rsidP="000B1771">
            <w:pPr>
              <w:pStyle w:val="TableText"/>
              <w:rPr>
                <w:b/>
                <w:lang w:val="pt-BR"/>
              </w:rPr>
            </w:pPr>
            <w:r w:rsidRPr="00E400E4">
              <w:rPr>
                <w:b/>
                <w:lang w:val="pt-BR"/>
              </w:rPr>
              <w:t>ARTHROPODS</w:t>
            </w:r>
          </w:p>
        </w:tc>
      </w:tr>
      <w:tr w:rsidR="00555918" w:rsidRPr="00E400E4">
        <w:trPr>
          <w:cantSplit/>
          <w:jc w:val="center"/>
        </w:trPr>
        <w:tc>
          <w:tcPr>
            <w:tcW w:w="5000" w:type="pct"/>
            <w:gridSpan w:val="7"/>
            <w:shd w:val="clear" w:color="auto" w:fill="auto"/>
          </w:tcPr>
          <w:p w:rsidR="00555918" w:rsidRPr="00E400E4" w:rsidRDefault="00555918" w:rsidP="000B1771">
            <w:pPr>
              <w:pStyle w:val="TableText"/>
              <w:rPr>
                <w:b/>
              </w:rPr>
            </w:pPr>
            <w:r w:rsidRPr="00E400E4">
              <w:rPr>
                <w:b/>
              </w:rPr>
              <w:t>Coleoptera</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 xml:space="preserve">Araecerus fasciculatus </w:t>
            </w:r>
            <w:r w:rsidRPr="00E400E4">
              <w:rPr>
                <w:lang w:val="pt-BR"/>
              </w:rPr>
              <w:t>(DeGeer, 1775)</w:t>
            </w:r>
          </w:p>
          <w:p w:rsidR="00555918" w:rsidRPr="00E400E4" w:rsidRDefault="00555918" w:rsidP="000B1771">
            <w:pPr>
              <w:pStyle w:val="TableText"/>
              <w:rPr>
                <w:lang w:val="pt-BR"/>
              </w:rPr>
            </w:pPr>
            <w:r w:rsidRPr="00E400E4">
              <w:rPr>
                <w:lang w:val="pt-BR"/>
              </w:rPr>
              <w:t>[Anthribidae]</w:t>
            </w:r>
          </w:p>
          <w:p w:rsidR="00555918" w:rsidRPr="00E400E4" w:rsidRDefault="00555918" w:rsidP="000B1771">
            <w:pPr>
              <w:pStyle w:val="TableText"/>
            </w:pPr>
            <w:r w:rsidRPr="00E400E4">
              <w:rPr>
                <w:lang w:val="pt-BR"/>
              </w:rPr>
              <w:t>Coffee bean weevil</w:t>
            </w:r>
          </w:p>
        </w:tc>
        <w:tc>
          <w:tcPr>
            <w:tcW w:w="728" w:type="pct"/>
            <w:shd w:val="clear" w:color="auto" w:fill="auto"/>
          </w:tcPr>
          <w:p w:rsidR="00555918" w:rsidRPr="00E400E4" w:rsidRDefault="00555918" w:rsidP="000B1771">
            <w:pPr>
              <w:pStyle w:val="TableText"/>
            </w:pPr>
            <w:r w:rsidRPr="00E400E4">
              <w:rPr>
                <w:lang w:val="pt-BR"/>
              </w:rPr>
              <w:t xml:space="preserve">No. Only present on Easter Island </w:t>
            </w:r>
            <w:r>
              <w:rPr>
                <w:noProof/>
                <w:lang w:val="pt-BR"/>
              </w:rPr>
              <w:t>(CABI 2019a)</w:t>
            </w:r>
            <w:r w:rsidRPr="00E400E4">
              <w:rPr>
                <w:lang w:val="pt-BR"/>
              </w:rPr>
              <w:t xml:space="preserve">, which is a special territory of Chile located in the South Pacific Ocean more than 3,500 km west of mainland Chile. Quarantine procedures are in place to prevent the entry of pests from Easter Island to mainland Chile </w:t>
            </w:r>
            <w:r>
              <w:rPr>
                <w:noProof/>
                <w:lang w:val="pt-BR"/>
              </w:rPr>
              <w:t>(SAG 2005a)</w:t>
            </w:r>
            <w:r w:rsidRPr="00E400E4">
              <w:rPr>
                <w:lang w:val="pt-BR"/>
              </w:rPr>
              <w:t>. In addition, avocados will not be exported from Easter Island.</w:t>
            </w:r>
          </w:p>
        </w:tc>
        <w:tc>
          <w:tcPr>
            <w:tcW w:w="797" w:type="pct"/>
            <w:shd w:val="clear" w:color="auto" w:fill="auto"/>
          </w:tcPr>
          <w:p w:rsidR="00555918" w:rsidRPr="00E400E4" w:rsidRDefault="00555918" w:rsidP="000B1771">
            <w:pPr>
              <w:pStyle w:val="TableText"/>
            </w:pPr>
            <w:r w:rsidRPr="00E400E4">
              <w:rPr>
                <w:szCs w:val="16"/>
              </w:rPr>
              <w:t>Assessment not required</w:t>
            </w:r>
          </w:p>
        </w:tc>
        <w:tc>
          <w:tcPr>
            <w:tcW w:w="789" w:type="pct"/>
            <w:shd w:val="clear" w:color="auto" w:fill="auto"/>
          </w:tcPr>
          <w:p w:rsidR="00555918" w:rsidRPr="00E400E4" w:rsidRDefault="00555918" w:rsidP="000B1771">
            <w:pPr>
              <w:pStyle w:val="TableText"/>
              <w:rPr>
                <w:lang w:val="pt-BR"/>
              </w:rPr>
            </w:pPr>
            <w:r w:rsidRPr="00E400E4">
              <w:rPr>
                <w:szCs w:val="16"/>
              </w:rPr>
              <w:t>Assessment not required</w:t>
            </w:r>
          </w:p>
        </w:tc>
        <w:tc>
          <w:tcPr>
            <w:tcW w:w="684" w:type="pct"/>
            <w:shd w:val="clear" w:color="auto" w:fill="auto"/>
          </w:tcPr>
          <w:p w:rsidR="00555918" w:rsidRPr="00E400E4" w:rsidRDefault="00555918" w:rsidP="000B1771">
            <w:pPr>
              <w:pStyle w:val="TableText"/>
            </w:pPr>
            <w:r w:rsidRPr="00E400E4">
              <w:rPr>
                <w:szCs w:val="16"/>
              </w:rPr>
              <w:t>Assessment not required</w:t>
            </w:r>
          </w:p>
        </w:tc>
        <w:tc>
          <w:tcPr>
            <w:tcW w:w="726" w:type="pct"/>
            <w:shd w:val="clear" w:color="auto" w:fill="auto"/>
          </w:tcPr>
          <w:p w:rsidR="00555918" w:rsidRPr="00E400E4" w:rsidRDefault="00555918" w:rsidP="000B1771">
            <w:pPr>
              <w:pStyle w:val="TableText"/>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 xml:space="preserve">Naupactus cervinus </w:t>
            </w:r>
            <w:r w:rsidRPr="00E400E4">
              <w:rPr>
                <w:lang w:val="pt-BR"/>
              </w:rPr>
              <w:t>Boheman, 1840</w:t>
            </w:r>
          </w:p>
          <w:p w:rsidR="00555918" w:rsidRPr="00E400E4" w:rsidRDefault="00555918" w:rsidP="000B1771">
            <w:pPr>
              <w:pStyle w:val="TableText"/>
              <w:rPr>
                <w:lang w:val="pt-BR"/>
              </w:rPr>
            </w:pPr>
            <w:r w:rsidRPr="00E400E4">
              <w:rPr>
                <w:lang w:val="pt-BR"/>
              </w:rPr>
              <w:t>Synonyms:</w:t>
            </w:r>
            <w:r w:rsidRPr="00E400E4">
              <w:rPr>
                <w:i/>
                <w:lang w:val="pt-BR"/>
              </w:rPr>
              <w:t xml:space="preserve"> Pantomorus cervinus </w:t>
            </w:r>
            <w:r w:rsidRPr="00E400E4">
              <w:rPr>
                <w:lang w:val="pt-BR"/>
              </w:rPr>
              <w:t>(Boheman, 1840),</w:t>
            </w:r>
            <w:r w:rsidRPr="00E400E4">
              <w:rPr>
                <w:i/>
                <w:lang w:val="pt-BR"/>
              </w:rPr>
              <w:t xml:space="preserve"> Asynonychus cervinus </w:t>
            </w:r>
            <w:r w:rsidRPr="00E400E4">
              <w:rPr>
                <w:lang w:val="pt-BR"/>
              </w:rPr>
              <w:t>(Boheman, 1840)</w:t>
            </w:r>
          </w:p>
          <w:p w:rsidR="00555918" w:rsidRPr="00E400E4" w:rsidRDefault="00555918" w:rsidP="000B1771">
            <w:pPr>
              <w:pStyle w:val="TableText"/>
              <w:rPr>
                <w:lang w:val="pt-BR"/>
              </w:rPr>
            </w:pPr>
            <w:r w:rsidRPr="00E400E4">
              <w:rPr>
                <w:lang w:val="pt-BR"/>
              </w:rPr>
              <w:t>[Curculionidae]</w:t>
            </w:r>
          </w:p>
          <w:p w:rsidR="00555918" w:rsidRPr="00E400E4" w:rsidRDefault="00555918" w:rsidP="000B1771">
            <w:pPr>
              <w:pStyle w:val="TableText"/>
            </w:pPr>
            <w:r w:rsidRPr="00E400E4">
              <w:rPr>
                <w:lang w:val="pt-BR"/>
              </w:rPr>
              <w:t>Fuller’s rose weevil</w:t>
            </w:r>
          </w:p>
        </w:tc>
        <w:tc>
          <w:tcPr>
            <w:tcW w:w="728" w:type="pct"/>
            <w:shd w:val="clear" w:color="auto" w:fill="auto"/>
          </w:tcPr>
          <w:p w:rsidR="00555918" w:rsidRPr="00E400E4" w:rsidRDefault="00555918" w:rsidP="000B1771">
            <w:pPr>
              <w:pStyle w:val="TableText"/>
            </w:pPr>
            <w:r w:rsidRPr="00E400E4">
              <w:rPr>
                <w:lang w:val="pt-BR"/>
              </w:rPr>
              <w:t xml:space="preserve">Yes </w:t>
            </w:r>
            <w:r>
              <w:rPr>
                <w:noProof/>
                <w:lang w:val="pt-BR"/>
              </w:rPr>
              <w:t>(Ripa &amp; Larral 2008)</w:t>
            </w:r>
          </w:p>
        </w:tc>
        <w:tc>
          <w:tcPr>
            <w:tcW w:w="797" w:type="pct"/>
            <w:shd w:val="clear" w:color="auto" w:fill="auto"/>
          </w:tcPr>
          <w:p w:rsidR="00555918" w:rsidRPr="00E400E4" w:rsidRDefault="00555918" w:rsidP="000B1771">
            <w:pPr>
              <w:pStyle w:val="TableText"/>
            </w:pPr>
            <w:r w:rsidRPr="00E400E4">
              <w:rPr>
                <w:szCs w:val="16"/>
              </w:rPr>
              <w:t xml:space="preserve">Yes. NSW, Qld, Tas., SA, Vic., WA </w:t>
            </w:r>
            <w:r>
              <w:rPr>
                <w:noProof/>
                <w:szCs w:val="16"/>
              </w:rPr>
              <w:t>(CSIRO 2004; Plant Health Australia 2019)</w:t>
            </w:r>
          </w:p>
        </w:tc>
        <w:tc>
          <w:tcPr>
            <w:tcW w:w="789" w:type="pct"/>
            <w:shd w:val="clear" w:color="auto" w:fill="auto"/>
          </w:tcPr>
          <w:p w:rsidR="00555918" w:rsidRPr="00E400E4" w:rsidRDefault="00555918" w:rsidP="000B1771">
            <w:pPr>
              <w:pStyle w:val="TableText"/>
              <w:rPr>
                <w:lang w:val="pt-BR"/>
              </w:rPr>
            </w:pPr>
            <w:r w:rsidRPr="00E400E4">
              <w:rPr>
                <w:szCs w:val="16"/>
              </w:rPr>
              <w:t>Assessment not required</w:t>
            </w:r>
          </w:p>
        </w:tc>
        <w:tc>
          <w:tcPr>
            <w:tcW w:w="684" w:type="pct"/>
            <w:shd w:val="clear" w:color="auto" w:fill="auto"/>
          </w:tcPr>
          <w:p w:rsidR="00555918" w:rsidRPr="00E400E4" w:rsidRDefault="00555918" w:rsidP="000B1771">
            <w:pPr>
              <w:pStyle w:val="TableText"/>
            </w:pPr>
            <w:r w:rsidRPr="00E400E4">
              <w:rPr>
                <w:szCs w:val="16"/>
              </w:rPr>
              <w:t>Assessment not required</w:t>
            </w:r>
          </w:p>
        </w:tc>
        <w:tc>
          <w:tcPr>
            <w:tcW w:w="726" w:type="pct"/>
            <w:shd w:val="clear" w:color="auto" w:fill="auto"/>
          </w:tcPr>
          <w:p w:rsidR="00555918" w:rsidRPr="00E400E4" w:rsidRDefault="00555918" w:rsidP="000B1771">
            <w:pPr>
              <w:pStyle w:val="TableText"/>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 xml:space="preserve">Naupactus xanthographus </w:t>
            </w:r>
            <w:r w:rsidRPr="00E400E4">
              <w:rPr>
                <w:lang w:val="pt-BR"/>
              </w:rPr>
              <w:t>(Germar, 1824)</w:t>
            </w:r>
          </w:p>
          <w:p w:rsidR="00555918" w:rsidRPr="00E400E4" w:rsidRDefault="00555918" w:rsidP="000B1771">
            <w:pPr>
              <w:pStyle w:val="TableText"/>
              <w:rPr>
                <w:lang w:val="pt-BR"/>
              </w:rPr>
            </w:pPr>
            <w:r w:rsidRPr="00E400E4">
              <w:rPr>
                <w:lang w:val="pt-BR"/>
              </w:rPr>
              <w:t>[Curculionidae]</w:t>
            </w:r>
          </w:p>
          <w:p w:rsidR="00555918" w:rsidRPr="00E400E4" w:rsidRDefault="00555918" w:rsidP="000B1771">
            <w:pPr>
              <w:pStyle w:val="TableText"/>
              <w:rPr>
                <w:i/>
                <w:lang w:val="pt-BR"/>
              </w:rPr>
            </w:pPr>
            <w:r w:rsidRPr="00E400E4">
              <w:rPr>
                <w:lang w:val="pt-BR"/>
              </w:rPr>
              <w:t>Fruit tree weevil</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(EPPO 2019)</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Naupactus xanthographus</w:t>
            </w:r>
            <w:r w:rsidRPr="00E400E4">
              <w:rPr>
                <w:szCs w:val="16"/>
              </w:rPr>
              <w:t xml:space="preserve"> feeds on roots and leaves of its hosts </w:t>
            </w:r>
            <w:r>
              <w:rPr>
                <w:noProof/>
                <w:szCs w:val="16"/>
              </w:rPr>
              <w:t>(Ripa &amp; Larral 2008; Ripa 1986)</w:t>
            </w:r>
            <w:r w:rsidRPr="00E400E4">
              <w:rPr>
                <w:szCs w:val="16"/>
              </w:rPr>
              <w:t xml:space="preserve">. Adults are 2 to 2.5 cm long and feed on leaves of avocado </w:t>
            </w:r>
            <w:r>
              <w:rPr>
                <w:noProof/>
                <w:szCs w:val="16"/>
              </w:rPr>
              <w:t>(EPPO 2018; Ripa &amp; Larral 2008)</w:t>
            </w:r>
            <w:r w:rsidRPr="00E400E4">
              <w:rPr>
                <w:szCs w:val="16"/>
              </w:rPr>
              <w:t xml:space="preserve">. The female lays its eggs on leaves, in cracks in broken branches and under material used to support grafts, with larvae dropping to the ground to feed on the roots </w:t>
            </w:r>
            <w:r>
              <w:rPr>
                <w:noProof/>
                <w:szCs w:val="16"/>
              </w:rPr>
              <w:t>(Peña et al. 2013; Ripa &amp; Larral 2008)</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Pagiocerus frontalis</w:t>
            </w:r>
            <w:r w:rsidRPr="00E400E4">
              <w:rPr>
                <w:lang w:val="pt-BR"/>
              </w:rPr>
              <w:t xml:space="preserve"> (Fabricius, 1801)</w:t>
            </w:r>
          </w:p>
          <w:p w:rsidR="00555918" w:rsidRPr="00E400E4" w:rsidRDefault="00555918" w:rsidP="000B1771">
            <w:pPr>
              <w:pStyle w:val="TableText"/>
              <w:rPr>
                <w:lang w:val="pt-BR"/>
              </w:rPr>
            </w:pPr>
            <w:r w:rsidRPr="00E400E4">
              <w:rPr>
                <w:lang w:val="pt-BR"/>
              </w:rPr>
              <w:t>[Curculionidae]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(Elgueta &amp; Marvaldi 2006)</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Although </w:t>
            </w:r>
            <w:r w:rsidRPr="00E400E4">
              <w:rPr>
                <w:i/>
                <w:szCs w:val="16"/>
              </w:rPr>
              <w:t>P. frontalis</w:t>
            </w:r>
            <w:r w:rsidRPr="00E400E4">
              <w:rPr>
                <w:szCs w:val="16"/>
              </w:rPr>
              <w:t xml:space="preserve"> has been reported on fruit and seed of avocado, it is only known to infest fruit and seed of avocado fruit that has fallen to the ground </w:t>
            </w:r>
            <w:r>
              <w:rPr>
                <w:noProof/>
                <w:szCs w:val="16"/>
              </w:rPr>
              <w:t>(Atkinson et al. 1986; CDFA 2015; Wood 1982)</w:t>
            </w:r>
            <w:r w:rsidRPr="00E400E4">
              <w:rPr>
                <w:szCs w:val="16"/>
              </w:rPr>
              <w:t>. Fallen fruit would not be export quality fruit. No evidence of an association with avocado fruit on the tree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 xml:space="preserve">Rhyephenes humeralis </w:t>
            </w:r>
            <w:r w:rsidRPr="00E400E4">
              <w:rPr>
                <w:lang w:val="pt-BR"/>
              </w:rPr>
              <w:t>(Guérin Méneville, 1830)</w:t>
            </w:r>
          </w:p>
          <w:p w:rsidR="00555918" w:rsidRPr="00E400E4" w:rsidRDefault="00555918" w:rsidP="000B1771">
            <w:pPr>
              <w:pStyle w:val="TableText"/>
              <w:rPr>
                <w:lang w:val="pt-BR"/>
              </w:rPr>
            </w:pPr>
            <w:r w:rsidRPr="00E400E4">
              <w:rPr>
                <w:lang w:val="pt-BR"/>
              </w:rPr>
              <w:t>[Curculionidae]</w:t>
            </w:r>
          </w:p>
          <w:p w:rsidR="00555918" w:rsidRPr="00E400E4" w:rsidRDefault="00555918" w:rsidP="000B1771">
            <w:pPr>
              <w:pStyle w:val="TableText"/>
              <w:rPr>
                <w:i/>
                <w:lang w:val="pt-BR"/>
              </w:rPr>
            </w:pPr>
            <w:r w:rsidRPr="00E400E4">
              <w:rPr>
                <w:lang w:val="pt-BR"/>
              </w:rPr>
              <w:t>South American weevil</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(Alonso-Zarazaga &amp; Goldarazena 2005; Ebeling 1959)</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Rhyephenes humeralis</w:t>
            </w:r>
            <w:r w:rsidRPr="00E400E4">
              <w:rPr>
                <w:szCs w:val="16"/>
              </w:rPr>
              <w:t xml:space="preserve"> has been reported as a pest of avocado </w:t>
            </w:r>
            <w:r>
              <w:rPr>
                <w:noProof/>
                <w:szCs w:val="16"/>
              </w:rPr>
              <w:t>(Ebeling 1959)</w:t>
            </w:r>
            <w:r w:rsidRPr="00E400E4">
              <w:rPr>
                <w:szCs w:val="16"/>
              </w:rPr>
              <w:t xml:space="preserve">. However, the female lays its eggs in and underneath the bark of host trees with the larvae living underneath the bark of the tree and adult </w:t>
            </w:r>
            <w:r w:rsidRPr="00E400E4">
              <w:rPr>
                <w:i/>
                <w:szCs w:val="16"/>
              </w:rPr>
              <w:t>R. humeralis</w:t>
            </w:r>
            <w:r w:rsidRPr="00E400E4">
              <w:rPr>
                <w:szCs w:val="16"/>
              </w:rPr>
              <w:t xml:space="preserve"> feed on the bark, tender shoots and foliage of host trees </w:t>
            </w:r>
            <w:r>
              <w:rPr>
                <w:noProof/>
                <w:szCs w:val="16"/>
              </w:rPr>
              <w:t>(Aguayo Silva et al. 2008; Alonso-Zarazaga &amp; Goldarazena 2005)</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keepNext/>
              <w:rPr>
                <w:b/>
                <w:lang w:val="pt-BR"/>
              </w:rPr>
            </w:pPr>
            <w:r w:rsidRPr="00E400E4">
              <w:rPr>
                <w:b/>
                <w:lang w:val="pt-BR"/>
              </w:rPr>
              <w:t>Diptera</w:t>
            </w:r>
          </w:p>
        </w:tc>
        <w:tc>
          <w:tcPr>
            <w:tcW w:w="728" w:type="pct"/>
            <w:shd w:val="clear" w:color="auto" w:fill="auto"/>
          </w:tcPr>
          <w:p w:rsidR="00555918" w:rsidRPr="00E400E4" w:rsidRDefault="00555918" w:rsidP="000B1771">
            <w:pPr>
              <w:pStyle w:val="TableText"/>
              <w:rPr>
                <w:lang w:val="pt-BR"/>
              </w:rPr>
            </w:pPr>
          </w:p>
        </w:tc>
        <w:tc>
          <w:tcPr>
            <w:tcW w:w="797" w:type="pct"/>
            <w:shd w:val="clear" w:color="auto" w:fill="auto"/>
          </w:tcPr>
          <w:p w:rsidR="00555918" w:rsidRPr="00E400E4" w:rsidRDefault="00555918" w:rsidP="000B1771">
            <w:pPr>
              <w:pStyle w:val="TableText"/>
              <w:rPr>
                <w:szCs w:val="16"/>
              </w:rPr>
            </w:pPr>
          </w:p>
        </w:tc>
        <w:tc>
          <w:tcPr>
            <w:tcW w:w="789" w:type="pct"/>
            <w:shd w:val="clear" w:color="auto" w:fill="auto"/>
          </w:tcPr>
          <w:p w:rsidR="00555918" w:rsidRPr="00E400E4" w:rsidRDefault="00555918" w:rsidP="000B1771">
            <w:pPr>
              <w:pStyle w:val="TableText"/>
              <w:rPr>
                <w:szCs w:val="16"/>
              </w:rPr>
            </w:pPr>
          </w:p>
        </w:tc>
        <w:tc>
          <w:tcPr>
            <w:tcW w:w="684" w:type="pct"/>
            <w:shd w:val="clear" w:color="auto" w:fill="auto"/>
          </w:tcPr>
          <w:p w:rsidR="00555918" w:rsidRPr="00E400E4" w:rsidRDefault="00555918" w:rsidP="000B1771">
            <w:pPr>
              <w:pStyle w:val="TableText"/>
              <w:rPr>
                <w:szCs w:val="16"/>
              </w:rPr>
            </w:pPr>
          </w:p>
        </w:tc>
        <w:tc>
          <w:tcPr>
            <w:tcW w:w="726" w:type="pct"/>
            <w:shd w:val="clear" w:color="auto" w:fill="auto"/>
          </w:tcPr>
          <w:p w:rsidR="00555918" w:rsidRPr="00E400E4" w:rsidRDefault="00555918" w:rsidP="000B1771">
            <w:pPr>
              <w:pStyle w:val="TableText"/>
              <w:rPr>
                <w:szCs w:val="16"/>
              </w:rPr>
            </w:pPr>
          </w:p>
        </w:tc>
        <w:tc>
          <w:tcPr>
            <w:tcW w:w="434" w:type="pct"/>
            <w:shd w:val="clear" w:color="auto" w:fill="auto"/>
          </w:tcPr>
          <w:p w:rsidR="00555918" w:rsidRPr="00E400E4" w:rsidRDefault="00555918" w:rsidP="000B1771">
            <w:pPr>
              <w:pStyle w:val="TableText"/>
            </w:pP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Anastrepha fraterculus</w:t>
            </w:r>
            <w:r w:rsidRPr="00E400E4">
              <w:rPr>
                <w:lang w:val="pt-BR"/>
              </w:rPr>
              <w:t xml:space="preserve"> (Wiedemann, 1830)</w:t>
            </w:r>
          </w:p>
          <w:p w:rsidR="00555918" w:rsidRPr="00E400E4" w:rsidRDefault="00555918" w:rsidP="000B1771">
            <w:pPr>
              <w:pStyle w:val="TableText"/>
              <w:rPr>
                <w:lang w:val="pt-BR"/>
              </w:rPr>
            </w:pPr>
            <w:r w:rsidRPr="00E400E4">
              <w:rPr>
                <w:lang w:val="pt-BR"/>
              </w:rPr>
              <w:t>[Tephritidae]</w:t>
            </w:r>
          </w:p>
          <w:p w:rsidR="00555918" w:rsidRPr="00E400E4" w:rsidRDefault="00555918" w:rsidP="000B1771">
            <w:pPr>
              <w:pStyle w:val="TableText"/>
              <w:rPr>
                <w:lang w:val="pt-BR"/>
              </w:rPr>
            </w:pPr>
            <w:r w:rsidRPr="00E400E4">
              <w:rPr>
                <w:lang w:val="pt-BR"/>
              </w:rPr>
              <w:t>South American fruit fly</w:t>
            </w:r>
          </w:p>
        </w:tc>
        <w:tc>
          <w:tcPr>
            <w:tcW w:w="728" w:type="pct"/>
            <w:shd w:val="clear" w:color="auto" w:fill="auto"/>
          </w:tcPr>
          <w:p w:rsidR="00555918" w:rsidRPr="00E400E4" w:rsidRDefault="00555918" w:rsidP="000B1771">
            <w:pPr>
              <w:pStyle w:val="TableText"/>
              <w:rPr>
                <w:lang w:val="pt-BR"/>
              </w:rPr>
            </w:pPr>
            <w:r w:rsidRPr="00E400E4">
              <w:rPr>
                <w:lang w:val="pt-BR"/>
              </w:rPr>
              <w:t xml:space="preserve">No. While there are records of this species in Chile in the past, they do not reflect the current distribution </w:t>
            </w:r>
            <w:r>
              <w:rPr>
                <w:noProof/>
                <w:lang w:val="pt-BR"/>
              </w:rPr>
              <w:t>(White &amp; Elson-Harris 1994)</w:t>
            </w:r>
            <w:r w:rsidRPr="00E400E4">
              <w:rPr>
                <w:lang w:val="pt-BR"/>
              </w:rPr>
              <w:t xml:space="preserve"> as </w:t>
            </w:r>
            <w:r w:rsidRPr="00E400E4">
              <w:rPr>
                <w:i/>
                <w:lang w:val="pt-BR"/>
              </w:rPr>
              <w:t>A. fraterculus</w:t>
            </w:r>
            <w:r w:rsidRPr="00E400E4">
              <w:rPr>
                <w:lang w:val="pt-BR"/>
              </w:rPr>
              <w:t xml:space="preserve"> was eradicated from Chile in 1964 </w:t>
            </w:r>
            <w:r>
              <w:rPr>
                <w:noProof/>
                <w:lang w:val="pt-BR"/>
              </w:rPr>
              <w:t>(CABI 2019a; EPPO 2019)</w:t>
            </w:r>
            <w:r w:rsidRPr="00E400E4">
              <w:rPr>
                <w:lang w:val="pt-BR"/>
              </w:rPr>
              <w:t>.</w:t>
            </w:r>
          </w:p>
        </w:tc>
        <w:tc>
          <w:tcPr>
            <w:tcW w:w="797" w:type="pct"/>
            <w:shd w:val="clear" w:color="auto" w:fill="auto"/>
          </w:tcPr>
          <w:p w:rsidR="00555918" w:rsidRPr="00E400E4" w:rsidRDefault="00555918" w:rsidP="000B1771">
            <w:pPr>
              <w:pStyle w:val="TableText"/>
              <w:rPr>
                <w:szCs w:val="16"/>
              </w:rPr>
            </w:pPr>
            <w:r w:rsidRPr="00E400E4">
              <w:rPr>
                <w:szCs w:val="16"/>
              </w:rPr>
              <w:t>Assessment not required</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Atherigona orientalis</w:t>
            </w:r>
            <w:r w:rsidRPr="00E400E4">
              <w:rPr>
                <w:lang w:val="pt-BR"/>
              </w:rPr>
              <w:t xml:space="preserve"> Schiner, 1868</w:t>
            </w:r>
          </w:p>
          <w:p w:rsidR="00555918" w:rsidRPr="00E400E4" w:rsidRDefault="00555918" w:rsidP="000B1771">
            <w:pPr>
              <w:pStyle w:val="TableText"/>
              <w:rPr>
                <w:lang w:val="pt-BR"/>
              </w:rPr>
            </w:pPr>
            <w:r w:rsidRPr="00E400E4">
              <w:rPr>
                <w:lang w:val="pt-BR"/>
              </w:rPr>
              <w:t>[Muscidae]</w:t>
            </w:r>
          </w:p>
          <w:p w:rsidR="00555918" w:rsidRPr="00E400E4" w:rsidRDefault="00555918" w:rsidP="000B1771">
            <w:pPr>
              <w:pStyle w:val="TableText"/>
              <w:rPr>
                <w:lang w:val="pt-BR"/>
              </w:rPr>
            </w:pPr>
            <w:r w:rsidRPr="00E400E4">
              <w:rPr>
                <w:lang w:val="pt-BR"/>
              </w:rPr>
              <w:t>Pepper fruit fly</w:t>
            </w:r>
          </w:p>
        </w:tc>
        <w:tc>
          <w:tcPr>
            <w:tcW w:w="728" w:type="pct"/>
            <w:shd w:val="clear" w:color="auto" w:fill="auto"/>
          </w:tcPr>
          <w:p w:rsidR="00555918" w:rsidRPr="00E400E4" w:rsidRDefault="00555918" w:rsidP="000B1771">
            <w:pPr>
              <w:pStyle w:val="TableText"/>
              <w:rPr>
                <w:lang w:val="pt-BR"/>
              </w:rPr>
            </w:pPr>
            <w:r w:rsidRPr="00E400E4">
              <w:rPr>
                <w:lang w:val="pt-BR"/>
              </w:rPr>
              <w:t xml:space="preserve">No. Only present on Easter Island </w:t>
            </w:r>
            <w:r>
              <w:rPr>
                <w:noProof/>
                <w:lang w:val="pt-BR"/>
              </w:rPr>
              <w:t>(CABI 2019a; Pont 1992)</w:t>
            </w:r>
            <w:r w:rsidRPr="00E400E4">
              <w:rPr>
                <w:lang w:val="pt-BR"/>
              </w:rPr>
              <w:t xml:space="preserve">, which is a special territory of Chile located in the South Pacific Ocean more than 3,500 km west of mainland Chile. Quarantine procedures are in place to prevent the entry of pests from Easter Island to mainland Chile </w:t>
            </w:r>
            <w:r>
              <w:rPr>
                <w:noProof/>
                <w:lang w:val="pt-BR"/>
              </w:rPr>
              <w:t>(SAG 2005a)</w:t>
            </w:r>
            <w:r w:rsidRPr="00E400E4">
              <w:rPr>
                <w:lang w:val="pt-BR"/>
              </w:rPr>
              <w:t>. In addition, avocados will not be exported from Easter Island.</w:t>
            </w:r>
          </w:p>
        </w:tc>
        <w:tc>
          <w:tcPr>
            <w:tcW w:w="797" w:type="pct"/>
            <w:shd w:val="clear" w:color="auto" w:fill="auto"/>
          </w:tcPr>
          <w:p w:rsidR="00555918" w:rsidRPr="00E400E4" w:rsidRDefault="00555918" w:rsidP="000B1771">
            <w:pPr>
              <w:pStyle w:val="TableText"/>
              <w:rPr>
                <w:szCs w:val="16"/>
              </w:rPr>
            </w:pPr>
            <w:r w:rsidRPr="00E400E4">
              <w:rPr>
                <w:szCs w:val="16"/>
              </w:rPr>
              <w:t>Assessment not required</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Ceratitis capitata</w:t>
            </w:r>
            <w:r w:rsidRPr="00E400E4">
              <w:rPr>
                <w:lang w:val="pt-BR"/>
              </w:rPr>
              <w:t xml:space="preserve"> (Wiedemann, 1824)</w:t>
            </w:r>
          </w:p>
          <w:p w:rsidR="00555918" w:rsidRPr="00E400E4" w:rsidRDefault="00555918" w:rsidP="000B1771">
            <w:pPr>
              <w:pStyle w:val="TableText"/>
              <w:rPr>
                <w:lang w:val="pt-BR"/>
              </w:rPr>
            </w:pPr>
            <w:r w:rsidRPr="00E400E4">
              <w:rPr>
                <w:lang w:val="pt-BR"/>
              </w:rPr>
              <w:t>[Tephritidae]</w:t>
            </w:r>
          </w:p>
          <w:p w:rsidR="00555918" w:rsidRPr="00E400E4" w:rsidRDefault="00555918" w:rsidP="000B1771">
            <w:pPr>
              <w:pStyle w:val="TableText"/>
              <w:rPr>
                <w:lang w:val="pt-BR"/>
              </w:rPr>
            </w:pPr>
            <w:r w:rsidRPr="00E400E4">
              <w:rPr>
                <w:lang w:val="pt-BR"/>
              </w:rPr>
              <w:t>Mediterranean fruit fly</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but under eradication </w:t>
            </w:r>
            <w:r>
              <w:rPr>
                <w:noProof/>
                <w:lang w:val="pt-BR"/>
              </w:rPr>
              <w:t>(EPPO 2019)</w:t>
            </w:r>
            <w:r w:rsidRPr="00E400E4">
              <w:rPr>
                <w:lang w:val="pt-BR"/>
              </w:rPr>
              <w:t>.</w:t>
            </w:r>
          </w:p>
        </w:tc>
        <w:tc>
          <w:tcPr>
            <w:tcW w:w="797" w:type="pct"/>
            <w:shd w:val="clear" w:color="auto" w:fill="auto"/>
          </w:tcPr>
          <w:p w:rsidR="00555918" w:rsidRPr="00E400E4" w:rsidRDefault="00555918" w:rsidP="000B1771">
            <w:pPr>
              <w:pStyle w:val="TableText"/>
              <w:rPr>
                <w:szCs w:val="16"/>
              </w:rPr>
            </w:pPr>
            <w:r w:rsidRPr="00E400E4">
              <w:rPr>
                <w:szCs w:val="16"/>
              </w:rPr>
              <w:t>Yes. Present in WA, but under official control.</w:t>
            </w:r>
          </w:p>
        </w:tc>
        <w:tc>
          <w:tcPr>
            <w:tcW w:w="789" w:type="pct"/>
            <w:shd w:val="clear" w:color="auto" w:fill="auto"/>
          </w:tcPr>
          <w:p w:rsidR="00555918" w:rsidRPr="00E400E4" w:rsidRDefault="00555918" w:rsidP="000B1771">
            <w:pPr>
              <w:pStyle w:val="TableText"/>
              <w:rPr>
                <w:szCs w:val="16"/>
              </w:rPr>
            </w:pPr>
            <w:r w:rsidRPr="00E400E4">
              <w:rPr>
                <w:szCs w:val="16"/>
              </w:rPr>
              <w:t xml:space="preserve">Yes. </w:t>
            </w:r>
            <w:r>
              <w:rPr>
                <w:noProof/>
                <w:szCs w:val="16"/>
              </w:rPr>
              <w:t>Eskafi and Cunningham (1987)</w:t>
            </w:r>
            <w:r w:rsidRPr="00E400E4">
              <w:rPr>
                <w:szCs w:val="16"/>
              </w:rPr>
              <w:t xml:space="preserve"> found </w:t>
            </w:r>
            <w:r w:rsidRPr="00E400E4">
              <w:rPr>
                <w:i/>
                <w:szCs w:val="16"/>
              </w:rPr>
              <w:t>C. capitata</w:t>
            </w:r>
            <w:r w:rsidRPr="00E400E4">
              <w:rPr>
                <w:szCs w:val="16"/>
              </w:rPr>
              <w:t xml:space="preserve"> in avocado fruit collected in Guatemala. Eggs of </w:t>
            </w:r>
            <w:r w:rsidRPr="00E400E4">
              <w:rPr>
                <w:i/>
                <w:szCs w:val="16"/>
              </w:rPr>
              <w:t>C. capitata</w:t>
            </w:r>
            <w:r w:rsidRPr="00E400E4">
              <w:rPr>
                <w:szCs w:val="16"/>
              </w:rPr>
              <w:t xml:space="preserve"> are laid below the skin of host fruit and larvae feed and develop within the fruit. The transport of infested fruits is the main means of movement of this pest </w:t>
            </w:r>
            <w:r>
              <w:rPr>
                <w:noProof/>
                <w:szCs w:val="16"/>
              </w:rPr>
              <w:t>(CABI 2019a)</w:t>
            </w:r>
            <w:r w:rsidRPr="00E400E4">
              <w:rPr>
                <w:szCs w:val="16"/>
              </w:rPr>
              <w:t xml:space="preserve">. Unripe Sharwil variety avocados still on the tree have also been shown to be infested in Hawaii </w:t>
            </w:r>
            <w:r>
              <w:rPr>
                <w:noProof/>
                <w:szCs w:val="16"/>
              </w:rPr>
              <w:t>(Liquido, Chan &amp; McQuate 1995)</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 xml:space="preserve">Yes. This pest is polyphagous; larvae feed on the fruit of many plants such as citrus, peach, pear, apple, apricot, fig, plum, kiwifruit, quince, grape, sweet cherry, pomegranate and strawberry </w:t>
            </w:r>
            <w:r>
              <w:rPr>
                <w:noProof/>
                <w:szCs w:val="16"/>
              </w:rPr>
              <w:t>(CABI 2019a)</w:t>
            </w:r>
            <w:r w:rsidRPr="00E400E4">
              <w:rPr>
                <w:szCs w:val="16"/>
              </w:rPr>
              <w:t>. Mediterranean type climates that favour the establishment of this species occur in various parts of Australia.</w:t>
            </w:r>
          </w:p>
        </w:tc>
        <w:tc>
          <w:tcPr>
            <w:tcW w:w="726"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Ceratitis capitata</w:t>
            </w:r>
            <w:r w:rsidRPr="00E400E4">
              <w:rPr>
                <w:szCs w:val="16"/>
              </w:rPr>
              <w:t xml:space="preserve"> is a highly damaging pest, particularly in citrus and peach. It can also transmit fruit-rotting fungi. Damage to fruit crops can sometimes reach 100 per cent </w:t>
            </w:r>
            <w:r>
              <w:rPr>
                <w:noProof/>
                <w:szCs w:val="16"/>
              </w:rPr>
              <w:t>(CABI 2019a)</w:t>
            </w:r>
            <w:r w:rsidRPr="00E400E4">
              <w:rPr>
                <w:szCs w:val="16"/>
              </w:rPr>
              <w:t>.</w:t>
            </w:r>
          </w:p>
        </w:tc>
        <w:tc>
          <w:tcPr>
            <w:tcW w:w="434" w:type="pct"/>
            <w:shd w:val="clear" w:color="auto" w:fill="auto"/>
          </w:tcPr>
          <w:p w:rsidR="00555918" w:rsidRPr="00E400E4" w:rsidRDefault="00555918" w:rsidP="000B1771">
            <w:pPr>
              <w:pStyle w:val="TableText"/>
            </w:pPr>
            <w:r w:rsidRPr="00E400E4">
              <w:t>Yes (EP)</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Neosilba pendula</w:t>
            </w:r>
            <w:r w:rsidRPr="00E400E4">
              <w:rPr>
                <w:lang w:val="pt-BR"/>
              </w:rPr>
              <w:t xml:space="preserve"> (Bezzi, 1919)</w:t>
            </w:r>
          </w:p>
          <w:p w:rsidR="00555918" w:rsidRPr="00E400E4" w:rsidRDefault="00555918" w:rsidP="000B1771">
            <w:pPr>
              <w:pStyle w:val="TableText"/>
              <w:rPr>
                <w:lang w:val="pt-BR"/>
              </w:rPr>
            </w:pPr>
            <w:r w:rsidRPr="00E400E4">
              <w:rPr>
                <w:lang w:val="pt-BR"/>
              </w:rPr>
              <w:t>[Lonchaeidae]</w:t>
            </w:r>
          </w:p>
          <w:p w:rsidR="00555918" w:rsidRPr="00E400E4" w:rsidRDefault="00555918" w:rsidP="000B1771">
            <w:pPr>
              <w:pStyle w:val="TableText"/>
              <w:rPr>
                <w:lang w:val="pt-BR"/>
              </w:rPr>
            </w:pPr>
            <w:r w:rsidRPr="00E400E4">
              <w:rPr>
                <w:lang w:val="pt-BR"/>
              </w:rPr>
              <w:t>Cassava shoot fly</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(Klein Koch &amp; Waterhouse 2000)</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Although </w:t>
            </w:r>
            <w:r w:rsidRPr="00E400E4">
              <w:rPr>
                <w:i/>
                <w:szCs w:val="16"/>
              </w:rPr>
              <w:t>N. pendula</w:t>
            </w:r>
            <w:r w:rsidRPr="00E400E4">
              <w:rPr>
                <w:szCs w:val="16"/>
              </w:rPr>
              <w:t xml:space="preserve"> can be associated with avocado fruit </w:t>
            </w:r>
            <w:r>
              <w:rPr>
                <w:noProof/>
                <w:szCs w:val="16"/>
              </w:rPr>
              <w:t>(Bush 1957)</w:t>
            </w:r>
            <w:r w:rsidRPr="00E400E4">
              <w:rPr>
                <w:szCs w:val="16"/>
              </w:rPr>
              <w:t xml:space="preserve">, flies of the genus </w:t>
            </w:r>
            <w:r w:rsidRPr="00E400E4">
              <w:rPr>
                <w:i/>
                <w:szCs w:val="16"/>
              </w:rPr>
              <w:t>Neosilba</w:t>
            </w:r>
            <w:r w:rsidRPr="00E400E4">
              <w:rPr>
                <w:szCs w:val="16"/>
              </w:rPr>
              <w:t xml:space="preserve"> are secondary pests of fruit that is already injured or previously infested by other species </w:t>
            </w:r>
            <w:r>
              <w:rPr>
                <w:noProof/>
                <w:szCs w:val="16"/>
              </w:rPr>
              <w:t>(Ahlmark &amp; Steck 1997; White &amp; Elson-Harris 1994)</w:t>
            </w:r>
            <w:r w:rsidRPr="00E400E4">
              <w:rPr>
                <w:szCs w:val="16"/>
              </w:rPr>
              <w:t>. Such obviously damaged fruit will be culled during standard commercial production practices.</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keepNext/>
              <w:rPr>
                <w:b/>
                <w:lang w:val="pt-BR"/>
              </w:rPr>
            </w:pPr>
            <w:r w:rsidRPr="00E400E4">
              <w:rPr>
                <w:b/>
                <w:lang w:val="pt-BR"/>
              </w:rPr>
              <w:lastRenderedPageBreak/>
              <w:t>Hemiptera</w:t>
            </w:r>
          </w:p>
        </w:tc>
        <w:tc>
          <w:tcPr>
            <w:tcW w:w="728" w:type="pct"/>
            <w:shd w:val="clear" w:color="auto" w:fill="auto"/>
          </w:tcPr>
          <w:p w:rsidR="00555918" w:rsidRPr="00E400E4" w:rsidRDefault="00555918" w:rsidP="000B1771">
            <w:pPr>
              <w:pStyle w:val="TableText"/>
              <w:rPr>
                <w:lang w:val="pt-BR"/>
              </w:rPr>
            </w:pPr>
          </w:p>
        </w:tc>
        <w:tc>
          <w:tcPr>
            <w:tcW w:w="797" w:type="pct"/>
            <w:shd w:val="clear" w:color="auto" w:fill="auto"/>
          </w:tcPr>
          <w:p w:rsidR="00555918" w:rsidRPr="00E400E4" w:rsidRDefault="00555918" w:rsidP="000B1771">
            <w:pPr>
              <w:pStyle w:val="TableText"/>
              <w:rPr>
                <w:szCs w:val="16"/>
              </w:rPr>
            </w:pPr>
          </w:p>
        </w:tc>
        <w:tc>
          <w:tcPr>
            <w:tcW w:w="789" w:type="pct"/>
            <w:shd w:val="clear" w:color="auto" w:fill="auto"/>
          </w:tcPr>
          <w:p w:rsidR="00555918" w:rsidRPr="00E400E4" w:rsidRDefault="00555918" w:rsidP="000B1771">
            <w:pPr>
              <w:pStyle w:val="TableText"/>
              <w:rPr>
                <w:szCs w:val="16"/>
              </w:rPr>
            </w:pPr>
          </w:p>
        </w:tc>
        <w:tc>
          <w:tcPr>
            <w:tcW w:w="684" w:type="pct"/>
            <w:shd w:val="clear" w:color="auto" w:fill="auto"/>
          </w:tcPr>
          <w:p w:rsidR="00555918" w:rsidRPr="00E400E4" w:rsidRDefault="00555918" w:rsidP="000B1771">
            <w:pPr>
              <w:pStyle w:val="TableText"/>
              <w:rPr>
                <w:szCs w:val="16"/>
              </w:rPr>
            </w:pPr>
          </w:p>
        </w:tc>
        <w:tc>
          <w:tcPr>
            <w:tcW w:w="726" w:type="pct"/>
            <w:shd w:val="clear" w:color="auto" w:fill="auto"/>
          </w:tcPr>
          <w:p w:rsidR="00555918" w:rsidRPr="00E400E4" w:rsidRDefault="00555918" w:rsidP="000B1771">
            <w:pPr>
              <w:pStyle w:val="TableText"/>
              <w:rPr>
                <w:szCs w:val="16"/>
              </w:rPr>
            </w:pPr>
          </w:p>
        </w:tc>
        <w:tc>
          <w:tcPr>
            <w:tcW w:w="434" w:type="pct"/>
            <w:shd w:val="clear" w:color="auto" w:fill="auto"/>
          </w:tcPr>
          <w:p w:rsidR="00555918" w:rsidRPr="00E400E4" w:rsidRDefault="00555918" w:rsidP="000B1771">
            <w:pPr>
              <w:pStyle w:val="TableText"/>
            </w:pP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Aleurothrixus floccosus</w:t>
            </w:r>
            <w:r w:rsidRPr="00E400E4">
              <w:rPr>
                <w:lang w:val="pt-BR"/>
              </w:rPr>
              <w:t xml:space="preserve"> (Maskell, 1896)</w:t>
            </w:r>
          </w:p>
          <w:p w:rsidR="00555918" w:rsidRPr="00E400E4" w:rsidRDefault="00555918" w:rsidP="000B1771">
            <w:pPr>
              <w:pStyle w:val="TableText"/>
              <w:rPr>
                <w:lang w:val="pt-BR"/>
              </w:rPr>
            </w:pPr>
            <w:r w:rsidRPr="00E400E4">
              <w:rPr>
                <w:lang w:val="pt-BR"/>
              </w:rPr>
              <w:t>[Aleyrodidae]</w:t>
            </w:r>
          </w:p>
          <w:p w:rsidR="00555918" w:rsidRPr="00E400E4" w:rsidRDefault="00555918" w:rsidP="000B1771">
            <w:pPr>
              <w:pStyle w:val="TableText"/>
              <w:rPr>
                <w:lang w:val="pt-BR"/>
              </w:rPr>
            </w:pPr>
            <w:r w:rsidRPr="00E400E4">
              <w:rPr>
                <w:lang w:val="pt-BR"/>
              </w:rPr>
              <w:t>Woolly whitefly</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(Klein Koch &amp; Waterhouse 2000)</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Aleurothrixus floccosus</w:t>
            </w:r>
            <w:r w:rsidRPr="00E400E4">
              <w:rPr>
                <w:szCs w:val="16"/>
              </w:rPr>
              <w:t xml:space="preserve"> is an important pest of avocado in Peru </w:t>
            </w:r>
            <w:r>
              <w:rPr>
                <w:noProof/>
                <w:szCs w:val="16"/>
              </w:rPr>
              <w:t>(Ayquipa Aycho, Mendocilla Bacilio &amp; Neyra 2009)</w:t>
            </w:r>
            <w:r w:rsidRPr="00E400E4">
              <w:rPr>
                <w:szCs w:val="16"/>
              </w:rPr>
              <w:t xml:space="preserve">. However, eggs are laid on leaves and both larval stages and adults attack young leaves </w:t>
            </w:r>
            <w:r>
              <w:rPr>
                <w:noProof/>
                <w:szCs w:val="16"/>
              </w:rPr>
              <w:t>(CABI 2019b)</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Aleurothrixus porteri</w:t>
            </w:r>
            <w:r w:rsidRPr="00E400E4">
              <w:rPr>
                <w:lang w:val="pt-BR"/>
              </w:rPr>
              <w:t xml:space="preserve"> Quaintance &amp; Baker, 1916</w:t>
            </w:r>
          </w:p>
          <w:p w:rsidR="00555918" w:rsidRPr="00E400E4" w:rsidRDefault="00555918" w:rsidP="000B1771">
            <w:pPr>
              <w:pStyle w:val="TableText"/>
              <w:rPr>
                <w:lang w:val="pt-BR"/>
              </w:rPr>
            </w:pPr>
            <w:r w:rsidRPr="00E400E4">
              <w:rPr>
                <w:lang w:val="pt-BR"/>
              </w:rPr>
              <w:t>[Aleyrodidae]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(Evans 2007; Klein Koch &amp; Waterhouse 2000)</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Although avocado is known to be a host of </w:t>
            </w:r>
            <w:r w:rsidRPr="00E400E4">
              <w:rPr>
                <w:i/>
                <w:szCs w:val="16"/>
              </w:rPr>
              <w:t>A. porteri</w:t>
            </w:r>
            <w:r w:rsidRPr="00E400E4">
              <w:rPr>
                <w:szCs w:val="16"/>
              </w:rPr>
              <w:t xml:space="preserve"> </w:t>
            </w:r>
            <w:r>
              <w:rPr>
                <w:noProof/>
                <w:szCs w:val="16"/>
              </w:rPr>
              <w:t>(Evans 2007)</w:t>
            </w:r>
            <w:r w:rsidRPr="00E400E4">
              <w:rPr>
                <w:szCs w:val="16"/>
              </w:rPr>
              <w:t xml:space="preserve">, whitefly eggs are laid on leaves, and all life stages feed on sap from leaves </w:t>
            </w:r>
            <w:r>
              <w:rPr>
                <w:noProof/>
                <w:szCs w:val="16"/>
              </w:rPr>
              <w:t>(Byrne &amp; Bellows 1991)</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Antecerococcus badius</w:t>
            </w:r>
            <w:r w:rsidRPr="00E400E4">
              <w:rPr>
                <w:lang w:val="pt-BR"/>
              </w:rPr>
              <w:t xml:space="preserve"> (Leonardi, 1911)</w:t>
            </w:r>
          </w:p>
          <w:p w:rsidR="00555918" w:rsidRPr="00E400E4" w:rsidRDefault="00555918" w:rsidP="000B1771">
            <w:pPr>
              <w:pStyle w:val="TableText"/>
              <w:rPr>
                <w:lang w:val="pt-BR"/>
              </w:rPr>
            </w:pPr>
            <w:r w:rsidRPr="00E400E4">
              <w:rPr>
                <w:lang w:val="pt-BR"/>
              </w:rPr>
              <w:t xml:space="preserve">Synonym: </w:t>
            </w:r>
            <w:r w:rsidRPr="00E400E4">
              <w:rPr>
                <w:i/>
                <w:lang w:val="pt-BR"/>
              </w:rPr>
              <w:t>Cerococcus badius</w:t>
            </w:r>
            <w:r w:rsidRPr="00E400E4">
              <w:rPr>
                <w:lang w:val="pt-BR"/>
              </w:rPr>
              <w:t xml:space="preserve"> Leonardi, 1911</w:t>
            </w:r>
          </w:p>
          <w:p w:rsidR="00555918" w:rsidRPr="00E400E4" w:rsidRDefault="00555918" w:rsidP="000B1771">
            <w:pPr>
              <w:pStyle w:val="TableText"/>
              <w:rPr>
                <w:lang w:val="pt-BR"/>
              </w:rPr>
            </w:pPr>
            <w:r w:rsidRPr="00E400E4">
              <w:rPr>
                <w:lang w:val="pt-BR"/>
              </w:rPr>
              <w:t>[Cerococcidae]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There is extremely little information on the biology of the </w:t>
            </w:r>
            <w:r w:rsidRPr="00E400E4">
              <w:rPr>
                <w:i/>
                <w:szCs w:val="16"/>
              </w:rPr>
              <w:t>Antecerococcus</w:t>
            </w:r>
            <w:r w:rsidRPr="00E400E4">
              <w:rPr>
                <w:szCs w:val="16"/>
              </w:rPr>
              <w:t xml:space="preserve"> genus. However, other species in this genus are known to attack only branches and twigs of their hosts, causing foliage dieback </w:t>
            </w:r>
            <w:r>
              <w:rPr>
                <w:noProof/>
                <w:szCs w:val="16"/>
              </w:rPr>
              <w:t>(Hodges 2017; Miller et al. 2014)</w:t>
            </w:r>
            <w:r w:rsidRPr="00E400E4">
              <w:rPr>
                <w:szCs w:val="16"/>
              </w:rPr>
              <w:t xml:space="preserve">. Avocado is listed as a host plant of this pest </w:t>
            </w:r>
            <w:r>
              <w:rPr>
                <w:noProof/>
                <w:szCs w:val="16"/>
              </w:rPr>
              <w:t>(García Morales et al. 2019)</w:t>
            </w:r>
            <w:r w:rsidRPr="00E400E4">
              <w:rPr>
                <w:szCs w:val="16"/>
              </w:rPr>
              <w:t>, but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Aonidiella aurantii</w:t>
            </w:r>
            <w:r w:rsidRPr="00E400E4">
              <w:rPr>
                <w:lang w:val="pt-BR"/>
              </w:rPr>
              <w:t xml:space="preserve"> (Maskell, 1879)</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California red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SA, Tas., Vic., WA </w:t>
            </w:r>
            <w:r>
              <w:rPr>
                <w:noProof/>
                <w:szCs w:val="16"/>
              </w:rPr>
              <w:t>(Plant Health Australia 2019)</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Aonidiella citrina</w:t>
            </w:r>
            <w:r w:rsidRPr="00E400E4">
              <w:rPr>
                <w:lang w:val="pt-BR"/>
              </w:rPr>
              <w:t xml:space="preserve"> (Coquillett, 1891)</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Yellow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SA, Vic., WA </w:t>
            </w:r>
            <w:r>
              <w:rPr>
                <w:noProof/>
                <w:szCs w:val="16"/>
              </w:rPr>
              <w:t>(Government of Western Australia 2019; Plant Health Australia 2019; Watson 2019)</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Aphis fabae</w:t>
            </w:r>
            <w:r w:rsidRPr="00E400E4">
              <w:rPr>
                <w:lang w:val="pt-BR"/>
              </w:rPr>
              <w:t xml:space="preserve"> Scopoli, 1763</w:t>
            </w:r>
          </w:p>
          <w:p w:rsidR="00555918" w:rsidRPr="00E400E4" w:rsidRDefault="00555918" w:rsidP="000B1771">
            <w:pPr>
              <w:pStyle w:val="TableText"/>
              <w:rPr>
                <w:lang w:val="pt-BR"/>
              </w:rPr>
            </w:pPr>
            <w:r w:rsidRPr="00E400E4">
              <w:rPr>
                <w:lang w:val="pt-BR"/>
              </w:rPr>
              <w:t>[Aphididae]</w:t>
            </w:r>
          </w:p>
          <w:p w:rsidR="00555918" w:rsidRPr="00E400E4" w:rsidRDefault="00555918" w:rsidP="000B1771">
            <w:pPr>
              <w:pStyle w:val="TableText"/>
              <w:rPr>
                <w:lang w:val="pt-BR"/>
              </w:rPr>
            </w:pPr>
            <w:r w:rsidRPr="00E400E4">
              <w:rPr>
                <w:lang w:val="pt-BR"/>
              </w:rPr>
              <w:t>Black bean aphid</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(CABI 2019a)</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On avocado, it is only found on branches </w:t>
            </w:r>
            <w:r>
              <w:rPr>
                <w:noProof/>
                <w:szCs w:val="16"/>
              </w:rPr>
              <w:t>(Ebeling &amp; Pence 1952)</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Aphis gossypii</w:t>
            </w:r>
            <w:r w:rsidRPr="00E400E4">
              <w:rPr>
                <w:lang w:val="pt-BR"/>
              </w:rPr>
              <w:t xml:space="preserve"> Glover, 1877</w:t>
            </w:r>
          </w:p>
          <w:p w:rsidR="00555918" w:rsidRPr="00E400E4" w:rsidRDefault="00555918" w:rsidP="000B1771">
            <w:pPr>
              <w:pStyle w:val="TableText"/>
              <w:rPr>
                <w:lang w:val="pt-BR"/>
              </w:rPr>
            </w:pPr>
            <w:r w:rsidRPr="00E400E4">
              <w:rPr>
                <w:lang w:val="pt-BR"/>
              </w:rPr>
              <w:t>[Aphididae]</w:t>
            </w:r>
          </w:p>
          <w:p w:rsidR="00555918" w:rsidRPr="00E400E4" w:rsidRDefault="00555918" w:rsidP="000B1771">
            <w:pPr>
              <w:pStyle w:val="TableText"/>
              <w:rPr>
                <w:lang w:val="pt-BR"/>
              </w:rPr>
            </w:pPr>
            <w:r w:rsidRPr="00E400E4">
              <w:rPr>
                <w:lang w:val="pt-BR"/>
              </w:rPr>
              <w:t>Cotton aphid, Melon aphid</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(CABI 2019a)</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SA, Tas., Vic., WA </w:t>
            </w:r>
            <w:r>
              <w:rPr>
                <w:noProof/>
                <w:szCs w:val="16"/>
              </w:rPr>
              <w:t>(Plant Health Australia 2019)</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Aphis spiraecola</w:t>
            </w:r>
            <w:r w:rsidRPr="00E400E4">
              <w:rPr>
                <w:lang w:val="pt-BR"/>
              </w:rPr>
              <w:t xml:space="preserve"> Patch, 1914</w:t>
            </w:r>
          </w:p>
          <w:p w:rsidR="00555918" w:rsidRPr="00E400E4" w:rsidRDefault="00555918" w:rsidP="000B1771">
            <w:pPr>
              <w:pStyle w:val="TableText"/>
              <w:rPr>
                <w:lang w:val="pt-BR"/>
              </w:rPr>
            </w:pPr>
            <w:r w:rsidRPr="00E400E4">
              <w:rPr>
                <w:lang w:val="pt-BR"/>
              </w:rPr>
              <w:t>[Aphididae]</w:t>
            </w:r>
          </w:p>
          <w:p w:rsidR="00555918" w:rsidRPr="00E400E4" w:rsidRDefault="00555918" w:rsidP="000B1771">
            <w:pPr>
              <w:pStyle w:val="TableText"/>
              <w:rPr>
                <w:lang w:val="pt-BR"/>
              </w:rPr>
            </w:pPr>
            <w:r w:rsidRPr="00E400E4">
              <w:rPr>
                <w:lang w:val="pt-BR"/>
              </w:rPr>
              <w:t>Spirea aphid, green citrus aphid</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(CABI 2019a)</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NSW, Qld, SA, Tas., Vic., WA </w:t>
            </w:r>
            <w:r>
              <w:rPr>
                <w:noProof/>
                <w:szCs w:val="16"/>
              </w:rPr>
              <w:t>(Plant Health Australia 2019)</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Aspidiotus destructor</w:t>
            </w:r>
            <w:r w:rsidRPr="00E400E4">
              <w:rPr>
                <w:lang w:val="pt-BR"/>
              </w:rPr>
              <w:t xml:space="preserve"> Signoret, 1869</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Coconut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No. Only present on Easter Island </w:t>
            </w:r>
            <w:r>
              <w:rPr>
                <w:noProof/>
                <w:lang w:val="pt-BR"/>
              </w:rPr>
              <w:t>(CABI 2019a; Claps, Wolff &amp; Gonzalez 2001)</w:t>
            </w:r>
            <w:r w:rsidRPr="00E400E4">
              <w:rPr>
                <w:lang w:val="pt-BR"/>
              </w:rPr>
              <w:t xml:space="preserve">, which is a special territory of Chile located in the South Pacific Ocean more than 3,500 km west of mainland Chile. Quarantine procedures are in place to prevent the entry of pests from Easter Island to mainland Chile </w:t>
            </w:r>
            <w:r>
              <w:rPr>
                <w:noProof/>
                <w:lang w:val="pt-BR"/>
              </w:rPr>
              <w:t>(SAG 2005a)</w:t>
            </w:r>
            <w:r w:rsidRPr="00E400E4">
              <w:rPr>
                <w:lang w:val="pt-BR"/>
              </w:rPr>
              <w:t>. In addition, avocados will not be exported from Easter Island.</w:t>
            </w:r>
          </w:p>
        </w:tc>
        <w:tc>
          <w:tcPr>
            <w:tcW w:w="797" w:type="pct"/>
            <w:shd w:val="clear" w:color="auto" w:fill="auto"/>
          </w:tcPr>
          <w:p w:rsidR="00555918" w:rsidRPr="00E400E4" w:rsidRDefault="00555918" w:rsidP="000B1771">
            <w:pPr>
              <w:pStyle w:val="TableText"/>
              <w:rPr>
                <w:szCs w:val="16"/>
              </w:rPr>
            </w:pPr>
            <w:r w:rsidRPr="00E400E4">
              <w:rPr>
                <w:szCs w:val="16"/>
              </w:rPr>
              <w:t>Assessment not required</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Aspidiotus nerii</w:t>
            </w:r>
            <w:r w:rsidRPr="00E400E4">
              <w:rPr>
                <w:lang w:val="pt-BR"/>
              </w:rPr>
              <w:t xml:space="preserve"> Bouché, 1833</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Oleander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NT, NSW, Qld, SA, Tas., Vic., WA </w:t>
            </w:r>
            <w:r>
              <w:rPr>
                <w:noProof/>
                <w:szCs w:val="16"/>
              </w:rPr>
              <w:t>(Plant Health Australia 2019; Poole 2010)</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Bemisia tabaci</w:t>
            </w:r>
            <w:r w:rsidRPr="00E400E4">
              <w:rPr>
                <w:lang w:val="pt-BR"/>
              </w:rPr>
              <w:t xml:space="preserve"> (Gennadius, 1889)</w:t>
            </w:r>
          </w:p>
          <w:p w:rsidR="00555918" w:rsidRPr="00E400E4" w:rsidRDefault="00555918" w:rsidP="000B1771">
            <w:pPr>
              <w:pStyle w:val="TableText"/>
              <w:rPr>
                <w:lang w:val="pt-BR"/>
              </w:rPr>
            </w:pPr>
            <w:r w:rsidRPr="00E400E4">
              <w:rPr>
                <w:lang w:val="pt-BR"/>
              </w:rPr>
              <w:t>[Aleyrodidae]</w:t>
            </w:r>
          </w:p>
          <w:p w:rsidR="00555918" w:rsidRPr="00E400E4" w:rsidRDefault="00555918" w:rsidP="000B1771">
            <w:pPr>
              <w:pStyle w:val="TableText"/>
              <w:rPr>
                <w:lang w:val="pt-BR"/>
              </w:rPr>
            </w:pPr>
            <w:r w:rsidRPr="00E400E4">
              <w:rPr>
                <w:lang w:val="pt-BR"/>
              </w:rPr>
              <w:t>Silverleaf whitefly</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(Evans 2008)</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NT, NSW, Qld, SA, WA </w:t>
            </w:r>
            <w:r>
              <w:rPr>
                <w:noProof/>
                <w:szCs w:val="16"/>
              </w:rPr>
              <w:t>(Plant Health Australia 2019)</w:t>
            </w:r>
          </w:p>
          <w:p w:rsidR="00555918" w:rsidRPr="00E400E4" w:rsidRDefault="00555918" w:rsidP="000B1771">
            <w:pPr>
              <w:pStyle w:val="TableText"/>
              <w:rPr>
                <w:szCs w:val="16"/>
              </w:rPr>
            </w:pPr>
            <w:r w:rsidRPr="00E400E4">
              <w:rPr>
                <w:szCs w:val="16"/>
              </w:rPr>
              <w:t xml:space="preserve">However, </w:t>
            </w:r>
            <w:r w:rsidRPr="00E400E4">
              <w:rPr>
                <w:i/>
                <w:szCs w:val="16"/>
              </w:rPr>
              <w:t>B. tabaci</w:t>
            </w:r>
            <w:r w:rsidRPr="00E400E4">
              <w:rPr>
                <w:szCs w:val="16"/>
              </w:rPr>
              <w:t xml:space="preserve"> biotypes Nauru and Q are regulated as Declared Organisms (Prohibited (s. 12)) and biotype B is regulated as a Declared Organism (s. 22 (2)) by WA under the </w:t>
            </w:r>
            <w:r w:rsidRPr="00E400E4">
              <w:rPr>
                <w:i/>
                <w:szCs w:val="16"/>
              </w:rPr>
              <w:t xml:space="preserve">Biosecurity and Agriculture Management Act 2007 </w:t>
            </w:r>
            <w:r>
              <w:rPr>
                <w:noProof/>
                <w:szCs w:val="16"/>
              </w:rPr>
              <w:t>(Government of Western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 xml:space="preserve">No. Although avocado has been reported as a host </w:t>
            </w:r>
            <w:r>
              <w:rPr>
                <w:noProof/>
                <w:szCs w:val="16"/>
              </w:rPr>
              <w:t>(Manani et al. 2017)</w:t>
            </w:r>
            <w:r w:rsidRPr="00E400E4">
              <w:rPr>
                <w:szCs w:val="16"/>
              </w:rPr>
              <w:t xml:space="preserve">, eggs and larval stages of </w:t>
            </w:r>
            <w:r w:rsidRPr="00E400E4">
              <w:rPr>
                <w:i/>
                <w:szCs w:val="16"/>
              </w:rPr>
              <w:t>B. tabaci</w:t>
            </w:r>
            <w:r w:rsidRPr="00E400E4">
              <w:rPr>
                <w:szCs w:val="16"/>
              </w:rPr>
              <w:t xml:space="preserve"> are found on the underside of leaves </w:t>
            </w:r>
            <w:r>
              <w:rPr>
                <w:noProof/>
                <w:szCs w:val="16"/>
              </w:rPr>
              <w:t>(CABI 2019a)</w:t>
            </w:r>
            <w:r w:rsidRPr="00E400E4">
              <w:rPr>
                <w:szCs w:val="16"/>
              </w:rPr>
              <w:t xml:space="preserve"> and adults are likely to fly away during harvest and processing.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Ceroplastes ceriferus</w:t>
            </w:r>
            <w:r w:rsidRPr="00E400E4">
              <w:rPr>
                <w:lang w:val="pt-BR"/>
              </w:rPr>
              <w:t xml:space="preserve"> (Fabricius, 1798)</w:t>
            </w:r>
          </w:p>
          <w:p w:rsidR="00555918" w:rsidRPr="00E400E4" w:rsidRDefault="00555918" w:rsidP="000B1771">
            <w:pPr>
              <w:pStyle w:val="TableText"/>
              <w:rPr>
                <w:lang w:val="pt-BR"/>
              </w:rPr>
            </w:pPr>
            <w:r w:rsidRPr="00E400E4">
              <w:rPr>
                <w:lang w:val="pt-BR"/>
              </w:rPr>
              <w:t>[Coccidae]</w:t>
            </w:r>
          </w:p>
          <w:p w:rsidR="00555918" w:rsidRPr="00E400E4" w:rsidRDefault="00555918" w:rsidP="000B1771">
            <w:pPr>
              <w:pStyle w:val="TableText"/>
              <w:rPr>
                <w:lang w:val="pt-BR"/>
              </w:rPr>
            </w:pPr>
            <w:r w:rsidRPr="00E400E4">
              <w:rPr>
                <w:lang w:val="pt-BR"/>
              </w:rPr>
              <w:t>Indian white wax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Qld, WA </w:t>
            </w:r>
            <w:r>
              <w:rPr>
                <w:noProof/>
                <w:szCs w:val="16"/>
              </w:rPr>
              <w:t>(Plant Health Australia 2019; Qin &amp; Gullan 1994)</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Ceroplastes cirripediformis</w:t>
            </w:r>
            <w:r w:rsidRPr="00E400E4">
              <w:rPr>
                <w:lang w:val="pt-BR"/>
              </w:rPr>
              <w:t xml:space="preserve"> Comstock, 1881</w:t>
            </w:r>
          </w:p>
          <w:p w:rsidR="00555918" w:rsidRPr="00E400E4" w:rsidRDefault="00555918" w:rsidP="000B1771">
            <w:pPr>
              <w:pStyle w:val="TableText"/>
              <w:rPr>
                <w:lang w:val="pt-BR"/>
              </w:rPr>
            </w:pPr>
            <w:r w:rsidRPr="00E400E4">
              <w:rPr>
                <w:lang w:val="pt-BR"/>
              </w:rPr>
              <w:t>[Coccidae]</w:t>
            </w:r>
          </w:p>
          <w:p w:rsidR="00555918" w:rsidRPr="00E400E4" w:rsidRDefault="00555918" w:rsidP="000B1771">
            <w:pPr>
              <w:pStyle w:val="TableText"/>
              <w:rPr>
                <w:lang w:val="pt-BR"/>
              </w:rPr>
            </w:pPr>
            <w:r w:rsidRPr="00E400E4">
              <w:rPr>
                <w:lang w:val="pt-BR"/>
              </w:rPr>
              <w:t>Barnacle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This species primarily occurs on the stems of its hosts </w:t>
            </w:r>
            <w:r>
              <w:rPr>
                <w:noProof/>
                <w:szCs w:val="16"/>
              </w:rPr>
              <w:t>(Miller et al. 2014)</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 xml:space="preserve">Ceroplastes sinensis </w:t>
            </w:r>
            <w:r w:rsidRPr="00E400E4">
              <w:rPr>
                <w:lang w:val="pt-BR"/>
              </w:rPr>
              <w:t>Del Guercio, 1900</w:t>
            </w:r>
          </w:p>
          <w:p w:rsidR="00555918" w:rsidRPr="00E400E4" w:rsidRDefault="00555918" w:rsidP="000B1771">
            <w:pPr>
              <w:pStyle w:val="TableText"/>
              <w:rPr>
                <w:lang w:val="pt-BR"/>
              </w:rPr>
            </w:pPr>
            <w:r w:rsidRPr="00E400E4">
              <w:rPr>
                <w:lang w:val="pt-BR"/>
              </w:rPr>
              <w:t>[Coccidae]</w:t>
            </w:r>
          </w:p>
          <w:p w:rsidR="00555918" w:rsidRPr="00E400E4" w:rsidRDefault="00555918" w:rsidP="000B1771">
            <w:pPr>
              <w:pStyle w:val="TableText"/>
              <w:rPr>
                <w:i/>
                <w:lang w:val="pt-BR"/>
              </w:rPr>
            </w:pPr>
            <w:r w:rsidRPr="00E400E4">
              <w:rPr>
                <w:lang w:val="pt-BR"/>
              </w:rPr>
              <w:t>Chinese wax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NSW, NT, Qld, SA, Vic., WA </w:t>
            </w:r>
            <w:r>
              <w:rPr>
                <w:noProof/>
                <w:szCs w:val="16"/>
              </w:rPr>
              <w:t>(Plant Health Australia 2019)</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Chrysomphalus aonidum</w:t>
            </w:r>
            <w:r w:rsidRPr="00E400E4">
              <w:rPr>
                <w:lang w:val="pt-BR"/>
              </w:rPr>
              <w:t xml:space="preserve"> (Linnaeus, 1758)</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Circular black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WA </w:t>
            </w:r>
            <w:r>
              <w:rPr>
                <w:noProof/>
                <w:szCs w:val="16"/>
              </w:rPr>
              <w:t>(Plant Health Australia 2019)</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Chrysomphalus dictyospermi</w:t>
            </w:r>
            <w:r w:rsidRPr="00E400E4">
              <w:rPr>
                <w:lang w:val="pt-BR"/>
              </w:rPr>
              <w:t xml:space="preserve"> (Morgan, 1889)</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Spanish red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SA </w:t>
            </w:r>
            <w:r>
              <w:rPr>
                <w:noProof/>
                <w:szCs w:val="16"/>
              </w:rPr>
              <w:t>(Plant Health Australia 2019)</w:t>
            </w:r>
          </w:p>
          <w:p w:rsidR="00555918" w:rsidRPr="00E400E4" w:rsidRDefault="00555918" w:rsidP="000B1771">
            <w:pPr>
              <w:pStyle w:val="TableText"/>
              <w:rPr>
                <w:szCs w:val="16"/>
              </w:rPr>
            </w:pPr>
            <w:r w:rsidRPr="00E400E4">
              <w:rPr>
                <w:szCs w:val="16"/>
              </w:rPr>
              <w:t xml:space="preserve">Regulated as a Declared Organism (Prohibited (s. 12)) by WA under the </w:t>
            </w:r>
            <w:r w:rsidRPr="00E400E4">
              <w:rPr>
                <w:i/>
                <w:szCs w:val="16"/>
              </w:rPr>
              <w:t>Biosecurity and Agriculture Management Act 2007</w:t>
            </w:r>
            <w:r w:rsidRPr="00E400E4">
              <w:rPr>
                <w:szCs w:val="16"/>
              </w:rPr>
              <w:t xml:space="preserve"> </w:t>
            </w:r>
            <w:r>
              <w:rPr>
                <w:noProof/>
                <w:szCs w:val="16"/>
              </w:rPr>
              <w:t>(Government of Western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Chrysomphalus dictyospermi</w:t>
            </w:r>
            <w:r w:rsidRPr="00E400E4">
              <w:rPr>
                <w:szCs w:val="16"/>
              </w:rPr>
              <w:t xml:space="preserve"> can be found on the branches, leaves and fruit of avocado </w:t>
            </w:r>
            <w:r>
              <w:rPr>
                <w:noProof/>
                <w:szCs w:val="16"/>
              </w:rPr>
              <w:t>(de Villiers &amp; Van den Berg 1987; Peña et al. 2013)</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Chrysomphalus dictyospermi</w:t>
            </w:r>
            <w:r w:rsidRPr="00E400E4">
              <w:rPr>
                <w:szCs w:val="16"/>
              </w:rPr>
              <w:t xml:space="preserve"> is polyphagous and known hosts include avocado, citrus and other crops grown commercially in Australia </w:t>
            </w:r>
            <w:r>
              <w:rPr>
                <w:noProof/>
                <w:szCs w:val="16"/>
              </w:rPr>
              <w:t>(García Morales et al. 2019)</w:t>
            </w:r>
            <w:r w:rsidRPr="00E400E4">
              <w:rPr>
                <w:szCs w:val="16"/>
              </w:rPr>
              <w:t xml:space="preserve">. This species is distributed throughout the world including Asia, Europe, Africa, North and South America, and parts of Australia </w:t>
            </w:r>
            <w:r>
              <w:rPr>
                <w:noProof/>
                <w:szCs w:val="16"/>
              </w:rPr>
              <w:t>(García Morales et al. 2019)</w:t>
            </w:r>
            <w:r w:rsidRPr="00E400E4">
              <w:rPr>
                <w:szCs w:val="16"/>
              </w:rPr>
              <w:t>, and it is likely that similar climatic conditions exist in parts of Western Australia.</w:t>
            </w:r>
          </w:p>
          <w:p w:rsidR="00555918" w:rsidRPr="00E400E4" w:rsidRDefault="00555918" w:rsidP="000B1771">
            <w:pPr>
              <w:pStyle w:val="TableText"/>
              <w:rPr>
                <w:szCs w:val="16"/>
              </w:rPr>
            </w:pPr>
            <w:r w:rsidRPr="00E400E4">
              <w:rPr>
                <w:szCs w:val="16"/>
              </w:rPr>
              <w:t>The availability of host plants and suitable climatic conditions in Western Australia suggest that this pest could establish and spread in Western Australia.</w:t>
            </w:r>
          </w:p>
        </w:tc>
        <w:tc>
          <w:tcPr>
            <w:tcW w:w="726" w:type="pct"/>
            <w:shd w:val="clear" w:color="auto" w:fill="auto"/>
          </w:tcPr>
          <w:p w:rsidR="00555918" w:rsidRPr="00E400E4" w:rsidRDefault="00555918" w:rsidP="000B1771">
            <w:pPr>
              <w:pStyle w:val="TableText"/>
              <w:rPr>
                <w:szCs w:val="16"/>
              </w:rPr>
            </w:pPr>
            <w:r w:rsidRPr="00E400E4">
              <w:rPr>
                <w:szCs w:val="16"/>
              </w:rPr>
              <w:t xml:space="preserve">Yes. This species is known to attack avocado, citrus and other crops grown commercially in Australia </w:t>
            </w:r>
            <w:r>
              <w:rPr>
                <w:noProof/>
                <w:szCs w:val="16"/>
              </w:rPr>
              <w:t>(García Morales et al. 2019)</w:t>
            </w:r>
            <w:r w:rsidRPr="00E400E4">
              <w:rPr>
                <w:szCs w:val="16"/>
              </w:rPr>
              <w:t xml:space="preserve">. It secretes honeydew, which causes sooty mould. Heavy infestations can also cause leaf and fruit tissue discolouration, branch wilt, leaf drop and fruit deformation </w:t>
            </w:r>
            <w:r>
              <w:rPr>
                <w:noProof/>
                <w:szCs w:val="16"/>
              </w:rPr>
              <w:t>(Alford 2007)</w:t>
            </w:r>
            <w:r w:rsidRPr="00E400E4">
              <w:rPr>
                <w:szCs w:val="16"/>
              </w:rPr>
              <w:t>.</w:t>
            </w:r>
          </w:p>
        </w:tc>
        <w:tc>
          <w:tcPr>
            <w:tcW w:w="434" w:type="pct"/>
            <w:shd w:val="clear" w:color="auto" w:fill="auto"/>
          </w:tcPr>
          <w:p w:rsidR="00555918" w:rsidRPr="00E400E4" w:rsidRDefault="00555918" w:rsidP="000B1771">
            <w:pPr>
              <w:pStyle w:val="TableText"/>
            </w:pPr>
            <w:r w:rsidRPr="00E400E4">
              <w:t>Yes (EP, WA)</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Coccus hesperidum</w:t>
            </w:r>
            <w:r w:rsidRPr="00E400E4">
              <w:rPr>
                <w:lang w:val="pt-BR"/>
              </w:rPr>
              <w:t xml:space="preserve"> Linnaeus, 1758</w:t>
            </w:r>
          </w:p>
          <w:p w:rsidR="00555918" w:rsidRPr="00E400E4" w:rsidRDefault="00555918" w:rsidP="000B1771">
            <w:pPr>
              <w:pStyle w:val="TableText"/>
              <w:rPr>
                <w:lang w:val="pt-BR"/>
              </w:rPr>
            </w:pPr>
            <w:r w:rsidRPr="00E400E4">
              <w:rPr>
                <w:lang w:val="pt-BR"/>
              </w:rPr>
              <w:t>[Coccidae]</w:t>
            </w:r>
          </w:p>
          <w:p w:rsidR="00555918" w:rsidRPr="00E400E4" w:rsidRDefault="00555918" w:rsidP="000B1771">
            <w:pPr>
              <w:pStyle w:val="TableText"/>
              <w:rPr>
                <w:lang w:val="pt-BR"/>
              </w:rPr>
            </w:pPr>
            <w:r w:rsidRPr="00E400E4">
              <w:rPr>
                <w:lang w:val="pt-BR"/>
              </w:rPr>
              <w:t>Brown soft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NSW, NT, Qld, SA, Tas., Vic., WA </w:t>
            </w:r>
            <w:r>
              <w:rPr>
                <w:noProof/>
                <w:szCs w:val="16"/>
              </w:rPr>
              <w:t>(Plant Health Australia 2019)</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Comstockaspis perniciosa</w:t>
            </w:r>
            <w:r w:rsidRPr="00E400E4">
              <w:rPr>
                <w:lang w:val="pt-BR"/>
              </w:rPr>
              <w:t xml:space="preserve"> (Comstock, 1881)</w:t>
            </w:r>
          </w:p>
          <w:p w:rsidR="00555918" w:rsidRPr="00E400E4" w:rsidRDefault="00555918" w:rsidP="000B1771">
            <w:pPr>
              <w:pStyle w:val="TableText"/>
              <w:rPr>
                <w:lang w:val="pt-BR"/>
              </w:rPr>
            </w:pPr>
            <w:r w:rsidRPr="00E400E4">
              <w:rPr>
                <w:lang w:val="pt-BR"/>
              </w:rPr>
              <w:t xml:space="preserve">Synonym: </w:t>
            </w:r>
            <w:r w:rsidRPr="00E400E4">
              <w:rPr>
                <w:i/>
                <w:lang w:val="pt-BR"/>
              </w:rPr>
              <w:t>Diaspidiotus perniciosus</w:t>
            </w:r>
            <w:r w:rsidRPr="00E400E4">
              <w:rPr>
                <w:lang w:val="pt-BR"/>
              </w:rPr>
              <w:t xml:space="preserve"> (Comstock, 1881)</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San José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NSW, Qld, SA, Vic., WA </w:t>
            </w:r>
            <w:r>
              <w:rPr>
                <w:noProof/>
                <w:szCs w:val="16"/>
              </w:rPr>
              <w:t>(Plant Health Australia 2019)</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Dialeurodes citri</w:t>
            </w:r>
            <w:r w:rsidRPr="00E400E4">
              <w:rPr>
                <w:lang w:val="pt-BR"/>
              </w:rPr>
              <w:t xml:space="preserve"> (Ashmead, 1885)</w:t>
            </w:r>
          </w:p>
          <w:p w:rsidR="00555918" w:rsidRPr="00E400E4" w:rsidRDefault="00555918" w:rsidP="000B1771">
            <w:pPr>
              <w:pStyle w:val="TableText"/>
              <w:rPr>
                <w:lang w:val="pt-BR"/>
              </w:rPr>
            </w:pPr>
            <w:r w:rsidRPr="00E400E4">
              <w:rPr>
                <w:lang w:val="pt-BR"/>
              </w:rPr>
              <w:t xml:space="preserve">Synonym: </w:t>
            </w:r>
            <w:r w:rsidRPr="00E400E4">
              <w:rPr>
                <w:i/>
                <w:lang w:val="pt-BR"/>
              </w:rPr>
              <w:t>Aleyrodes citri</w:t>
            </w:r>
            <w:r w:rsidRPr="00E400E4">
              <w:rPr>
                <w:lang w:val="pt-BR"/>
              </w:rPr>
              <w:t xml:space="preserve"> Ashmead, 1885</w:t>
            </w:r>
          </w:p>
          <w:p w:rsidR="00555918" w:rsidRPr="00E400E4" w:rsidRDefault="00555918" w:rsidP="000B1771">
            <w:pPr>
              <w:pStyle w:val="TableText"/>
              <w:rPr>
                <w:lang w:val="pt-BR"/>
              </w:rPr>
            </w:pPr>
            <w:r w:rsidRPr="00E400E4">
              <w:rPr>
                <w:lang w:val="pt-BR"/>
              </w:rPr>
              <w:t>[Aleyrodidae]</w:t>
            </w:r>
          </w:p>
          <w:p w:rsidR="00555918" w:rsidRPr="00E400E4" w:rsidRDefault="00555918" w:rsidP="000B1771">
            <w:pPr>
              <w:pStyle w:val="TableText"/>
              <w:rPr>
                <w:lang w:val="pt-BR"/>
              </w:rPr>
            </w:pPr>
            <w:r w:rsidRPr="00E400E4">
              <w:rPr>
                <w:lang w:val="pt-BR"/>
              </w:rPr>
              <w:t>Citrus whitefly</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(CABI 2019a)</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Although </w:t>
            </w:r>
            <w:r w:rsidRPr="00E400E4">
              <w:rPr>
                <w:i/>
                <w:szCs w:val="16"/>
              </w:rPr>
              <w:t>Persea sp.</w:t>
            </w:r>
            <w:r w:rsidRPr="00E400E4">
              <w:rPr>
                <w:szCs w:val="16"/>
              </w:rPr>
              <w:t xml:space="preserve"> has been reported as a host </w:t>
            </w:r>
            <w:r>
              <w:rPr>
                <w:noProof/>
                <w:szCs w:val="16"/>
              </w:rPr>
              <w:t>(Evans 2008)</w:t>
            </w:r>
            <w:r w:rsidRPr="00E400E4">
              <w:rPr>
                <w:szCs w:val="16"/>
              </w:rPr>
              <w:t xml:space="preserve">, eggs and larval stages of </w:t>
            </w:r>
            <w:r w:rsidRPr="00E400E4">
              <w:rPr>
                <w:i/>
                <w:szCs w:val="16"/>
              </w:rPr>
              <w:t>D. citri</w:t>
            </w:r>
            <w:r w:rsidRPr="00E400E4">
              <w:rPr>
                <w:szCs w:val="16"/>
              </w:rPr>
              <w:t xml:space="preserve"> are found on the underside of leaves </w:t>
            </w:r>
            <w:r>
              <w:rPr>
                <w:noProof/>
                <w:szCs w:val="16"/>
              </w:rPr>
              <w:t>(CABI 2019a)</w:t>
            </w:r>
            <w:r w:rsidRPr="00E400E4">
              <w:rPr>
                <w:szCs w:val="16"/>
              </w:rPr>
              <w:t xml:space="preserve"> and adults are likely to fly away during harvest and processing.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Diaspidiotus ancylus</w:t>
            </w:r>
            <w:r w:rsidRPr="00E400E4">
              <w:rPr>
                <w:lang w:val="pt-BR"/>
              </w:rPr>
              <w:t xml:space="preserve"> (Putnam, 1878)</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Putnam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Qld </w:t>
            </w:r>
            <w:r>
              <w:rPr>
                <w:noProof/>
                <w:szCs w:val="16"/>
              </w:rPr>
              <w:t>(Plant Health Australia 2019)</w:t>
            </w:r>
          </w:p>
          <w:p w:rsidR="00555918" w:rsidRPr="00E400E4" w:rsidRDefault="00555918" w:rsidP="000B1771">
            <w:pPr>
              <w:pStyle w:val="TableText"/>
              <w:rPr>
                <w:szCs w:val="16"/>
              </w:rPr>
            </w:pPr>
            <w:r w:rsidRPr="00E400E4">
              <w:rPr>
                <w:szCs w:val="16"/>
              </w:rPr>
              <w:t xml:space="preserve">Regulated as a Declared Organism (Prohibited (s. 12)) by WA under the </w:t>
            </w:r>
            <w:r w:rsidRPr="00E400E4">
              <w:rPr>
                <w:i/>
                <w:szCs w:val="16"/>
              </w:rPr>
              <w:t xml:space="preserve">Biosecurity and Agriculture Management Act 2007 </w:t>
            </w:r>
            <w:r>
              <w:rPr>
                <w:noProof/>
                <w:szCs w:val="16"/>
              </w:rPr>
              <w:t>(Government of Western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Diaspidiotus ancylus</w:t>
            </w:r>
            <w:r w:rsidRPr="00E400E4">
              <w:rPr>
                <w:szCs w:val="16"/>
              </w:rPr>
              <w:t xml:space="preserve"> is mainly found on the underside of leaves, branches and stems. It has been found on blueberry fruit and occasionally plums; however, no evidence of an association with avocado fruit was found </w:t>
            </w:r>
            <w:r>
              <w:rPr>
                <w:noProof/>
                <w:szCs w:val="16"/>
              </w:rPr>
              <w:t>(García Morales et al. 2019; Miller &amp; Davidson 2005)</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Dysmicoccus brevipes</w:t>
            </w:r>
            <w:r w:rsidRPr="00E400E4">
              <w:rPr>
                <w:lang w:val="pt-BR"/>
              </w:rPr>
              <w:t xml:space="preserve"> (Cockerell, 1893)</w:t>
            </w:r>
          </w:p>
          <w:p w:rsidR="00555918" w:rsidRPr="00E400E4" w:rsidRDefault="00555918" w:rsidP="000B1771">
            <w:pPr>
              <w:pStyle w:val="TableText"/>
              <w:rPr>
                <w:lang w:val="pt-BR"/>
              </w:rPr>
            </w:pPr>
            <w:r w:rsidRPr="00E400E4">
              <w:rPr>
                <w:lang w:val="pt-BR"/>
              </w:rPr>
              <w:t>[Pseudococcidae]</w:t>
            </w:r>
          </w:p>
          <w:p w:rsidR="00555918" w:rsidRPr="00E400E4" w:rsidRDefault="00555918" w:rsidP="000B1771">
            <w:pPr>
              <w:pStyle w:val="TableText"/>
              <w:rPr>
                <w:lang w:val="pt-BR"/>
              </w:rPr>
            </w:pPr>
            <w:r w:rsidRPr="00E400E4">
              <w:rPr>
                <w:lang w:val="pt-BR"/>
              </w:rPr>
              <w:t>Pineapple mealybug</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SA,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Epidiaspis leperii</w:t>
            </w:r>
            <w:r w:rsidRPr="00E400E4">
              <w:rPr>
                <w:lang w:val="pt-BR"/>
              </w:rPr>
              <w:t xml:space="preserve"> (Signoret, 1869)</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European pear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Avocado is considered a host of </w:t>
            </w:r>
            <w:r w:rsidRPr="00E400E4">
              <w:rPr>
                <w:i/>
                <w:szCs w:val="16"/>
              </w:rPr>
              <w:t>E. leperii</w:t>
            </w:r>
            <w:r w:rsidRPr="00E400E4">
              <w:rPr>
                <w:szCs w:val="16"/>
              </w:rPr>
              <w:t xml:space="preserve">, but this pest only occurs on twigs, branches and trunks of its hosts </w:t>
            </w:r>
            <w:r>
              <w:rPr>
                <w:noProof/>
                <w:szCs w:val="16"/>
              </w:rPr>
              <w:t>(Cean, Cean &amp; Stănică 2012; Gill 1997; Kozar 1976; Miller &amp; Davidson 2005)</w:t>
            </w:r>
            <w:r w:rsidRPr="00E400E4">
              <w:rPr>
                <w:szCs w:val="16"/>
              </w:rPr>
              <w:t xml:space="preserve">. This pest is often found sheltering under lichens on the bark </w:t>
            </w:r>
            <w:r>
              <w:rPr>
                <w:noProof/>
                <w:szCs w:val="16"/>
              </w:rPr>
              <w:t>(CABI 2019a; Gill 1997)</w:t>
            </w:r>
            <w:r w:rsidRPr="00E400E4">
              <w:rPr>
                <w:szCs w:val="16"/>
              </w:rPr>
              <w:t xml:space="preserve">. The risk of movement of this pest in international trade is associated with transport of infested planting material </w:t>
            </w:r>
            <w:r>
              <w:rPr>
                <w:noProof/>
                <w:szCs w:val="16"/>
              </w:rPr>
              <w:t>(CABI 2019a)</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Fiorinia fioriniae</w:t>
            </w:r>
            <w:r w:rsidRPr="00E400E4">
              <w:rPr>
                <w:lang w:val="pt-BR"/>
              </w:rPr>
              <w:t xml:space="preserve"> (Targioni Tozzetti, 1867)</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Fiorinia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(Claps, Wolff &amp; Gonzalez 2001; Klein Koch &amp; Waterhouse 2000)</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SA, Tas., Vic. </w:t>
            </w:r>
            <w:r>
              <w:rPr>
                <w:noProof/>
                <w:szCs w:val="16"/>
              </w:rPr>
              <w:t>(Plant Health Australia 2019)</w:t>
            </w:r>
            <w:r w:rsidRPr="00E400E4">
              <w:rPr>
                <w:szCs w:val="16"/>
              </w:rPr>
              <w:t>.</w:t>
            </w:r>
          </w:p>
          <w:p w:rsidR="00555918" w:rsidRPr="00E400E4" w:rsidRDefault="00555918" w:rsidP="000B1771">
            <w:pPr>
              <w:pStyle w:val="TableText"/>
              <w:rPr>
                <w:szCs w:val="16"/>
              </w:rPr>
            </w:pPr>
            <w:r w:rsidRPr="00E400E4">
              <w:rPr>
                <w:szCs w:val="16"/>
              </w:rPr>
              <w:t xml:space="preserve">Regulated as a Declared Organism (Prohibited (s. 12)) by WA under the </w:t>
            </w:r>
            <w:r w:rsidRPr="00E400E4">
              <w:rPr>
                <w:i/>
                <w:szCs w:val="16"/>
              </w:rPr>
              <w:t>Biosecurity and Agriculture Management Act 2007</w:t>
            </w:r>
            <w:r w:rsidRPr="00E400E4">
              <w:rPr>
                <w:szCs w:val="16"/>
              </w:rPr>
              <w:t xml:space="preserve"> </w:t>
            </w:r>
            <w:r>
              <w:rPr>
                <w:noProof/>
                <w:szCs w:val="16"/>
              </w:rPr>
              <w:t>(Government of Western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Fiorinia fioriniae</w:t>
            </w:r>
            <w:r w:rsidRPr="00E400E4">
              <w:rPr>
                <w:szCs w:val="16"/>
              </w:rPr>
              <w:t xml:space="preserve"> attacks leaves and fruit of avocado </w:t>
            </w:r>
            <w:r>
              <w:rPr>
                <w:noProof/>
                <w:szCs w:val="16"/>
              </w:rPr>
              <w:t>(Peña et al. 2013)</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Fiorinia fioriniae</w:t>
            </w:r>
            <w:r w:rsidRPr="00E400E4">
              <w:rPr>
                <w:szCs w:val="16"/>
              </w:rPr>
              <w:t xml:space="preserve"> is polyphagous and known hosts include avocado, citrus and other crops grown commercially in Australia </w:t>
            </w:r>
            <w:r>
              <w:rPr>
                <w:noProof/>
                <w:szCs w:val="16"/>
              </w:rPr>
              <w:t>(García Morales et al. 2019)</w:t>
            </w:r>
            <w:r w:rsidRPr="00E400E4">
              <w:rPr>
                <w:szCs w:val="16"/>
              </w:rPr>
              <w:t xml:space="preserve">. This species is distributed throughout the world including Asia, Europe, Africa, North and South America, and parts of Australia </w:t>
            </w:r>
            <w:r>
              <w:rPr>
                <w:noProof/>
                <w:szCs w:val="16"/>
              </w:rPr>
              <w:t>(García Morales et al. 2019)</w:t>
            </w:r>
            <w:r w:rsidRPr="00E400E4">
              <w:rPr>
                <w:szCs w:val="16"/>
              </w:rPr>
              <w:t>, and it is likely that similar climatic conditions exist in parts of Western Australia.</w:t>
            </w:r>
          </w:p>
          <w:p w:rsidR="00555918" w:rsidRPr="00E400E4" w:rsidRDefault="00555918" w:rsidP="000B1771">
            <w:pPr>
              <w:pStyle w:val="TableText"/>
              <w:rPr>
                <w:szCs w:val="16"/>
              </w:rPr>
            </w:pPr>
            <w:r w:rsidRPr="00E400E4">
              <w:rPr>
                <w:szCs w:val="16"/>
              </w:rPr>
              <w:t>The availability of host plants and suitable climatic conditions in Western Australia suggest that this pest could establish and spread in Western Australia.</w:t>
            </w:r>
          </w:p>
        </w:tc>
        <w:tc>
          <w:tcPr>
            <w:tcW w:w="726" w:type="pct"/>
            <w:shd w:val="clear" w:color="auto" w:fill="auto"/>
          </w:tcPr>
          <w:p w:rsidR="00555918" w:rsidRPr="00E400E4" w:rsidRDefault="00555918" w:rsidP="000B1771">
            <w:pPr>
              <w:pStyle w:val="TableText"/>
              <w:rPr>
                <w:szCs w:val="16"/>
              </w:rPr>
            </w:pPr>
            <w:r w:rsidRPr="00E400E4">
              <w:rPr>
                <w:szCs w:val="16"/>
              </w:rPr>
              <w:t xml:space="preserve">Yes. This species is considered to be a pest of concern on multiple hosts causing leaf chlorosis and defoliation </w:t>
            </w:r>
            <w:r>
              <w:rPr>
                <w:noProof/>
                <w:szCs w:val="16"/>
              </w:rPr>
              <w:t>(Miller &amp; Davidson 2005; Watson 2016)</w:t>
            </w:r>
            <w:r w:rsidRPr="00E400E4">
              <w:rPr>
                <w:szCs w:val="16"/>
              </w:rPr>
              <w:t xml:space="preserve">. </w:t>
            </w:r>
            <w:r w:rsidRPr="00E400E4">
              <w:rPr>
                <w:i/>
                <w:szCs w:val="16"/>
              </w:rPr>
              <w:t>Fiorinia fioriniae</w:t>
            </w:r>
            <w:r w:rsidRPr="00E400E4">
              <w:rPr>
                <w:szCs w:val="16"/>
              </w:rPr>
              <w:t xml:space="preserve"> is known to attack avocado, citrus and other crops grown commercially in Australia </w:t>
            </w:r>
            <w:r>
              <w:rPr>
                <w:noProof/>
                <w:szCs w:val="16"/>
              </w:rPr>
              <w:t>(García Morales et al. 2019)</w:t>
            </w:r>
            <w:r w:rsidRPr="00E400E4">
              <w:rPr>
                <w:szCs w:val="16"/>
              </w:rPr>
              <w:t>.</w:t>
            </w:r>
          </w:p>
        </w:tc>
        <w:tc>
          <w:tcPr>
            <w:tcW w:w="434" w:type="pct"/>
            <w:shd w:val="clear" w:color="auto" w:fill="auto"/>
          </w:tcPr>
          <w:p w:rsidR="00555918" w:rsidRPr="00E400E4" w:rsidRDefault="00555918" w:rsidP="000B1771">
            <w:pPr>
              <w:pStyle w:val="TableText"/>
            </w:pPr>
            <w:r w:rsidRPr="00E400E4">
              <w:t>Yes (WA)</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Hemiberlesia cyanophylli</w:t>
            </w:r>
            <w:r w:rsidRPr="00E400E4">
              <w:rPr>
                <w:lang w:val="pt-BR"/>
              </w:rPr>
              <w:t xml:space="preserve"> (Signoret, 1869)</w:t>
            </w:r>
          </w:p>
          <w:p w:rsidR="00555918" w:rsidRPr="00E400E4" w:rsidRDefault="00555918" w:rsidP="000B1771">
            <w:pPr>
              <w:pStyle w:val="TableText"/>
              <w:rPr>
                <w:lang w:val="pt-BR"/>
              </w:rPr>
            </w:pPr>
            <w:r w:rsidRPr="00E400E4">
              <w:rPr>
                <w:lang w:val="pt-BR"/>
              </w:rPr>
              <w:t xml:space="preserve">Synonym: </w:t>
            </w:r>
            <w:r w:rsidRPr="00E400E4">
              <w:rPr>
                <w:i/>
                <w:lang w:val="pt-BR"/>
              </w:rPr>
              <w:t>Abgrallaspis cyanophylli</w:t>
            </w:r>
            <w:r w:rsidRPr="00E400E4">
              <w:rPr>
                <w:lang w:val="pt-BR"/>
              </w:rPr>
              <w:t xml:space="preserve"> (Signoret, 1869)</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t>Cyanophyllum scale</w:t>
            </w:r>
            <w:r w:rsidRPr="00E400E4">
              <w:rPr>
                <w:i/>
              </w:rPr>
              <w:t xml:space="preserve"> </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(Klein Koch &amp; Waterhouse 2000; Watson 2016)</w:t>
            </w:r>
          </w:p>
        </w:tc>
        <w:tc>
          <w:tcPr>
            <w:tcW w:w="797" w:type="pct"/>
            <w:shd w:val="clear" w:color="auto" w:fill="auto"/>
          </w:tcPr>
          <w:p w:rsidR="00555918" w:rsidRPr="00E400E4" w:rsidRDefault="00555918" w:rsidP="000B1771">
            <w:pPr>
              <w:pStyle w:val="TableText"/>
              <w:rPr>
                <w:szCs w:val="16"/>
              </w:rPr>
            </w:pPr>
            <w:r w:rsidRPr="00E400E4">
              <w:rPr>
                <w:szCs w:val="16"/>
              </w:rPr>
              <w:t xml:space="preserve">Yes. Qld, NSW, SA, Tas., NT </w:t>
            </w:r>
            <w:r>
              <w:rPr>
                <w:noProof/>
                <w:szCs w:val="16"/>
              </w:rPr>
              <w:t>(Plant Health Australia 2019)</w:t>
            </w:r>
            <w:r w:rsidRPr="00E400E4">
              <w:rPr>
                <w:szCs w:val="16"/>
              </w:rPr>
              <w:t>.</w:t>
            </w:r>
          </w:p>
          <w:p w:rsidR="00555918" w:rsidRPr="00E400E4" w:rsidRDefault="00555918" w:rsidP="000B1771">
            <w:pPr>
              <w:pStyle w:val="TableText"/>
              <w:rPr>
                <w:szCs w:val="16"/>
              </w:rPr>
            </w:pPr>
            <w:r w:rsidRPr="00E400E4">
              <w:rPr>
                <w:szCs w:val="16"/>
              </w:rPr>
              <w:t xml:space="preserve">Regulated as a Declared Organism (Prohibited (s. 12)) by WA under the </w:t>
            </w:r>
            <w:r w:rsidRPr="00E400E4">
              <w:rPr>
                <w:i/>
                <w:szCs w:val="16"/>
              </w:rPr>
              <w:t xml:space="preserve">Biosecurity and Agriculture Management Act 2007 </w:t>
            </w:r>
            <w:r>
              <w:rPr>
                <w:noProof/>
                <w:szCs w:val="16"/>
              </w:rPr>
              <w:t>(Government of Western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Hemiberlesia cyanophylli</w:t>
            </w:r>
            <w:r w:rsidRPr="00E400E4">
              <w:rPr>
                <w:szCs w:val="16"/>
              </w:rPr>
              <w:t xml:space="preserve"> has been found feeding on the underside of leaves and on fruit of avocado </w:t>
            </w:r>
            <w:r>
              <w:rPr>
                <w:noProof/>
                <w:szCs w:val="16"/>
              </w:rPr>
              <w:t>(Gerson &amp; Zor 1973; Kondo &amp; Muñoz 2016)</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Hemiberlesia cyanophylli</w:t>
            </w:r>
            <w:r w:rsidRPr="00E400E4">
              <w:rPr>
                <w:szCs w:val="16"/>
              </w:rPr>
              <w:t xml:space="preserve"> is polyphagous and known hosts include avocado, mango and other crops grown commercially in Australia </w:t>
            </w:r>
            <w:r>
              <w:rPr>
                <w:noProof/>
                <w:szCs w:val="16"/>
              </w:rPr>
              <w:t>(García Morales et al. 2019)</w:t>
            </w:r>
            <w:r w:rsidRPr="00E400E4">
              <w:rPr>
                <w:szCs w:val="16"/>
              </w:rPr>
              <w:t xml:space="preserve">. This species is distributed throughout the world including Asia, Europe, Africa, North and South America, and parts of Australia </w:t>
            </w:r>
            <w:r>
              <w:rPr>
                <w:noProof/>
                <w:szCs w:val="16"/>
              </w:rPr>
              <w:t>(García Morales et al. 2019)</w:t>
            </w:r>
            <w:r w:rsidRPr="00E400E4">
              <w:rPr>
                <w:szCs w:val="16"/>
              </w:rPr>
              <w:t>, and it is likely that similar climatic conditions exist in parts of Western Australia.</w:t>
            </w:r>
          </w:p>
          <w:p w:rsidR="00555918" w:rsidRPr="00E400E4" w:rsidRDefault="00555918" w:rsidP="000B1771">
            <w:pPr>
              <w:pStyle w:val="TableText"/>
              <w:rPr>
                <w:szCs w:val="16"/>
              </w:rPr>
            </w:pPr>
            <w:r w:rsidRPr="00E400E4">
              <w:rPr>
                <w:szCs w:val="16"/>
              </w:rPr>
              <w:t>The availability of host plants and suitable climatic conditions in Western Australia suggest that this pest could establish and spread in Western Australia.</w:t>
            </w:r>
          </w:p>
        </w:tc>
        <w:tc>
          <w:tcPr>
            <w:tcW w:w="726" w:type="pct"/>
            <w:shd w:val="clear" w:color="auto" w:fill="auto"/>
          </w:tcPr>
          <w:p w:rsidR="00555918" w:rsidRPr="00E400E4" w:rsidRDefault="00555918" w:rsidP="000B1771">
            <w:pPr>
              <w:pStyle w:val="TableText"/>
              <w:rPr>
                <w:szCs w:val="16"/>
              </w:rPr>
            </w:pPr>
            <w:r w:rsidRPr="00E400E4">
              <w:rPr>
                <w:szCs w:val="16"/>
              </w:rPr>
              <w:t xml:space="preserve">Yes. This species is known to attack avocado, mango and other crops grown commercially in Australia </w:t>
            </w:r>
            <w:r>
              <w:rPr>
                <w:noProof/>
                <w:szCs w:val="16"/>
              </w:rPr>
              <w:t>(García Morales et al. 2019)</w:t>
            </w:r>
            <w:r w:rsidRPr="00E400E4">
              <w:rPr>
                <w:szCs w:val="16"/>
              </w:rPr>
              <w:t>.</w:t>
            </w:r>
          </w:p>
        </w:tc>
        <w:tc>
          <w:tcPr>
            <w:tcW w:w="434" w:type="pct"/>
            <w:shd w:val="clear" w:color="auto" w:fill="auto"/>
          </w:tcPr>
          <w:p w:rsidR="00555918" w:rsidRPr="00E400E4" w:rsidRDefault="00555918" w:rsidP="000B1771">
            <w:pPr>
              <w:pStyle w:val="TableText"/>
            </w:pPr>
            <w:r w:rsidRPr="00E400E4">
              <w:t>Yes (EP, WA)</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Hemiberlesia lataniae</w:t>
            </w:r>
            <w:r w:rsidRPr="00E400E4">
              <w:rPr>
                <w:lang w:val="pt-BR"/>
              </w:rPr>
              <w:t xml:space="preserve"> (Signoret, 1869)</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Latania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Hemiberlesia latastei</w:t>
            </w:r>
            <w:r w:rsidRPr="00E400E4">
              <w:rPr>
                <w:lang w:val="pt-BR"/>
              </w:rPr>
              <w:t xml:space="preserve"> (Cockerell, 1894)</w:t>
            </w:r>
          </w:p>
          <w:p w:rsidR="00555918" w:rsidRPr="00E400E4" w:rsidRDefault="00555918" w:rsidP="000B1771">
            <w:pPr>
              <w:pStyle w:val="TableText"/>
              <w:rPr>
                <w:lang w:val="pt-BR"/>
              </w:rPr>
            </w:pPr>
            <w:r w:rsidRPr="00E400E4">
              <w:rPr>
                <w:lang w:val="pt-BR"/>
              </w:rPr>
              <w:t xml:space="preserve">Synonym: </w:t>
            </w:r>
            <w:r w:rsidRPr="00E400E4">
              <w:rPr>
                <w:i/>
                <w:lang w:val="pt-BR"/>
              </w:rPr>
              <w:t>Abgrallaspis latastei</w:t>
            </w:r>
            <w:r w:rsidRPr="00E400E4">
              <w:rPr>
                <w:lang w:val="pt-BR"/>
              </w:rPr>
              <w:t xml:space="preserve"> (Cockerell, 1894)</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t>Lataste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(Evans, Watson &amp; Miller 2009; García Morales et al. 2019; González &amp; Charlín 1968; Klein Koch &amp; Waterhouse 2000)</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Hemiberlesia latastei</w:t>
            </w:r>
            <w:r w:rsidRPr="00E400E4">
              <w:rPr>
                <w:szCs w:val="16"/>
              </w:rPr>
              <w:t xml:space="preserve"> is a pest of avocado in Chile </w:t>
            </w:r>
            <w:r>
              <w:rPr>
                <w:noProof/>
                <w:szCs w:val="16"/>
              </w:rPr>
              <w:t>(Evans, Watson &amp; Miller 2009; Vargas &amp; Rodríguez 2008b)</w:t>
            </w:r>
            <w:r w:rsidRPr="00E400E4">
              <w:rPr>
                <w:szCs w:val="16"/>
              </w:rPr>
              <w:t xml:space="preserve">. No information on the biology of this species was found. However, other species in this genus are known to be found on leaves, bark and fruit of their hosts </w:t>
            </w:r>
            <w:r>
              <w:rPr>
                <w:noProof/>
                <w:szCs w:val="16"/>
              </w:rPr>
              <w:t>(Martin Kessing &amp; Mau 2007)</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 xml:space="preserve">Yes. This species is polyphagous, with known hosts including avocado, plum and other crops grown commercially in Australia </w:t>
            </w:r>
            <w:r>
              <w:rPr>
                <w:noProof/>
                <w:szCs w:val="16"/>
              </w:rPr>
              <w:t>(García Morales et al. 2019)</w:t>
            </w:r>
            <w:r w:rsidRPr="00E400E4">
              <w:rPr>
                <w:szCs w:val="16"/>
              </w:rPr>
              <w:t xml:space="preserve">. This species is likely to be easily spread through the distribution of planting material since females of species in the family Diaspididae remain on the host for their entire lives </w:t>
            </w:r>
            <w:r>
              <w:rPr>
                <w:noProof/>
                <w:szCs w:val="16"/>
              </w:rPr>
              <w:t>(Martin Kessing &amp; Mau 2007)</w:t>
            </w:r>
            <w:r w:rsidRPr="00E400E4">
              <w:rPr>
                <w:szCs w:val="16"/>
              </w:rPr>
              <w:t xml:space="preserve"> and are not easily dislodged. This species is found in Argentina and Chile </w:t>
            </w:r>
            <w:r>
              <w:rPr>
                <w:noProof/>
                <w:szCs w:val="16"/>
              </w:rPr>
              <w:t>(García Morales et al. 2019)</w:t>
            </w:r>
            <w:r w:rsidRPr="00E400E4">
              <w:rPr>
                <w:szCs w:val="16"/>
              </w:rPr>
              <w:t>, and it is likely that similar climatic conditions exist in parts of Australia.</w:t>
            </w:r>
          </w:p>
          <w:p w:rsidR="00555918" w:rsidRPr="00E400E4" w:rsidRDefault="00555918" w:rsidP="000B1771">
            <w:pPr>
              <w:pStyle w:val="TableText"/>
              <w:rPr>
                <w:szCs w:val="16"/>
              </w:rPr>
            </w:pPr>
            <w:r w:rsidRPr="00E400E4">
              <w:rPr>
                <w:szCs w:val="16"/>
              </w:rPr>
              <w:t>The availability of host plants and suitable climatic conditions in Australia suggest that this pest could establish and spread in Australia.</w:t>
            </w:r>
          </w:p>
        </w:tc>
        <w:tc>
          <w:tcPr>
            <w:tcW w:w="726" w:type="pct"/>
            <w:shd w:val="clear" w:color="auto" w:fill="auto"/>
          </w:tcPr>
          <w:p w:rsidR="00555918" w:rsidRPr="00E400E4" w:rsidRDefault="00555918" w:rsidP="000B1771">
            <w:pPr>
              <w:pStyle w:val="TableText"/>
              <w:rPr>
                <w:szCs w:val="16"/>
              </w:rPr>
            </w:pPr>
            <w:r w:rsidRPr="00E400E4">
              <w:rPr>
                <w:szCs w:val="16"/>
              </w:rPr>
              <w:t xml:space="preserve">Yes. This species is known to attack avocado, plum and other crops grown commercially in Australia </w:t>
            </w:r>
            <w:r>
              <w:rPr>
                <w:noProof/>
                <w:szCs w:val="16"/>
              </w:rPr>
              <w:t>(García Morales et al. 2019)</w:t>
            </w:r>
            <w:r w:rsidRPr="00E400E4">
              <w:rPr>
                <w:szCs w:val="16"/>
              </w:rPr>
              <w:t>.</w:t>
            </w:r>
          </w:p>
        </w:tc>
        <w:tc>
          <w:tcPr>
            <w:tcW w:w="434" w:type="pct"/>
            <w:shd w:val="clear" w:color="auto" w:fill="auto"/>
          </w:tcPr>
          <w:p w:rsidR="00555918" w:rsidRPr="00E400E4" w:rsidRDefault="00555918" w:rsidP="000B1771">
            <w:pPr>
              <w:pStyle w:val="TableText"/>
            </w:pPr>
            <w:r w:rsidRPr="00E400E4">
              <w:t>Yes</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Hemiberlesia palmae</w:t>
            </w:r>
            <w:r w:rsidRPr="00E400E4">
              <w:rPr>
                <w:lang w:val="pt-BR"/>
              </w:rPr>
              <w:t xml:space="preserve"> (Cockerell, 1893)</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Tropical palm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Qld </w:t>
            </w:r>
            <w:r>
              <w:rPr>
                <w:noProof/>
                <w:szCs w:val="16"/>
              </w:rPr>
              <w:t>(Plant Health Australia 2019)</w:t>
            </w:r>
            <w:r w:rsidRPr="00E400E4">
              <w:rPr>
                <w:szCs w:val="16"/>
              </w:rPr>
              <w:t>.</w:t>
            </w:r>
          </w:p>
          <w:p w:rsidR="00555918" w:rsidRPr="00E400E4" w:rsidRDefault="00555918" w:rsidP="000B1771">
            <w:pPr>
              <w:pStyle w:val="TableText"/>
              <w:rPr>
                <w:szCs w:val="16"/>
              </w:rPr>
            </w:pPr>
            <w:r w:rsidRPr="00E400E4">
              <w:rPr>
                <w:szCs w:val="16"/>
              </w:rPr>
              <w:t xml:space="preserve">Regulated as a Declared Organism (Prohibited (s. 12)) by WA under the </w:t>
            </w:r>
            <w:r w:rsidRPr="00E400E4">
              <w:rPr>
                <w:i/>
                <w:szCs w:val="16"/>
              </w:rPr>
              <w:t xml:space="preserve">Biosecurity and Agriculture Management Act 2007 </w:t>
            </w:r>
            <w:r>
              <w:rPr>
                <w:noProof/>
                <w:szCs w:val="16"/>
              </w:rPr>
              <w:t>(Government of Western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Hemiberlesia palmae</w:t>
            </w:r>
            <w:r w:rsidRPr="00E400E4">
              <w:rPr>
                <w:szCs w:val="16"/>
              </w:rPr>
              <w:t xml:space="preserve"> is found on leaves and branches of avocado </w:t>
            </w:r>
            <w:r>
              <w:rPr>
                <w:noProof/>
                <w:szCs w:val="16"/>
              </w:rPr>
              <w:t>(Kondo &amp; Muñoz 2016; USDA-APHIS 2006)</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Hemiberlesia</w:t>
            </w:r>
            <w:r w:rsidRPr="00E400E4">
              <w:rPr>
                <w:lang w:val="pt-BR"/>
              </w:rPr>
              <w:t xml:space="preserve"> rapax (Comstock, 1881)</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Greedy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Qld,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Homalodisca vitripennis</w:t>
            </w:r>
            <w:r w:rsidRPr="00E400E4">
              <w:rPr>
                <w:lang w:val="pt-BR"/>
              </w:rPr>
              <w:t xml:space="preserve"> (Germar, 1821)</w:t>
            </w:r>
          </w:p>
          <w:p w:rsidR="00555918" w:rsidRPr="00E400E4" w:rsidRDefault="00555918" w:rsidP="000B1771">
            <w:pPr>
              <w:pStyle w:val="TableText"/>
              <w:rPr>
                <w:lang w:val="pt-BR"/>
              </w:rPr>
            </w:pPr>
            <w:r w:rsidRPr="00E400E4">
              <w:rPr>
                <w:lang w:val="pt-BR"/>
              </w:rPr>
              <w:t>[Cicadellidae]</w:t>
            </w:r>
          </w:p>
          <w:p w:rsidR="00555918" w:rsidRPr="00E400E4" w:rsidRDefault="00555918" w:rsidP="000B1771">
            <w:pPr>
              <w:pStyle w:val="TableText"/>
              <w:rPr>
                <w:lang w:val="pt-BR"/>
              </w:rPr>
            </w:pPr>
            <w:r w:rsidRPr="00E400E4">
              <w:rPr>
                <w:lang w:val="pt-BR"/>
              </w:rPr>
              <w:t>Glassy-winged sharpshooter</w:t>
            </w:r>
          </w:p>
        </w:tc>
        <w:tc>
          <w:tcPr>
            <w:tcW w:w="728" w:type="pct"/>
            <w:shd w:val="clear" w:color="auto" w:fill="auto"/>
          </w:tcPr>
          <w:p w:rsidR="00555918" w:rsidRPr="00E400E4" w:rsidRDefault="00555918" w:rsidP="000B1771">
            <w:pPr>
              <w:pStyle w:val="TableText"/>
              <w:rPr>
                <w:lang w:val="pt-BR"/>
              </w:rPr>
            </w:pPr>
            <w:r w:rsidRPr="00E400E4">
              <w:rPr>
                <w:lang w:val="pt-BR"/>
              </w:rPr>
              <w:t xml:space="preserve">No. Only present on Easter Island </w:t>
            </w:r>
            <w:r>
              <w:rPr>
                <w:noProof/>
                <w:lang w:val="pt-BR"/>
              </w:rPr>
              <w:t>(EPPO 2019)</w:t>
            </w:r>
            <w:r w:rsidRPr="00E400E4">
              <w:rPr>
                <w:lang w:val="pt-BR"/>
              </w:rPr>
              <w:t xml:space="preserve">, which is a special territory of Chile located in the South Pacific Ocean more than 3,500 km west of mainland Chile. Quarantine procedures are in place to prevent the entry of pests from Easter Island to mainland Chile </w:t>
            </w:r>
            <w:r>
              <w:rPr>
                <w:noProof/>
                <w:lang w:val="pt-BR"/>
              </w:rPr>
              <w:t>(SAG 2005a)</w:t>
            </w:r>
            <w:r w:rsidRPr="00E400E4">
              <w:rPr>
                <w:lang w:val="pt-BR"/>
              </w:rPr>
              <w:t>. In addition, avocados will not be exported from Easter Island.</w:t>
            </w:r>
          </w:p>
        </w:tc>
        <w:tc>
          <w:tcPr>
            <w:tcW w:w="797" w:type="pct"/>
            <w:shd w:val="clear" w:color="auto" w:fill="auto"/>
          </w:tcPr>
          <w:p w:rsidR="00555918" w:rsidRPr="00E400E4" w:rsidRDefault="00555918" w:rsidP="000B1771">
            <w:pPr>
              <w:pStyle w:val="TableText"/>
              <w:rPr>
                <w:szCs w:val="16"/>
              </w:rPr>
            </w:pPr>
            <w:r w:rsidRPr="00E400E4">
              <w:rPr>
                <w:szCs w:val="16"/>
              </w:rPr>
              <w:t>Assessment not required</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Icerya purchasi</w:t>
            </w:r>
            <w:r w:rsidRPr="00E400E4">
              <w:rPr>
                <w:lang w:val="pt-BR"/>
              </w:rPr>
              <w:t xml:space="preserve"> (Maskell, 1879)</w:t>
            </w:r>
          </w:p>
          <w:p w:rsidR="00555918" w:rsidRPr="00E400E4" w:rsidRDefault="00555918" w:rsidP="000B1771">
            <w:pPr>
              <w:pStyle w:val="TableText"/>
              <w:rPr>
                <w:lang w:val="pt-BR"/>
              </w:rPr>
            </w:pPr>
            <w:r w:rsidRPr="00E400E4">
              <w:rPr>
                <w:lang w:val="pt-BR"/>
              </w:rPr>
              <w:t>[Monophlebidae]</w:t>
            </w:r>
          </w:p>
          <w:p w:rsidR="00555918" w:rsidRPr="00E400E4" w:rsidRDefault="00555918" w:rsidP="000B1771">
            <w:pPr>
              <w:pStyle w:val="TableText"/>
              <w:rPr>
                <w:lang w:val="pt-BR"/>
              </w:rPr>
            </w:pPr>
            <w:r w:rsidRPr="00E400E4">
              <w:rPr>
                <w:lang w:val="pt-BR"/>
              </w:rPr>
              <w:t>Cottony cushion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NSW, NT, Qld,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Lepidosaphes beckii</w:t>
            </w:r>
            <w:r w:rsidRPr="00E400E4">
              <w:rPr>
                <w:lang w:val="pt-BR"/>
              </w:rPr>
              <w:t xml:space="preserve"> (Newman, 1869)</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Purple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SA, WA </w:t>
            </w:r>
            <w:r>
              <w:rPr>
                <w:noProof/>
                <w:szCs w:val="16"/>
              </w:rPr>
              <w:t>(Plant Health Australia 2019)</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Lindingaspis rossi</w:t>
            </w:r>
            <w:r w:rsidRPr="00E400E4">
              <w:rPr>
                <w:lang w:val="pt-BR"/>
              </w:rPr>
              <w:t xml:space="preserve"> (Maskell, 1892)</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Ross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SA, Tas., Vic., WA </w:t>
            </w:r>
            <w:r>
              <w:rPr>
                <w:noProof/>
                <w:szCs w:val="16"/>
              </w:rPr>
              <w:t>(García Morales et al. 2019; Plant Health Australia 2019; Poole 2010)</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Morganella longispina</w:t>
            </w:r>
            <w:r w:rsidRPr="00E400E4">
              <w:rPr>
                <w:lang w:val="pt-BR"/>
              </w:rPr>
              <w:t xml:space="preserve"> (Morgan, 1889)</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Plumose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No. Only present on Easter Island </w:t>
            </w:r>
            <w:r>
              <w:rPr>
                <w:noProof/>
                <w:lang w:val="pt-BR"/>
              </w:rPr>
              <w:t>(Claps, Wolff &amp; Gonzalez 2001)</w:t>
            </w:r>
            <w:r w:rsidRPr="00E400E4">
              <w:rPr>
                <w:lang w:val="pt-BR"/>
              </w:rPr>
              <w:t xml:space="preserve">, which is a special territory of Chile located in the South Pacific Ocean more than 3,500 km west of mainland Chile. Quarantine procedures are in place to prevent the entry of pests from Easter Island to mainland Chile </w:t>
            </w:r>
            <w:r>
              <w:rPr>
                <w:noProof/>
                <w:lang w:val="pt-BR"/>
              </w:rPr>
              <w:t>(SAG 2005a)</w:t>
            </w:r>
            <w:r w:rsidRPr="00E400E4">
              <w:rPr>
                <w:lang w:val="pt-BR"/>
              </w:rPr>
              <w:t>. In addition, avocados will not be exported from Easter Island.</w:t>
            </w:r>
          </w:p>
        </w:tc>
        <w:tc>
          <w:tcPr>
            <w:tcW w:w="797" w:type="pct"/>
            <w:shd w:val="clear" w:color="auto" w:fill="auto"/>
          </w:tcPr>
          <w:p w:rsidR="00555918" w:rsidRPr="00E400E4" w:rsidRDefault="00555918" w:rsidP="000B1771">
            <w:pPr>
              <w:pStyle w:val="TableText"/>
              <w:rPr>
                <w:szCs w:val="16"/>
              </w:rPr>
            </w:pPr>
            <w:r w:rsidRPr="00E400E4">
              <w:rPr>
                <w:szCs w:val="16"/>
              </w:rPr>
              <w:t>Assessment not required</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Myzus persicae</w:t>
            </w:r>
            <w:r w:rsidRPr="00E400E4">
              <w:rPr>
                <w:lang w:val="pt-BR"/>
              </w:rPr>
              <w:t xml:space="preserve"> (Sulzer, 1776)</w:t>
            </w:r>
          </w:p>
          <w:p w:rsidR="00555918" w:rsidRPr="00E400E4" w:rsidRDefault="00555918" w:rsidP="000B1771">
            <w:pPr>
              <w:pStyle w:val="TableText"/>
              <w:rPr>
                <w:lang w:val="pt-BR"/>
              </w:rPr>
            </w:pPr>
            <w:r w:rsidRPr="00E400E4">
              <w:rPr>
                <w:lang w:val="pt-BR"/>
              </w:rPr>
              <w:t>[Aphididae]</w:t>
            </w:r>
          </w:p>
          <w:p w:rsidR="00555918" w:rsidRPr="00E400E4" w:rsidRDefault="00555918" w:rsidP="000B1771">
            <w:pPr>
              <w:pStyle w:val="TableText"/>
              <w:rPr>
                <w:lang w:val="pt-BR"/>
              </w:rPr>
            </w:pPr>
            <w:r w:rsidRPr="00E400E4">
              <w:rPr>
                <w:lang w:val="pt-BR"/>
              </w:rPr>
              <w:t>Green peach aphid</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(CABI 2019a)</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NSW, NT, Qld,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Nezara viridula</w:t>
            </w:r>
            <w:r w:rsidRPr="00E400E4">
              <w:rPr>
                <w:lang w:val="pt-BR"/>
              </w:rPr>
              <w:t xml:space="preserve"> (Linnaeus, 1758)</w:t>
            </w:r>
          </w:p>
          <w:p w:rsidR="00555918" w:rsidRPr="00E400E4" w:rsidRDefault="00555918" w:rsidP="000B1771">
            <w:pPr>
              <w:pStyle w:val="TableText"/>
              <w:rPr>
                <w:lang w:val="pt-BR"/>
              </w:rPr>
            </w:pPr>
            <w:r w:rsidRPr="00E400E4">
              <w:rPr>
                <w:lang w:val="pt-BR"/>
              </w:rPr>
              <w:t>[Pentatomidae]</w:t>
            </w:r>
          </w:p>
          <w:p w:rsidR="00555918" w:rsidRPr="00E400E4" w:rsidRDefault="00555918" w:rsidP="000B1771">
            <w:pPr>
              <w:pStyle w:val="TableText"/>
              <w:rPr>
                <w:lang w:val="pt-BR"/>
              </w:rPr>
            </w:pPr>
            <w:r w:rsidRPr="00E400E4">
              <w:rPr>
                <w:lang w:val="pt-BR"/>
              </w:rPr>
              <w:t>Green vegetable bug</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(CABI 2019a)</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NSW, NT, Qld,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Paraleyrodes urichii</w:t>
            </w:r>
            <w:r w:rsidRPr="00E400E4">
              <w:rPr>
                <w:lang w:val="pt-BR"/>
              </w:rPr>
              <w:t xml:space="preserve"> Quaintance and Baker, 1913</w:t>
            </w:r>
          </w:p>
          <w:p w:rsidR="00555918" w:rsidRPr="00E400E4" w:rsidRDefault="00555918" w:rsidP="000B1771">
            <w:pPr>
              <w:pStyle w:val="TableText"/>
              <w:rPr>
                <w:lang w:val="pt-BR"/>
              </w:rPr>
            </w:pPr>
            <w:r w:rsidRPr="00E400E4">
              <w:rPr>
                <w:lang w:val="pt-BR"/>
              </w:rPr>
              <w:t>[Aleyrodidae]</w:t>
            </w:r>
          </w:p>
          <w:p w:rsidR="00555918" w:rsidRPr="00E400E4" w:rsidRDefault="00555918" w:rsidP="000B1771">
            <w:pPr>
              <w:pStyle w:val="TableText"/>
              <w:rPr>
                <w:lang w:val="pt-BR"/>
              </w:rPr>
            </w:pPr>
            <w:r w:rsidRPr="00E400E4">
              <w:rPr>
                <w:lang w:val="pt-BR"/>
              </w:rPr>
              <w:t>White fly</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(Dooley 2017)</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This species has been intercepted on avocado, but avocado is not considered a host </w:t>
            </w:r>
            <w:r>
              <w:rPr>
                <w:noProof/>
                <w:szCs w:val="16"/>
              </w:rPr>
              <w:t>(Evans 2008)</w:t>
            </w:r>
            <w:r w:rsidRPr="00E400E4">
              <w:rPr>
                <w:szCs w:val="16"/>
              </w:rPr>
              <w:t xml:space="preserve">, suggesting </w:t>
            </w:r>
            <w:r w:rsidRPr="00E400E4">
              <w:rPr>
                <w:i/>
                <w:szCs w:val="16"/>
              </w:rPr>
              <w:t>P. urichii</w:t>
            </w:r>
            <w:r w:rsidRPr="00E400E4">
              <w:rPr>
                <w:szCs w:val="16"/>
              </w:rPr>
              <w:t xml:space="preserve"> was a contaminant pest in these cases. In addition, whitefly eggs are laid on leaves and all life stages feed on sap from leaves </w:t>
            </w:r>
            <w:r>
              <w:rPr>
                <w:noProof/>
                <w:szCs w:val="16"/>
              </w:rPr>
              <w:t>(Byrne &amp; Bellows 1991)</w:t>
            </w:r>
            <w:r w:rsidRPr="00E400E4">
              <w:rPr>
                <w:szCs w:val="16"/>
              </w:rPr>
              <w:t>. Adults are likely to fly away during harvest and processing.</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Parlatoria camelliae</w:t>
            </w:r>
            <w:r w:rsidRPr="00E400E4">
              <w:rPr>
                <w:lang w:val="pt-BR"/>
              </w:rPr>
              <w:t xml:space="preserve"> (Comstock, 1883)</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Camellia parlatoria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Very little information is available on this species. However, on camellia, its primary host, infestations are limited to leaves </w:t>
            </w:r>
            <w:r>
              <w:rPr>
                <w:noProof/>
                <w:szCs w:val="16"/>
              </w:rPr>
              <w:t>(García Morales et al. 2019)</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Parthenolecanium corni</w:t>
            </w:r>
            <w:r w:rsidRPr="00E400E4">
              <w:rPr>
                <w:lang w:val="pt-BR"/>
              </w:rPr>
              <w:t xml:space="preserve"> (Bouché, 1844)</w:t>
            </w:r>
          </w:p>
          <w:p w:rsidR="00555918" w:rsidRPr="00E400E4" w:rsidRDefault="00555918" w:rsidP="000B1771">
            <w:pPr>
              <w:pStyle w:val="TableText"/>
              <w:rPr>
                <w:lang w:val="pt-BR"/>
              </w:rPr>
            </w:pPr>
            <w:r w:rsidRPr="00E400E4">
              <w:rPr>
                <w:lang w:val="pt-BR"/>
              </w:rPr>
              <w:t>[Coccidae]</w:t>
            </w:r>
          </w:p>
          <w:p w:rsidR="00555918" w:rsidRPr="00E400E4" w:rsidRDefault="00555918" w:rsidP="000B1771">
            <w:pPr>
              <w:pStyle w:val="TableText"/>
              <w:rPr>
                <w:lang w:val="pt-BR"/>
              </w:rPr>
            </w:pPr>
            <w:r w:rsidRPr="00E400E4">
              <w:rPr>
                <w:lang w:val="pt-BR"/>
              </w:rPr>
              <w:t>Brown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Tas., Vic. </w:t>
            </w:r>
            <w:r>
              <w:rPr>
                <w:noProof/>
                <w:szCs w:val="16"/>
              </w:rPr>
              <w:t>(Plant Health Australia 2019)</w:t>
            </w:r>
            <w:r w:rsidRPr="00E400E4">
              <w:rPr>
                <w:szCs w:val="16"/>
              </w:rPr>
              <w:t>.</w:t>
            </w:r>
          </w:p>
          <w:p w:rsidR="00555918" w:rsidRPr="00E400E4" w:rsidRDefault="00555918" w:rsidP="000B1771">
            <w:pPr>
              <w:pStyle w:val="TableText"/>
              <w:rPr>
                <w:szCs w:val="16"/>
              </w:rPr>
            </w:pPr>
            <w:r w:rsidRPr="00E400E4">
              <w:rPr>
                <w:szCs w:val="16"/>
              </w:rPr>
              <w:t xml:space="preserve">Regulated as a Declared Organism (Prohibited (s. 12)) by WA under the </w:t>
            </w:r>
            <w:r w:rsidRPr="00E400E4">
              <w:rPr>
                <w:i/>
                <w:szCs w:val="16"/>
              </w:rPr>
              <w:t xml:space="preserve">Biosecurity and Agriculture Management Act 2007 </w:t>
            </w:r>
            <w:r>
              <w:rPr>
                <w:noProof/>
                <w:szCs w:val="16"/>
              </w:rPr>
              <w:t>(Government of Western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Parthenolecanium corni</w:t>
            </w:r>
            <w:r w:rsidRPr="00E400E4">
              <w:rPr>
                <w:szCs w:val="16"/>
              </w:rPr>
              <w:t xml:space="preserve"> overwinters on branches, with instars infesting the underside of leaves. Later stages may be found on leaves, stems and branches </w:t>
            </w:r>
            <w:r>
              <w:rPr>
                <w:noProof/>
                <w:szCs w:val="16"/>
              </w:rPr>
              <w:t>(CABI 2019a; Landcare Research 2019)</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Parthenolecanium persicae</w:t>
            </w:r>
            <w:r w:rsidRPr="00E400E4">
              <w:rPr>
                <w:lang w:val="pt-BR"/>
              </w:rPr>
              <w:t xml:space="preserve"> (Fabricius, 1776)</w:t>
            </w:r>
          </w:p>
          <w:p w:rsidR="00555918" w:rsidRPr="00E400E4" w:rsidRDefault="00555918" w:rsidP="000B1771">
            <w:pPr>
              <w:pStyle w:val="TableText"/>
              <w:rPr>
                <w:lang w:val="pt-BR"/>
              </w:rPr>
            </w:pPr>
            <w:r w:rsidRPr="00E400E4">
              <w:rPr>
                <w:lang w:val="pt-BR"/>
              </w:rPr>
              <w:t>[Coccidae]</w:t>
            </w:r>
          </w:p>
          <w:p w:rsidR="00555918" w:rsidRPr="00E400E4" w:rsidRDefault="00555918" w:rsidP="000B1771">
            <w:pPr>
              <w:pStyle w:val="TableText"/>
              <w:rPr>
                <w:lang w:val="pt-BR"/>
              </w:rPr>
            </w:pPr>
            <w:r w:rsidRPr="00E400E4">
              <w:rPr>
                <w:lang w:val="pt-BR"/>
              </w:rPr>
              <w:t>Grapevine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NSW, Qld,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Pellaea stictica</w:t>
            </w:r>
            <w:r w:rsidRPr="00E400E4">
              <w:rPr>
                <w:lang w:val="pt-BR"/>
              </w:rPr>
              <w:t xml:space="preserve"> (Dallas, 1851)</w:t>
            </w:r>
          </w:p>
          <w:p w:rsidR="00555918" w:rsidRPr="00E400E4" w:rsidRDefault="00555918" w:rsidP="000B1771">
            <w:pPr>
              <w:pStyle w:val="TableText"/>
              <w:rPr>
                <w:lang w:val="pt-BR"/>
              </w:rPr>
            </w:pPr>
            <w:r w:rsidRPr="00E400E4">
              <w:rPr>
                <w:lang w:val="pt-BR"/>
              </w:rPr>
              <w:t>[Pentatomidae]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(Da Silva, Santos &amp; Fernandes 2018; Faúndez &amp; Rider 2014)</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Pellaea stictica</w:t>
            </w:r>
            <w:r w:rsidRPr="00E400E4">
              <w:rPr>
                <w:szCs w:val="16"/>
              </w:rPr>
              <w:t xml:space="preserve"> belongs to the Pentatomidae or ‘pentatomid bug’ family. Some species of pentatomid bugs have been observed feeding on avocado fruit </w:t>
            </w:r>
            <w:r>
              <w:rPr>
                <w:noProof/>
                <w:szCs w:val="16"/>
              </w:rPr>
              <w:t>(Joubert &amp; Claasens 1994)</w:t>
            </w:r>
            <w:r w:rsidRPr="00E400E4">
              <w:rPr>
                <w:szCs w:val="16"/>
              </w:rPr>
              <w:t xml:space="preserve">. Although </w:t>
            </w:r>
            <w:r w:rsidRPr="00E400E4">
              <w:rPr>
                <w:i/>
                <w:szCs w:val="16"/>
              </w:rPr>
              <w:t>P. stictica</w:t>
            </w:r>
            <w:r w:rsidRPr="00E400E4">
              <w:rPr>
                <w:szCs w:val="16"/>
              </w:rPr>
              <w:t xml:space="preserve"> has been collected from avocado crops in South America, it is uncertain whether avocado is a host of this pest </w:t>
            </w:r>
            <w:r>
              <w:rPr>
                <w:noProof/>
                <w:szCs w:val="16"/>
              </w:rPr>
              <w:t>(Maes 2004)</w:t>
            </w:r>
            <w:r w:rsidRPr="00E400E4">
              <w:rPr>
                <w:szCs w:val="16"/>
              </w:rPr>
              <w:t>.</w:t>
            </w:r>
          </w:p>
          <w:p w:rsidR="00555918" w:rsidRPr="00E400E4" w:rsidRDefault="00555918" w:rsidP="000B1771">
            <w:pPr>
              <w:pStyle w:val="TableText"/>
              <w:rPr>
                <w:szCs w:val="16"/>
              </w:rPr>
            </w:pPr>
            <w:r w:rsidRPr="00E400E4">
              <w:rPr>
                <w:szCs w:val="16"/>
              </w:rPr>
              <w:t xml:space="preserve">Very little information is available on this species. However, pentamonid bugs generally lay their eggs in clusters on the underside of leaves of their hosts </w:t>
            </w:r>
            <w:r>
              <w:rPr>
                <w:noProof/>
                <w:szCs w:val="16"/>
              </w:rPr>
              <w:t>(Esselbaugh 1946; Javahery 1994; McPherson 2018)</w:t>
            </w:r>
            <w:r w:rsidRPr="00E400E4">
              <w:rPr>
                <w:szCs w:val="16"/>
              </w:rPr>
              <w:t xml:space="preserve">. Pentatomid nymphs and adults are unlikely to remain on fruit during harvest as they have been observed to drop or disperse from hosts when disturbed </w:t>
            </w:r>
            <w:r>
              <w:rPr>
                <w:noProof/>
                <w:szCs w:val="16"/>
              </w:rPr>
              <w:t>(Alcock 1971; Gyeltshen, Bernon &amp; Hodges 2010; Hodgson &amp; Leskey 2014; Kamminga et al. 2012; Li et al. 2007; Schoeman 2013)</w:t>
            </w:r>
            <w:r w:rsidRPr="00E400E4">
              <w:rPr>
                <w:szCs w:val="16"/>
              </w:rPr>
              <w:t>.</w:t>
            </w:r>
          </w:p>
          <w:p w:rsidR="00555918" w:rsidRPr="00E400E4" w:rsidRDefault="00555918" w:rsidP="000B1771">
            <w:pPr>
              <w:pStyle w:val="TableText"/>
              <w:rPr>
                <w:szCs w:val="16"/>
              </w:rPr>
            </w:pPr>
            <w:r w:rsidRPr="00E400E4">
              <w:rPr>
                <w:szCs w:val="16"/>
              </w:rPr>
              <w:t xml:space="preserve">In addition, eggs, nymphs or adults of </w:t>
            </w:r>
            <w:r w:rsidRPr="00E400E4">
              <w:rPr>
                <w:i/>
                <w:szCs w:val="16"/>
              </w:rPr>
              <w:t>P. stictica</w:t>
            </w:r>
            <w:r w:rsidRPr="00E400E4">
              <w:rPr>
                <w:szCs w:val="16"/>
              </w:rPr>
              <w:t xml:space="preserve"> that may still be associated with the </w:t>
            </w:r>
            <w:r w:rsidRPr="00E400E4">
              <w:rPr>
                <w:szCs w:val="16"/>
              </w:rPr>
              <w:lastRenderedPageBreak/>
              <w:t>avocado fruit after harvest are likely to be removed during standard packing house procedures.</w:t>
            </w:r>
          </w:p>
        </w:tc>
        <w:tc>
          <w:tcPr>
            <w:tcW w:w="684" w:type="pct"/>
            <w:shd w:val="clear" w:color="auto" w:fill="auto"/>
          </w:tcPr>
          <w:p w:rsidR="00555918" w:rsidRPr="00E400E4" w:rsidRDefault="00555918" w:rsidP="000B1771">
            <w:pPr>
              <w:pStyle w:val="TableText"/>
              <w:rPr>
                <w:szCs w:val="16"/>
              </w:rPr>
            </w:pPr>
            <w:r w:rsidRPr="00E400E4">
              <w:rPr>
                <w:szCs w:val="16"/>
              </w:rPr>
              <w:lastRenderedPageBreak/>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Pinnaspis aspidistrae</w:t>
            </w:r>
            <w:r w:rsidRPr="00E400E4">
              <w:rPr>
                <w:lang w:val="pt-BR"/>
              </w:rPr>
              <w:t xml:space="preserve"> (Signoret, 1869)</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Fern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NSW, NT, Qld, SA </w:t>
            </w:r>
            <w:r>
              <w:rPr>
                <w:noProof/>
                <w:szCs w:val="16"/>
              </w:rPr>
              <w:t>(Plant Health Australia 2019)</w:t>
            </w:r>
            <w:r w:rsidRPr="00E400E4">
              <w:rPr>
                <w:szCs w:val="16"/>
              </w:rPr>
              <w:t>.</w:t>
            </w:r>
          </w:p>
          <w:p w:rsidR="00555918" w:rsidRPr="00E400E4" w:rsidRDefault="00555918" w:rsidP="000B1771">
            <w:pPr>
              <w:pStyle w:val="TableText"/>
              <w:rPr>
                <w:szCs w:val="16"/>
              </w:rPr>
            </w:pPr>
            <w:r w:rsidRPr="00E400E4">
              <w:rPr>
                <w:szCs w:val="16"/>
              </w:rPr>
              <w:t xml:space="preserve">Regulated as a Declared Organism (Prohibited (s. 12)) by WA under the </w:t>
            </w:r>
            <w:r w:rsidRPr="00E400E4">
              <w:rPr>
                <w:i/>
                <w:szCs w:val="16"/>
              </w:rPr>
              <w:t>Biosecurity and Agriculture Management Act 2007</w:t>
            </w:r>
            <w:r w:rsidRPr="00E400E4">
              <w:rPr>
                <w:szCs w:val="16"/>
              </w:rPr>
              <w:t xml:space="preserve"> </w:t>
            </w:r>
            <w:r>
              <w:rPr>
                <w:noProof/>
                <w:szCs w:val="16"/>
              </w:rPr>
              <w:t>(Government of Western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 xml:space="preserve">Yes. This species is a known pest of avocado </w:t>
            </w:r>
            <w:r>
              <w:rPr>
                <w:noProof/>
                <w:szCs w:val="16"/>
              </w:rPr>
              <w:t>(García Morales et al. 2019; Tenbrink, Hara &amp; Diez 2007)</w:t>
            </w:r>
            <w:r w:rsidRPr="00E400E4">
              <w:rPr>
                <w:szCs w:val="16"/>
              </w:rPr>
              <w:t xml:space="preserve">. It can be found on fruit, stems and leaves causing deformation and chlorotic spots </w:t>
            </w:r>
            <w:r>
              <w:rPr>
                <w:noProof/>
                <w:szCs w:val="16"/>
              </w:rPr>
              <w:t>(García Morales et al. 2019; Tenbrink, Hara &amp; Diez 2007)</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Pinnaspis aspidistrae</w:t>
            </w:r>
            <w:r w:rsidRPr="00E400E4">
              <w:rPr>
                <w:szCs w:val="16"/>
              </w:rPr>
              <w:t xml:space="preserve"> is polyphagous, with known hosts including avocado, citrus and other crops grown commercially in Australia </w:t>
            </w:r>
            <w:r>
              <w:rPr>
                <w:noProof/>
                <w:szCs w:val="16"/>
              </w:rPr>
              <w:t>(García Morales et al. 2019)</w:t>
            </w:r>
            <w:r w:rsidRPr="00E400E4">
              <w:rPr>
                <w:szCs w:val="16"/>
              </w:rPr>
              <w:t xml:space="preserve">. This species is distributed throughout the world including Asia, Europe, North and South America, and parts of Australia </w:t>
            </w:r>
            <w:r>
              <w:rPr>
                <w:noProof/>
                <w:szCs w:val="16"/>
              </w:rPr>
              <w:t>(García Morales et al. 2019)</w:t>
            </w:r>
            <w:r w:rsidRPr="00E400E4">
              <w:rPr>
                <w:szCs w:val="16"/>
              </w:rPr>
              <w:t>, and it is likely that similar climatic conditions exist in parts of Western Australia.</w:t>
            </w:r>
          </w:p>
          <w:p w:rsidR="00555918" w:rsidRPr="00E400E4" w:rsidRDefault="00555918" w:rsidP="000B1771">
            <w:pPr>
              <w:pStyle w:val="TableText"/>
              <w:rPr>
                <w:szCs w:val="16"/>
              </w:rPr>
            </w:pPr>
            <w:r w:rsidRPr="00E400E4">
              <w:rPr>
                <w:szCs w:val="16"/>
              </w:rPr>
              <w:t>The availability of host plants and suitable climatic conditions in Western Australia suggest that this pest could establish and spread in Western Australia.</w:t>
            </w:r>
          </w:p>
        </w:tc>
        <w:tc>
          <w:tcPr>
            <w:tcW w:w="726" w:type="pct"/>
            <w:shd w:val="clear" w:color="auto" w:fill="auto"/>
          </w:tcPr>
          <w:p w:rsidR="00555918" w:rsidRPr="00E400E4" w:rsidRDefault="00555918" w:rsidP="000B1771">
            <w:pPr>
              <w:pStyle w:val="TableText"/>
              <w:rPr>
                <w:szCs w:val="16"/>
              </w:rPr>
            </w:pPr>
            <w:r w:rsidRPr="00E400E4">
              <w:rPr>
                <w:szCs w:val="16"/>
              </w:rPr>
              <w:t xml:space="preserve">Yes. This species is known to attack avocado, citrus and other crops grown commercially in Australia </w:t>
            </w:r>
            <w:r>
              <w:rPr>
                <w:noProof/>
                <w:szCs w:val="16"/>
              </w:rPr>
              <w:t>(García Morales et al. 2019)</w:t>
            </w:r>
            <w:r w:rsidRPr="00E400E4">
              <w:rPr>
                <w:szCs w:val="16"/>
              </w:rPr>
              <w:t>.</w:t>
            </w:r>
          </w:p>
        </w:tc>
        <w:tc>
          <w:tcPr>
            <w:tcW w:w="434" w:type="pct"/>
            <w:shd w:val="clear" w:color="auto" w:fill="auto"/>
          </w:tcPr>
          <w:p w:rsidR="00555918" w:rsidRPr="00E400E4" w:rsidRDefault="00555918" w:rsidP="000B1771">
            <w:pPr>
              <w:pStyle w:val="TableText"/>
            </w:pPr>
            <w:r w:rsidRPr="00E400E4">
              <w:t>Yes (EP, WA)</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Pinnaspis strachani</w:t>
            </w:r>
            <w:r w:rsidRPr="00E400E4">
              <w:rPr>
                <w:lang w:val="pt-BR"/>
              </w:rPr>
              <w:t xml:space="preserve"> (Cooley, 1899)</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Lesser snow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Planococcus citri</w:t>
            </w:r>
            <w:r w:rsidRPr="00E400E4">
              <w:rPr>
                <w:lang w:val="pt-BR"/>
              </w:rPr>
              <w:t xml:space="preserve"> (Risso, 1813)</w:t>
            </w:r>
          </w:p>
          <w:p w:rsidR="00555918" w:rsidRPr="00E400E4" w:rsidRDefault="00555918" w:rsidP="000B1771">
            <w:pPr>
              <w:pStyle w:val="TableText"/>
              <w:rPr>
                <w:lang w:val="pt-BR"/>
              </w:rPr>
            </w:pPr>
            <w:r w:rsidRPr="00E400E4">
              <w:rPr>
                <w:lang w:val="pt-BR"/>
              </w:rPr>
              <w:t>[Pseudococcidae]</w:t>
            </w:r>
          </w:p>
          <w:p w:rsidR="00555918" w:rsidRPr="00E400E4" w:rsidRDefault="00555918" w:rsidP="000B1771">
            <w:pPr>
              <w:pStyle w:val="TableText"/>
              <w:rPr>
                <w:lang w:val="pt-BR"/>
              </w:rPr>
            </w:pPr>
            <w:r w:rsidRPr="00E400E4">
              <w:rPr>
                <w:lang w:val="pt-BR"/>
              </w:rPr>
              <w:t>Citrus mealybug</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 Ripa &amp; Larral 2008)</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NSW, NT, Qld,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Protopulvinaria pyriformis</w:t>
            </w:r>
            <w:r w:rsidRPr="00E400E4">
              <w:rPr>
                <w:lang w:val="pt-BR"/>
              </w:rPr>
              <w:t xml:space="preserve"> Cockerell, 1894</w:t>
            </w:r>
          </w:p>
          <w:p w:rsidR="00555918" w:rsidRPr="00E400E4" w:rsidRDefault="00555918" w:rsidP="000B1771">
            <w:pPr>
              <w:pStyle w:val="TableText"/>
              <w:rPr>
                <w:lang w:val="pt-BR"/>
              </w:rPr>
            </w:pPr>
            <w:r w:rsidRPr="00E400E4">
              <w:rPr>
                <w:lang w:val="pt-BR"/>
              </w:rPr>
              <w:t>[Coccidae]</w:t>
            </w:r>
          </w:p>
          <w:p w:rsidR="00555918" w:rsidRPr="00E400E4" w:rsidRDefault="00555918" w:rsidP="000B1771">
            <w:pPr>
              <w:pStyle w:val="TableText"/>
              <w:rPr>
                <w:lang w:val="pt-BR"/>
              </w:rPr>
            </w:pPr>
            <w:r w:rsidRPr="00E400E4">
              <w:rPr>
                <w:lang w:val="pt-BR"/>
              </w:rPr>
              <w:t>Pyriform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Only in some areas in WA </w:t>
            </w:r>
            <w:r>
              <w:rPr>
                <w:noProof/>
                <w:szCs w:val="16"/>
              </w:rPr>
              <w:t>(IPPC 2017)</w:t>
            </w:r>
            <w:r w:rsidRPr="00E400E4">
              <w:rPr>
                <w:szCs w:val="16"/>
              </w:rPr>
              <w:t xml:space="preserve"> and is permitted (s. 11) by WA under the </w:t>
            </w:r>
            <w:r w:rsidRPr="00E400E4">
              <w:rPr>
                <w:i/>
                <w:szCs w:val="16"/>
              </w:rPr>
              <w:t>Biosecurity and Agriculture Management Act 2007</w:t>
            </w:r>
            <w:r w:rsidRPr="00E400E4">
              <w:rPr>
                <w:szCs w:val="16"/>
              </w:rPr>
              <w:t xml:space="preserve"> </w:t>
            </w:r>
            <w:r>
              <w:rPr>
                <w:noProof/>
                <w:szCs w:val="16"/>
              </w:rPr>
              <w:t>(Government of Western Australia 2019)</w:t>
            </w:r>
            <w:r w:rsidRPr="00E400E4">
              <w:rPr>
                <w:szCs w:val="16"/>
              </w:rPr>
              <w:t xml:space="preserve">. Domestic restrictions for the movement of host material of this pest into NSW, Qld, SA and Vic. from other Australian states/territories where this pest is present only include planting material, not fruit </w:t>
            </w:r>
            <w:r>
              <w:rPr>
                <w:noProof/>
                <w:szCs w:val="16"/>
              </w:rPr>
              <w:t>(DJPR 2019; New South Wales Government 2017; PIRSA 2019; QDAF 2019; Queensland Government 2018)</w:t>
            </w:r>
            <w:r w:rsidRPr="00E400E4">
              <w:rPr>
                <w:szCs w:val="16"/>
              </w:rPr>
              <w:t>.</w:t>
            </w:r>
          </w:p>
        </w:tc>
        <w:tc>
          <w:tcPr>
            <w:tcW w:w="789" w:type="pct"/>
            <w:shd w:val="clear" w:color="auto" w:fill="auto"/>
          </w:tcPr>
          <w:p w:rsidR="00555918" w:rsidRPr="00E400E4" w:rsidRDefault="00555918" w:rsidP="000B1771">
            <w:pPr>
              <w:pStyle w:val="TableText"/>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Pseudischnaspis bowreyi</w:t>
            </w:r>
            <w:r w:rsidRPr="00E400E4">
              <w:rPr>
                <w:lang w:val="pt-BR"/>
              </w:rPr>
              <w:t xml:space="preserve"> (Cockerell, 1893)</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Bowrey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(Watson 2016)</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Pseudischnaspis bowreyi</w:t>
            </w:r>
            <w:r w:rsidRPr="00E400E4">
              <w:rPr>
                <w:szCs w:val="16"/>
              </w:rPr>
              <w:t xml:space="preserve"> primarily occurs on bark and leaves of its hosts, including avocado </w:t>
            </w:r>
            <w:r>
              <w:rPr>
                <w:noProof/>
                <w:szCs w:val="16"/>
              </w:rPr>
              <w:t>(Miller &amp; Davidson 2005)</w:t>
            </w:r>
            <w:r w:rsidRPr="00E400E4">
              <w:rPr>
                <w:szCs w:val="16"/>
              </w:rPr>
              <w:t xml:space="preserve">. It has also been reported on fruit of other hosts, for example guava </w:t>
            </w:r>
            <w:r>
              <w:rPr>
                <w:noProof/>
                <w:szCs w:val="16"/>
              </w:rPr>
              <w:t>(Gould &amp; Raga 2002)</w:t>
            </w:r>
            <w:r w:rsidRPr="00E400E4">
              <w:rPr>
                <w:szCs w:val="16"/>
              </w:rPr>
              <w:t>, but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Pseudococcus calceolariae</w:t>
            </w:r>
            <w:r w:rsidRPr="00E400E4">
              <w:rPr>
                <w:lang w:val="pt-BR"/>
              </w:rPr>
              <w:t xml:space="preserve"> (Maskell, 1879)</w:t>
            </w:r>
          </w:p>
          <w:p w:rsidR="00555918" w:rsidRPr="00E400E4" w:rsidRDefault="00555918" w:rsidP="000B1771">
            <w:pPr>
              <w:pStyle w:val="TableText"/>
              <w:rPr>
                <w:lang w:val="pt-BR"/>
              </w:rPr>
            </w:pPr>
            <w:r w:rsidRPr="00E400E4">
              <w:rPr>
                <w:lang w:val="pt-BR"/>
              </w:rPr>
              <w:t>[Pseudococcidae]</w:t>
            </w:r>
          </w:p>
          <w:p w:rsidR="00555918" w:rsidRPr="00E400E4" w:rsidRDefault="00555918" w:rsidP="000B1771">
            <w:pPr>
              <w:pStyle w:val="TableText"/>
              <w:rPr>
                <w:lang w:val="pt-BR"/>
              </w:rPr>
            </w:pPr>
            <w:r w:rsidRPr="00E400E4">
              <w:rPr>
                <w:lang w:val="pt-BR"/>
              </w:rPr>
              <w:t>Citrophilus mealybug</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Qld, SA, Tas., Vic. </w:t>
            </w:r>
            <w:r>
              <w:rPr>
                <w:noProof/>
                <w:szCs w:val="16"/>
              </w:rPr>
              <w:t>(Plant Health Australia 2019)</w:t>
            </w:r>
            <w:r w:rsidRPr="00E400E4">
              <w:rPr>
                <w:szCs w:val="16"/>
              </w:rPr>
              <w:t>.</w:t>
            </w:r>
          </w:p>
          <w:p w:rsidR="00555918" w:rsidRPr="00E400E4" w:rsidRDefault="00555918" w:rsidP="000B1771">
            <w:pPr>
              <w:pStyle w:val="TableText"/>
              <w:rPr>
                <w:szCs w:val="16"/>
              </w:rPr>
            </w:pPr>
            <w:r w:rsidRPr="00E400E4">
              <w:rPr>
                <w:szCs w:val="16"/>
              </w:rPr>
              <w:t xml:space="preserve">Regulated as a Declared Organism (Prohibited (s. 12)) by WA under the </w:t>
            </w:r>
            <w:r w:rsidRPr="00E400E4">
              <w:rPr>
                <w:i/>
                <w:szCs w:val="16"/>
              </w:rPr>
              <w:t xml:space="preserve">Biosecurity and Agriculture Management Act 2007 </w:t>
            </w:r>
            <w:r>
              <w:rPr>
                <w:noProof/>
                <w:szCs w:val="16"/>
              </w:rPr>
              <w:t>(Government of Western Australia 2019)</w:t>
            </w:r>
            <w:r w:rsidRPr="00E400E4">
              <w:rPr>
                <w:szCs w:val="16"/>
              </w:rPr>
              <w:t xml:space="preserve">. However, WA has assessed the risks associated with this pest and does not require risk management measures for this pest for other hosts (such as stone fruit and table grapes) from Australian states where this pest is present </w:t>
            </w:r>
            <w:r>
              <w:rPr>
                <w:noProof/>
                <w:szCs w:val="16"/>
              </w:rPr>
              <w:t>(DAFWA 2015; Poole et al. 2011)</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Pseudococcus longispinus</w:t>
            </w:r>
            <w:r w:rsidRPr="00E400E4">
              <w:rPr>
                <w:lang w:val="pt-BR"/>
              </w:rPr>
              <w:t xml:space="preserve"> (Targioni Tozzetti, 1867)</w:t>
            </w:r>
          </w:p>
          <w:p w:rsidR="00555918" w:rsidRPr="00E400E4" w:rsidRDefault="00555918" w:rsidP="000B1771">
            <w:pPr>
              <w:pStyle w:val="TableText"/>
              <w:rPr>
                <w:lang w:val="pt-BR"/>
              </w:rPr>
            </w:pPr>
            <w:r w:rsidRPr="00E400E4">
              <w:rPr>
                <w:lang w:val="pt-BR"/>
              </w:rPr>
              <w:t>[Pseudococcidae]</w:t>
            </w:r>
          </w:p>
          <w:p w:rsidR="00555918" w:rsidRPr="00E400E4" w:rsidRDefault="00555918" w:rsidP="000B1771">
            <w:pPr>
              <w:pStyle w:val="TableText"/>
              <w:rPr>
                <w:lang w:val="pt-BR"/>
              </w:rPr>
            </w:pPr>
            <w:r w:rsidRPr="00E400E4">
              <w:rPr>
                <w:lang w:val="pt-BR"/>
              </w:rPr>
              <w:t>Long-tailed mealybug</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NSW, Qld,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Pseudococcus maritimus</w:t>
            </w:r>
            <w:r w:rsidRPr="00E400E4">
              <w:rPr>
                <w:lang w:val="pt-BR"/>
              </w:rPr>
              <w:t xml:space="preserve"> (Ehrhorn, 1900)</w:t>
            </w:r>
          </w:p>
          <w:p w:rsidR="00555918" w:rsidRPr="00E400E4" w:rsidRDefault="00555918" w:rsidP="000B1771">
            <w:pPr>
              <w:pStyle w:val="TableText"/>
              <w:rPr>
                <w:lang w:val="pt-BR"/>
              </w:rPr>
            </w:pPr>
            <w:r w:rsidRPr="00E400E4">
              <w:rPr>
                <w:lang w:val="pt-BR"/>
              </w:rPr>
              <w:t>[Pseudococcidae]</w:t>
            </w:r>
          </w:p>
          <w:p w:rsidR="00555918" w:rsidRPr="00E400E4" w:rsidRDefault="00555918" w:rsidP="000B1771">
            <w:pPr>
              <w:pStyle w:val="TableText"/>
              <w:rPr>
                <w:lang w:val="pt-BR"/>
              </w:rPr>
            </w:pPr>
            <w:r w:rsidRPr="00E400E4">
              <w:rPr>
                <w:lang w:val="pt-BR"/>
              </w:rPr>
              <w:t>Grape mealybug</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 Gimpel &amp; Miller 1996; Klein Koch &amp; Waterhouse 2000; Quiros Manterola 1998)</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Pseudococcus maritimus</w:t>
            </w:r>
            <w:r w:rsidRPr="00E400E4">
              <w:rPr>
                <w:szCs w:val="16"/>
              </w:rPr>
              <w:t xml:space="preserve"> occurs on most plant parts, including fruit, leaves, bark and roots of its hosts </w:t>
            </w:r>
            <w:r>
              <w:rPr>
                <w:noProof/>
                <w:szCs w:val="16"/>
              </w:rPr>
              <w:t>(Miller et al. 2007)</w:t>
            </w:r>
            <w:r w:rsidRPr="00E400E4">
              <w:rPr>
                <w:szCs w:val="16"/>
              </w:rPr>
              <w:t xml:space="preserve">, and is known to feed on </w:t>
            </w:r>
            <w:r w:rsidRPr="00E400E4">
              <w:rPr>
                <w:i/>
                <w:szCs w:val="16"/>
              </w:rPr>
              <w:t>Persea</w:t>
            </w:r>
            <w:r w:rsidRPr="00E400E4">
              <w:rPr>
                <w:szCs w:val="16"/>
              </w:rPr>
              <w:t xml:space="preserve"> sp. </w:t>
            </w:r>
            <w:r>
              <w:rPr>
                <w:noProof/>
                <w:szCs w:val="16"/>
              </w:rPr>
              <w:t>(García Morales et al. 2019)</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Pseudococcus maritimus</w:t>
            </w:r>
            <w:r w:rsidRPr="00E400E4">
              <w:rPr>
                <w:szCs w:val="16"/>
              </w:rPr>
              <w:t xml:space="preserve"> is currently distributed through North, Central and South America, Eastern Europe and South East Asia. It is polyphagous with hosts in at least 44 families, including </w:t>
            </w:r>
            <w:r w:rsidRPr="00E400E4">
              <w:rPr>
                <w:i/>
                <w:szCs w:val="16"/>
              </w:rPr>
              <w:t>Acer</w:t>
            </w:r>
            <w:r w:rsidRPr="00E400E4">
              <w:rPr>
                <w:szCs w:val="16"/>
              </w:rPr>
              <w:t xml:space="preserve">, </w:t>
            </w:r>
            <w:r w:rsidRPr="00E400E4">
              <w:rPr>
                <w:i/>
                <w:szCs w:val="16"/>
              </w:rPr>
              <w:t>Annona</w:t>
            </w:r>
            <w:r w:rsidRPr="00E400E4">
              <w:rPr>
                <w:szCs w:val="16"/>
              </w:rPr>
              <w:t xml:space="preserve">, </w:t>
            </w:r>
            <w:r w:rsidRPr="00E400E4">
              <w:rPr>
                <w:i/>
                <w:szCs w:val="16"/>
              </w:rPr>
              <w:t>Acacia</w:t>
            </w:r>
            <w:r w:rsidRPr="00E400E4">
              <w:rPr>
                <w:szCs w:val="16"/>
              </w:rPr>
              <w:t xml:space="preserve">, </w:t>
            </w:r>
            <w:r w:rsidRPr="00E400E4">
              <w:rPr>
                <w:i/>
                <w:szCs w:val="16"/>
              </w:rPr>
              <w:t>Trifolium</w:t>
            </w:r>
            <w:r w:rsidRPr="00E400E4">
              <w:rPr>
                <w:szCs w:val="16"/>
              </w:rPr>
              <w:t xml:space="preserve">, </w:t>
            </w:r>
            <w:r w:rsidRPr="00E400E4">
              <w:rPr>
                <w:i/>
                <w:szCs w:val="16"/>
              </w:rPr>
              <w:t>Grevillea</w:t>
            </w:r>
            <w:r w:rsidRPr="00E400E4">
              <w:rPr>
                <w:szCs w:val="16"/>
              </w:rPr>
              <w:t xml:space="preserve">, </w:t>
            </w:r>
            <w:r w:rsidRPr="00E400E4">
              <w:rPr>
                <w:i/>
                <w:szCs w:val="16"/>
              </w:rPr>
              <w:t>Malus</w:t>
            </w:r>
            <w:r w:rsidRPr="00E400E4">
              <w:rPr>
                <w:szCs w:val="16"/>
              </w:rPr>
              <w:t xml:space="preserve">, </w:t>
            </w:r>
            <w:r w:rsidRPr="00E400E4">
              <w:rPr>
                <w:i/>
                <w:szCs w:val="16"/>
              </w:rPr>
              <w:t>Prunus</w:t>
            </w:r>
            <w:r w:rsidRPr="00E400E4">
              <w:rPr>
                <w:szCs w:val="16"/>
              </w:rPr>
              <w:t xml:space="preserve">, </w:t>
            </w:r>
            <w:r w:rsidRPr="00E400E4">
              <w:rPr>
                <w:i/>
                <w:szCs w:val="16"/>
              </w:rPr>
              <w:t>Pyrus</w:t>
            </w:r>
            <w:r w:rsidRPr="00E400E4">
              <w:rPr>
                <w:szCs w:val="16"/>
              </w:rPr>
              <w:t xml:space="preserve">, </w:t>
            </w:r>
            <w:r w:rsidRPr="00E400E4">
              <w:rPr>
                <w:i/>
                <w:szCs w:val="16"/>
              </w:rPr>
              <w:t>Rubus</w:t>
            </w:r>
            <w:r w:rsidRPr="00E400E4">
              <w:rPr>
                <w:szCs w:val="16"/>
              </w:rPr>
              <w:t xml:space="preserve">, </w:t>
            </w:r>
            <w:r w:rsidRPr="00E400E4">
              <w:rPr>
                <w:i/>
                <w:szCs w:val="16"/>
              </w:rPr>
              <w:t>Citrus</w:t>
            </w:r>
            <w:r w:rsidRPr="00E400E4">
              <w:rPr>
                <w:szCs w:val="16"/>
              </w:rPr>
              <w:t xml:space="preserve">, </w:t>
            </w:r>
            <w:r w:rsidRPr="00E400E4">
              <w:rPr>
                <w:i/>
                <w:szCs w:val="16"/>
              </w:rPr>
              <w:t>Solanum</w:t>
            </w:r>
            <w:r w:rsidRPr="00E400E4">
              <w:rPr>
                <w:szCs w:val="16"/>
              </w:rPr>
              <w:t xml:space="preserve"> and </w:t>
            </w:r>
            <w:r w:rsidRPr="00E400E4">
              <w:rPr>
                <w:i/>
                <w:szCs w:val="16"/>
              </w:rPr>
              <w:t>Vitis</w:t>
            </w:r>
            <w:r w:rsidRPr="00E400E4">
              <w:rPr>
                <w:szCs w:val="16"/>
              </w:rPr>
              <w:t xml:space="preserve"> </w:t>
            </w:r>
            <w:r>
              <w:rPr>
                <w:noProof/>
                <w:szCs w:val="16"/>
              </w:rPr>
              <w:t>(García Morales et al. 2019)</w:t>
            </w:r>
            <w:r w:rsidRPr="00E400E4">
              <w:rPr>
                <w:szCs w:val="16"/>
              </w:rPr>
              <w:t>. The wide host range and distribution of this pest suggest that it could establish and spread in Australia.</w:t>
            </w:r>
          </w:p>
        </w:tc>
        <w:tc>
          <w:tcPr>
            <w:tcW w:w="726" w:type="pct"/>
            <w:shd w:val="clear" w:color="auto" w:fill="auto"/>
          </w:tcPr>
          <w:p w:rsidR="00555918" w:rsidRPr="00E400E4" w:rsidRDefault="00555918" w:rsidP="000B1771">
            <w:pPr>
              <w:pStyle w:val="TableText"/>
              <w:rPr>
                <w:szCs w:val="16"/>
              </w:rPr>
            </w:pPr>
            <w:r w:rsidRPr="00E400E4">
              <w:rPr>
                <w:szCs w:val="16"/>
              </w:rPr>
              <w:t xml:space="preserve">Yes. In California this species is reported as a pest of grape, pear and apricot </w:t>
            </w:r>
            <w:r>
              <w:rPr>
                <w:noProof/>
                <w:szCs w:val="16"/>
              </w:rPr>
              <w:t>(García Morales et al. 2019)</w:t>
            </w:r>
            <w:r w:rsidRPr="00E400E4">
              <w:rPr>
                <w:szCs w:val="16"/>
              </w:rPr>
              <w:t xml:space="preserve">. This species causes indirect damage in vineyards from feeding, accumulation of honeydew and, subsequently, growth of sooty mould </w:t>
            </w:r>
            <w:r>
              <w:rPr>
                <w:noProof/>
                <w:szCs w:val="16"/>
              </w:rPr>
              <w:t>(Bahder et al. 2013)</w:t>
            </w:r>
            <w:r w:rsidRPr="00E400E4">
              <w:rPr>
                <w:szCs w:val="16"/>
              </w:rPr>
              <w:t>.</w:t>
            </w:r>
          </w:p>
        </w:tc>
        <w:tc>
          <w:tcPr>
            <w:tcW w:w="434" w:type="pct"/>
            <w:shd w:val="clear" w:color="auto" w:fill="auto"/>
          </w:tcPr>
          <w:p w:rsidR="00555918" w:rsidRPr="00E400E4" w:rsidRDefault="00555918" w:rsidP="000B1771">
            <w:pPr>
              <w:pStyle w:val="TableText"/>
            </w:pPr>
            <w:r w:rsidRPr="00E400E4">
              <w:t>Yes (EP)</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Pseudococcus viburni</w:t>
            </w:r>
            <w:r w:rsidRPr="00E400E4">
              <w:rPr>
                <w:lang w:val="pt-BR"/>
              </w:rPr>
              <w:t xml:space="preserve"> (Signoret, 1875)</w:t>
            </w:r>
          </w:p>
          <w:p w:rsidR="00555918" w:rsidRPr="00E400E4" w:rsidRDefault="00555918" w:rsidP="000B1771">
            <w:pPr>
              <w:pStyle w:val="TableText"/>
              <w:rPr>
                <w:lang w:val="pt-BR"/>
              </w:rPr>
            </w:pPr>
            <w:r w:rsidRPr="00E400E4">
              <w:rPr>
                <w:lang w:val="pt-BR"/>
              </w:rPr>
              <w:t>[Pseudococcidae]</w:t>
            </w:r>
          </w:p>
          <w:p w:rsidR="00555918" w:rsidRPr="00E400E4" w:rsidRDefault="00555918" w:rsidP="000B1771">
            <w:pPr>
              <w:pStyle w:val="TableText"/>
              <w:rPr>
                <w:lang w:val="pt-BR"/>
              </w:rPr>
            </w:pPr>
            <w:r w:rsidRPr="00E400E4">
              <w:rPr>
                <w:lang w:val="pt-BR"/>
              </w:rPr>
              <w:t>Obscure mealybug</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Pseudoparlatoria ostreata</w:t>
            </w:r>
            <w:r w:rsidRPr="00E400E4">
              <w:rPr>
                <w:lang w:val="pt-BR"/>
              </w:rPr>
              <w:t xml:space="preserve"> Cockerell, 1892</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Acalypha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Pseudoparlatoria ostreata</w:t>
            </w:r>
            <w:r w:rsidRPr="00E400E4">
              <w:rPr>
                <w:szCs w:val="16"/>
              </w:rPr>
              <w:t xml:space="preserve"> occurs on bark and leaves of its hosts, including avocado </w:t>
            </w:r>
            <w:r>
              <w:rPr>
                <w:noProof/>
                <w:szCs w:val="16"/>
              </w:rPr>
              <w:t>(Miller &amp; Davidson 2005)</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 xml:space="preserve">Saissetia coffeae </w:t>
            </w:r>
            <w:r w:rsidRPr="00E400E4">
              <w:rPr>
                <w:lang w:val="pt-BR"/>
              </w:rPr>
              <w:t>(Walker, 1852)</w:t>
            </w:r>
          </w:p>
          <w:p w:rsidR="00555918" w:rsidRPr="00E400E4" w:rsidRDefault="00555918" w:rsidP="000B1771">
            <w:pPr>
              <w:pStyle w:val="TableText"/>
              <w:rPr>
                <w:lang w:val="pt-BR"/>
              </w:rPr>
            </w:pPr>
            <w:r w:rsidRPr="00E400E4">
              <w:rPr>
                <w:lang w:val="pt-BR"/>
              </w:rPr>
              <w:t>[Coccidae]</w:t>
            </w:r>
          </w:p>
          <w:p w:rsidR="00555918" w:rsidRPr="00E400E4" w:rsidRDefault="00555918" w:rsidP="000B1771">
            <w:pPr>
              <w:pStyle w:val="TableText"/>
              <w:rPr>
                <w:lang w:val="pt-BR"/>
              </w:rPr>
            </w:pPr>
            <w:r w:rsidRPr="00E400E4">
              <w:rPr>
                <w:lang w:val="pt-BR"/>
              </w:rPr>
              <w:t>Hemispherical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NSW, NT, Qld,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Saissetia oleae</w:t>
            </w:r>
            <w:r w:rsidRPr="00E400E4">
              <w:rPr>
                <w:lang w:val="pt-BR"/>
              </w:rPr>
              <w:t xml:space="preserve"> (Olivier, 1791)</w:t>
            </w:r>
          </w:p>
          <w:p w:rsidR="00555918" w:rsidRPr="00E400E4" w:rsidRDefault="00555918" w:rsidP="000B1771">
            <w:pPr>
              <w:pStyle w:val="TableText"/>
              <w:rPr>
                <w:lang w:val="pt-BR"/>
              </w:rPr>
            </w:pPr>
            <w:r w:rsidRPr="00E400E4">
              <w:rPr>
                <w:lang w:val="pt-BR"/>
              </w:rPr>
              <w:t>[Coccidae]</w:t>
            </w:r>
          </w:p>
          <w:p w:rsidR="00555918" w:rsidRPr="00E400E4" w:rsidRDefault="00555918" w:rsidP="000B1771">
            <w:pPr>
              <w:pStyle w:val="TableText"/>
              <w:rPr>
                <w:lang w:val="pt-BR"/>
              </w:rPr>
            </w:pPr>
            <w:r w:rsidRPr="00E400E4">
              <w:rPr>
                <w:lang w:val="pt-BR"/>
              </w:rPr>
              <w:t>Black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Toxoptera aurantii</w:t>
            </w:r>
            <w:r w:rsidRPr="00E400E4">
              <w:rPr>
                <w:lang w:val="pt-BR"/>
              </w:rPr>
              <w:t xml:space="preserve"> (Boyer de Fonscolombe, 1841)</w:t>
            </w:r>
          </w:p>
          <w:p w:rsidR="00555918" w:rsidRPr="00E400E4" w:rsidRDefault="00555918" w:rsidP="000B1771">
            <w:pPr>
              <w:pStyle w:val="TableText"/>
              <w:rPr>
                <w:lang w:val="pt-BR"/>
              </w:rPr>
            </w:pPr>
            <w:r w:rsidRPr="00E400E4">
              <w:rPr>
                <w:lang w:val="pt-BR"/>
              </w:rPr>
              <w:t>[Aphididae]</w:t>
            </w:r>
          </w:p>
          <w:p w:rsidR="00555918" w:rsidRPr="00E400E4" w:rsidRDefault="00555918" w:rsidP="000B1771">
            <w:pPr>
              <w:pStyle w:val="TableText"/>
              <w:rPr>
                <w:lang w:val="pt-BR"/>
              </w:rPr>
            </w:pPr>
            <w:r w:rsidRPr="00E400E4">
              <w:rPr>
                <w:lang w:val="pt-BR"/>
              </w:rPr>
              <w:t>Black citrus aphid</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(SAG 2005b)</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Trialeurodes vaporariorum</w:t>
            </w:r>
            <w:r w:rsidRPr="00E400E4">
              <w:rPr>
                <w:lang w:val="pt-BR"/>
              </w:rPr>
              <w:t xml:space="preserve"> (Westwood, 1856)</w:t>
            </w:r>
          </w:p>
          <w:p w:rsidR="00555918" w:rsidRPr="00E400E4" w:rsidRDefault="00555918" w:rsidP="000B1771">
            <w:pPr>
              <w:pStyle w:val="TableText"/>
              <w:rPr>
                <w:lang w:val="pt-BR"/>
              </w:rPr>
            </w:pPr>
            <w:r w:rsidRPr="00E400E4">
              <w:rPr>
                <w:lang w:val="pt-BR"/>
              </w:rPr>
              <w:t>[Aleyrodidae]</w:t>
            </w:r>
          </w:p>
          <w:p w:rsidR="00555918" w:rsidRPr="00E400E4" w:rsidRDefault="00555918" w:rsidP="000B1771">
            <w:pPr>
              <w:pStyle w:val="TableText"/>
              <w:rPr>
                <w:lang w:val="pt-BR"/>
              </w:rPr>
            </w:pPr>
            <w:r w:rsidRPr="00E400E4">
              <w:rPr>
                <w:lang w:val="pt-BR"/>
              </w:rPr>
              <w:t>Greenhouse whitefly</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(Evans 2007)</w:t>
            </w:r>
          </w:p>
        </w:tc>
        <w:tc>
          <w:tcPr>
            <w:tcW w:w="797" w:type="pct"/>
            <w:shd w:val="clear" w:color="auto" w:fill="auto"/>
          </w:tcPr>
          <w:p w:rsidR="00555918" w:rsidRPr="00E400E4" w:rsidRDefault="00555918" w:rsidP="000B1771">
            <w:pPr>
              <w:pStyle w:val="TableText"/>
              <w:rPr>
                <w:szCs w:val="16"/>
              </w:rPr>
            </w:pPr>
            <w:r w:rsidRPr="00E400E4">
              <w:rPr>
                <w:szCs w:val="16"/>
              </w:rPr>
              <w:t xml:space="preserve">Yes. ACT, NSW, NT, Qld,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Unaspis citri</w:t>
            </w:r>
            <w:r w:rsidRPr="00E400E4">
              <w:rPr>
                <w:lang w:val="pt-BR"/>
              </w:rPr>
              <w:t xml:space="preserve"> (Comstock, 1883)</w:t>
            </w:r>
          </w:p>
          <w:p w:rsidR="00555918" w:rsidRPr="00E400E4" w:rsidRDefault="00555918" w:rsidP="000B1771">
            <w:pPr>
              <w:pStyle w:val="TableText"/>
              <w:rPr>
                <w:lang w:val="pt-BR"/>
              </w:rPr>
            </w:pPr>
            <w:r w:rsidRPr="00E400E4">
              <w:rPr>
                <w:lang w:val="pt-BR"/>
              </w:rPr>
              <w:t>[Diaspididae]</w:t>
            </w:r>
          </w:p>
          <w:p w:rsidR="00555918" w:rsidRPr="00E400E4" w:rsidRDefault="00555918" w:rsidP="000B1771">
            <w:pPr>
              <w:pStyle w:val="TableText"/>
              <w:rPr>
                <w:lang w:val="pt-BR"/>
              </w:rPr>
            </w:pPr>
            <w:r w:rsidRPr="00E400E4">
              <w:rPr>
                <w:lang w:val="pt-BR"/>
              </w:rPr>
              <w:t>Citrus snow scale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(García Morales et al. 2019; Ripa &amp; Larral 2008)</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w:t>
            </w:r>
            <w:r>
              <w:rPr>
                <w:noProof/>
                <w:szCs w:val="16"/>
              </w:rPr>
              <w:t>(Plant Health Australia 2019)</w:t>
            </w:r>
            <w:r w:rsidRPr="00E400E4">
              <w:rPr>
                <w:szCs w:val="16"/>
              </w:rPr>
              <w:t>.</w:t>
            </w:r>
          </w:p>
          <w:p w:rsidR="00555918" w:rsidRPr="00E400E4" w:rsidRDefault="00555918" w:rsidP="000B1771">
            <w:pPr>
              <w:pStyle w:val="TableText"/>
              <w:rPr>
                <w:szCs w:val="16"/>
              </w:rPr>
            </w:pPr>
            <w:r w:rsidRPr="00E400E4">
              <w:rPr>
                <w:szCs w:val="16"/>
              </w:rPr>
              <w:t xml:space="preserve">Regulated as a Declared Organism (Prohibited (s. 12)) by WA under the </w:t>
            </w:r>
            <w:r w:rsidRPr="00E400E4">
              <w:rPr>
                <w:i/>
                <w:szCs w:val="16"/>
              </w:rPr>
              <w:t xml:space="preserve">Biosecurity and Agriculture Management Act 2007 </w:t>
            </w:r>
            <w:r>
              <w:rPr>
                <w:noProof/>
                <w:szCs w:val="16"/>
              </w:rPr>
              <w:t>(Government of Western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 xml:space="preserve">Yes. This species is a known pest of avocado </w:t>
            </w:r>
            <w:r>
              <w:rPr>
                <w:noProof/>
                <w:szCs w:val="16"/>
              </w:rPr>
              <w:t>(García Morales et al. 2019)</w:t>
            </w:r>
            <w:r w:rsidRPr="00E400E4">
              <w:rPr>
                <w:szCs w:val="16"/>
              </w:rPr>
              <w:t xml:space="preserve">. In heavy infestations, </w:t>
            </w:r>
            <w:r w:rsidRPr="00E400E4">
              <w:rPr>
                <w:i/>
                <w:szCs w:val="16"/>
              </w:rPr>
              <w:t>U. citri</w:t>
            </w:r>
            <w:r w:rsidRPr="00E400E4">
              <w:rPr>
                <w:szCs w:val="16"/>
              </w:rPr>
              <w:t xml:space="preserve"> may spread onto all parts of a host plant, including the fruit </w:t>
            </w:r>
            <w:r>
              <w:rPr>
                <w:noProof/>
                <w:szCs w:val="16"/>
              </w:rPr>
              <w:t>(García Morales et al. 2019)</w:t>
            </w:r>
            <w:r w:rsidRPr="00E400E4">
              <w:rPr>
                <w:szCs w:val="16"/>
              </w:rPr>
              <w:t xml:space="preserve">. </w:t>
            </w:r>
            <w:r w:rsidRPr="00E400E4">
              <w:rPr>
                <w:i/>
                <w:szCs w:val="16"/>
              </w:rPr>
              <w:t>Unaspis citri</w:t>
            </w:r>
            <w:r w:rsidRPr="00E400E4">
              <w:rPr>
                <w:szCs w:val="16"/>
              </w:rPr>
              <w:t xml:space="preserve"> is extremely small and may well stay unnoticed during harvest and packing.</w:t>
            </w:r>
          </w:p>
        </w:tc>
        <w:tc>
          <w:tcPr>
            <w:tcW w:w="684" w:type="pct"/>
            <w:shd w:val="clear" w:color="auto" w:fill="auto"/>
          </w:tcPr>
          <w:p w:rsidR="00555918" w:rsidRPr="00E400E4" w:rsidRDefault="00555918" w:rsidP="000B1771">
            <w:pPr>
              <w:pStyle w:val="TableText"/>
              <w:rPr>
                <w:szCs w:val="16"/>
              </w:rPr>
            </w:pPr>
            <w:r w:rsidRPr="00E400E4">
              <w:rPr>
                <w:szCs w:val="16"/>
              </w:rPr>
              <w:t xml:space="preserve">Yes. This species is already present in parts of Australia and is polyphagous </w:t>
            </w:r>
            <w:r>
              <w:rPr>
                <w:noProof/>
                <w:szCs w:val="16"/>
              </w:rPr>
              <w:t>(CABI 2019a)</w:t>
            </w:r>
            <w:r w:rsidRPr="00E400E4">
              <w:rPr>
                <w:szCs w:val="16"/>
              </w:rPr>
              <w:t>. Introduction into WA may lead to establishment since it is likely to find a suitable host plant on which to grow and reproduce.</w:t>
            </w:r>
          </w:p>
        </w:tc>
        <w:tc>
          <w:tcPr>
            <w:tcW w:w="726" w:type="pct"/>
            <w:shd w:val="clear" w:color="auto" w:fill="auto"/>
          </w:tcPr>
          <w:p w:rsidR="00555918" w:rsidRPr="00E400E4" w:rsidRDefault="00555918" w:rsidP="000B1771">
            <w:pPr>
              <w:pStyle w:val="TableText"/>
              <w:rPr>
                <w:szCs w:val="16"/>
              </w:rPr>
            </w:pPr>
            <w:r w:rsidRPr="00E400E4">
              <w:rPr>
                <w:szCs w:val="16"/>
              </w:rPr>
              <w:t xml:space="preserve">Yes. Heavy infestations lead to drying and splitting of branches of citrus trees and other crops </w:t>
            </w:r>
            <w:r>
              <w:rPr>
                <w:noProof/>
                <w:szCs w:val="16"/>
              </w:rPr>
              <w:t>(García Morales et al. 2019)</w:t>
            </w:r>
            <w:r w:rsidRPr="00E400E4">
              <w:rPr>
                <w:szCs w:val="16"/>
              </w:rPr>
              <w:t>.</w:t>
            </w:r>
          </w:p>
        </w:tc>
        <w:tc>
          <w:tcPr>
            <w:tcW w:w="434" w:type="pct"/>
            <w:shd w:val="clear" w:color="auto" w:fill="auto"/>
          </w:tcPr>
          <w:p w:rsidR="00555918" w:rsidRPr="00E400E4" w:rsidRDefault="00555918" w:rsidP="000B1771">
            <w:pPr>
              <w:pStyle w:val="TableText"/>
            </w:pPr>
            <w:r w:rsidRPr="00E400E4">
              <w:t>Yes (EP, WA)</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keepNext/>
              <w:rPr>
                <w:b/>
                <w:lang w:val="pt-BR"/>
              </w:rPr>
            </w:pPr>
            <w:r w:rsidRPr="00E400E4">
              <w:rPr>
                <w:b/>
                <w:lang w:val="pt-BR"/>
              </w:rPr>
              <w:t>Lepidoptera</w:t>
            </w:r>
          </w:p>
        </w:tc>
        <w:tc>
          <w:tcPr>
            <w:tcW w:w="728" w:type="pct"/>
            <w:shd w:val="clear" w:color="auto" w:fill="auto"/>
          </w:tcPr>
          <w:p w:rsidR="00555918" w:rsidRPr="00E400E4" w:rsidRDefault="00555918" w:rsidP="000B1771">
            <w:pPr>
              <w:pStyle w:val="TableText"/>
              <w:rPr>
                <w:lang w:val="pt-BR"/>
              </w:rPr>
            </w:pPr>
          </w:p>
        </w:tc>
        <w:tc>
          <w:tcPr>
            <w:tcW w:w="797" w:type="pct"/>
            <w:shd w:val="clear" w:color="auto" w:fill="auto"/>
          </w:tcPr>
          <w:p w:rsidR="00555918" w:rsidRPr="00E400E4" w:rsidRDefault="00555918" w:rsidP="000B1771">
            <w:pPr>
              <w:pStyle w:val="TableText"/>
              <w:rPr>
                <w:szCs w:val="16"/>
              </w:rPr>
            </w:pPr>
          </w:p>
        </w:tc>
        <w:tc>
          <w:tcPr>
            <w:tcW w:w="789" w:type="pct"/>
            <w:shd w:val="clear" w:color="auto" w:fill="auto"/>
          </w:tcPr>
          <w:p w:rsidR="00555918" w:rsidRPr="00E400E4" w:rsidRDefault="00555918" w:rsidP="000B1771">
            <w:pPr>
              <w:pStyle w:val="TableText"/>
              <w:rPr>
                <w:szCs w:val="16"/>
              </w:rPr>
            </w:pPr>
          </w:p>
        </w:tc>
        <w:tc>
          <w:tcPr>
            <w:tcW w:w="684" w:type="pct"/>
            <w:shd w:val="clear" w:color="auto" w:fill="auto"/>
          </w:tcPr>
          <w:p w:rsidR="00555918" w:rsidRPr="00E400E4" w:rsidRDefault="00555918" w:rsidP="000B1771">
            <w:pPr>
              <w:pStyle w:val="TableText"/>
              <w:rPr>
                <w:szCs w:val="16"/>
              </w:rPr>
            </w:pPr>
          </w:p>
        </w:tc>
        <w:tc>
          <w:tcPr>
            <w:tcW w:w="726" w:type="pct"/>
            <w:shd w:val="clear" w:color="auto" w:fill="auto"/>
          </w:tcPr>
          <w:p w:rsidR="00555918" w:rsidRPr="00E400E4" w:rsidRDefault="00555918" w:rsidP="000B1771">
            <w:pPr>
              <w:pStyle w:val="TableText"/>
              <w:rPr>
                <w:szCs w:val="16"/>
              </w:rPr>
            </w:pPr>
          </w:p>
        </w:tc>
        <w:tc>
          <w:tcPr>
            <w:tcW w:w="434" w:type="pct"/>
            <w:shd w:val="clear" w:color="auto" w:fill="auto"/>
          </w:tcPr>
          <w:p w:rsidR="00555918" w:rsidRPr="00E400E4" w:rsidRDefault="00555918" w:rsidP="000B1771">
            <w:pPr>
              <w:pStyle w:val="TableText"/>
            </w:pP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Arctopoda maculosa</w:t>
            </w:r>
            <w:r w:rsidRPr="00E400E4">
              <w:rPr>
                <w:lang w:val="pt-BR"/>
              </w:rPr>
              <w:t xml:space="preserve"> Butler, 1883</w:t>
            </w:r>
          </w:p>
          <w:p w:rsidR="00555918" w:rsidRPr="00E400E4" w:rsidRDefault="00555918" w:rsidP="000B1771">
            <w:pPr>
              <w:pStyle w:val="TableText"/>
              <w:rPr>
                <w:lang w:val="pt-BR"/>
              </w:rPr>
            </w:pPr>
            <w:r w:rsidRPr="00E400E4">
              <w:rPr>
                <w:lang w:val="pt-BR"/>
              </w:rPr>
              <w:t>[Oecophoridae]</w:t>
            </w:r>
          </w:p>
          <w:p w:rsidR="00555918" w:rsidRPr="00E400E4" w:rsidRDefault="00555918" w:rsidP="000B1771">
            <w:pPr>
              <w:pStyle w:val="TableText"/>
              <w:rPr>
                <w:lang w:val="pt-BR"/>
              </w:rPr>
            </w:pPr>
            <w:r w:rsidRPr="00E400E4">
              <w:rPr>
                <w:lang w:val="pt-BR"/>
              </w:rPr>
              <w:t>Chilean horn worm</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(Klein Koch &amp; Waterhouse 2000; Ripa &amp; Larral 2008)</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Although this species attacks avocado plants </w:t>
            </w:r>
            <w:r>
              <w:rPr>
                <w:noProof/>
                <w:szCs w:val="16"/>
              </w:rPr>
              <w:t>(Klein Koch &amp; Waterhouse 2000)</w:t>
            </w:r>
            <w:r w:rsidRPr="00E400E4">
              <w:rPr>
                <w:szCs w:val="16"/>
              </w:rPr>
              <w:t xml:space="preserve">, it is a leaf feeder and is not associated with fruit </w:t>
            </w:r>
            <w:r>
              <w:rPr>
                <w:noProof/>
                <w:szCs w:val="16"/>
              </w:rPr>
              <w:t>(Peña et al. 2013; Ripa 2008a)</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Cercophana frauenfeldi</w:t>
            </w:r>
            <w:r w:rsidRPr="00E400E4">
              <w:rPr>
                <w:lang w:val="pt-BR"/>
              </w:rPr>
              <w:t xml:space="preserve"> Felder, 1862</w:t>
            </w:r>
          </w:p>
          <w:p w:rsidR="00555918" w:rsidRPr="00E400E4" w:rsidRDefault="00555918" w:rsidP="000B1771">
            <w:pPr>
              <w:pStyle w:val="TableText"/>
              <w:rPr>
                <w:lang w:val="pt-BR"/>
              </w:rPr>
            </w:pPr>
            <w:r w:rsidRPr="00E400E4">
              <w:rPr>
                <w:lang w:val="pt-BR"/>
              </w:rPr>
              <w:t>[Cercophanidae]</w:t>
            </w:r>
          </w:p>
          <w:p w:rsidR="00555918" w:rsidRPr="00E400E4" w:rsidRDefault="00555918" w:rsidP="000B1771">
            <w:pPr>
              <w:pStyle w:val="TableText"/>
              <w:rPr>
                <w:lang w:val="pt-BR"/>
              </w:rPr>
            </w:pPr>
            <w:r w:rsidRPr="00E400E4">
              <w:rPr>
                <w:lang w:val="pt-BR"/>
              </w:rPr>
              <w:t>Andean moon moth</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(Klein Koch &amp; Waterhouse 2000)</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This is a phytophagous insect associated with avocado trees </w:t>
            </w:r>
            <w:r>
              <w:rPr>
                <w:noProof/>
                <w:szCs w:val="16"/>
              </w:rPr>
              <w:t>(López Laport &amp; Bermúdez Ortiz 2011; Ripa &amp; Larral 2008)</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Chilecomadia moorei</w:t>
            </w:r>
            <w:r w:rsidRPr="00E400E4">
              <w:rPr>
                <w:lang w:val="pt-BR"/>
              </w:rPr>
              <w:t xml:space="preserve"> Silva Figuero, 1915</w:t>
            </w:r>
          </w:p>
          <w:p w:rsidR="00555918" w:rsidRPr="00E400E4" w:rsidRDefault="00555918" w:rsidP="000B1771">
            <w:pPr>
              <w:pStyle w:val="TableText"/>
              <w:rPr>
                <w:lang w:val="pt-BR"/>
              </w:rPr>
            </w:pPr>
            <w:r w:rsidRPr="00E400E4">
              <w:rPr>
                <w:lang w:val="pt-BR"/>
              </w:rPr>
              <w:t>[Cossidae]</w:t>
            </w:r>
          </w:p>
          <w:p w:rsidR="00555918" w:rsidRPr="00E400E4" w:rsidRDefault="00555918" w:rsidP="000B1771">
            <w:pPr>
              <w:pStyle w:val="TableText"/>
              <w:rPr>
                <w:lang w:val="pt-BR"/>
              </w:rPr>
            </w:pPr>
            <w:r w:rsidRPr="00E400E4">
              <w:rPr>
                <w:lang w:val="pt-BR"/>
              </w:rPr>
              <w:t>Avocado tree worm</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(Klein Koch &amp; Waterhouse 2000; Ripa &amp; Larral 2008)</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Feeds on branches of avocado, not fruit </w:t>
            </w:r>
            <w:r>
              <w:rPr>
                <w:noProof/>
                <w:szCs w:val="16"/>
              </w:rPr>
              <w:t>(Ripa &amp; Larral 2008)</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 xml:space="preserve">Chilecomadia valdiviana </w:t>
            </w:r>
            <w:r w:rsidRPr="00E400E4">
              <w:rPr>
                <w:lang w:val="pt-BR"/>
              </w:rPr>
              <w:t>Philippi, 1860</w:t>
            </w:r>
          </w:p>
          <w:p w:rsidR="00555918" w:rsidRPr="00E400E4" w:rsidRDefault="00555918" w:rsidP="000B1771">
            <w:pPr>
              <w:pStyle w:val="TableText"/>
              <w:rPr>
                <w:lang w:val="pt-BR"/>
              </w:rPr>
            </w:pPr>
            <w:r w:rsidRPr="00E400E4">
              <w:rPr>
                <w:lang w:val="pt-BR"/>
              </w:rPr>
              <w:t>[Cossidae]</w:t>
            </w:r>
          </w:p>
          <w:p w:rsidR="00555918" w:rsidRPr="00E400E4" w:rsidRDefault="00555918" w:rsidP="000B1771">
            <w:pPr>
              <w:pStyle w:val="TableText"/>
              <w:rPr>
                <w:lang w:val="pt-BR"/>
              </w:rPr>
            </w:pPr>
            <w:r w:rsidRPr="00E400E4">
              <w:rPr>
                <w:lang w:val="pt-BR"/>
              </w:rPr>
              <w:t>Quince trunk borer</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(Klein Koch &amp; Waterhouse 2000; Ripa &amp; Larral 2008)</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Feeds on branches of avocado, not fruit </w:t>
            </w:r>
            <w:r>
              <w:rPr>
                <w:noProof/>
                <w:szCs w:val="16"/>
              </w:rPr>
              <w:t>(Ripa &amp; Larral 2008)</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Chrysodeixis includens</w:t>
            </w:r>
            <w:r w:rsidRPr="00E400E4">
              <w:rPr>
                <w:lang w:val="pt-BR"/>
              </w:rPr>
              <w:t xml:space="preserve"> (Walker, 1858)</w:t>
            </w:r>
          </w:p>
          <w:p w:rsidR="00555918" w:rsidRPr="00E400E4" w:rsidRDefault="00555918" w:rsidP="000B1771">
            <w:pPr>
              <w:pStyle w:val="TableText"/>
              <w:rPr>
                <w:lang w:val="pt-BR"/>
              </w:rPr>
            </w:pPr>
            <w:r w:rsidRPr="00E400E4">
              <w:rPr>
                <w:lang w:val="pt-BR"/>
              </w:rPr>
              <w:t xml:space="preserve">Synonym: </w:t>
            </w:r>
            <w:r w:rsidRPr="00E400E4">
              <w:rPr>
                <w:i/>
                <w:lang w:val="pt-BR"/>
              </w:rPr>
              <w:t>Pseudoplusia includens</w:t>
            </w:r>
            <w:r w:rsidRPr="00E400E4">
              <w:rPr>
                <w:lang w:val="pt-BR"/>
              </w:rPr>
              <w:t xml:space="preserve"> (Walker, 1857)</w:t>
            </w:r>
          </w:p>
          <w:p w:rsidR="00555918" w:rsidRPr="00E400E4" w:rsidRDefault="00555918" w:rsidP="000B1771">
            <w:pPr>
              <w:pStyle w:val="TableText"/>
              <w:rPr>
                <w:lang w:val="pt-BR"/>
              </w:rPr>
            </w:pPr>
            <w:r w:rsidRPr="00E400E4">
              <w:rPr>
                <w:lang w:val="pt-BR"/>
              </w:rPr>
              <w:t>[Noctuidae]</w:t>
            </w:r>
          </w:p>
          <w:p w:rsidR="00555918" w:rsidRPr="00E400E4" w:rsidRDefault="00555918" w:rsidP="000B1771">
            <w:pPr>
              <w:pStyle w:val="TableText"/>
              <w:rPr>
                <w:lang w:val="pt-BR"/>
              </w:rPr>
            </w:pPr>
            <w:r w:rsidRPr="00E400E4">
              <w:rPr>
                <w:lang w:val="pt-BR"/>
              </w:rPr>
              <w:t>Soybean looper</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Few occurrences </w:t>
            </w:r>
            <w:r>
              <w:rPr>
                <w:noProof/>
                <w:lang w:val="pt-BR"/>
              </w:rPr>
              <w:t>(EPPO 2015)</w:t>
            </w:r>
            <w:r w:rsidRPr="00E400E4">
              <w:rPr>
                <w:lang w:val="pt-BR"/>
              </w:rPr>
              <w:t>.</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Chrysodeixis includens</w:t>
            </w:r>
            <w:r w:rsidRPr="00E400E4">
              <w:rPr>
                <w:szCs w:val="16"/>
              </w:rPr>
              <w:t xml:space="preserve"> is highly polyphagous but is considered to be mostly a pest of soybean and tomato </w:t>
            </w:r>
            <w:r>
              <w:rPr>
                <w:noProof/>
                <w:szCs w:val="16"/>
              </w:rPr>
              <w:t>(EPPO 2015)</w:t>
            </w:r>
            <w:r w:rsidRPr="00E400E4">
              <w:rPr>
                <w:szCs w:val="16"/>
              </w:rPr>
              <w:t xml:space="preserve">. On avocado, it feeds on leaves, not fruit </w:t>
            </w:r>
            <w:r>
              <w:rPr>
                <w:noProof/>
                <w:szCs w:val="16"/>
              </w:rPr>
              <w:t>(Nunez 2008; Rodriguez-Saona &amp; Trumble 2000)</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Helicoverpa zea</w:t>
            </w:r>
            <w:r w:rsidRPr="00E400E4">
              <w:rPr>
                <w:lang w:val="pt-BR"/>
              </w:rPr>
              <w:t xml:space="preserve"> (Boddie, 1850)</w:t>
            </w:r>
          </w:p>
          <w:p w:rsidR="00555918" w:rsidRPr="00E400E4" w:rsidRDefault="00555918" w:rsidP="000B1771">
            <w:pPr>
              <w:pStyle w:val="TableText"/>
              <w:rPr>
                <w:lang w:val="pt-BR"/>
              </w:rPr>
            </w:pPr>
            <w:r w:rsidRPr="00E400E4">
              <w:rPr>
                <w:lang w:val="pt-BR"/>
              </w:rPr>
              <w:t>[Noctuidae]</w:t>
            </w:r>
          </w:p>
          <w:p w:rsidR="00555918" w:rsidRPr="00E400E4" w:rsidRDefault="00555918" w:rsidP="000B1771">
            <w:pPr>
              <w:pStyle w:val="TableText"/>
              <w:rPr>
                <w:lang w:val="pt-BR"/>
              </w:rPr>
            </w:pPr>
            <w:r w:rsidRPr="00E400E4">
              <w:rPr>
                <w:lang w:val="pt-BR"/>
              </w:rPr>
              <w:t>Corn earworm</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(Angulo et al. 1990; Ripa &amp; Larral 2008)</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Avocado is not considered a main host of </w:t>
            </w:r>
            <w:r w:rsidRPr="00E400E4">
              <w:rPr>
                <w:i/>
                <w:szCs w:val="16"/>
              </w:rPr>
              <w:t>H. zea</w:t>
            </w:r>
            <w:r w:rsidRPr="00E400E4">
              <w:rPr>
                <w:szCs w:val="16"/>
              </w:rPr>
              <w:t xml:space="preserve"> </w:t>
            </w:r>
            <w:r>
              <w:rPr>
                <w:noProof/>
                <w:szCs w:val="16"/>
              </w:rPr>
              <w:t>(CABI 2019a; EPPO 2019)</w:t>
            </w:r>
            <w:r w:rsidRPr="00E400E4">
              <w:rPr>
                <w:szCs w:val="16"/>
              </w:rPr>
              <w:t xml:space="preserve">. Eggs are laid on leaves and corn silks </w:t>
            </w:r>
            <w:r>
              <w:rPr>
                <w:noProof/>
                <w:szCs w:val="16"/>
              </w:rPr>
              <w:t>(Capinera 2017; Sparks &amp; Riley 2008)</w:t>
            </w:r>
            <w:r w:rsidRPr="00E400E4">
              <w:rPr>
                <w:szCs w:val="16"/>
              </w:rPr>
              <w:t>.</w:t>
            </w:r>
          </w:p>
          <w:p w:rsidR="00555918" w:rsidRPr="00E400E4" w:rsidRDefault="00555918" w:rsidP="000B1771">
            <w:pPr>
              <w:pStyle w:val="TableText"/>
              <w:rPr>
                <w:szCs w:val="16"/>
              </w:rPr>
            </w:pPr>
            <w:r w:rsidRPr="00E400E4">
              <w:rPr>
                <w:szCs w:val="16"/>
              </w:rPr>
              <w:t xml:space="preserve">Although some review articles, such as </w:t>
            </w:r>
            <w:r>
              <w:rPr>
                <w:noProof/>
                <w:szCs w:val="16"/>
              </w:rPr>
              <w:t>Capinera (2017)</w:t>
            </w:r>
            <w:r w:rsidRPr="00E400E4">
              <w:rPr>
                <w:szCs w:val="16"/>
              </w:rPr>
              <w:t xml:space="preserve">, include avocado fruit in a list of </w:t>
            </w:r>
            <w:r w:rsidRPr="00E400E4">
              <w:rPr>
                <w:szCs w:val="16"/>
              </w:rPr>
              <w:lastRenderedPageBreak/>
              <w:t xml:space="preserve">fruit and ornamental plants that can be attacked by </w:t>
            </w:r>
            <w:r w:rsidRPr="00E400E4">
              <w:rPr>
                <w:i/>
                <w:szCs w:val="16"/>
              </w:rPr>
              <w:t>H. zea</w:t>
            </w:r>
            <w:r w:rsidRPr="00E400E4">
              <w:rPr>
                <w:szCs w:val="16"/>
              </w:rPr>
              <w:t xml:space="preserve">, no specific/primary reports or records of this pest on avocado fruit could be found. </w:t>
            </w:r>
          </w:p>
          <w:p w:rsidR="00555918" w:rsidRPr="00E400E4" w:rsidRDefault="00555918" w:rsidP="000B1771">
            <w:pPr>
              <w:pStyle w:val="TableText"/>
              <w:rPr>
                <w:szCs w:val="16"/>
              </w:rPr>
            </w:pPr>
            <w:r w:rsidRPr="00E400E4">
              <w:rPr>
                <w:szCs w:val="16"/>
              </w:rPr>
              <w:t xml:space="preserve">Larvae of </w:t>
            </w:r>
            <w:r w:rsidRPr="00E400E4">
              <w:rPr>
                <w:i/>
                <w:szCs w:val="16"/>
              </w:rPr>
              <w:t>H. zea</w:t>
            </w:r>
            <w:r w:rsidRPr="00E400E4">
              <w:rPr>
                <w:szCs w:val="16"/>
              </w:rPr>
              <w:t xml:space="preserve"> prefer to feed on young plant material, particularly flowers and fruit </w:t>
            </w:r>
            <w:r>
              <w:rPr>
                <w:noProof/>
                <w:szCs w:val="16"/>
              </w:rPr>
              <w:t>(Cook &amp; Weinzierl 2004; Plant Health Australia 2009)</w:t>
            </w:r>
            <w:r w:rsidRPr="00E400E4">
              <w:rPr>
                <w:szCs w:val="16"/>
              </w:rPr>
              <w:t xml:space="preserve">. Feeding of </w:t>
            </w:r>
            <w:r w:rsidRPr="00E400E4">
              <w:rPr>
                <w:i/>
                <w:szCs w:val="16"/>
              </w:rPr>
              <w:t>H. zea</w:t>
            </w:r>
            <w:r w:rsidRPr="00E400E4">
              <w:rPr>
                <w:szCs w:val="16"/>
              </w:rPr>
              <w:t xml:space="preserve"> larvae on avocado fruit, and in particular on young fruit, is likely to result in obvious damage and such fruit is unlikely to be picked and packed for export.</w:t>
            </w:r>
          </w:p>
        </w:tc>
        <w:tc>
          <w:tcPr>
            <w:tcW w:w="684" w:type="pct"/>
            <w:shd w:val="clear" w:color="auto" w:fill="auto"/>
          </w:tcPr>
          <w:p w:rsidR="00555918" w:rsidRPr="00E400E4" w:rsidRDefault="00555918" w:rsidP="000B1771">
            <w:pPr>
              <w:pStyle w:val="TableText"/>
              <w:rPr>
                <w:szCs w:val="16"/>
              </w:rPr>
            </w:pPr>
            <w:r w:rsidRPr="00E400E4">
              <w:rPr>
                <w:szCs w:val="16"/>
              </w:rPr>
              <w:lastRenderedPageBreak/>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 xml:space="preserve">Oiketicus kirbyi </w:t>
            </w:r>
            <w:r w:rsidRPr="00E400E4">
              <w:rPr>
                <w:lang w:val="pt-BR"/>
              </w:rPr>
              <w:t>Guilding, 1827</w:t>
            </w:r>
          </w:p>
          <w:p w:rsidR="00555918" w:rsidRPr="00E400E4" w:rsidRDefault="00555918" w:rsidP="000B1771">
            <w:pPr>
              <w:pStyle w:val="TableText"/>
              <w:rPr>
                <w:lang w:val="pt-BR"/>
              </w:rPr>
            </w:pPr>
            <w:r w:rsidRPr="00E400E4">
              <w:rPr>
                <w:lang w:val="pt-BR"/>
              </w:rPr>
              <w:t>[Psychidae]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(Klein Koch &amp; Waterhouse 2000)</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Oiketicus kirbyi</w:t>
            </w:r>
            <w:r w:rsidRPr="00E400E4">
              <w:rPr>
                <w:szCs w:val="16"/>
              </w:rPr>
              <w:t xml:space="preserve"> belongs to the bagworm family (Psychidae). All life stages of bagworms occur on the outside of the host plant. The life history of bagworms is unusual, for example the entire larval development occurs inside an enclosed bag made of silk and plant material. Mated females of </w:t>
            </w:r>
            <w:r w:rsidRPr="00E400E4">
              <w:rPr>
                <w:i/>
                <w:szCs w:val="16"/>
              </w:rPr>
              <w:t>O. kirbyi</w:t>
            </w:r>
            <w:r w:rsidRPr="00E400E4">
              <w:rPr>
                <w:szCs w:val="16"/>
              </w:rPr>
              <w:t xml:space="preserve"> lay their eggs inside the pupal case inside the enclosed bag </w:t>
            </w:r>
            <w:r>
              <w:rPr>
                <w:noProof/>
                <w:szCs w:val="16"/>
              </w:rPr>
              <w:t>(Rhainds &amp; Cabrera-La Rosa 2010; Stephens 1962)</w:t>
            </w:r>
            <w:r w:rsidRPr="00E400E4">
              <w:rPr>
                <w:szCs w:val="16"/>
              </w:rPr>
              <w:t xml:space="preserve">. </w:t>
            </w:r>
          </w:p>
          <w:p w:rsidR="00555918" w:rsidRPr="00E400E4" w:rsidRDefault="00555918" w:rsidP="000B1771">
            <w:pPr>
              <w:pStyle w:val="TableText"/>
              <w:rPr>
                <w:szCs w:val="16"/>
              </w:rPr>
            </w:pPr>
            <w:r w:rsidRPr="00E400E4">
              <w:rPr>
                <w:i/>
                <w:szCs w:val="16"/>
              </w:rPr>
              <w:t>Oiketicus kirbyi</w:t>
            </w:r>
            <w:r w:rsidRPr="00E400E4">
              <w:rPr>
                <w:szCs w:val="16"/>
              </w:rPr>
              <w:t xml:space="preserve"> larvae feed on the leaves and the surface of fruit of avocado </w:t>
            </w:r>
            <w:r>
              <w:rPr>
                <w:noProof/>
                <w:szCs w:val="16"/>
              </w:rPr>
              <w:t>(Coria-Avalos et al. 2011; Rhainds &amp; Cabrera-La Rosa 2010; Ripa &amp; Larral 2008)</w:t>
            </w:r>
            <w:r w:rsidRPr="00E400E4">
              <w:rPr>
                <w:szCs w:val="16"/>
              </w:rPr>
              <w:t xml:space="preserve">. Damage to the fruit surface can expose the pulp, causing blemishes </w:t>
            </w:r>
            <w:r>
              <w:rPr>
                <w:noProof/>
                <w:szCs w:val="16"/>
              </w:rPr>
              <w:t>(Coria-Avalos et al. 2011; Rhainds &amp; Cabrera-La Rosa 2010)</w:t>
            </w:r>
            <w:r w:rsidRPr="00E400E4">
              <w:rPr>
                <w:szCs w:val="16"/>
              </w:rPr>
              <w:t xml:space="preserve">. Therefore, it is unlikely that infested fruit will be picked and packed for export. All life stages of </w:t>
            </w:r>
            <w:r w:rsidRPr="00E400E4">
              <w:rPr>
                <w:i/>
                <w:szCs w:val="16"/>
              </w:rPr>
              <w:t>O. kirbyi</w:t>
            </w:r>
            <w:r w:rsidRPr="00E400E4">
              <w:rPr>
                <w:szCs w:val="16"/>
              </w:rPr>
              <w:t xml:space="preserve"> that may still be associated with the avocado fruit after harvest are likely to be removed during </w:t>
            </w:r>
            <w:r w:rsidRPr="00E400E4">
              <w:rPr>
                <w:szCs w:val="16"/>
              </w:rPr>
              <w:lastRenderedPageBreak/>
              <w:t>standard packing house procedures.</w:t>
            </w:r>
          </w:p>
        </w:tc>
        <w:tc>
          <w:tcPr>
            <w:tcW w:w="684" w:type="pct"/>
            <w:shd w:val="clear" w:color="auto" w:fill="auto"/>
          </w:tcPr>
          <w:p w:rsidR="00555918" w:rsidRPr="00E400E4" w:rsidRDefault="00555918" w:rsidP="000B1771">
            <w:pPr>
              <w:pStyle w:val="TableText"/>
              <w:rPr>
                <w:szCs w:val="16"/>
              </w:rPr>
            </w:pPr>
            <w:r w:rsidRPr="00E400E4">
              <w:rPr>
                <w:szCs w:val="16"/>
              </w:rPr>
              <w:lastRenderedPageBreak/>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Peridroma saucia</w:t>
            </w:r>
            <w:r w:rsidRPr="00E400E4">
              <w:rPr>
                <w:lang w:val="pt-BR"/>
              </w:rPr>
              <w:t xml:space="preserve"> (Hübner, 1808)</w:t>
            </w:r>
          </w:p>
          <w:p w:rsidR="00555918" w:rsidRPr="00E400E4" w:rsidRDefault="00555918" w:rsidP="000B1771">
            <w:pPr>
              <w:pStyle w:val="TableText"/>
              <w:rPr>
                <w:lang w:val="pt-BR"/>
              </w:rPr>
            </w:pPr>
            <w:r w:rsidRPr="00E400E4">
              <w:rPr>
                <w:lang w:val="pt-BR"/>
              </w:rPr>
              <w:t>[Noctuidae]</w:t>
            </w:r>
          </w:p>
          <w:p w:rsidR="00555918" w:rsidRPr="00E400E4" w:rsidRDefault="00555918" w:rsidP="000B1771">
            <w:pPr>
              <w:pStyle w:val="TableText"/>
              <w:rPr>
                <w:lang w:val="pt-BR"/>
              </w:rPr>
            </w:pPr>
            <w:r w:rsidRPr="00E400E4">
              <w:rPr>
                <w:lang w:val="pt-BR"/>
              </w:rPr>
              <w:t>Pearly underwing, variegated cutworm</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(Ripa &amp; Larral 2008)</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Peridroma saucia</w:t>
            </w:r>
            <w:r w:rsidRPr="00E400E4">
              <w:rPr>
                <w:szCs w:val="16"/>
              </w:rPr>
              <w:t xml:space="preserve"> larvae feed on buds, flowers, leaves and fruit of its hosts; however, larvae only feed at night and shelter in the soil during the day </w:t>
            </w:r>
            <w:r>
              <w:rPr>
                <w:noProof/>
                <w:szCs w:val="16"/>
              </w:rPr>
              <w:t>(CABI 2019a; Mau &amp; Martin Kessing 2007b)</w:t>
            </w:r>
            <w:r w:rsidRPr="00E400E4">
              <w:rPr>
                <w:szCs w:val="16"/>
              </w:rPr>
              <w:t>. Larvae of this species will therefore not be present on the fruit when they are picked during daylight hours.</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Spodoptera eridania</w:t>
            </w:r>
            <w:r w:rsidRPr="00E400E4">
              <w:rPr>
                <w:lang w:val="pt-BR"/>
              </w:rPr>
              <w:t xml:space="preserve"> (Stoll, 1782)</w:t>
            </w:r>
          </w:p>
          <w:p w:rsidR="00555918" w:rsidRPr="00E400E4" w:rsidRDefault="00555918" w:rsidP="000B1771">
            <w:pPr>
              <w:pStyle w:val="TableText"/>
              <w:rPr>
                <w:lang w:val="pt-BR"/>
              </w:rPr>
            </w:pPr>
            <w:r w:rsidRPr="00E400E4">
              <w:rPr>
                <w:lang w:val="pt-BR"/>
              </w:rPr>
              <w:t>[Noctuidae]</w:t>
            </w:r>
          </w:p>
          <w:p w:rsidR="00555918" w:rsidRPr="00E400E4" w:rsidRDefault="00555918" w:rsidP="000B1771">
            <w:pPr>
              <w:pStyle w:val="TableText"/>
              <w:rPr>
                <w:lang w:val="pt-BR"/>
              </w:rPr>
            </w:pPr>
            <w:r w:rsidRPr="00E400E4">
              <w:rPr>
                <w:lang w:val="pt-BR"/>
              </w:rPr>
              <w:t>Southern armyworm</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Limited distribution </w:t>
            </w:r>
            <w:r>
              <w:rPr>
                <w:noProof/>
                <w:lang w:val="pt-BR"/>
              </w:rPr>
              <w:t>(EPPO 2019)</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Avocado is not considered a main host </w:t>
            </w:r>
            <w:r>
              <w:rPr>
                <w:noProof/>
                <w:szCs w:val="16"/>
              </w:rPr>
              <w:t>(CABI 2019a)</w:t>
            </w:r>
            <w:r w:rsidRPr="00E400E4">
              <w:rPr>
                <w:szCs w:val="16"/>
              </w:rPr>
              <w:t xml:space="preserve">. First and second instar larvae only feed on leaves. Later instar larvae may also feed on fruit of its hosts, but they only feed at night and shelter in leaf litter or plant foliage during the day </w:t>
            </w:r>
            <w:r>
              <w:rPr>
                <w:noProof/>
                <w:szCs w:val="16"/>
              </w:rPr>
              <w:t>(CABI &amp; EPPO 2016)</w:t>
            </w:r>
            <w:r w:rsidRPr="00E400E4">
              <w:rPr>
                <w:szCs w:val="16"/>
              </w:rPr>
              <w:t xml:space="preserve">. Larval damage to fruit, for example tomato, causes holes </w:t>
            </w:r>
            <w:r>
              <w:rPr>
                <w:noProof/>
                <w:szCs w:val="16"/>
              </w:rPr>
              <w:t>(CABI 2019a; CABI &amp; EPPO 2016)</w:t>
            </w:r>
            <w:r w:rsidRPr="00E400E4">
              <w:rPr>
                <w:szCs w:val="16"/>
              </w:rPr>
              <w:t>. Such obviously damaged fruit will be culled during standard commercial production practices. In addition, larvae of this species will not be present on the fruit when they are picked during daylight hours.</w:t>
            </w:r>
          </w:p>
          <w:p w:rsidR="00555918" w:rsidRPr="00E400E4" w:rsidRDefault="00555918" w:rsidP="000B1771">
            <w:pPr>
              <w:pStyle w:val="TableText"/>
              <w:rPr>
                <w:szCs w:val="16"/>
              </w:rPr>
            </w:pPr>
            <w:r w:rsidRPr="00E400E4">
              <w:rPr>
                <w:szCs w:val="16"/>
              </w:rPr>
              <w:t>Furthermore,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 xml:space="preserve">Thanatopsyche chilensis </w:t>
            </w:r>
            <w:r w:rsidRPr="00E400E4">
              <w:rPr>
                <w:lang w:val="pt-BR"/>
              </w:rPr>
              <w:t>Philippi, 1860</w:t>
            </w:r>
          </w:p>
          <w:p w:rsidR="00555918" w:rsidRPr="00E400E4" w:rsidRDefault="00555918" w:rsidP="000B1771">
            <w:pPr>
              <w:pStyle w:val="TableText"/>
              <w:rPr>
                <w:lang w:val="pt-BR"/>
              </w:rPr>
            </w:pPr>
            <w:r w:rsidRPr="00E400E4">
              <w:rPr>
                <w:lang w:val="pt-BR"/>
              </w:rPr>
              <w:t>[Psychidae]</w:t>
            </w:r>
          </w:p>
          <w:p w:rsidR="00555918" w:rsidRPr="00E400E4" w:rsidRDefault="00555918" w:rsidP="000B1771">
            <w:pPr>
              <w:pStyle w:val="TableText"/>
              <w:rPr>
                <w:lang w:val="pt-BR"/>
              </w:rPr>
            </w:pPr>
            <w:r w:rsidRPr="00E400E4">
              <w:rPr>
                <w:lang w:val="pt-BR"/>
              </w:rPr>
              <w:t>Bag worm</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(Ripa &amp; Larral 2008)</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Thanatopsyche chilensis</w:t>
            </w:r>
            <w:r w:rsidRPr="00E400E4">
              <w:rPr>
                <w:szCs w:val="16"/>
              </w:rPr>
              <w:t xml:space="preserve"> larvae feed on leaves </w:t>
            </w:r>
            <w:r>
              <w:rPr>
                <w:noProof/>
                <w:szCs w:val="16"/>
              </w:rPr>
              <w:t>(Ripa &amp; Larral 2008)</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keepNext/>
              <w:rPr>
                <w:b/>
                <w:lang w:val="pt-BR"/>
              </w:rPr>
            </w:pPr>
            <w:r w:rsidRPr="00E400E4">
              <w:rPr>
                <w:b/>
                <w:lang w:val="pt-BR"/>
              </w:rPr>
              <w:lastRenderedPageBreak/>
              <w:t>Orthoptera</w:t>
            </w:r>
          </w:p>
        </w:tc>
        <w:tc>
          <w:tcPr>
            <w:tcW w:w="728" w:type="pct"/>
            <w:shd w:val="clear" w:color="auto" w:fill="auto"/>
          </w:tcPr>
          <w:p w:rsidR="00555918" w:rsidRPr="00E400E4" w:rsidRDefault="00555918" w:rsidP="000B1771">
            <w:pPr>
              <w:pStyle w:val="TableText"/>
              <w:rPr>
                <w:lang w:val="pt-BR"/>
              </w:rPr>
            </w:pPr>
          </w:p>
        </w:tc>
        <w:tc>
          <w:tcPr>
            <w:tcW w:w="797" w:type="pct"/>
            <w:shd w:val="clear" w:color="auto" w:fill="auto"/>
          </w:tcPr>
          <w:p w:rsidR="00555918" w:rsidRPr="00E400E4" w:rsidRDefault="00555918" w:rsidP="000B1771">
            <w:pPr>
              <w:pStyle w:val="TableText"/>
              <w:rPr>
                <w:szCs w:val="16"/>
              </w:rPr>
            </w:pPr>
          </w:p>
        </w:tc>
        <w:tc>
          <w:tcPr>
            <w:tcW w:w="789" w:type="pct"/>
            <w:shd w:val="clear" w:color="auto" w:fill="auto"/>
          </w:tcPr>
          <w:p w:rsidR="00555918" w:rsidRPr="00E400E4" w:rsidRDefault="00555918" w:rsidP="000B1771">
            <w:pPr>
              <w:pStyle w:val="TableText"/>
              <w:rPr>
                <w:szCs w:val="16"/>
              </w:rPr>
            </w:pPr>
          </w:p>
        </w:tc>
        <w:tc>
          <w:tcPr>
            <w:tcW w:w="684" w:type="pct"/>
            <w:shd w:val="clear" w:color="auto" w:fill="auto"/>
          </w:tcPr>
          <w:p w:rsidR="00555918" w:rsidRPr="00E400E4" w:rsidRDefault="00555918" w:rsidP="000B1771">
            <w:pPr>
              <w:pStyle w:val="TableText"/>
              <w:rPr>
                <w:szCs w:val="16"/>
              </w:rPr>
            </w:pPr>
          </w:p>
        </w:tc>
        <w:tc>
          <w:tcPr>
            <w:tcW w:w="726" w:type="pct"/>
            <w:shd w:val="clear" w:color="auto" w:fill="auto"/>
          </w:tcPr>
          <w:p w:rsidR="00555918" w:rsidRPr="00E400E4" w:rsidRDefault="00555918" w:rsidP="000B1771">
            <w:pPr>
              <w:pStyle w:val="TableText"/>
              <w:rPr>
                <w:szCs w:val="16"/>
              </w:rPr>
            </w:pPr>
          </w:p>
        </w:tc>
        <w:tc>
          <w:tcPr>
            <w:tcW w:w="434" w:type="pct"/>
            <w:shd w:val="clear" w:color="auto" w:fill="auto"/>
          </w:tcPr>
          <w:p w:rsidR="00555918" w:rsidRPr="00E400E4" w:rsidRDefault="00555918" w:rsidP="000B1771">
            <w:pPr>
              <w:pStyle w:val="TableText"/>
            </w:pP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Gryllus fulvipennis</w:t>
            </w:r>
            <w:r w:rsidRPr="00E400E4">
              <w:rPr>
                <w:lang w:val="pt-BR"/>
              </w:rPr>
              <w:t xml:space="preserve"> Blanchard, 1854</w:t>
            </w:r>
          </w:p>
          <w:p w:rsidR="00555918" w:rsidRPr="00E400E4" w:rsidRDefault="00555918" w:rsidP="000B1771">
            <w:pPr>
              <w:pStyle w:val="TableText"/>
              <w:rPr>
                <w:lang w:val="pt-BR"/>
              </w:rPr>
            </w:pPr>
            <w:r w:rsidRPr="00E400E4">
              <w:rPr>
                <w:lang w:val="pt-BR"/>
              </w:rPr>
              <w:t>[Gryllidae]</w:t>
            </w:r>
          </w:p>
          <w:p w:rsidR="00555918" w:rsidRPr="00E400E4" w:rsidRDefault="00555918" w:rsidP="000B1771">
            <w:pPr>
              <w:pStyle w:val="TableText"/>
              <w:rPr>
                <w:lang w:val="pt-BR"/>
              </w:rPr>
            </w:pPr>
            <w:r w:rsidRPr="00E400E4">
              <w:rPr>
                <w:lang w:val="pt-BR"/>
              </w:rPr>
              <w:t>Field brown cricket</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(Ripa &amp; Larral 2008)</w:t>
            </w:r>
            <w:r w:rsidRPr="00E400E4">
              <w:rPr>
                <w:lang w:val="pt-BR"/>
              </w:rPr>
              <w:t>.</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Feeds on bark of avocado seedlings </w:t>
            </w:r>
            <w:r>
              <w:rPr>
                <w:noProof/>
                <w:szCs w:val="16"/>
              </w:rPr>
              <w:t>(Ripa &amp; Larral 2008)</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keepNext/>
              <w:rPr>
                <w:b/>
                <w:lang w:val="pt-BR"/>
              </w:rPr>
            </w:pPr>
            <w:r w:rsidRPr="00E400E4">
              <w:rPr>
                <w:b/>
                <w:lang w:val="pt-BR"/>
              </w:rPr>
              <w:t>Thysanoptera</w:t>
            </w:r>
          </w:p>
        </w:tc>
        <w:tc>
          <w:tcPr>
            <w:tcW w:w="728" w:type="pct"/>
            <w:shd w:val="clear" w:color="auto" w:fill="auto"/>
          </w:tcPr>
          <w:p w:rsidR="00555918" w:rsidRPr="00E400E4" w:rsidRDefault="00555918" w:rsidP="000B1771">
            <w:pPr>
              <w:pStyle w:val="TableText"/>
              <w:rPr>
                <w:lang w:val="pt-BR"/>
              </w:rPr>
            </w:pPr>
          </w:p>
        </w:tc>
        <w:tc>
          <w:tcPr>
            <w:tcW w:w="797" w:type="pct"/>
            <w:shd w:val="clear" w:color="auto" w:fill="auto"/>
          </w:tcPr>
          <w:p w:rsidR="00555918" w:rsidRPr="00E400E4" w:rsidRDefault="00555918" w:rsidP="000B1771">
            <w:pPr>
              <w:pStyle w:val="TableText"/>
              <w:rPr>
                <w:szCs w:val="16"/>
              </w:rPr>
            </w:pPr>
          </w:p>
        </w:tc>
        <w:tc>
          <w:tcPr>
            <w:tcW w:w="789" w:type="pct"/>
            <w:shd w:val="clear" w:color="auto" w:fill="auto"/>
          </w:tcPr>
          <w:p w:rsidR="00555918" w:rsidRPr="00E400E4" w:rsidRDefault="00555918" w:rsidP="000B1771">
            <w:pPr>
              <w:pStyle w:val="TableText"/>
              <w:rPr>
                <w:szCs w:val="16"/>
              </w:rPr>
            </w:pPr>
          </w:p>
        </w:tc>
        <w:tc>
          <w:tcPr>
            <w:tcW w:w="684" w:type="pct"/>
            <w:shd w:val="clear" w:color="auto" w:fill="auto"/>
          </w:tcPr>
          <w:p w:rsidR="00555918" w:rsidRPr="00E400E4" w:rsidRDefault="00555918" w:rsidP="000B1771">
            <w:pPr>
              <w:pStyle w:val="TableText"/>
              <w:rPr>
                <w:szCs w:val="16"/>
              </w:rPr>
            </w:pPr>
          </w:p>
        </w:tc>
        <w:tc>
          <w:tcPr>
            <w:tcW w:w="726" w:type="pct"/>
            <w:shd w:val="clear" w:color="auto" w:fill="auto"/>
          </w:tcPr>
          <w:p w:rsidR="00555918" w:rsidRPr="00E400E4" w:rsidRDefault="00555918" w:rsidP="000B1771">
            <w:pPr>
              <w:pStyle w:val="TableText"/>
              <w:rPr>
                <w:szCs w:val="16"/>
              </w:rPr>
            </w:pPr>
          </w:p>
        </w:tc>
        <w:tc>
          <w:tcPr>
            <w:tcW w:w="434" w:type="pct"/>
            <w:shd w:val="clear" w:color="auto" w:fill="auto"/>
          </w:tcPr>
          <w:p w:rsidR="00555918" w:rsidRPr="00E400E4" w:rsidRDefault="00555918" w:rsidP="000B1771">
            <w:pPr>
              <w:pStyle w:val="TableText"/>
            </w:pP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Frankliniella australis</w:t>
            </w:r>
            <w:r w:rsidRPr="00E400E4">
              <w:rPr>
                <w:lang w:val="pt-BR"/>
              </w:rPr>
              <w:t xml:space="preserve"> Morgan, 1925</w:t>
            </w:r>
          </w:p>
          <w:p w:rsidR="00555918" w:rsidRPr="00E400E4" w:rsidRDefault="00555918" w:rsidP="000B1771">
            <w:pPr>
              <w:pStyle w:val="TableText"/>
              <w:rPr>
                <w:lang w:val="pt-BR"/>
              </w:rPr>
            </w:pPr>
            <w:r w:rsidRPr="00E400E4">
              <w:rPr>
                <w:lang w:val="pt-BR"/>
              </w:rPr>
              <w:t>[Thripidae]</w:t>
            </w:r>
          </w:p>
          <w:p w:rsidR="00555918" w:rsidRPr="00E400E4" w:rsidRDefault="00555918" w:rsidP="000B1771">
            <w:pPr>
              <w:pStyle w:val="TableText"/>
              <w:rPr>
                <w:lang w:val="pt-BR"/>
              </w:rPr>
            </w:pPr>
            <w:r w:rsidRPr="00E400E4">
              <w:rPr>
                <w:lang w:val="pt-BR"/>
              </w:rPr>
              <w:t>Chilean flower thrips</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(Klein Koch &amp; Waterhouse 2000; López Laport &amp; Bermúdez Ortiz 2011; Ripa &amp; Larral 2008)</w:t>
            </w:r>
          </w:p>
        </w:tc>
        <w:tc>
          <w:tcPr>
            <w:tcW w:w="797" w:type="pct"/>
            <w:shd w:val="clear" w:color="auto" w:fill="auto"/>
          </w:tcPr>
          <w:p w:rsidR="00555918" w:rsidRPr="00E400E4" w:rsidRDefault="00555918" w:rsidP="000B1771">
            <w:pPr>
              <w:pStyle w:val="TableText"/>
              <w:rPr>
                <w:szCs w:val="16"/>
              </w:rPr>
            </w:pPr>
            <w:r w:rsidRPr="00E400E4">
              <w:rPr>
                <w:szCs w:val="16"/>
              </w:rPr>
              <w:t xml:space="preserve">No records found </w:t>
            </w:r>
            <w:r>
              <w:rPr>
                <w:noProof/>
                <w:szCs w:val="16"/>
              </w:rPr>
              <w:t>(Australian Government Department of Agriculture and Water Resources 2017)</w:t>
            </w:r>
          </w:p>
        </w:tc>
        <w:tc>
          <w:tcPr>
            <w:tcW w:w="789"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Frankliniella australis</w:t>
            </w:r>
            <w:r w:rsidRPr="00E400E4">
              <w:rPr>
                <w:szCs w:val="16"/>
              </w:rPr>
              <w:t xml:space="preserve"> has been reported present in northern Chile with avocado as a known host, but is not considered an important pest </w:t>
            </w:r>
            <w:r>
              <w:rPr>
                <w:noProof/>
                <w:szCs w:val="16"/>
              </w:rPr>
              <w:t>(Klein Koch &amp; Waterhouse 2000)</w:t>
            </w:r>
            <w:r w:rsidRPr="00E400E4">
              <w:rPr>
                <w:szCs w:val="16"/>
              </w:rPr>
              <w:t>.</w:t>
            </w:r>
          </w:p>
          <w:p w:rsidR="00555918" w:rsidRPr="00E400E4" w:rsidRDefault="00555918" w:rsidP="000B1771">
            <w:pPr>
              <w:pStyle w:val="TableText"/>
              <w:rPr>
                <w:szCs w:val="16"/>
              </w:rPr>
            </w:pPr>
            <w:r w:rsidRPr="00E400E4">
              <w:rPr>
                <w:szCs w:val="16"/>
              </w:rPr>
              <w:t xml:space="preserve">This pest is mainly found on flowers of avocado </w:t>
            </w:r>
            <w:r>
              <w:rPr>
                <w:noProof/>
                <w:szCs w:val="16"/>
              </w:rPr>
              <w:t>(Agostini et al. 2005)</w:t>
            </w:r>
            <w:r w:rsidRPr="00E400E4">
              <w:rPr>
                <w:szCs w:val="16"/>
              </w:rPr>
              <w:t xml:space="preserve"> but it is also likely to be on avocado fruit because it can be found on fruit of its hosts and may cause fruit scarring </w:t>
            </w:r>
            <w:r>
              <w:rPr>
                <w:noProof/>
                <w:szCs w:val="16"/>
              </w:rPr>
              <w:t>(de Borbón et al. 2008; Gonzalez 1983)</w:t>
            </w:r>
            <w:r w:rsidRPr="00E400E4">
              <w:rPr>
                <w:szCs w:val="16"/>
              </w:rPr>
              <w:t>.</w:t>
            </w:r>
          </w:p>
          <w:p w:rsidR="00555918" w:rsidRPr="00E400E4" w:rsidRDefault="00555918" w:rsidP="000B1771">
            <w:pPr>
              <w:pStyle w:val="TableText"/>
              <w:rPr>
                <w:szCs w:val="16"/>
              </w:rPr>
            </w:pPr>
            <w:r w:rsidRPr="00E400E4">
              <w:rPr>
                <w:i/>
                <w:szCs w:val="16"/>
              </w:rPr>
              <w:t>Frankliniella australis</w:t>
            </w:r>
            <w:r w:rsidRPr="00E400E4">
              <w:rPr>
                <w:szCs w:val="16"/>
              </w:rPr>
              <w:t xml:space="preserve"> has been detected on fresh fruit exported from Chile, mainly on raspberries, kiwifruit and nectarines </w:t>
            </w:r>
            <w:r>
              <w:rPr>
                <w:noProof/>
                <w:szCs w:val="16"/>
              </w:rPr>
              <w:t>(Araya, Curkovic &amp; Zárate 2007)</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 xml:space="preserve">Yes. Assessed in the thrips </w:t>
            </w:r>
            <w:r>
              <w:rPr>
                <w:szCs w:val="16"/>
              </w:rPr>
              <w:t>G</w:t>
            </w:r>
            <w:r w:rsidRPr="00E400E4">
              <w:rPr>
                <w:szCs w:val="16"/>
              </w:rPr>
              <w:t xml:space="preserve">roup PRA </w:t>
            </w:r>
            <w:r>
              <w:rPr>
                <w:noProof/>
                <w:szCs w:val="16"/>
              </w:rPr>
              <w:t>(Australian Government Department of Agriculture and Water Resources 2017)</w:t>
            </w:r>
          </w:p>
        </w:tc>
        <w:tc>
          <w:tcPr>
            <w:tcW w:w="726" w:type="pct"/>
            <w:shd w:val="clear" w:color="auto" w:fill="auto"/>
          </w:tcPr>
          <w:p w:rsidR="00555918" w:rsidRPr="00E400E4" w:rsidRDefault="00555918" w:rsidP="000B1771">
            <w:pPr>
              <w:pStyle w:val="TableText"/>
              <w:rPr>
                <w:szCs w:val="16"/>
              </w:rPr>
            </w:pPr>
            <w:r w:rsidRPr="00E400E4">
              <w:rPr>
                <w:szCs w:val="16"/>
              </w:rPr>
              <w:t xml:space="preserve">Yes. Assessed in the thrips </w:t>
            </w:r>
            <w:r>
              <w:rPr>
                <w:szCs w:val="16"/>
              </w:rPr>
              <w:t>G</w:t>
            </w:r>
            <w:r w:rsidRPr="00E400E4">
              <w:rPr>
                <w:szCs w:val="16"/>
              </w:rPr>
              <w:t xml:space="preserve">roup PRA </w:t>
            </w:r>
            <w:r>
              <w:rPr>
                <w:noProof/>
                <w:szCs w:val="16"/>
              </w:rPr>
              <w:t>(Australian Government Department of Agriculture and Water Resources 2017)</w:t>
            </w:r>
          </w:p>
        </w:tc>
        <w:tc>
          <w:tcPr>
            <w:tcW w:w="434" w:type="pct"/>
            <w:shd w:val="clear" w:color="auto" w:fill="auto"/>
          </w:tcPr>
          <w:p w:rsidR="00555918" w:rsidRPr="00E400E4" w:rsidRDefault="00555918" w:rsidP="000B1771">
            <w:pPr>
              <w:pStyle w:val="TableText"/>
            </w:pPr>
            <w:r w:rsidRPr="00E400E4">
              <w:t xml:space="preserve">Thrips </w:t>
            </w:r>
            <w:r>
              <w:t>G</w:t>
            </w:r>
            <w:r w:rsidRPr="00E400E4">
              <w:t xml:space="preserve">roup PRA applied </w:t>
            </w:r>
            <w:r>
              <w:rPr>
                <w:noProof/>
              </w:rPr>
              <w:t>(Australian Government Department of Agriculture and Water Resources 2017)</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 xml:space="preserve">Frankliniella gemina </w:t>
            </w:r>
            <w:r w:rsidRPr="00E400E4">
              <w:rPr>
                <w:lang w:val="pt-BR"/>
              </w:rPr>
              <w:t>Bagnall, 1919</w:t>
            </w:r>
          </w:p>
          <w:p w:rsidR="00555918" w:rsidRPr="00E400E4" w:rsidRDefault="00555918" w:rsidP="000B1771">
            <w:pPr>
              <w:pStyle w:val="TableText"/>
              <w:rPr>
                <w:lang w:val="pt-BR"/>
              </w:rPr>
            </w:pPr>
            <w:r w:rsidRPr="00E400E4">
              <w:rPr>
                <w:lang w:val="pt-BR"/>
              </w:rPr>
              <w:t>[Thripidae]</w:t>
            </w:r>
          </w:p>
          <w:p w:rsidR="00555918" w:rsidRPr="00E400E4" w:rsidRDefault="00555918" w:rsidP="000B1771">
            <w:pPr>
              <w:pStyle w:val="TableText"/>
              <w:rPr>
                <w:lang w:val="pt-BR"/>
              </w:rPr>
            </w:pPr>
            <w:r w:rsidRPr="00E400E4">
              <w:rPr>
                <w:lang w:val="pt-BR"/>
              </w:rPr>
              <w:t>Tamarugo thrips</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(CONAF 2008; Klein Koch &amp; Waterhouse 2000)</w:t>
            </w:r>
          </w:p>
        </w:tc>
        <w:tc>
          <w:tcPr>
            <w:tcW w:w="797" w:type="pct"/>
            <w:shd w:val="clear" w:color="auto" w:fill="auto"/>
          </w:tcPr>
          <w:p w:rsidR="00555918" w:rsidRPr="00E400E4" w:rsidRDefault="00555918" w:rsidP="000B1771">
            <w:pPr>
              <w:pStyle w:val="TableText"/>
              <w:rPr>
                <w:szCs w:val="16"/>
              </w:rPr>
            </w:pPr>
            <w:r w:rsidRPr="00E400E4">
              <w:rPr>
                <w:szCs w:val="16"/>
              </w:rPr>
              <w:t xml:space="preserve">No records found </w:t>
            </w:r>
            <w:r>
              <w:rPr>
                <w:noProof/>
                <w:szCs w:val="16"/>
              </w:rPr>
              <w:t>(Australian Government Department of Agriculture and Water Resources 2017)</w:t>
            </w:r>
          </w:p>
        </w:tc>
        <w:tc>
          <w:tcPr>
            <w:tcW w:w="789"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Frankliniella gemina</w:t>
            </w:r>
            <w:r w:rsidRPr="00E400E4">
              <w:rPr>
                <w:szCs w:val="16"/>
              </w:rPr>
              <w:t xml:space="preserve"> has been reported to cause damage to avocado fruit </w:t>
            </w:r>
            <w:r>
              <w:rPr>
                <w:noProof/>
                <w:szCs w:val="16"/>
              </w:rPr>
              <w:t>(Agostini et al. 2005)</w:t>
            </w:r>
            <w:r w:rsidRPr="00E400E4">
              <w:rPr>
                <w:szCs w:val="16"/>
              </w:rPr>
              <w:t xml:space="preserve">. It is usually associated with flowers and floral structures of its hosts which include fruit trees and </w:t>
            </w:r>
            <w:r w:rsidRPr="00E400E4">
              <w:rPr>
                <w:i/>
                <w:szCs w:val="16"/>
              </w:rPr>
              <w:t>Nothofagus macrocarpa</w:t>
            </w:r>
            <w:r w:rsidRPr="00E400E4">
              <w:rPr>
                <w:szCs w:val="16"/>
              </w:rPr>
              <w:t xml:space="preserve">, a deciduous tree endemic to central Chile </w:t>
            </w:r>
            <w:r>
              <w:rPr>
                <w:noProof/>
                <w:szCs w:val="16"/>
              </w:rPr>
              <w:t>(CONAF 2008)</w:t>
            </w:r>
            <w:r w:rsidRPr="00E400E4">
              <w:rPr>
                <w:szCs w:val="16"/>
              </w:rPr>
              <w:t xml:space="preserve">. </w:t>
            </w:r>
            <w:r w:rsidRPr="00E400E4">
              <w:rPr>
                <w:i/>
                <w:szCs w:val="16"/>
              </w:rPr>
              <w:t>Frankliniella gemina</w:t>
            </w:r>
            <w:r w:rsidRPr="00E400E4">
              <w:rPr>
                <w:szCs w:val="16"/>
              </w:rPr>
              <w:t xml:space="preserve"> was found associated with young foliage and flowers of avocado in Brazil </w:t>
            </w:r>
            <w:r>
              <w:rPr>
                <w:noProof/>
                <w:szCs w:val="16"/>
              </w:rPr>
              <w:t>(Hoddle, Nakahara &amp; Phillips 2002)</w:t>
            </w:r>
            <w:r w:rsidRPr="00E400E4">
              <w:rPr>
                <w:szCs w:val="16"/>
              </w:rPr>
              <w:t xml:space="preserve">. </w:t>
            </w:r>
          </w:p>
          <w:p w:rsidR="00555918" w:rsidRPr="00E400E4" w:rsidRDefault="00555918" w:rsidP="000B1771">
            <w:pPr>
              <w:pStyle w:val="TableText"/>
              <w:rPr>
                <w:szCs w:val="16"/>
              </w:rPr>
            </w:pPr>
            <w:r w:rsidRPr="00E400E4">
              <w:rPr>
                <w:szCs w:val="16"/>
              </w:rPr>
              <w:t xml:space="preserve">Species of the family Thripidae lay their eggs into living plant tissue </w:t>
            </w:r>
            <w:r>
              <w:rPr>
                <w:noProof/>
                <w:szCs w:val="16"/>
              </w:rPr>
              <w:t>(Morse &amp; Hoddle 2006)</w:t>
            </w:r>
            <w:r w:rsidRPr="00E400E4">
              <w:rPr>
                <w:szCs w:val="16"/>
              </w:rPr>
              <w:t xml:space="preserve">. On citrus, </w:t>
            </w:r>
            <w:r w:rsidRPr="00E400E4">
              <w:rPr>
                <w:i/>
                <w:szCs w:val="16"/>
              </w:rPr>
              <w:t>F. gemina</w:t>
            </w:r>
            <w:r w:rsidRPr="00E400E4">
              <w:rPr>
                <w:szCs w:val="16"/>
              </w:rPr>
              <w:t xml:space="preserve"> can oviposit in, and feed on, small fruit </w:t>
            </w:r>
            <w:r>
              <w:rPr>
                <w:noProof/>
                <w:szCs w:val="16"/>
              </w:rPr>
              <w:t>(Anderson 1996)</w:t>
            </w:r>
            <w:r w:rsidRPr="00E400E4">
              <w:rPr>
                <w:szCs w:val="16"/>
              </w:rPr>
              <w:t>. A similar biology is expected on avocado.</w:t>
            </w:r>
          </w:p>
        </w:tc>
        <w:tc>
          <w:tcPr>
            <w:tcW w:w="684" w:type="pct"/>
            <w:shd w:val="clear" w:color="auto" w:fill="auto"/>
          </w:tcPr>
          <w:p w:rsidR="00555918" w:rsidRPr="00E400E4" w:rsidRDefault="00555918" w:rsidP="000B1771">
            <w:pPr>
              <w:pStyle w:val="TableText"/>
              <w:rPr>
                <w:szCs w:val="16"/>
              </w:rPr>
            </w:pPr>
            <w:r w:rsidRPr="00E400E4">
              <w:rPr>
                <w:szCs w:val="16"/>
              </w:rPr>
              <w:t xml:space="preserve">Yes. Assessed in the thrips </w:t>
            </w:r>
            <w:r>
              <w:rPr>
                <w:szCs w:val="16"/>
              </w:rPr>
              <w:t>G</w:t>
            </w:r>
            <w:r w:rsidRPr="00E400E4">
              <w:rPr>
                <w:szCs w:val="16"/>
              </w:rPr>
              <w:t xml:space="preserve">roup PRA </w:t>
            </w:r>
            <w:r>
              <w:rPr>
                <w:noProof/>
                <w:szCs w:val="16"/>
              </w:rPr>
              <w:t>(Australian Government Department of Agriculture and Water Resources 2017)</w:t>
            </w:r>
          </w:p>
        </w:tc>
        <w:tc>
          <w:tcPr>
            <w:tcW w:w="726" w:type="pct"/>
            <w:shd w:val="clear" w:color="auto" w:fill="auto"/>
          </w:tcPr>
          <w:p w:rsidR="00555918" w:rsidRPr="00E400E4" w:rsidRDefault="00555918" w:rsidP="000B1771">
            <w:pPr>
              <w:pStyle w:val="TableText"/>
              <w:rPr>
                <w:szCs w:val="16"/>
              </w:rPr>
            </w:pPr>
            <w:r w:rsidRPr="00E400E4">
              <w:rPr>
                <w:szCs w:val="16"/>
              </w:rPr>
              <w:t xml:space="preserve">Yes. Assessed in the thrips </w:t>
            </w:r>
            <w:r>
              <w:rPr>
                <w:szCs w:val="16"/>
              </w:rPr>
              <w:t>G</w:t>
            </w:r>
            <w:r w:rsidRPr="00E400E4">
              <w:rPr>
                <w:szCs w:val="16"/>
              </w:rPr>
              <w:t xml:space="preserve">roup PRA </w:t>
            </w:r>
            <w:r>
              <w:rPr>
                <w:noProof/>
                <w:szCs w:val="16"/>
              </w:rPr>
              <w:t>(Australian Government Department of Agriculture and Water Resources 2017)</w:t>
            </w:r>
          </w:p>
        </w:tc>
        <w:tc>
          <w:tcPr>
            <w:tcW w:w="434" w:type="pct"/>
            <w:shd w:val="clear" w:color="auto" w:fill="auto"/>
          </w:tcPr>
          <w:p w:rsidR="00555918" w:rsidRPr="00E400E4" w:rsidRDefault="00555918" w:rsidP="000B1771">
            <w:pPr>
              <w:pStyle w:val="TableText"/>
            </w:pPr>
            <w:r w:rsidRPr="00E400E4">
              <w:t xml:space="preserve">Thrips </w:t>
            </w:r>
            <w:r>
              <w:t>G</w:t>
            </w:r>
            <w:r w:rsidRPr="00E400E4">
              <w:t xml:space="preserve">roup PRA applied </w:t>
            </w:r>
            <w:r>
              <w:rPr>
                <w:noProof/>
              </w:rPr>
              <w:t>(Australian Government Department of Agriculture and Water Resources 2017)</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 xml:space="preserve">Frankliniella occidentalis </w:t>
            </w:r>
            <w:r w:rsidRPr="00E400E4">
              <w:rPr>
                <w:lang w:val="pt-BR"/>
              </w:rPr>
              <w:t>(Pergande, 1895)</w:t>
            </w:r>
          </w:p>
          <w:p w:rsidR="00555918" w:rsidRPr="00E400E4" w:rsidRDefault="00555918" w:rsidP="000B1771">
            <w:pPr>
              <w:pStyle w:val="TableText"/>
              <w:rPr>
                <w:lang w:val="pt-BR"/>
              </w:rPr>
            </w:pPr>
            <w:r w:rsidRPr="00E400E4">
              <w:rPr>
                <w:lang w:val="pt-BR"/>
              </w:rPr>
              <w:t>[Thripidae]</w:t>
            </w:r>
          </w:p>
          <w:p w:rsidR="00555918" w:rsidRPr="00E400E4" w:rsidRDefault="00555918" w:rsidP="000B1771">
            <w:pPr>
              <w:pStyle w:val="TableText"/>
              <w:rPr>
                <w:lang w:val="pt-BR"/>
              </w:rPr>
            </w:pPr>
            <w:r w:rsidRPr="00E400E4">
              <w:rPr>
                <w:lang w:val="pt-BR"/>
              </w:rPr>
              <w:t>Western flower thrips</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(CABI 2019a; Ripa &amp; Larral 2008; Wang et al. 2010)</w:t>
            </w:r>
          </w:p>
        </w:tc>
        <w:tc>
          <w:tcPr>
            <w:tcW w:w="797" w:type="pct"/>
            <w:shd w:val="clear" w:color="auto" w:fill="auto"/>
          </w:tcPr>
          <w:p w:rsidR="00555918" w:rsidRPr="00E400E4" w:rsidRDefault="00555918" w:rsidP="000B1771">
            <w:pPr>
              <w:pStyle w:val="TableText"/>
              <w:rPr>
                <w:szCs w:val="16"/>
              </w:rPr>
            </w:pPr>
            <w:r w:rsidRPr="00E400E4">
              <w:rPr>
                <w:szCs w:val="16"/>
              </w:rPr>
              <w:t xml:space="preserve">Yes. All states except the NT </w:t>
            </w:r>
            <w:r>
              <w:rPr>
                <w:noProof/>
                <w:szCs w:val="16"/>
              </w:rPr>
              <w:t>(Australian Government Department of Agriculture and Water Resources 2017)</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Frankliniella occidentalis</w:t>
            </w:r>
            <w:r w:rsidRPr="00E400E4">
              <w:rPr>
                <w:szCs w:val="16"/>
              </w:rPr>
              <w:t xml:space="preserve"> has been reported on young fruit of avocado </w:t>
            </w:r>
            <w:r>
              <w:rPr>
                <w:noProof/>
                <w:szCs w:val="16"/>
              </w:rPr>
              <w:t>(Castaneda-Gonzalez et al. 2003; Johansen &amp; Mojica 2007; Ripa 2008b)</w:t>
            </w:r>
            <w:r w:rsidRPr="00E400E4">
              <w:rPr>
                <w:szCs w:val="16"/>
              </w:rPr>
              <w:t xml:space="preserve">. It prefers to feed on flowers of its hosts, but will also feed on leaves, fruit or stems </w:t>
            </w:r>
            <w:r>
              <w:rPr>
                <w:noProof/>
                <w:szCs w:val="16"/>
              </w:rPr>
              <w:t>(Hodges et al. 2009)</w:t>
            </w:r>
            <w:r w:rsidRPr="00E400E4">
              <w:rPr>
                <w:szCs w:val="16"/>
              </w:rPr>
              <w:t xml:space="preserve">. Both larvae and adults are mainly found on flowers of avocado and disperse after flowering is complete </w:t>
            </w:r>
            <w:r>
              <w:rPr>
                <w:noProof/>
                <w:szCs w:val="16"/>
              </w:rPr>
              <w:t>(Hoddle 2013)</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 xml:space="preserve">Yes. Assessed in the thrips </w:t>
            </w:r>
            <w:r>
              <w:rPr>
                <w:szCs w:val="16"/>
              </w:rPr>
              <w:t>G</w:t>
            </w:r>
            <w:r w:rsidRPr="00E400E4">
              <w:rPr>
                <w:szCs w:val="16"/>
              </w:rPr>
              <w:t xml:space="preserve">roup PRA </w:t>
            </w:r>
            <w:r>
              <w:rPr>
                <w:noProof/>
                <w:szCs w:val="16"/>
              </w:rPr>
              <w:t>(Australian Government Department of Agriculture and Water Resources 2017)</w:t>
            </w:r>
            <w:r w:rsidRPr="00E400E4">
              <w:rPr>
                <w:szCs w:val="16"/>
              </w:rPr>
              <w:t>.</w:t>
            </w:r>
          </w:p>
        </w:tc>
        <w:tc>
          <w:tcPr>
            <w:tcW w:w="726" w:type="pct"/>
            <w:shd w:val="clear" w:color="auto" w:fill="auto"/>
          </w:tcPr>
          <w:p w:rsidR="00555918" w:rsidRPr="00E400E4" w:rsidRDefault="00555918" w:rsidP="000B1771">
            <w:pPr>
              <w:pStyle w:val="TableText"/>
              <w:rPr>
                <w:szCs w:val="16"/>
              </w:rPr>
            </w:pPr>
            <w:r w:rsidRPr="00E400E4">
              <w:rPr>
                <w:szCs w:val="16"/>
              </w:rPr>
              <w:t xml:space="preserve">Yes. Assessed in the thrips </w:t>
            </w:r>
            <w:r>
              <w:rPr>
                <w:szCs w:val="16"/>
              </w:rPr>
              <w:t>G</w:t>
            </w:r>
            <w:r w:rsidRPr="00E400E4">
              <w:rPr>
                <w:szCs w:val="16"/>
              </w:rPr>
              <w:t xml:space="preserve">roup PRA </w:t>
            </w:r>
            <w:r>
              <w:rPr>
                <w:noProof/>
                <w:szCs w:val="16"/>
              </w:rPr>
              <w:t>(Australian Government Department of Agriculture and Water Resources 2017)</w:t>
            </w:r>
            <w:r w:rsidRPr="00E400E4">
              <w:rPr>
                <w:szCs w:val="16"/>
              </w:rPr>
              <w:t>.</w:t>
            </w:r>
          </w:p>
        </w:tc>
        <w:tc>
          <w:tcPr>
            <w:tcW w:w="434" w:type="pct"/>
            <w:shd w:val="clear" w:color="auto" w:fill="auto"/>
          </w:tcPr>
          <w:p w:rsidR="00555918" w:rsidRPr="00E400E4" w:rsidRDefault="00555918" w:rsidP="000B1771">
            <w:pPr>
              <w:pStyle w:val="TableText"/>
            </w:pPr>
            <w:r w:rsidRPr="00E400E4">
              <w:t xml:space="preserve">Thrips </w:t>
            </w:r>
            <w:r>
              <w:t>G</w:t>
            </w:r>
            <w:r w:rsidRPr="00E400E4">
              <w:t xml:space="preserve">roup PRA applied </w:t>
            </w:r>
            <w:r>
              <w:rPr>
                <w:noProof/>
              </w:rPr>
              <w:t>(Australian Government Department of Agriculture and Water Resources 2017)</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keepNext/>
              <w:rPr>
                <w:b/>
                <w:lang w:val="pt-BR"/>
              </w:rPr>
            </w:pPr>
            <w:r w:rsidRPr="00E400E4">
              <w:rPr>
                <w:b/>
                <w:lang w:val="pt-BR"/>
              </w:rPr>
              <w:t>Trombidiformes</w:t>
            </w:r>
          </w:p>
        </w:tc>
        <w:tc>
          <w:tcPr>
            <w:tcW w:w="728" w:type="pct"/>
            <w:shd w:val="clear" w:color="auto" w:fill="auto"/>
          </w:tcPr>
          <w:p w:rsidR="00555918" w:rsidRPr="00E400E4" w:rsidRDefault="00555918" w:rsidP="000B1771">
            <w:pPr>
              <w:pStyle w:val="TableText"/>
              <w:rPr>
                <w:lang w:val="pt-BR"/>
              </w:rPr>
            </w:pPr>
          </w:p>
        </w:tc>
        <w:tc>
          <w:tcPr>
            <w:tcW w:w="797" w:type="pct"/>
            <w:shd w:val="clear" w:color="auto" w:fill="auto"/>
          </w:tcPr>
          <w:p w:rsidR="00555918" w:rsidRPr="00E400E4" w:rsidRDefault="00555918" w:rsidP="000B1771">
            <w:pPr>
              <w:pStyle w:val="TableText"/>
              <w:rPr>
                <w:szCs w:val="16"/>
              </w:rPr>
            </w:pPr>
          </w:p>
        </w:tc>
        <w:tc>
          <w:tcPr>
            <w:tcW w:w="789" w:type="pct"/>
            <w:shd w:val="clear" w:color="auto" w:fill="auto"/>
          </w:tcPr>
          <w:p w:rsidR="00555918" w:rsidRPr="00E400E4" w:rsidRDefault="00555918" w:rsidP="000B1771">
            <w:pPr>
              <w:pStyle w:val="TableText"/>
              <w:rPr>
                <w:szCs w:val="16"/>
              </w:rPr>
            </w:pPr>
          </w:p>
        </w:tc>
        <w:tc>
          <w:tcPr>
            <w:tcW w:w="684" w:type="pct"/>
            <w:shd w:val="clear" w:color="auto" w:fill="auto"/>
          </w:tcPr>
          <w:p w:rsidR="00555918" w:rsidRPr="00E400E4" w:rsidRDefault="00555918" w:rsidP="000B1771">
            <w:pPr>
              <w:pStyle w:val="TableText"/>
              <w:rPr>
                <w:szCs w:val="16"/>
              </w:rPr>
            </w:pPr>
          </w:p>
        </w:tc>
        <w:tc>
          <w:tcPr>
            <w:tcW w:w="726" w:type="pct"/>
            <w:shd w:val="clear" w:color="auto" w:fill="auto"/>
          </w:tcPr>
          <w:p w:rsidR="00555918" w:rsidRPr="00E400E4" w:rsidRDefault="00555918" w:rsidP="000B1771">
            <w:pPr>
              <w:pStyle w:val="TableText"/>
              <w:rPr>
                <w:szCs w:val="16"/>
              </w:rPr>
            </w:pPr>
          </w:p>
        </w:tc>
        <w:tc>
          <w:tcPr>
            <w:tcW w:w="434" w:type="pct"/>
            <w:shd w:val="clear" w:color="auto" w:fill="auto"/>
          </w:tcPr>
          <w:p w:rsidR="00555918" w:rsidRPr="00E400E4" w:rsidRDefault="00555918" w:rsidP="000B1771">
            <w:pPr>
              <w:pStyle w:val="TableText"/>
            </w:pP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Brevipalpus californicus</w:t>
            </w:r>
            <w:r w:rsidRPr="00E400E4">
              <w:rPr>
                <w:lang w:val="pt-BR"/>
              </w:rPr>
              <w:t xml:space="preserve"> (Banks, 1904)</w:t>
            </w:r>
          </w:p>
          <w:p w:rsidR="00555918" w:rsidRPr="00E400E4" w:rsidRDefault="00555918" w:rsidP="000B1771">
            <w:pPr>
              <w:pStyle w:val="TableText"/>
              <w:rPr>
                <w:lang w:val="pt-BR"/>
              </w:rPr>
            </w:pPr>
            <w:r w:rsidRPr="00E400E4">
              <w:rPr>
                <w:lang w:val="pt-BR"/>
              </w:rPr>
              <w:t>Synonym: Brevipalpus australis Baker, 1949</w:t>
            </w:r>
          </w:p>
          <w:p w:rsidR="00555918" w:rsidRPr="00E400E4" w:rsidRDefault="00555918" w:rsidP="000B1771">
            <w:pPr>
              <w:pStyle w:val="TableText"/>
              <w:rPr>
                <w:lang w:val="pt-BR"/>
              </w:rPr>
            </w:pPr>
            <w:r w:rsidRPr="00E400E4">
              <w:rPr>
                <w:lang w:val="pt-BR"/>
              </w:rPr>
              <w:t>[Tenuipalpidae]</w:t>
            </w:r>
          </w:p>
          <w:p w:rsidR="00555918" w:rsidRPr="00E400E4" w:rsidRDefault="00555918" w:rsidP="000B1771">
            <w:pPr>
              <w:pStyle w:val="TableText"/>
              <w:rPr>
                <w:lang w:val="pt-BR"/>
              </w:rPr>
            </w:pPr>
            <w:r w:rsidRPr="00E400E4">
              <w:rPr>
                <w:lang w:val="pt-BR"/>
              </w:rPr>
              <w:t>Citrus flat mite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(Klein Koch &amp; Waterhouse 2000)</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Brevipalpus obovatus</w:t>
            </w:r>
            <w:r w:rsidRPr="00E400E4">
              <w:rPr>
                <w:lang w:val="pt-BR"/>
              </w:rPr>
              <w:t xml:space="preserve"> Donnadieu, 1875</w:t>
            </w:r>
          </w:p>
          <w:p w:rsidR="00555918" w:rsidRPr="00E400E4" w:rsidRDefault="00555918" w:rsidP="000B1771">
            <w:pPr>
              <w:pStyle w:val="TableText"/>
              <w:rPr>
                <w:lang w:val="pt-BR"/>
              </w:rPr>
            </w:pPr>
            <w:r w:rsidRPr="00E400E4">
              <w:rPr>
                <w:lang w:val="pt-BR"/>
              </w:rPr>
              <w:t>[Tenuipalpidae]</w:t>
            </w:r>
          </w:p>
          <w:p w:rsidR="00555918" w:rsidRPr="00E400E4" w:rsidRDefault="00555918" w:rsidP="000B1771">
            <w:pPr>
              <w:pStyle w:val="TableText"/>
              <w:rPr>
                <w:lang w:val="pt-BR"/>
              </w:rPr>
            </w:pPr>
            <w:r w:rsidRPr="00E400E4">
              <w:rPr>
                <w:lang w:val="pt-BR"/>
              </w:rPr>
              <w:t>Privet mite, scarlet tea mite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(Klein Koch &amp; Waterhouse 2000; Vacante 2016)</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SA, WA </w:t>
            </w:r>
            <w:r>
              <w:rPr>
                <w:noProof/>
                <w:szCs w:val="16"/>
              </w:rPr>
              <w:t>(CABI 2019a; CSIRO 2004; Government of Western Australia 2019; Plant Health Australia 2019)</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Brevipalpus phoenicis</w:t>
            </w:r>
            <w:r w:rsidRPr="00E400E4">
              <w:rPr>
                <w:lang w:val="pt-BR"/>
              </w:rPr>
              <w:t xml:space="preserve"> (Geijskes, 1939)</w:t>
            </w:r>
          </w:p>
          <w:p w:rsidR="00555918" w:rsidRPr="00E400E4" w:rsidRDefault="00555918" w:rsidP="000B1771">
            <w:pPr>
              <w:pStyle w:val="TableText"/>
              <w:rPr>
                <w:lang w:val="pt-BR"/>
              </w:rPr>
            </w:pPr>
            <w:r w:rsidRPr="00E400E4">
              <w:rPr>
                <w:lang w:val="pt-BR"/>
              </w:rPr>
              <w:t>[Tenuipalpidae]</w:t>
            </w:r>
          </w:p>
          <w:p w:rsidR="00555918" w:rsidRPr="00E400E4" w:rsidRDefault="00555918" w:rsidP="000B1771">
            <w:pPr>
              <w:pStyle w:val="TableText"/>
              <w:rPr>
                <w:lang w:val="pt-BR"/>
              </w:rPr>
            </w:pPr>
            <w:r w:rsidRPr="00E400E4">
              <w:rPr>
                <w:lang w:val="pt-BR"/>
              </w:rPr>
              <w:t>Red and black flat mite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(CABI 2019a)</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SA, WA </w:t>
            </w:r>
            <w:r>
              <w:rPr>
                <w:noProof/>
                <w:szCs w:val="16"/>
              </w:rPr>
              <w:t>(Government of Western Australia 2019; Plant Health Australia 2019)</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Eotetranychus sexmaculatus</w:t>
            </w:r>
            <w:r w:rsidRPr="00E400E4">
              <w:rPr>
                <w:lang w:val="pt-BR"/>
              </w:rPr>
              <w:t xml:space="preserve"> (Riley, 1890)</w:t>
            </w:r>
          </w:p>
          <w:p w:rsidR="00555918" w:rsidRPr="00E400E4" w:rsidRDefault="00555918" w:rsidP="000B1771">
            <w:pPr>
              <w:pStyle w:val="TableText"/>
              <w:rPr>
                <w:lang w:val="pt-BR"/>
              </w:rPr>
            </w:pPr>
            <w:r w:rsidRPr="00E400E4">
              <w:rPr>
                <w:lang w:val="pt-BR"/>
              </w:rPr>
              <w:t>[Tetranychidae]</w:t>
            </w:r>
          </w:p>
          <w:p w:rsidR="00555918" w:rsidRPr="00E400E4" w:rsidRDefault="00555918" w:rsidP="000B1771">
            <w:pPr>
              <w:pStyle w:val="TableText"/>
              <w:rPr>
                <w:lang w:val="pt-BR"/>
              </w:rPr>
            </w:pPr>
            <w:r w:rsidRPr="00E400E4">
              <w:rPr>
                <w:lang w:val="pt-BR"/>
              </w:rPr>
              <w:t>Six-spotted mite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(Steven, Valenzuela &amp; Gonzalez 1997)</w:t>
            </w:r>
          </w:p>
        </w:tc>
        <w:tc>
          <w:tcPr>
            <w:tcW w:w="797" w:type="pct"/>
            <w:shd w:val="clear" w:color="auto" w:fill="auto"/>
          </w:tcPr>
          <w:p w:rsidR="00555918" w:rsidRPr="00E400E4" w:rsidRDefault="00555918" w:rsidP="000B1771">
            <w:pPr>
              <w:pStyle w:val="TableText"/>
              <w:rPr>
                <w:szCs w:val="16"/>
              </w:rPr>
            </w:pPr>
            <w:r w:rsidRPr="00E400E4">
              <w:rPr>
                <w:szCs w:val="16"/>
              </w:rPr>
              <w:t xml:space="preserve">No. A recent study re-examined the Australian specimens previously identified as </w:t>
            </w:r>
            <w:r w:rsidRPr="00E400E4">
              <w:rPr>
                <w:i/>
                <w:szCs w:val="16"/>
              </w:rPr>
              <w:t>E. sexmaculatus</w:t>
            </w:r>
            <w:r w:rsidRPr="00E400E4">
              <w:rPr>
                <w:szCs w:val="16"/>
              </w:rPr>
              <w:t xml:space="preserve"> concluding that all Australian specimens are a different species, </w:t>
            </w:r>
            <w:r w:rsidRPr="00E400E4">
              <w:rPr>
                <w:i/>
                <w:szCs w:val="16"/>
              </w:rPr>
              <w:t>E. queenslandicus</w:t>
            </w:r>
            <w:r w:rsidRPr="00E400E4">
              <w:rPr>
                <w:szCs w:val="16"/>
              </w:rPr>
              <w:t xml:space="preserve">, and that </w:t>
            </w:r>
            <w:r w:rsidRPr="00E400E4">
              <w:rPr>
                <w:i/>
                <w:szCs w:val="16"/>
              </w:rPr>
              <w:t>E. sexmaculatus</w:t>
            </w:r>
            <w:r w:rsidRPr="00E400E4">
              <w:rPr>
                <w:szCs w:val="16"/>
              </w:rPr>
              <w:t xml:space="preserve"> is no longer considered present in Australia </w:t>
            </w:r>
            <w:r>
              <w:rPr>
                <w:noProof/>
                <w:szCs w:val="16"/>
              </w:rPr>
              <w:t>(Seeman, Beard &amp; Zhang 2017)</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 xml:space="preserve">No. Although this mite is a pest of avocado, it feeds and lays its eggs on the underside of avocado leaves </w:t>
            </w:r>
            <w:r>
              <w:rPr>
                <w:noProof/>
                <w:szCs w:val="16"/>
              </w:rPr>
              <w:t>(Faber, Morse &amp; Hoddle 2016; Jeppson, Keifer &amp; Baker 1975; Vacante 2016)</w:t>
            </w:r>
            <w:r w:rsidRPr="00E400E4">
              <w:rPr>
                <w:szCs w:val="16"/>
              </w:rPr>
              <w:t xml:space="preserve">. </w:t>
            </w:r>
            <w:r w:rsidRPr="00E400E4">
              <w:rPr>
                <w:i/>
                <w:szCs w:val="16"/>
              </w:rPr>
              <w:t>Eotetranychus sexmaculatus</w:t>
            </w:r>
            <w:r w:rsidRPr="00E400E4">
              <w:rPr>
                <w:szCs w:val="16"/>
              </w:rPr>
              <w:t xml:space="preserve"> is generally not considered associated with avocado fruit </w:t>
            </w:r>
            <w:r>
              <w:rPr>
                <w:noProof/>
                <w:szCs w:val="16"/>
              </w:rPr>
              <w:t>(Faber, Morse &amp; Hoddle 2016; New Zealand Avocado 2018; Stevens 2001)</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Oligonychus mangiferus</w:t>
            </w:r>
            <w:r w:rsidRPr="00E400E4">
              <w:rPr>
                <w:lang w:val="pt-BR"/>
              </w:rPr>
              <w:t xml:space="preserve"> (Rahman &amp; Sapra, 1940)</w:t>
            </w:r>
          </w:p>
          <w:p w:rsidR="00555918" w:rsidRPr="00E400E4" w:rsidRDefault="00555918" w:rsidP="000B1771">
            <w:pPr>
              <w:pStyle w:val="TableText"/>
              <w:rPr>
                <w:lang w:val="pt-BR"/>
              </w:rPr>
            </w:pPr>
            <w:r w:rsidRPr="00E400E4">
              <w:rPr>
                <w:lang w:val="pt-BR"/>
              </w:rPr>
              <w:t>[Tetranychidae]</w:t>
            </w:r>
          </w:p>
          <w:p w:rsidR="00555918" w:rsidRPr="00E400E4" w:rsidRDefault="00555918" w:rsidP="000B1771">
            <w:pPr>
              <w:pStyle w:val="TableText"/>
              <w:rPr>
                <w:lang w:val="pt-BR"/>
              </w:rPr>
            </w:pPr>
            <w:r w:rsidRPr="00E400E4">
              <w:rPr>
                <w:lang w:val="pt-BR"/>
              </w:rPr>
              <w:t>Mango red mite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(GBIF Secretariat 2019; Migeon &amp; Dorkeld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NT, Qld, WA </w:t>
            </w:r>
            <w:r>
              <w:rPr>
                <w:noProof/>
                <w:szCs w:val="16"/>
              </w:rPr>
              <w:t>(Government of Western Australia 2019; Plant Health Australia 2019)</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Oligonychus punicae</w:t>
            </w:r>
            <w:r w:rsidRPr="00E400E4">
              <w:rPr>
                <w:lang w:val="pt-BR"/>
              </w:rPr>
              <w:t xml:space="preserve"> (Hirst, 1926)</w:t>
            </w:r>
          </w:p>
          <w:p w:rsidR="00555918" w:rsidRPr="00E400E4" w:rsidRDefault="00555918" w:rsidP="000B1771">
            <w:pPr>
              <w:pStyle w:val="TableText"/>
              <w:rPr>
                <w:lang w:val="pt-BR"/>
              </w:rPr>
            </w:pPr>
            <w:r w:rsidRPr="00E400E4">
              <w:rPr>
                <w:lang w:val="pt-BR"/>
              </w:rPr>
              <w:t>[Tetranychidae]</w:t>
            </w:r>
          </w:p>
          <w:p w:rsidR="00555918" w:rsidRPr="00E400E4" w:rsidRDefault="00555918" w:rsidP="000B1771">
            <w:pPr>
              <w:pStyle w:val="TableText"/>
              <w:rPr>
                <w:lang w:val="pt-BR"/>
              </w:rPr>
            </w:pPr>
            <w:r w:rsidRPr="00E400E4">
              <w:rPr>
                <w:lang w:val="pt-BR"/>
              </w:rPr>
              <w:t>Avocado brown mite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(Flechtmann 1996)</w:t>
            </w:r>
          </w:p>
        </w:tc>
        <w:tc>
          <w:tcPr>
            <w:tcW w:w="797" w:type="pct"/>
            <w:shd w:val="clear" w:color="auto" w:fill="auto"/>
          </w:tcPr>
          <w:p w:rsidR="00555918" w:rsidRPr="00E400E4" w:rsidRDefault="00555918" w:rsidP="000B1771">
            <w:pPr>
              <w:pStyle w:val="TableText"/>
              <w:rPr>
                <w:szCs w:val="16"/>
              </w:rPr>
            </w:pPr>
            <w:r w:rsidRPr="00E400E4">
              <w:rPr>
                <w:szCs w:val="16"/>
              </w:rPr>
              <w:t xml:space="preserve">No. Only unconfirmed or doubtful records </w:t>
            </w:r>
            <w:r>
              <w:rPr>
                <w:noProof/>
                <w:szCs w:val="16"/>
              </w:rPr>
              <w:t>(Halliday 2000; Plant Health Australia 2019)</w:t>
            </w:r>
            <w:r w:rsidRPr="00E400E4">
              <w:rPr>
                <w:szCs w:val="16"/>
              </w:rPr>
              <w:t xml:space="preserve">. Records of </w:t>
            </w:r>
            <w:r w:rsidRPr="00E400E4">
              <w:rPr>
                <w:i/>
                <w:szCs w:val="16"/>
              </w:rPr>
              <w:t>O. punicae</w:t>
            </w:r>
            <w:r w:rsidRPr="00E400E4">
              <w:rPr>
                <w:szCs w:val="16"/>
              </w:rPr>
              <w:t xml:space="preserve"> in Australia are based only on a provisional identification by Davis in 1968 and this species has not been recorded since </w:t>
            </w:r>
            <w:r>
              <w:rPr>
                <w:noProof/>
                <w:szCs w:val="16"/>
              </w:rPr>
              <w:t>(ABRS 2019; Halliday 2000)</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Oligonychus punicae</w:t>
            </w:r>
            <w:r w:rsidRPr="00E400E4">
              <w:rPr>
                <w:szCs w:val="16"/>
              </w:rPr>
              <w:t xml:space="preserve"> feeds on the upper surface of leaves, and, in high infestations, may feed on the lower surface of leaves as well as on avocado fruit </w:t>
            </w:r>
            <w:r>
              <w:rPr>
                <w:noProof/>
                <w:szCs w:val="16"/>
              </w:rPr>
              <w:t>(Bailey &amp; Olsen 1990; Cerna et al. 2009)</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Oligonychus punicae</w:t>
            </w:r>
            <w:r w:rsidRPr="00E400E4">
              <w:rPr>
                <w:szCs w:val="16"/>
              </w:rPr>
              <w:t xml:space="preserve"> is polyphagous and many of its known hosts are widely available in Australia including avocado, pomegranate, grape, strawberry, banana, stone fruit, mango, rose and </w:t>
            </w:r>
            <w:r w:rsidRPr="00E400E4">
              <w:rPr>
                <w:i/>
                <w:szCs w:val="16"/>
              </w:rPr>
              <w:t>Eucalyptus</w:t>
            </w:r>
            <w:r w:rsidRPr="00E400E4">
              <w:rPr>
                <w:szCs w:val="16"/>
              </w:rPr>
              <w:t xml:space="preserve"> </w:t>
            </w:r>
            <w:r>
              <w:rPr>
                <w:noProof/>
                <w:szCs w:val="16"/>
              </w:rPr>
              <w:t>(CABI 2019a; Cerna et al. 2009; Migeon &amp; Dorkeld 2019; Vasquez et al. 2008)</w:t>
            </w:r>
            <w:r w:rsidRPr="00E400E4">
              <w:rPr>
                <w:szCs w:val="16"/>
              </w:rPr>
              <w:t xml:space="preserve"> </w:t>
            </w:r>
            <w:r w:rsidRPr="00E400E4">
              <w:rPr>
                <w:i/>
                <w:szCs w:val="16"/>
              </w:rPr>
              <w:t>Oligonychus punicae</w:t>
            </w:r>
            <w:r w:rsidRPr="00E400E4">
              <w:rPr>
                <w:szCs w:val="16"/>
              </w:rPr>
              <w:t xml:space="preserve"> is distributed in South America, North America, Asia and Europe </w:t>
            </w:r>
            <w:r>
              <w:rPr>
                <w:noProof/>
                <w:szCs w:val="16"/>
              </w:rPr>
              <w:t>(CABI 2019a; Cerna et al. 2009; Jeppson, Keifer &amp; Baker 1975; Migeon &amp; Dorkeld 2019)</w:t>
            </w:r>
            <w:r w:rsidRPr="00E400E4">
              <w:rPr>
                <w:szCs w:val="16"/>
              </w:rPr>
              <w:t>. Its wide host range and ability to inhabit areas with wide climatic ranges suggest it has the potential to establish and spread in Australia.</w:t>
            </w:r>
          </w:p>
        </w:tc>
        <w:tc>
          <w:tcPr>
            <w:tcW w:w="726"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Oligonychus punicae</w:t>
            </w:r>
            <w:r w:rsidRPr="00E400E4">
              <w:rPr>
                <w:szCs w:val="16"/>
              </w:rPr>
              <w:t xml:space="preserve"> is associated with economic damage of several economically significant horticultural crops, including avocado, pomegranate, grape, strawberry, banana, stone fruit and mango, as well as native Australian plants such as </w:t>
            </w:r>
            <w:r w:rsidRPr="00E400E4">
              <w:rPr>
                <w:i/>
                <w:szCs w:val="16"/>
              </w:rPr>
              <w:t>Eucalyptus</w:t>
            </w:r>
            <w:r w:rsidRPr="00E400E4">
              <w:rPr>
                <w:szCs w:val="16"/>
              </w:rPr>
              <w:t xml:space="preserve"> </w:t>
            </w:r>
            <w:r>
              <w:rPr>
                <w:noProof/>
                <w:szCs w:val="16"/>
              </w:rPr>
              <w:t>(CABI 2019a; Cerna et al. 2009; Vasquez et al. 2008)</w:t>
            </w:r>
            <w:r w:rsidRPr="00E400E4">
              <w:rPr>
                <w:szCs w:val="16"/>
              </w:rPr>
              <w:t xml:space="preserve">. This mite is considered an important pest of avocado in California and Mexico </w:t>
            </w:r>
            <w:r>
              <w:rPr>
                <w:noProof/>
                <w:szCs w:val="16"/>
              </w:rPr>
              <w:t>(Cerna et al. 2009; Flechtmann 1996; Peña &amp; Wysoki 2008; Wysoki et al. 2002)</w:t>
            </w:r>
            <w:r w:rsidRPr="00E400E4">
              <w:rPr>
                <w:szCs w:val="16"/>
              </w:rPr>
              <w:t xml:space="preserve">. It can cause discolouration, reduction in leaf photosynthesis and premature leaf drop in host plants </w:t>
            </w:r>
            <w:r>
              <w:rPr>
                <w:noProof/>
                <w:szCs w:val="16"/>
              </w:rPr>
              <w:t>(Jeppson, Keifer &amp; Baker 1975; Wysoki et al. 2002)</w:t>
            </w:r>
            <w:r w:rsidRPr="00E400E4">
              <w:rPr>
                <w:szCs w:val="16"/>
              </w:rPr>
              <w:t>.</w:t>
            </w:r>
          </w:p>
        </w:tc>
        <w:tc>
          <w:tcPr>
            <w:tcW w:w="434" w:type="pct"/>
            <w:shd w:val="clear" w:color="auto" w:fill="auto"/>
          </w:tcPr>
          <w:p w:rsidR="00555918" w:rsidRPr="00E400E4" w:rsidRDefault="00555918" w:rsidP="000B1771">
            <w:pPr>
              <w:pStyle w:val="TableText"/>
            </w:pPr>
            <w:r w:rsidRPr="00E400E4">
              <w:t>Yes</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Oligonychus yothersi</w:t>
            </w:r>
            <w:r w:rsidRPr="00E400E4">
              <w:rPr>
                <w:lang w:val="pt-BR"/>
              </w:rPr>
              <w:t xml:space="preserve"> (McGregor, 1914)</w:t>
            </w:r>
          </w:p>
          <w:p w:rsidR="00555918" w:rsidRPr="00E400E4" w:rsidRDefault="00555918" w:rsidP="000B1771">
            <w:pPr>
              <w:pStyle w:val="TableText"/>
              <w:rPr>
                <w:lang w:val="pt-BR"/>
              </w:rPr>
            </w:pPr>
            <w:r w:rsidRPr="00E400E4">
              <w:rPr>
                <w:lang w:val="pt-BR"/>
              </w:rPr>
              <w:t>[Tetranychidae]</w:t>
            </w:r>
          </w:p>
          <w:p w:rsidR="00555918" w:rsidRPr="00E400E4" w:rsidRDefault="00555918" w:rsidP="000B1771">
            <w:pPr>
              <w:pStyle w:val="TableText"/>
              <w:rPr>
                <w:lang w:val="pt-BR"/>
              </w:rPr>
            </w:pPr>
            <w:r w:rsidRPr="00E400E4">
              <w:rPr>
                <w:lang w:val="pt-BR"/>
              </w:rPr>
              <w:t>Avocado red mite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(Migeon &amp; Dorkeld 2019; Ripa &amp; Larral 2008)</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Yes. Although </w:t>
            </w:r>
            <w:r>
              <w:rPr>
                <w:noProof/>
                <w:szCs w:val="16"/>
              </w:rPr>
              <w:t>Jeppson, Keifer and Baker (1975)</w:t>
            </w:r>
            <w:r w:rsidRPr="00E400E4">
              <w:rPr>
                <w:szCs w:val="16"/>
              </w:rPr>
              <w:t xml:space="preserve"> and </w:t>
            </w:r>
            <w:r>
              <w:rPr>
                <w:noProof/>
                <w:szCs w:val="16"/>
              </w:rPr>
              <w:t>Waite and Martinez Barrera (2002)</w:t>
            </w:r>
            <w:r w:rsidRPr="00E400E4">
              <w:rPr>
                <w:szCs w:val="16"/>
              </w:rPr>
              <w:t xml:space="preserve"> state that </w:t>
            </w:r>
            <w:r w:rsidRPr="00E400E4">
              <w:rPr>
                <w:i/>
                <w:szCs w:val="16"/>
              </w:rPr>
              <w:t>O. yothersi</w:t>
            </w:r>
            <w:r w:rsidRPr="00E400E4">
              <w:rPr>
                <w:szCs w:val="16"/>
              </w:rPr>
              <w:t xml:space="preserve"> only occurs on the upper surface of leaves of avocado, evidence was found that this mite causes scarring on the surface of avocado fruit </w:t>
            </w:r>
            <w:r>
              <w:rPr>
                <w:noProof/>
                <w:szCs w:val="16"/>
              </w:rPr>
              <w:t>(Paull &amp; Duarte 2011)</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Oligonychus yothersi</w:t>
            </w:r>
            <w:r w:rsidRPr="00E400E4">
              <w:rPr>
                <w:szCs w:val="16"/>
              </w:rPr>
              <w:t xml:space="preserve"> is polyphagous and many of its known hosts are widely available in Australia including avocado, guava, pomegranate, grape, apple, mango, lychee and </w:t>
            </w:r>
            <w:r w:rsidRPr="00E400E4">
              <w:rPr>
                <w:i/>
                <w:szCs w:val="16"/>
              </w:rPr>
              <w:t>Eucalyptus</w:t>
            </w:r>
            <w:r w:rsidRPr="00E400E4">
              <w:rPr>
                <w:szCs w:val="16"/>
              </w:rPr>
              <w:t xml:space="preserve"> </w:t>
            </w:r>
            <w:r>
              <w:rPr>
                <w:noProof/>
                <w:szCs w:val="16"/>
              </w:rPr>
              <w:t>(Bolland, Gutierrez &amp; Flechtmann 1998; Jeppson, Keifer &amp; Baker 1975; Migeon &amp; Dorkeld 2019; Wysoki et al. 2002)</w:t>
            </w:r>
            <w:r w:rsidRPr="00E400E4">
              <w:rPr>
                <w:szCs w:val="16"/>
              </w:rPr>
              <w:t xml:space="preserve">. </w:t>
            </w:r>
          </w:p>
          <w:p w:rsidR="00555918" w:rsidRPr="00E400E4" w:rsidRDefault="00555918" w:rsidP="000B1771">
            <w:pPr>
              <w:pStyle w:val="TableText"/>
              <w:rPr>
                <w:szCs w:val="16"/>
              </w:rPr>
            </w:pPr>
            <w:r w:rsidRPr="00E400E4">
              <w:rPr>
                <w:i/>
                <w:szCs w:val="16"/>
              </w:rPr>
              <w:t>Oligonychus yothersi</w:t>
            </w:r>
            <w:r w:rsidRPr="00E400E4">
              <w:rPr>
                <w:szCs w:val="16"/>
              </w:rPr>
              <w:t xml:space="preserve"> is distributed in South America, Central America, Mexico, Hawaii, USA, China and Iran </w:t>
            </w:r>
            <w:r>
              <w:rPr>
                <w:noProof/>
                <w:szCs w:val="16"/>
              </w:rPr>
              <w:t>(Bolland, Gutierrez &amp; Flechtmann 1998; CABI 2019a)</w:t>
            </w:r>
            <w:r w:rsidRPr="00E400E4">
              <w:rPr>
                <w:szCs w:val="16"/>
              </w:rPr>
              <w:t>. Its wide host range and ability to inhabit areas with wide climatic ranges suggest it has the potential to establish and spread in Australia.</w:t>
            </w:r>
          </w:p>
        </w:tc>
        <w:tc>
          <w:tcPr>
            <w:tcW w:w="726"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Oligonychus yothersi</w:t>
            </w:r>
            <w:r w:rsidRPr="00E400E4">
              <w:rPr>
                <w:szCs w:val="16"/>
              </w:rPr>
              <w:t xml:space="preserve"> is polyphagous with a wide host range and is associated with economic damage of several significant horticultural crops including avocado, guava, pomegranate, grape, apple and mango, as well as native Australian plants such as </w:t>
            </w:r>
            <w:r w:rsidRPr="00E400E4">
              <w:rPr>
                <w:i/>
                <w:szCs w:val="16"/>
              </w:rPr>
              <w:t>Eucalyptus</w:t>
            </w:r>
            <w:r w:rsidRPr="00E400E4">
              <w:rPr>
                <w:szCs w:val="16"/>
              </w:rPr>
              <w:t xml:space="preserve"> </w:t>
            </w:r>
            <w:r>
              <w:rPr>
                <w:noProof/>
                <w:szCs w:val="16"/>
              </w:rPr>
              <w:t>(Bolland, Gutierrez &amp; Flechtmann 1998; CABI 2019a)</w:t>
            </w:r>
            <w:r w:rsidRPr="00E400E4">
              <w:rPr>
                <w:szCs w:val="16"/>
              </w:rPr>
              <w:t xml:space="preserve">. The mite feeds on the upper leaf surface, resulting in leaf discolouration, reduction in leaf photosynthetic ability and premature leaf drop in its host plants </w:t>
            </w:r>
            <w:r>
              <w:rPr>
                <w:noProof/>
                <w:szCs w:val="16"/>
              </w:rPr>
              <w:t>(Jeppson, Keifer &amp; Baker 1975; Wysoki et al. 2002)</w:t>
            </w:r>
            <w:r w:rsidRPr="00E400E4">
              <w:rPr>
                <w:szCs w:val="16"/>
              </w:rPr>
              <w:t>.</w:t>
            </w:r>
          </w:p>
        </w:tc>
        <w:tc>
          <w:tcPr>
            <w:tcW w:w="434" w:type="pct"/>
            <w:shd w:val="clear" w:color="auto" w:fill="auto"/>
          </w:tcPr>
          <w:p w:rsidR="00555918" w:rsidRPr="00E400E4" w:rsidRDefault="00555918" w:rsidP="000B1771">
            <w:pPr>
              <w:pStyle w:val="TableText"/>
            </w:pPr>
            <w:r w:rsidRPr="00E400E4">
              <w:t>Yes</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Panonychus citri</w:t>
            </w:r>
            <w:r w:rsidRPr="00E400E4">
              <w:rPr>
                <w:lang w:val="pt-BR"/>
              </w:rPr>
              <w:t xml:space="preserve"> (McGregor, 1916)</w:t>
            </w:r>
          </w:p>
          <w:p w:rsidR="00555918" w:rsidRPr="00E400E4" w:rsidRDefault="00555918" w:rsidP="000B1771">
            <w:pPr>
              <w:pStyle w:val="TableText"/>
              <w:rPr>
                <w:lang w:val="pt-BR"/>
              </w:rPr>
            </w:pPr>
            <w:r w:rsidRPr="00E400E4">
              <w:rPr>
                <w:lang w:val="pt-BR"/>
              </w:rPr>
              <w:t>[Tetranychidae]</w:t>
            </w:r>
          </w:p>
          <w:p w:rsidR="00555918" w:rsidRPr="00E400E4" w:rsidRDefault="00555918" w:rsidP="000B1771">
            <w:pPr>
              <w:pStyle w:val="TableText"/>
              <w:rPr>
                <w:lang w:val="pt-BR"/>
              </w:rPr>
            </w:pPr>
            <w:r w:rsidRPr="00E400E4">
              <w:rPr>
                <w:lang w:val="pt-BR"/>
              </w:rPr>
              <w:t>Citrus red mite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(Migeon &amp; Dorkeld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Present only in isolated areas of NSW </w:t>
            </w:r>
            <w:r>
              <w:rPr>
                <w:noProof/>
                <w:szCs w:val="16"/>
              </w:rPr>
              <w:t>(PHA 2009; Plant Health Australia 2019)</w:t>
            </w:r>
            <w:r w:rsidRPr="00E400E4">
              <w:rPr>
                <w:szCs w:val="16"/>
              </w:rPr>
              <w:t xml:space="preserve">. </w:t>
            </w:r>
          </w:p>
          <w:p w:rsidR="00555918" w:rsidRPr="00E400E4" w:rsidRDefault="00555918" w:rsidP="000B1771">
            <w:pPr>
              <w:pStyle w:val="TableText"/>
              <w:rPr>
                <w:szCs w:val="16"/>
              </w:rPr>
            </w:pPr>
            <w:r w:rsidRPr="00E400E4">
              <w:rPr>
                <w:szCs w:val="16"/>
              </w:rPr>
              <w:t xml:space="preserve">Regulated as a Declared Organism (Prohibited (s. 12)) by WA under the </w:t>
            </w:r>
            <w:r w:rsidRPr="00E400E4">
              <w:rPr>
                <w:i/>
                <w:szCs w:val="16"/>
              </w:rPr>
              <w:t xml:space="preserve">Biosecurity and Agriculture Management Act 2007 </w:t>
            </w:r>
            <w:r>
              <w:rPr>
                <w:noProof/>
                <w:szCs w:val="16"/>
              </w:rPr>
              <w:t>(Government of Western Australia 2019)</w:t>
            </w:r>
            <w:r w:rsidRPr="00E400E4">
              <w:rPr>
                <w:szCs w:val="16"/>
              </w:rPr>
              <w:t>.</w:t>
            </w:r>
          </w:p>
          <w:p w:rsidR="00555918" w:rsidRPr="00E400E4" w:rsidRDefault="00555918" w:rsidP="000B1771">
            <w:pPr>
              <w:pStyle w:val="TableText"/>
              <w:rPr>
                <w:szCs w:val="16"/>
              </w:rPr>
            </w:pPr>
            <w:r w:rsidRPr="00E400E4">
              <w:rPr>
                <w:szCs w:val="16"/>
              </w:rPr>
              <w:t xml:space="preserve">Domestic restrictions for the movement of host material of this pest into Vic. and SA from other Australian states/territories where this pest is present only include planting material, not fruit </w:t>
            </w:r>
            <w:r>
              <w:rPr>
                <w:noProof/>
                <w:szCs w:val="16"/>
              </w:rPr>
              <w:t>(DJPR 2019; PIRSA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Panonychus citri</w:t>
            </w:r>
            <w:r w:rsidRPr="00E400E4">
              <w:rPr>
                <w:szCs w:val="16"/>
              </w:rPr>
              <w:t xml:space="preserve"> feeds on the leaves of avocado, but can be found in association with branches and fruit </w:t>
            </w:r>
            <w:r>
              <w:rPr>
                <w:noProof/>
                <w:szCs w:val="16"/>
              </w:rPr>
              <w:t>(Futch, Childers &amp; McCoy 2017; Gibson 1968; NSW DPI 2017)</w:t>
            </w:r>
            <w:r w:rsidRPr="00E400E4">
              <w:rPr>
                <w:szCs w:val="16"/>
              </w:rPr>
              <w:t>.</w:t>
            </w:r>
          </w:p>
        </w:tc>
        <w:tc>
          <w:tcPr>
            <w:tcW w:w="684"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 xml:space="preserve">Panonychus citri </w:t>
            </w:r>
            <w:r w:rsidRPr="00E400E4">
              <w:rPr>
                <w:szCs w:val="16"/>
              </w:rPr>
              <w:t xml:space="preserve">is polyphagous and many of its known hosts are widely available in Australia including citrus, apple, avocado, rose, almond, pear, peach, cherry and several broadleaf evergreen ornamentals </w:t>
            </w:r>
            <w:r>
              <w:rPr>
                <w:noProof/>
                <w:szCs w:val="16"/>
              </w:rPr>
              <w:t>(Alford 2007; Bolland, Gutierrez &amp; Flechtmann 1998; Shinkaji 1979)</w:t>
            </w:r>
            <w:r w:rsidRPr="00E400E4">
              <w:rPr>
                <w:szCs w:val="16"/>
              </w:rPr>
              <w:t xml:space="preserve">. </w:t>
            </w:r>
          </w:p>
          <w:p w:rsidR="00555918" w:rsidRPr="00E400E4" w:rsidRDefault="00555918" w:rsidP="000B1771">
            <w:pPr>
              <w:pStyle w:val="TableText"/>
              <w:rPr>
                <w:szCs w:val="16"/>
              </w:rPr>
            </w:pPr>
            <w:r w:rsidRPr="00E400E4">
              <w:rPr>
                <w:i/>
                <w:szCs w:val="16"/>
              </w:rPr>
              <w:t>Panonychus citri</w:t>
            </w:r>
            <w:r w:rsidRPr="00E400E4">
              <w:rPr>
                <w:szCs w:val="16"/>
              </w:rPr>
              <w:t xml:space="preserve"> is distributed throughout the world including Asia, Europe, Africa and North and South America </w:t>
            </w:r>
            <w:r>
              <w:rPr>
                <w:noProof/>
                <w:szCs w:val="16"/>
              </w:rPr>
              <w:t>(Bolland, Gutierrez &amp; Flechtmann 1998; CABI 2019a; Migeon &amp; Dorkeld 2019)</w:t>
            </w:r>
            <w:r w:rsidRPr="00E400E4">
              <w:rPr>
                <w:szCs w:val="16"/>
              </w:rPr>
              <w:t xml:space="preserve">. Its wide host range, its presence in some areas of Australia, and its ability to inhabit areas with wide climatic ranges suggest that </w:t>
            </w:r>
            <w:r w:rsidRPr="00E400E4">
              <w:rPr>
                <w:i/>
                <w:szCs w:val="16"/>
              </w:rPr>
              <w:t>P. citri</w:t>
            </w:r>
            <w:r w:rsidRPr="00E400E4">
              <w:rPr>
                <w:szCs w:val="16"/>
              </w:rPr>
              <w:t xml:space="preserve"> has the potential to establish and spread in Australia where it is currently not present.</w:t>
            </w:r>
          </w:p>
        </w:tc>
        <w:tc>
          <w:tcPr>
            <w:tcW w:w="726" w:type="pct"/>
            <w:shd w:val="clear" w:color="auto" w:fill="auto"/>
          </w:tcPr>
          <w:p w:rsidR="00555918" w:rsidRPr="00E400E4" w:rsidRDefault="00555918" w:rsidP="000B1771">
            <w:pPr>
              <w:pStyle w:val="TableText"/>
              <w:rPr>
                <w:szCs w:val="16"/>
              </w:rPr>
            </w:pPr>
            <w:r w:rsidRPr="00E400E4">
              <w:rPr>
                <w:szCs w:val="16"/>
              </w:rPr>
              <w:t xml:space="preserve">Yes. </w:t>
            </w:r>
            <w:r w:rsidRPr="00E400E4">
              <w:rPr>
                <w:i/>
                <w:szCs w:val="16"/>
              </w:rPr>
              <w:t>Panonychus citri</w:t>
            </w:r>
            <w:r w:rsidRPr="00E400E4">
              <w:rPr>
                <w:szCs w:val="16"/>
              </w:rPr>
              <w:t xml:space="preserve"> is polyphagous with a wide host range and is associated with economic damage of several significant horticultural crops including citrus, apple, avocado, rose, almond, pear, peach, cherry and several broadleaf evergreen ornamentals </w:t>
            </w:r>
            <w:r>
              <w:rPr>
                <w:noProof/>
                <w:szCs w:val="16"/>
              </w:rPr>
              <w:t>(Alford 2007; Bolland, Gutierrez &amp; Flechtmann 1998; Shinkaji 1979)</w:t>
            </w:r>
            <w:r w:rsidRPr="00E400E4">
              <w:rPr>
                <w:szCs w:val="16"/>
              </w:rPr>
              <w:t xml:space="preserve">. It causes discolouration of the leaves (silvering, yellowing or speckling) and causes a bleached appearance on fruit of its hosts. Severe infestations may weaken the host plant causing defoliation, fruit drop and dieback of young shoots or twigs </w:t>
            </w:r>
            <w:r>
              <w:rPr>
                <w:noProof/>
                <w:szCs w:val="16"/>
              </w:rPr>
              <w:t>(Alford 2007; NSW DPI 2017)</w:t>
            </w:r>
            <w:r w:rsidRPr="00E400E4">
              <w:rPr>
                <w:szCs w:val="16"/>
              </w:rPr>
              <w:t>.</w:t>
            </w:r>
          </w:p>
        </w:tc>
        <w:tc>
          <w:tcPr>
            <w:tcW w:w="434" w:type="pct"/>
            <w:shd w:val="clear" w:color="auto" w:fill="auto"/>
          </w:tcPr>
          <w:p w:rsidR="00555918" w:rsidRPr="00E400E4" w:rsidRDefault="00555918" w:rsidP="000B1771">
            <w:pPr>
              <w:pStyle w:val="TableText"/>
            </w:pPr>
            <w:r w:rsidRPr="00E400E4">
              <w:t>Yes (EP, WA)</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Panonychus ulmi</w:t>
            </w:r>
            <w:r w:rsidRPr="00E400E4">
              <w:rPr>
                <w:lang w:val="pt-BR"/>
              </w:rPr>
              <w:t xml:space="preserve"> (Koch, 1836)</w:t>
            </w:r>
          </w:p>
          <w:p w:rsidR="00555918" w:rsidRPr="00E400E4" w:rsidRDefault="00555918" w:rsidP="000B1771">
            <w:pPr>
              <w:pStyle w:val="TableText"/>
              <w:rPr>
                <w:lang w:val="pt-BR"/>
              </w:rPr>
            </w:pPr>
            <w:r w:rsidRPr="00E400E4">
              <w:rPr>
                <w:lang w:val="pt-BR"/>
              </w:rPr>
              <w:t>[Tetranychidae]</w:t>
            </w:r>
          </w:p>
          <w:p w:rsidR="00555918" w:rsidRPr="00E400E4" w:rsidRDefault="00555918" w:rsidP="000B1771">
            <w:pPr>
              <w:pStyle w:val="TableText"/>
              <w:rPr>
                <w:lang w:val="pt-BR"/>
              </w:rPr>
            </w:pPr>
            <w:r w:rsidRPr="00E400E4">
              <w:rPr>
                <w:lang w:val="pt-BR"/>
              </w:rPr>
              <w:t>European red mite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(Migeon &amp; Dorkeld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SA, Tas., Vic., WA </w:t>
            </w:r>
            <w:r>
              <w:rPr>
                <w:noProof/>
                <w:szCs w:val="16"/>
              </w:rPr>
              <w:t>(Government of Western Australia 2019; Plant Health Australia 2019)</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Polyphagotarsonemus latus</w:t>
            </w:r>
            <w:r w:rsidRPr="00E400E4">
              <w:rPr>
                <w:lang w:val="pt-BR"/>
              </w:rPr>
              <w:t xml:space="preserve"> (Banks, 1904)</w:t>
            </w:r>
          </w:p>
          <w:p w:rsidR="00555918" w:rsidRPr="00E400E4" w:rsidRDefault="00555918" w:rsidP="000B1771">
            <w:pPr>
              <w:pStyle w:val="TableText"/>
              <w:rPr>
                <w:lang w:val="pt-BR"/>
              </w:rPr>
            </w:pPr>
            <w:r w:rsidRPr="00E400E4">
              <w:rPr>
                <w:lang w:val="pt-BR"/>
              </w:rPr>
              <w:t>[Tarsonemidae]</w:t>
            </w:r>
          </w:p>
          <w:p w:rsidR="00555918" w:rsidRPr="00E400E4" w:rsidRDefault="00555918" w:rsidP="000B1771">
            <w:pPr>
              <w:pStyle w:val="TableText"/>
              <w:rPr>
                <w:lang w:val="pt-BR"/>
              </w:rPr>
            </w:pPr>
            <w:r w:rsidRPr="00E400E4">
              <w:rPr>
                <w:lang w:val="pt-BR"/>
              </w:rPr>
              <w:t>Broad mite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(Ripa &amp; Larral 2008)</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SA, Vic., WA </w:t>
            </w:r>
            <w:r>
              <w:rPr>
                <w:noProof/>
                <w:szCs w:val="16"/>
              </w:rPr>
              <w:t>(Government of Western Australia 2019; 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Tegolophus myersi</w:t>
            </w:r>
            <w:r w:rsidRPr="00E400E4">
              <w:rPr>
                <w:lang w:val="pt-BR"/>
              </w:rPr>
              <w:t xml:space="preserve"> (Keifer, 1939)</w:t>
            </w:r>
          </w:p>
          <w:p w:rsidR="00555918" w:rsidRPr="00E400E4" w:rsidRDefault="00555918" w:rsidP="000B1771">
            <w:pPr>
              <w:pStyle w:val="TableText"/>
              <w:rPr>
                <w:lang w:val="pt-BR"/>
              </w:rPr>
            </w:pPr>
            <w:r w:rsidRPr="00E400E4">
              <w:rPr>
                <w:lang w:val="pt-BR"/>
              </w:rPr>
              <w:t>[Eriophyidae]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(Peralta 1993)</w:t>
            </w:r>
          </w:p>
        </w:tc>
        <w:tc>
          <w:tcPr>
            <w:tcW w:w="797" w:type="pct"/>
            <w:shd w:val="clear" w:color="auto" w:fill="auto"/>
          </w:tcPr>
          <w:p w:rsidR="00555918" w:rsidRPr="00E400E4" w:rsidRDefault="00555918" w:rsidP="000B1771">
            <w:pPr>
              <w:pStyle w:val="TableText"/>
              <w:rPr>
                <w:szCs w:val="16"/>
              </w:rPr>
            </w:pPr>
            <w:r w:rsidRPr="00E400E4">
              <w:rPr>
                <w:szCs w:val="16"/>
              </w:rPr>
              <w:t>No records found</w:t>
            </w:r>
          </w:p>
        </w:tc>
        <w:tc>
          <w:tcPr>
            <w:tcW w:w="789" w:type="pct"/>
            <w:shd w:val="clear" w:color="auto" w:fill="auto"/>
          </w:tcPr>
          <w:p w:rsidR="00555918" w:rsidRPr="00E400E4" w:rsidRDefault="00555918" w:rsidP="000B1771">
            <w:pPr>
              <w:pStyle w:val="TableText"/>
              <w:rPr>
                <w:szCs w:val="16"/>
              </w:rPr>
            </w:pPr>
            <w:r w:rsidRPr="00E400E4">
              <w:rPr>
                <w:szCs w:val="16"/>
              </w:rPr>
              <w:t xml:space="preserve">No. </w:t>
            </w:r>
            <w:r w:rsidRPr="00E400E4">
              <w:rPr>
                <w:i/>
                <w:szCs w:val="16"/>
              </w:rPr>
              <w:t>Tegolophus myersi</w:t>
            </w:r>
            <w:r w:rsidRPr="00E400E4">
              <w:rPr>
                <w:szCs w:val="16"/>
              </w:rPr>
              <w:t xml:space="preserve"> can be found on buds, petioles and leaves of avocado </w:t>
            </w:r>
            <w:r>
              <w:rPr>
                <w:noProof/>
                <w:szCs w:val="16"/>
              </w:rPr>
              <w:t>(Peralta 1993)</w:t>
            </w:r>
            <w:r w:rsidRPr="00E400E4">
              <w:rPr>
                <w:szCs w:val="16"/>
              </w:rPr>
              <w:t>. No evidence of an association with avocado fruit was found.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trHeight w:val="75"/>
          <w:jc w:val="center"/>
        </w:trPr>
        <w:tc>
          <w:tcPr>
            <w:tcW w:w="842" w:type="pct"/>
            <w:shd w:val="clear" w:color="auto" w:fill="auto"/>
          </w:tcPr>
          <w:p w:rsidR="00555918" w:rsidRPr="00E400E4" w:rsidRDefault="00555918" w:rsidP="000B1771">
            <w:pPr>
              <w:pStyle w:val="TableText"/>
              <w:rPr>
                <w:lang w:val="pt-BR"/>
              </w:rPr>
            </w:pPr>
            <w:r w:rsidRPr="00E400E4">
              <w:rPr>
                <w:i/>
                <w:lang w:val="pt-BR"/>
              </w:rPr>
              <w:t>Tetranychus urticae</w:t>
            </w:r>
            <w:r w:rsidRPr="00E400E4">
              <w:rPr>
                <w:lang w:val="pt-BR"/>
              </w:rPr>
              <w:t xml:space="preserve"> Koch 1836</w:t>
            </w:r>
          </w:p>
          <w:p w:rsidR="00555918" w:rsidRPr="00E400E4" w:rsidRDefault="00555918" w:rsidP="000B1771">
            <w:pPr>
              <w:pStyle w:val="TableText"/>
              <w:rPr>
                <w:lang w:val="pt-BR"/>
              </w:rPr>
            </w:pPr>
            <w:r w:rsidRPr="00E400E4">
              <w:rPr>
                <w:lang w:val="pt-BR"/>
              </w:rPr>
              <w:t>[Tetranychidae]</w:t>
            </w:r>
          </w:p>
          <w:p w:rsidR="00555918" w:rsidRPr="00E400E4" w:rsidRDefault="00555918" w:rsidP="000B1771">
            <w:pPr>
              <w:pStyle w:val="TableText"/>
              <w:rPr>
                <w:lang w:val="pt-BR"/>
              </w:rPr>
            </w:pPr>
            <w:r w:rsidRPr="00E400E4">
              <w:rPr>
                <w:lang w:val="pt-BR"/>
              </w:rPr>
              <w:t>Two-spotted spider mite</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(CABI 2019a)</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NT, Qld, SA, Tas., Vic., WA </w:t>
            </w:r>
            <w:r>
              <w:rPr>
                <w:noProof/>
                <w:szCs w:val="16"/>
              </w:rPr>
              <w:t>(Plant Health Australia 2019)</w:t>
            </w:r>
            <w:r w:rsidRPr="00E400E4">
              <w:rPr>
                <w:szCs w:val="16"/>
              </w:rPr>
              <w:t>.</w:t>
            </w:r>
          </w:p>
        </w:tc>
        <w:tc>
          <w:tcPr>
            <w:tcW w:w="789" w:type="pct"/>
            <w:shd w:val="clear" w:color="auto" w:fill="auto"/>
          </w:tcPr>
          <w:p w:rsidR="00555918" w:rsidRPr="00E400E4" w:rsidRDefault="00555918" w:rsidP="000B1771">
            <w:pPr>
              <w:pStyle w:val="TableText"/>
              <w:rPr>
                <w:szCs w:val="16"/>
              </w:rPr>
            </w:pPr>
            <w:r w:rsidRPr="00E400E4">
              <w:rPr>
                <w:szCs w:val="16"/>
              </w:rPr>
              <w:t>Assessment not required</w:t>
            </w:r>
          </w:p>
        </w:tc>
        <w:tc>
          <w:tcPr>
            <w:tcW w:w="684" w:type="pct"/>
            <w:shd w:val="clear" w:color="auto" w:fill="auto"/>
          </w:tcPr>
          <w:p w:rsidR="00555918" w:rsidRPr="00E400E4" w:rsidRDefault="00555918" w:rsidP="000B1771">
            <w:pPr>
              <w:pStyle w:val="TableText"/>
              <w:rPr>
                <w:szCs w:val="16"/>
              </w:rPr>
            </w:pPr>
            <w:r w:rsidRPr="00E400E4">
              <w:rPr>
                <w:szCs w:val="16"/>
              </w:rPr>
              <w:t>Assessment not required</w:t>
            </w:r>
          </w:p>
        </w:tc>
        <w:tc>
          <w:tcPr>
            <w:tcW w:w="726" w:type="pct"/>
            <w:shd w:val="clear" w:color="auto" w:fill="auto"/>
          </w:tcPr>
          <w:p w:rsidR="00555918" w:rsidRPr="00E400E4" w:rsidRDefault="00555918" w:rsidP="000B1771">
            <w:pPr>
              <w:pStyle w:val="TableText"/>
              <w:rPr>
                <w:szCs w:val="16"/>
              </w:rPr>
            </w:pPr>
            <w:r w:rsidRPr="00E400E4">
              <w:rPr>
                <w:szCs w:val="16"/>
              </w:rPr>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trPr>
          <w:cantSplit/>
          <w:jc w:val="center"/>
        </w:trPr>
        <w:tc>
          <w:tcPr>
            <w:tcW w:w="5000" w:type="pct"/>
            <w:gridSpan w:val="7"/>
            <w:shd w:val="clear" w:color="auto" w:fill="auto"/>
          </w:tcPr>
          <w:p w:rsidR="00555918" w:rsidRPr="00E400E4" w:rsidRDefault="00555918" w:rsidP="000B1771">
            <w:pPr>
              <w:pStyle w:val="TableText"/>
              <w:keepNext/>
              <w:rPr>
                <w:b/>
              </w:rPr>
            </w:pPr>
            <w:r w:rsidRPr="00E400E4">
              <w:rPr>
                <w:b/>
              </w:rPr>
              <w:t>BACTERIA</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Pantoea agglomerans</w:t>
            </w:r>
            <w:r w:rsidRPr="00E400E4">
              <w:t xml:space="preserve"> (Ewing and Fife 1972) Gavini et al. 1989</w:t>
            </w:r>
          </w:p>
          <w:p w:rsidR="00555918" w:rsidRPr="00E400E4" w:rsidRDefault="00555918" w:rsidP="000B1771">
            <w:pPr>
              <w:pStyle w:val="TableText"/>
            </w:pPr>
            <w:r w:rsidRPr="00E400E4">
              <w:t xml:space="preserve">Synonym: </w:t>
            </w:r>
            <w:r w:rsidRPr="00E400E4">
              <w:rPr>
                <w:i/>
              </w:rPr>
              <w:t>Erwinia herbicola</w:t>
            </w:r>
            <w:r w:rsidRPr="00E400E4">
              <w:t xml:space="preserve"> (Löhnis 1911) Dye 1964</w:t>
            </w:r>
          </w:p>
          <w:p w:rsidR="00555918" w:rsidRPr="00E400E4" w:rsidRDefault="00555918" w:rsidP="000B1771">
            <w:pPr>
              <w:pStyle w:val="TableText"/>
            </w:pPr>
            <w:r w:rsidRPr="00E400E4">
              <w:t>[Enterobacteriales: Enterobacteriaceae]</w:t>
            </w:r>
          </w:p>
          <w:p w:rsidR="00555918" w:rsidRPr="00E400E4" w:rsidRDefault="00555918" w:rsidP="000B1771">
            <w:pPr>
              <w:pStyle w:val="TableText"/>
            </w:pPr>
            <w:r w:rsidRPr="00E400E4">
              <w:t>Bacterial soft rot, Bacterial blast</w:t>
            </w:r>
          </w:p>
        </w:tc>
        <w:tc>
          <w:tcPr>
            <w:tcW w:w="728" w:type="pct"/>
            <w:shd w:val="clear" w:color="auto" w:fill="auto"/>
          </w:tcPr>
          <w:p w:rsidR="00555918" w:rsidRPr="00E400E4" w:rsidRDefault="00555918" w:rsidP="000B1771">
            <w:pPr>
              <w:pStyle w:val="TableText"/>
            </w:pPr>
            <w:r w:rsidRPr="00E400E4">
              <w:t xml:space="preserve">Yes. Widespread worldwide </w:t>
            </w:r>
            <w:r>
              <w:rPr>
                <w:noProof/>
              </w:rPr>
              <w:t>(Bradbury 1986)</w:t>
            </w:r>
          </w:p>
        </w:tc>
        <w:tc>
          <w:tcPr>
            <w:tcW w:w="797" w:type="pct"/>
            <w:shd w:val="clear" w:color="auto" w:fill="auto"/>
          </w:tcPr>
          <w:p w:rsidR="00555918" w:rsidRPr="00E400E4" w:rsidRDefault="00555918" w:rsidP="000B1771">
            <w:pPr>
              <w:pStyle w:val="TableText"/>
            </w:pPr>
            <w:r w:rsidRPr="00E400E4">
              <w:t xml:space="preserve">Yes. NSW, Vic., WA </w:t>
            </w:r>
            <w:r>
              <w:rPr>
                <w:noProof/>
              </w:rPr>
              <w:t>(Plant Health Australia 2019)</w:t>
            </w:r>
            <w:r w:rsidRPr="00E400E4">
              <w:t>.</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Pectobacterium carotovorum</w:t>
            </w:r>
            <w:r w:rsidRPr="00E400E4">
              <w:t xml:space="preserve"> subsp. </w:t>
            </w:r>
            <w:r w:rsidRPr="00E400E4">
              <w:rPr>
                <w:i/>
              </w:rPr>
              <w:t>carotovorum</w:t>
            </w:r>
            <w:r w:rsidRPr="00E400E4">
              <w:t xml:space="preserve"> (Jones 1901) Hauben </w:t>
            </w:r>
            <w:r w:rsidRPr="00E400E4">
              <w:rPr>
                <w:i/>
              </w:rPr>
              <w:t>et al.</w:t>
            </w:r>
            <w:r w:rsidRPr="00E400E4">
              <w:t xml:space="preserve"> 1999</w:t>
            </w:r>
          </w:p>
          <w:p w:rsidR="00555918" w:rsidRPr="00E400E4" w:rsidRDefault="00555918" w:rsidP="000B1771">
            <w:pPr>
              <w:pStyle w:val="TableText"/>
            </w:pPr>
            <w:r w:rsidRPr="00E400E4">
              <w:t xml:space="preserve">Synonym: </w:t>
            </w:r>
            <w:r w:rsidRPr="00E400E4">
              <w:rPr>
                <w:i/>
              </w:rPr>
              <w:t>Erwinia carotovora</w:t>
            </w:r>
            <w:r w:rsidRPr="00E400E4">
              <w:t xml:space="preserve"> subsp. </w:t>
            </w:r>
            <w:r w:rsidRPr="00E400E4">
              <w:rPr>
                <w:i/>
              </w:rPr>
              <w:t>carotovora</w:t>
            </w:r>
            <w:r w:rsidRPr="00E400E4">
              <w:t xml:space="preserve"> (Jones 1901) Bergey et al. 1923</w:t>
            </w:r>
          </w:p>
          <w:p w:rsidR="00555918" w:rsidRPr="00E400E4" w:rsidRDefault="00555918" w:rsidP="000B1771">
            <w:pPr>
              <w:pStyle w:val="TableText"/>
            </w:pPr>
            <w:r w:rsidRPr="00E400E4">
              <w:t>[Enterobacteriales: Enterobacteriaceae]</w:t>
            </w:r>
          </w:p>
          <w:p w:rsidR="00555918" w:rsidRPr="00E400E4" w:rsidRDefault="00555918" w:rsidP="000B1771">
            <w:pPr>
              <w:pStyle w:val="TableText"/>
            </w:pPr>
            <w:r w:rsidRPr="00E400E4">
              <w:t>Bacterial soft rot</w:t>
            </w:r>
          </w:p>
        </w:tc>
        <w:tc>
          <w:tcPr>
            <w:tcW w:w="728" w:type="pct"/>
            <w:shd w:val="clear" w:color="auto" w:fill="auto"/>
          </w:tcPr>
          <w:p w:rsidR="00555918" w:rsidRPr="00E400E4" w:rsidRDefault="00555918" w:rsidP="000B1771">
            <w:pPr>
              <w:pStyle w:val="TableText"/>
            </w:pPr>
            <w:r w:rsidRPr="00E400E4">
              <w:t xml:space="preserve">Yes </w:t>
            </w:r>
            <w:r>
              <w:rPr>
                <w:noProof/>
              </w:rPr>
              <w:t>(CABI 2019a)</w:t>
            </w:r>
          </w:p>
        </w:tc>
        <w:tc>
          <w:tcPr>
            <w:tcW w:w="797" w:type="pct"/>
            <w:shd w:val="clear" w:color="auto" w:fill="auto"/>
          </w:tcPr>
          <w:p w:rsidR="00555918" w:rsidRPr="00E400E4" w:rsidRDefault="00555918" w:rsidP="000B1771">
            <w:pPr>
              <w:pStyle w:val="TableText"/>
              <w:rPr>
                <w:szCs w:val="18"/>
              </w:rPr>
            </w:pPr>
            <w:r w:rsidRPr="00E400E4">
              <w:rPr>
                <w:szCs w:val="18"/>
              </w:rPr>
              <w:t xml:space="preserve">Yes. </w:t>
            </w:r>
            <w:r>
              <w:rPr>
                <w:noProof/>
                <w:szCs w:val="18"/>
              </w:rPr>
              <w:t>(CABI 2019a)</w:t>
            </w:r>
            <w:r w:rsidRPr="00E400E4">
              <w:rPr>
                <w:szCs w:val="18"/>
              </w:rPr>
              <w:t xml:space="preserve">. ACT, NSW, Qld, SA, Vic., WA </w:t>
            </w:r>
            <w:r>
              <w:rPr>
                <w:noProof/>
                <w:szCs w:val="18"/>
              </w:rPr>
              <w:t>(Plant Health Australia 2019; Shivas 1989)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Pseudomonas syringae</w:t>
            </w:r>
            <w:r w:rsidRPr="00E400E4">
              <w:t xml:space="preserve"> van Hall 1902 (Approved Lists 1980)</w:t>
            </w:r>
          </w:p>
          <w:p w:rsidR="00555918" w:rsidRPr="00E400E4" w:rsidRDefault="00555918" w:rsidP="000B1771">
            <w:pPr>
              <w:pStyle w:val="TableText"/>
            </w:pPr>
            <w:r w:rsidRPr="00E400E4">
              <w:t>[Pseudomonadales: Pseudomonadaceae]</w:t>
            </w:r>
          </w:p>
          <w:p w:rsidR="00555918" w:rsidRPr="00E400E4" w:rsidRDefault="00555918" w:rsidP="000B1771">
            <w:pPr>
              <w:pStyle w:val="TableText"/>
            </w:pPr>
            <w:r w:rsidRPr="00E400E4">
              <w:t>Bacterial canker</w:t>
            </w:r>
          </w:p>
        </w:tc>
        <w:tc>
          <w:tcPr>
            <w:tcW w:w="728" w:type="pct"/>
            <w:shd w:val="clear" w:color="auto" w:fill="auto"/>
          </w:tcPr>
          <w:p w:rsidR="00555918" w:rsidRPr="00E400E4" w:rsidRDefault="00555918" w:rsidP="000B1771">
            <w:pPr>
              <w:pStyle w:val="TableText"/>
            </w:pPr>
            <w:r w:rsidRPr="00E400E4">
              <w:t xml:space="preserve">Yes </w:t>
            </w:r>
            <w:r>
              <w:rPr>
                <w:noProof/>
              </w:rPr>
              <w:t>(CABI 2019a)</w:t>
            </w:r>
          </w:p>
        </w:tc>
        <w:tc>
          <w:tcPr>
            <w:tcW w:w="797" w:type="pct"/>
            <w:shd w:val="clear" w:color="auto" w:fill="auto"/>
          </w:tcPr>
          <w:p w:rsidR="00555918" w:rsidRPr="00E400E4" w:rsidRDefault="00555918" w:rsidP="000B1771">
            <w:pPr>
              <w:pStyle w:val="TableText"/>
              <w:rPr>
                <w:szCs w:val="18"/>
              </w:rPr>
            </w:pPr>
            <w:r w:rsidRPr="00E400E4">
              <w:rPr>
                <w:szCs w:val="18"/>
              </w:rPr>
              <w:t xml:space="preserve">Yes. ACT, NSW, Qld, SA, Tas., Vic., WA </w:t>
            </w:r>
            <w:r>
              <w:rPr>
                <w:noProof/>
                <w:szCs w:val="18"/>
              </w:rPr>
              <w:t>(Plant Health Australia 2019)</w:t>
            </w:r>
            <w:r w:rsidRPr="00E400E4">
              <w:rPr>
                <w:szCs w:val="18"/>
              </w:rPr>
              <w:t>.</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Rhizobium radiobacter</w:t>
            </w:r>
            <w:r w:rsidRPr="00E400E4">
              <w:t xml:space="preserve"> (Beijerinck and van Delden 1902) Young et al. 2001</w:t>
            </w:r>
          </w:p>
          <w:p w:rsidR="00555918" w:rsidRPr="00E400E4" w:rsidRDefault="00555918" w:rsidP="000B1771">
            <w:pPr>
              <w:pStyle w:val="TableText"/>
            </w:pPr>
            <w:r w:rsidRPr="00E400E4">
              <w:t xml:space="preserve">Synonym: </w:t>
            </w:r>
            <w:r w:rsidRPr="00E400E4">
              <w:rPr>
                <w:i/>
              </w:rPr>
              <w:t>Agrobacterium tumefaciens</w:t>
            </w:r>
            <w:r w:rsidRPr="00E400E4">
              <w:t xml:space="preserve"> (Smith and Townsend 1907) Conn 1942 (Approved Lists 1980)</w:t>
            </w:r>
          </w:p>
          <w:p w:rsidR="00555918" w:rsidRPr="00E400E4" w:rsidRDefault="00555918" w:rsidP="000B1771">
            <w:pPr>
              <w:pStyle w:val="TableText"/>
            </w:pPr>
            <w:r w:rsidRPr="00E400E4">
              <w:t>[Rhizobiales: Rhizobiaceae]</w:t>
            </w:r>
          </w:p>
          <w:p w:rsidR="00555918" w:rsidRPr="00E400E4" w:rsidRDefault="00555918" w:rsidP="000B1771">
            <w:pPr>
              <w:pStyle w:val="TableText"/>
            </w:pPr>
            <w:r w:rsidRPr="00E400E4">
              <w:t>Crown gall</w:t>
            </w:r>
          </w:p>
        </w:tc>
        <w:tc>
          <w:tcPr>
            <w:tcW w:w="728" w:type="pct"/>
            <w:shd w:val="clear" w:color="auto" w:fill="auto"/>
          </w:tcPr>
          <w:p w:rsidR="00555918" w:rsidRPr="00E400E4" w:rsidRDefault="00555918" w:rsidP="000B1771">
            <w:pPr>
              <w:pStyle w:val="TableText"/>
            </w:pPr>
            <w:r w:rsidRPr="00E400E4">
              <w:t xml:space="preserve">Yes </w:t>
            </w:r>
            <w:r>
              <w:rPr>
                <w:noProof/>
              </w:rPr>
              <w:t>(Bradbury 1986; CABI 2019a)</w:t>
            </w:r>
          </w:p>
        </w:tc>
        <w:tc>
          <w:tcPr>
            <w:tcW w:w="797" w:type="pct"/>
            <w:shd w:val="clear" w:color="auto" w:fill="auto"/>
          </w:tcPr>
          <w:p w:rsidR="00555918" w:rsidRPr="00E400E4" w:rsidRDefault="00555918" w:rsidP="000B1771">
            <w:pPr>
              <w:pStyle w:val="TableText"/>
              <w:rPr>
                <w:szCs w:val="18"/>
              </w:rPr>
            </w:pPr>
            <w:r w:rsidRPr="00E400E4">
              <w:rPr>
                <w:szCs w:val="18"/>
              </w:rPr>
              <w:t xml:space="preserve">Yes. NSW, Qld, SA, Tas., Vic., WA </w:t>
            </w:r>
            <w:r>
              <w:rPr>
                <w:noProof/>
                <w:szCs w:val="18"/>
              </w:rPr>
              <w:t>(Bradbury 1986; Plant Health Australia 2019; Shivas 1989)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Xanthomonas campestris</w:t>
            </w:r>
            <w:r w:rsidRPr="00E400E4">
              <w:t xml:space="preserve"> (Pammel 1895) Dowson 1939 (Approved Lists 1980)</w:t>
            </w:r>
          </w:p>
          <w:p w:rsidR="00555918" w:rsidRPr="00E400E4" w:rsidRDefault="00555918" w:rsidP="000B1771">
            <w:pPr>
              <w:pStyle w:val="TableText"/>
            </w:pPr>
            <w:r w:rsidRPr="00E400E4">
              <w:t>[Xanthomonadales: Xanthomonadaceae]</w:t>
            </w:r>
          </w:p>
          <w:p w:rsidR="00555918" w:rsidRPr="00E400E4" w:rsidRDefault="00555918" w:rsidP="000B1771">
            <w:pPr>
              <w:pStyle w:val="TableText"/>
            </w:pPr>
            <w:r w:rsidRPr="00E400E4">
              <w:t>Bacterial canker</w:t>
            </w:r>
          </w:p>
        </w:tc>
        <w:tc>
          <w:tcPr>
            <w:tcW w:w="728" w:type="pct"/>
            <w:shd w:val="clear" w:color="auto" w:fill="auto"/>
          </w:tcPr>
          <w:p w:rsidR="00555918" w:rsidRPr="00E400E4" w:rsidRDefault="00555918" w:rsidP="000B1771">
            <w:pPr>
              <w:pStyle w:val="TableText"/>
            </w:pPr>
            <w:r w:rsidRPr="00E400E4">
              <w:t xml:space="preserve">Yes. As </w:t>
            </w:r>
            <w:r w:rsidRPr="00E400E4">
              <w:rPr>
                <w:i/>
              </w:rPr>
              <w:t>Xanthomonas campestris</w:t>
            </w:r>
            <w:r w:rsidRPr="00E400E4">
              <w:t xml:space="preserve"> pv. </w:t>
            </w:r>
            <w:r w:rsidRPr="00E400E4">
              <w:rPr>
                <w:i/>
              </w:rPr>
              <w:t>campestris</w:t>
            </w:r>
            <w:r w:rsidRPr="00E400E4">
              <w:t xml:space="preserve"> </w:t>
            </w:r>
            <w:r>
              <w:rPr>
                <w:noProof/>
              </w:rPr>
              <w:t>(SAG 2002)</w:t>
            </w:r>
          </w:p>
        </w:tc>
        <w:tc>
          <w:tcPr>
            <w:tcW w:w="797" w:type="pct"/>
            <w:shd w:val="clear" w:color="auto" w:fill="auto"/>
          </w:tcPr>
          <w:p w:rsidR="00555918" w:rsidRPr="00E400E4" w:rsidRDefault="00555918" w:rsidP="000B1771">
            <w:pPr>
              <w:pStyle w:val="TableText"/>
              <w:rPr>
                <w:szCs w:val="18"/>
              </w:rPr>
            </w:pPr>
            <w:r w:rsidRPr="00E400E4">
              <w:rPr>
                <w:szCs w:val="18"/>
              </w:rPr>
              <w:t xml:space="preserve">Yes. ACT, NSW, NT, Qld, SA, Tas., Vic., WA </w:t>
            </w:r>
            <w:r>
              <w:rPr>
                <w:noProof/>
                <w:szCs w:val="18"/>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trPr>
          <w:cantSplit/>
          <w:jc w:val="center"/>
        </w:trPr>
        <w:tc>
          <w:tcPr>
            <w:tcW w:w="5000" w:type="pct"/>
            <w:gridSpan w:val="7"/>
            <w:shd w:val="clear" w:color="auto" w:fill="auto"/>
          </w:tcPr>
          <w:p w:rsidR="00555918" w:rsidRPr="00E400E4" w:rsidRDefault="00555918" w:rsidP="000B1771">
            <w:pPr>
              <w:pStyle w:val="TableText"/>
              <w:keepNext/>
              <w:rPr>
                <w:b/>
              </w:rPr>
            </w:pPr>
            <w:r w:rsidRPr="00E400E4">
              <w:rPr>
                <w:b/>
              </w:rPr>
              <w:t>CHROMALVEOLATA</w:t>
            </w:r>
          </w:p>
        </w:tc>
      </w:tr>
      <w:tr w:rsidR="00555918" w:rsidRPr="00E400E4" w:rsidTr="000B1771">
        <w:trPr>
          <w:cantSplit/>
          <w:jc w:val="center"/>
        </w:trPr>
        <w:tc>
          <w:tcPr>
            <w:tcW w:w="842" w:type="pct"/>
            <w:shd w:val="clear" w:color="auto" w:fill="auto"/>
          </w:tcPr>
          <w:p w:rsidR="00555918" w:rsidRPr="00E400E4" w:rsidRDefault="00555918" w:rsidP="000B1771">
            <w:pPr>
              <w:pStyle w:val="TableText"/>
              <w:rPr>
                <w:lang w:val="pt-BR"/>
              </w:rPr>
            </w:pPr>
            <w:r w:rsidRPr="00E400E4">
              <w:rPr>
                <w:i/>
                <w:lang w:val="pt-BR"/>
              </w:rPr>
              <w:t>Globisporangium debaryanum</w:t>
            </w:r>
            <w:r w:rsidRPr="00E400E4">
              <w:rPr>
                <w:lang w:val="pt-BR"/>
              </w:rPr>
              <w:t xml:space="preserve"> (R. Hesse) Uzuhashi, Tojo &amp; Kakish.</w:t>
            </w:r>
          </w:p>
          <w:p w:rsidR="00555918" w:rsidRPr="00E400E4" w:rsidRDefault="00555918" w:rsidP="000B1771">
            <w:pPr>
              <w:pStyle w:val="TableText"/>
              <w:rPr>
                <w:lang w:val="pt-BR"/>
              </w:rPr>
            </w:pPr>
            <w:r w:rsidRPr="00E400E4">
              <w:rPr>
                <w:lang w:val="pt-BR"/>
              </w:rPr>
              <w:t xml:space="preserve">Synonym: </w:t>
            </w:r>
            <w:r w:rsidRPr="00E400E4">
              <w:rPr>
                <w:i/>
                <w:lang w:val="pt-BR"/>
              </w:rPr>
              <w:t>Pythium debaryanum</w:t>
            </w:r>
            <w:r w:rsidRPr="00E400E4">
              <w:rPr>
                <w:lang w:val="pt-BR"/>
              </w:rPr>
              <w:t xml:space="preserve"> R. Hesse</w:t>
            </w:r>
          </w:p>
          <w:p w:rsidR="00555918" w:rsidRPr="00E400E4" w:rsidRDefault="00555918" w:rsidP="000B1771">
            <w:pPr>
              <w:pStyle w:val="TableText"/>
              <w:rPr>
                <w:lang w:val="pt-BR"/>
              </w:rPr>
            </w:pPr>
            <w:r w:rsidRPr="00E400E4">
              <w:rPr>
                <w:lang w:val="pt-BR"/>
              </w:rPr>
              <w:t>[Pythiales: Pythiaceae]</w:t>
            </w:r>
          </w:p>
          <w:p w:rsidR="00555918" w:rsidRPr="00E400E4" w:rsidRDefault="00555918" w:rsidP="000B1771">
            <w:pPr>
              <w:pStyle w:val="TableText"/>
              <w:rPr>
                <w:lang w:val="pt-BR"/>
              </w:rPr>
            </w:pPr>
            <w:r w:rsidRPr="00E400E4">
              <w:rPr>
                <w:lang w:val="pt-BR"/>
              </w:rPr>
              <w:t>Root rot of avocado, damping off</w:t>
            </w:r>
          </w:p>
        </w:tc>
        <w:tc>
          <w:tcPr>
            <w:tcW w:w="728" w:type="pct"/>
            <w:shd w:val="clear" w:color="auto" w:fill="auto"/>
          </w:tcPr>
          <w:p w:rsidR="00555918" w:rsidRPr="00E400E4" w:rsidRDefault="00555918" w:rsidP="000B1771">
            <w:pPr>
              <w:pStyle w:val="TableText"/>
              <w:rPr>
                <w:lang w:val="pt-BR"/>
              </w:rPr>
            </w:pPr>
            <w:r w:rsidRPr="00E400E4">
              <w:rPr>
                <w:lang w:val="pt-BR"/>
              </w:rPr>
              <w:t xml:space="preserve">Yes </w:t>
            </w:r>
            <w:r>
              <w:rPr>
                <w:noProof/>
                <w:lang w:val="pt-BR"/>
              </w:rPr>
              <w:t>(Minter &amp; Peredo López 2019)</w:t>
            </w:r>
          </w:p>
        </w:tc>
        <w:tc>
          <w:tcPr>
            <w:tcW w:w="797" w:type="pct"/>
            <w:shd w:val="clear" w:color="auto" w:fill="auto"/>
          </w:tcPr>
          <w:p w:rsidR="00555918" w:rsidRPr="00E400E4" w:rsidRDefault="00555918" w:rsidP="000B1771">
            <w:pPr>
              <w:pStyle w:val="TableText"/>
              <w:rPr>
                <w:szCs w:val="16"/>
              </w:rPr>
            </w:pPr>
            <w:r w:rsidRPr="00E400E4">
              <w:rPr>
                <w:szCs w:val="16"/>
              </w:rPr>
              <w:t xml:space="preserve">Yes. NSW, Qld, Vic., WA </w:t>
            </w:r>
            <w:r>
              <w:rPr>
                <w:noProof/>
                <w:szCs w:val="16"/>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Globisporangium ultimum</w:t>
            </w:r>
            <w:r w:rsidRPr="00E400E4">
              <w:t xml:space="preserve"> (Trow) Uzuhashi, Tojo &amp; Kakish.</w:t>
            </w:r>
          </w:p>
          <w:p w:rsidR="00555918" w:rsidRPr="00E400E4" w:rsidRDefault="00555918" w:rsidP="000B1771">
            <w:pPr>
              <w:pStyle w:val="TableText"/>
            </w:pPr>
            <w:r w:rsidRPr="00E400E4">
              <w:t xml:space="preserve">Synonyms: </w:t>
            </w:r>
            <w:r w:rsidRPr="00E400E4">
              <w:rPr>
                <w:i/>
              </w:rPr>
              <w:t>Pythium ultimum</w:t>
            </w:r>
            <w:r w:rsidRPr="00E400E4">
              <w:t xml:space="preserve"> var. </w:t>
            </w:r>
            <w:r w:rsidRPr="00E400E4">
              <w:rPr>
                <w:i/>
              </w:rPr>
              <w:t>ultimum</w:t>
            </w:r>
            <w:r w:rsidRPr="00E400E4">
              <w:t xml:space="preserve"> Trow; Pythium ultimum Trow</w:t>
            </w:r>
          </w:p>
          <w:p w:rsidR="00555918" w:rsidRPr="00E400E4" w:rsidRDefault="00555918" w:rsidP="000B1771">
            <w:pPr>
              <w:pStyle w:val="TableText"/>
            </w:pPr>
            <w:r w:rsidRPr="00E400E4">
              <w:t>[Pythiales: Pythiaceae]</w:t>
            </w:r>
          </w:p>
          <w:p w:rsidR="00555918" w:rsidRPr="00E400E4" w:rsidRDefault="00555918" w:rsidP="000B1771">
            <w:pPr>
              <w:pStyle w:val="TableText"/>
            </w:pPr>
            <w:r w:rsidRPr="00E400E4">
              <w:t>Root rot of avocado, damping off</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ACT, NSW,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Phytophthora cactorum</w:t>
            </w:r>
            <w:r w:rsidRPr="00E400E4">
              <w:t xml:space="preserve"> (Lebert &amp; Cohn) J. Schröt.</w:t>
            </w:r>
          </w:p>
          <w:p w:rsidR="00555918" w:rsidRPr="00E400E4" w:rsidRDefault="00555918" w:rsidP="000B1771">
            <w:pPr>
              <w:pStyle w:val="TableText"/>
            </w:pPr>
            <w:r w:rsidRPr="00E400E4">
              <w:t>[Peronosporales: Peronosporaceae]</w:t>
            </w:r>
          </w:p>
          <w:p w:rsidR="00555918" w:rsidRPr="00E400E4" w:rsidRDefault="00555918" w:rsidP="000B1771">
            <w:pPr>
              <w:pStyle w:val="TableText"/>
            </w:pPr>
            <w:r w:rsidRPr="00E400E4">
              <w:t>Fruit rot of avocado</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ACT, NSW,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Phytophthora cinnamomi</w:t>
            </w:r>
            <w:r w:rsidRPr="00E400E4">
              <w:t xml:space="preserve"> Rands</w:t>
            </w:r>
          </w:p>
          <w:p w:rsidR="00555918" w:rsidRPr="00E400E4" w:rsidRDefault="00555918" w:rsidP="000B1771">
            <w:pPr>
              <w:pStyle w:val="TableText"/>
            </w:pPr>
            <w:r w:rsidRPr="00E400E4">
              <w:t>[Peronosporales: Peronosporaceae]</w:t>
            </w:r>
          </w:p>
          <w:p w:rsidR="00555918" w:rsidRPr="00E400E4" w:rsidRDefault="00555918" w:rsidP="000B1771">
            <w:pPr>
              <w:pStyle w:val="TableText"/>
            </w:pPr>
            <w:r w:rsidRPr="00E400E4">
              <w:t>Avocado root rot, trunk canker</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 SAG 2005b)</w:t>
            </w:r>
          </w:p>
        </w:tc>
        <w:tc>
          <w:tcPr>
            <w:tcW w:w="797" w:type="pct"/>
            <w:shd w:val="clear" w:color="auto" w:fill="auto"/>
          </w:tcPr>
          <w:p w:rsidR="00555918" w:rsidRPr="00E400E4" w:rsidRDefault="00555918" w:rsidP="000B1771">
            <w:pPr>
              <w:pStyle w:val="TableText"/>
            </w:pPr>
            <w:r w:rsidRPr="00E400E4">
              <w:t xml:space="preserve">Yes. ACT, NSW, NT,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Phytophthora citricola</w:t>
            </w:r>
            <w:r w:rsidRPr="00E400E4">
              <w:t xml:space="preserve"> Sawada</w:t>
            </w:r>
          </w:p>
          <w:p w:rsidR="00555918" w:rsidRPr="00E400E4" w:rsidRDefault="00555918" w:rsidP="000B1771">
            <w:pPr>
              <w:pStyle w:val="TableText"/>
            </w:pPr>
            <w:r w:rsidRPr="00E400E4">
              <w:t>[Peronosporales: Peronosporaceae]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r w:rsidRPr="00E400E4">
              <w:t xml:space="preserve">. </w:t>
            </w:r>
          </w:p>
          <w:p w:rsidR="00555918" w:rsidRPr="00E400E4" w:rsidRDefault="00555918" w:rsidP="000B1771">
            <w:pPr>
              <w:pStyle w:val="TableText"/>
            </w:pPr>
            <w:r w:rsidRPr="00E400E4">
              <w:t xml:space="preserve">Hong et al. </w:t>
            </w:r>
            <w:r>
              <w:rPr>
                <w:noProof/>
              </w:rPr>
              <w:t>(2009)</w:t>
            </w:r>
            <w:r w:rsidRPr="00E400E4">
              <w:t xml:space="preserve"> redescribed the avocado subgroup of </w:t>
            </w:r>
            <w:r w:rsidRPr="00E400E4">
              <w:rPr>
                <w:i/>
              </w:rPr>
              <w:t>P. citricola</w:t>
            </w:r>
            <w:r w:rsidRPr="00E400E4">
              <w:t xml:space="preserve"> as </w:t>
            </w:r>
            <w:r w:rsidRPr="00E400E4">
              <w:rPr>
                <w:i/>
              </w:rPr>
              <w:t>P. mengei</w:t>
            </w:r>
            <w:r w:rsidRPr="00E400E4">
              <w:t xml:space="preserve"> from US collections. It is not clear whether Chilean or Australian </w:t>
            </w:r>
            <w:r w:rsidRPr="00E400E4">
              <w:rPr>
                <w:i/>
              </w:rPr>
              <w:t>P. citricola</w:t>
            </w:r>
            <w:r w:rsidRPr="00E400E4">
              <w:t xml:space="preserve"> on avocado would be </w:t>
            </w:r>
            <w:r w:rsidRPr="00E400E4">
              <w:rPr>
                <w:i/>
              </w:rPr>
              <w:t>P. mengei</w:t>
            </w:r>
            <w:r w:rsidRPr="00E400E4">
              <w:t xml:space="preserve"> as well.</w:t>
            </w:r>
          </w:p>
        </w:tc>
        <w:tc>
          <w:tcPr>
            <w:tcW w:w="797" w:type="pct"/>
            <w:shd w:val="clear" w:color="auto" w:fill="auto"/>
          </w:tcPr>
          <w:p w:rsidR="00555918" w:rsidRPr="00E400E4" w:rsidRDefault="00555918" w:rsidP="000B1771">
            <w:pPr>
              <w:pStyle w:val="TableText"/>
            </w:pPr>
            <w:r w:rsidRPr="00E400E4">
              <w:t xml:space="preserve">Yes. NSW, SA,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Phytophthora citrophthora</w:t>
            </w:r>
            <w:r w:rsidRPr="00E400E4">
              <w:t xml:space="preserve"> (R.E. Sm. &amp; E.H. Sm.) Leonian</w:t>
            </w:r>
          </w:p>
          <w:p w:rsidR="00555918" w:rsidRPr="00E400E4" w:rsidRDefault="00555918" w:rsidP="000B1771">
            <w:pPr>
              <w:pStyle w:val="TableText"/>
            </w:pPr>
            <w:r w:rsidRPr="00E400E4">
              <w:t>[Peronosporales: Peronosporaceae]</w:t>
            </w:r>
          </w:p>
          <w:p w:rsidR="00555918" w:rsidRPr="00E400E4" w:rsidRDefault="00555918" w:rsidP="000B1771">
            <w:pPr>
              <w:pStyle w:val="TableText"/>
            </w:pPr>
            <w:r w:rsidRPr="00E400E4">
              <w:t>Avocado trunk canker</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NSW, Qld, SA,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Phytophthora cryptogea</w:t>
            </w:r>
            <w:r w:rsidRPr="00E400E4">
              <w:t xml:space="preserve"> Pethybr. &amp; Laff</w:t>
            </w:r>
          </w:p>
          <w:p w:rsidR="00555918" w:rsidRPr="00E400E4" w:rsidRDefault="00555918" w:rsidP="000B1771">
            <w:pPr>
              <w:pStyle w:val="TableText"/>
            </w:pPr>
            <w:r w:rsidRPr="00E400E4">
              <w:t>[Peronosporales: Peronosporaceae]</w:t>
            </w:r>
          </w:p>
          <w:p w:rsidR="00555918" w:rsidRPr="00E400E4" w:rsidRDefault="00555918" w:rsidP="000B1771">
            <w:pPr>
              <w:pStyle w:val="TableText"/>
            </w:pPr>
            <w:r w:rsidRPr="00E400E4">
              <w:t>Phytophthora root and crown rot</w:t>
            </w:r>
          </w:p>
        </w:tc>
        <w:tc>
          <w:tcPr>
            <w:tcW w:w="728" w:type="pct"/>
            <w:shd w:val="clear" w:color="auto" w:fill="auto"/>
          </w:tcPr>
          <w:p w:rsidR="00555918" w:rsidRPr="00E400E4" w:rsidRDefault="00555918" w:rsidP="000B1771">
            <w:pPr>
              <w:pStyle w:val="TableText"/>
            </w:pPr>
            <w:r w:rsidRPr="00E400E4">
              <w:t xml:space="preserve">Yes </w:t>
            </w:r>
            <w:r>
              <w:rPr>
                <w:noProof/>
              </w:rPr>
              <w:t>(Farr &amp; Rossman 2019; Minter &amp; Peredo López 2019)</w:t>
            </w:r>
          </w:p>
        </w:tc>
        <w:tc>
          <w:tcPr>
            <w:tcW w:w="797" w:type="pct"/>
            <w:shd w:val="clear" w:color="auto" w:fill="auto"/>
          </w:tcPr>
          <w:p w:rsidR="00555918" w:rsidRPr="00E400E4" w:rsidRDefault="00555918" w:rsidP="000B1771">
            <w:pPr>
              <w:pStyle w:val="TableText"/>
            </w:pPr>
            <w:r w:rsidRPr="00E400E4">
              <w:t xml:space="preserve">Yes. ACT, NSW,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Phytophthora megasperma</w:t>
            </w:r>
            <w:r w:rsidRPr="00E400E4">
              <w:t xml:space="preserve"> Drechsler</w:t>
            </w:r>
          </w:p>
          <w:p w:rsidR="00555918" w:rsidRPr="00E400E4" w:rsidRDefault="00555918" w:rsidP="000B1771">
            <w:pPr>
              <w:pStyle w:val="TableText"/>
            </w:pPr>
            <w:r w:rsidRPr="00E400E4">
              <w:t>[Peronosporales: Peronosporaceae]</w:t>
            </w:r>
          </w:p>
          <w:p w:rsidR="00555918" w:rsidRPr="00E400E4" w:rsidRDefault="00555918" w:rsidP="000B1771">
            <w:pPr>
              <w:pStyle w:val="TableText"/>
            </w:pPr>
            <w:r w:rsidRPr="00E400E4">
              <w:t>Root rot of avocado</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NSW,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Phytophthora nicotianae</w:t>
            </w:r>
            <w:r w:rsidRPr="00E400E4">
              <w:t xml:space="preserve"> Breda de Haan</w:t>
            </w:r>
          </w:p>
          <w:p w:rsidR="00555918" w:rsidRPr="00E400E4" w:rsidRDefault="00555918" w:rsidP="000B1771">
            <w:pPr>
              <w:pStyle w:val="TableText"/>
            </w:pPr>
            <w:r w:rsidRPr="00E400E4">
              <w:t xml:space="preserve">Synonym: </w:t>
            </w:r>
            <w:r w:rsidRPr="00E400E4">
              <w:rPr>
                <w:i/>
              </w:rPr>
              <w:t>Phytophthora nicotianae</w:t>
            </w:r>
            <w:r w:rsidRPr="00E400E4">
              <w:t xml:space="preserve"> var. </w:t>
            </w:r>
            <w:r w:rsidRPr="00E400E4">
              <w:rPr>
                <w:i/>
              </w:rPr>
              <w:t>parasitica</w:t>
            </w:r>
            <w:r w:rsidRPr="00E400E4">
              <w:t xml:space="preserve"> (Dastur) G.M. Waterhouse</w:t>
            </w:r>
          </w:p>
          <w:p w:rsidR="00555918" w:rsidRPr="00E400E4" w:rsidRDefault="00555918" w:rsidP="000B1771">
            <w:pPr>
              <w:pStyle w:val="TableText"/>
            </w:pPr>
            <w:r w:rsidRPr="00E400E4">
              <w:t>[Peronosporales: Peronosporaceae]</w:t>
            </w:r>
          </w:p>
          <w:p w:rsidR="00555918" w:rsidRPr="00E400E4" w:rsidRDefault="00555918" w:rsidP="000B1771">
            <w:pPr>
              <w:pStyle w:val="TableText"/>
            </w:pPr>
            <w:r w:rsidRPr="00E400E4">
              <w:t>Root rot of avocado</w:t>
            </w:r>
          </w:p>
        </w:tc>
        <w:tc>
          <w:tcPr>
            <w:tcW w:w="728" w:type="pct"/>
            <w:shd w:val="clear" w:color="auto" w:fill="auto"/>
          </w:tcPr>
          <w:p w:rsidR="00555918" w:rsidRPr="00E400E4" w:rsidRDefault="00555918" w:rsidP="000B1771">
            <w:pPr>
              <w:pStyle w:val="TableText"/>
            </w:pPr>
            <w:r w:rsidRPr="00E400E4">
              <w:t xml:space="preserve">Yes </w:t>
            </w:r>
            <w:r>
              <w:rPr>
                <w:noProof/>
              </w:rPr>
              <w:t>(CABI 2019a; Minter &amp; Peredo López 2019)</w:t>
            </w:r>
          </w:p>
        </w:tc>
        <w:tc>
          <w:tcPr>
            <w:tcW w:w="797" w:type="pct"/>
            <w:shd w:val="clear" w:color="auto" w:fill="auto"/>
          </w:tcPr>
          <w:p w:rsidR="00555918" w:rsidRPr="00E400E4" w:rsidRDefault="00555918" w:rsidP="000B1771">
            <w:pPr>
              <w:pStyle w:val="TableText"/>
            </w:pPr>
            <w:r w:rsidRPr="00E400E4">
              <w:t xml:space="preserve">Yes. NSW, NT,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trPr>
          <w:cantSplit/>
          <w:trHeight w:val="75"/>
          <w:jc w:val="center"/>
        </w:trPr>
        <w:tc>
          <w:tcPr>
            <w:tcW w:w="5000" w:type="pct"/>
            <w:gridSpan w:val="7"/>
            <w:shd w:val="clear" w:color="auto" w:fill="auto"/>
          </w:tcPr>
          <w:p w:rsidR="00555918" w:rsidRPr="00E400E4" w:rsidRDefault="00555918" w:rsidP="000B1771">
            <w:pPr>
              <w:pStyle w:val="TableText"/>
              <w:keepNext/>
              <w:rPr>
                <w:b/>
              </w:rPr>
            </w:pPr>
            <w:r w:rsidRPr="00E400E4">
              <w:rPr>
                <w:b/>
              </w:rPr>
              <w:t xml:space="preserve">FUNGI </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Alternaria alternata</w:t>
            </w:r>
            <w:r w:rsidRPr="00E400E4">
              <w:t xml:space="preserve"> (Fr.) Keissl. </w:t>
            </w:r>
          </w:p>
          <w:p w:rsidR="00555918" w:rsidRPr="00E400E4" w:rsidRDefault="00555918" w:rsidP="000B1771">
            <w:pPr>
              <w:pStyle w:val="TableText"/>
            </w:pPr>
            <w:r w:rsidRPr="00E400E4">
              <w:t>[Pleosporales: Pleosporaceae]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ACT, NSW, NT, Tas., SA, Qld,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Armillaria mellea</w:t>
            </w:r>
            <w:r w:rsidRPr="00E400E4">
              <w:t xml:space="preserve"> (Vahl) P. Kumm. </w:t>
            </w:r>
          </w:p>
          <w:p w:rsidR="00555918" w:rsidRPr="00E400E4" w:rsidRDefault="00555918" w:rsidP="000B1771">
            <w:pPr>
              <w:pStyle w:val="TableText"/>
            </w:pPr>
            <w:r w:rsidRPr="00E400E4">
              <w:t>[Agaricales: Physalacriaceae]</w:t>
            </w:r>
          </w:p>
          <w:p w:rsidR="00555918" w:rsidRPr="00E400E4" w:rsidRDefault="00555918" w:rsidP="000B1771">
            <w:pPr>
              <w:pStyle w:val="TableText"/>
            </w:pPr>
            <w:r w:rsidRPr="00E400E4">
              <w:t>Armillaria root rot</w:t>
            </w:r>
          </w:p>
        </w:tc>
        <w:tc>
          <w:tcPr>
            <w:tcW w:w="728" w:type="pct"/>
            <w:shd w:val="clear" w:color="auto" w:fill="auto"/>
          </w:tcPr>
          <w:p w:rsidR="00555918" w:rsidRPr="00E400E4" w:rsidRDefault="00555918" w:rsidP="000B1771">
            <w:pPr>
              <w:pStyle w:val="TableText"/>
            </w:pPr>
            <w:r w:rsidRPr="00E400E4">
              <w:t xml:space="preserve">Yes </w:t>
            </w:r>
            <w:r>
              <w:rPr>
                <w:noProof/>
              </w:rPr>
              <w:t>(SAG 2005b)</w:t>
            </w:r>
            <w:r w:rsidRPr="00E400E4">
              <w:t>.</w:t>
            </w:r>
          </w:p>
        </w:tc>
        <w:tc>
          <w:tcPr>
            <w:tcW w:w="797" w:type="pct"/>
            <w:shd w:val="clear" w:color="auto" w:fill="auto"/>
          </w:tcPr>
          <w:p w:rsidR="00555918" w:rsidRPr="00E400E4" w:rsidRDefault="00555918" w:rsidP="000B1771">
            <w:pPr>
              <w:pStyle w:val="TableText"/>
            </w:pPr>
            <w:r w:rsidRPr="00E400E4">
              <w:t xml:space="preserve">No. </w:t>
            </w:r>
            <w:r>
              <w:rPr>
                <w:noProof/>
              </w:rPr>
              <w:t>Plant Health Australia (2019)</w:t>
            </w:r>
            <w:r w:rsidRPr="00E400E4">
              <w:t xml:space="preserve"> has a single record each for NSW and Qld; however, these are likely to be </w:t>
            </w:r>
            <w:r w:rsidRPr="00E400E4">
              <w:rPr>
                <w:i/>
              </w:rPr>
              <w:t>A. luteobubalina</w:t>
            </w:r>
            <w:r w:rsidRPr="00E400E4">
              <w:t xml:space="preserve"> and not </w:t>
            </w:r>
            <w:r w:rsidRPr="00E400E4">
              <w:rPr>
                <w:i/>
              </w:rPr>
              <w:t>A. mellea</w:t>
            </w:r>
            <w:r w:rsidRPr="00E400E4">
              <w:t xml:space="preserve"> </w:t>
            </w:r>
            <w:r>
              <w:rPr>
                <w:noProof/>
              </w:rPr>
              <w:t>(CABI 2019a)</w:t>
            </w:r>
            <w:r w:rsidRPr="00E400E4">
              <w:t>.</w:t>
            </w:r>
          </w:p>
        </w:tc>
        <w:tc>
          <w:tcPr>
            <w:tcW w:w="789" w:type="pct"/>
            <w:shd w:val="clear" w:color="auto" w:fill="auto"/>
          </w:tcPr>
          <w:p w:rsidR="00555918" w:rsidRPr="00E400E4" w:rsidRDefault="00555918" w:rsidP="000B1771">
            <w:pPr>
              <w:pStyle w:val="TableText"/>
            </w:pPr>
            <w:r w:rsidRPr="00E400E4">
              <w:t xml:space="preserve">No. Affects roots and stems </w:t>
            </w:r>
            <w:r>
              <w:rPr>
                <w:noProof/>
              </w:rPr>
              <w:t>(Ohr &amp; Zentmyer 1994; Williams et al. 1986)</w:t>
            </w:r>
            <w:r w:rsidRPr="00E400E4">
              <w:t>.</w:t>
            </w:r>
          </w:p>
          <w:p w:rsidR="00555918" w:rsidRPr="00E400E4" w:rsidRDefault="00555918" w:rsidP="000B1771">
            <w:pPr>
              <w:pStyle w:val="TableText"/>
            </w:pPr>
            <w:r w:rsidRPr="00E400E4">
              <w:t>No evidence of an association with avocado fruit was found.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Aspergillus niger</w:t>
            </w:r>
            <w:r w:rsidRPr="00E400E4">
              <w:t xml:space="preserve"> Tiegh.</w:t>
            </w:r>
          </w:p>
          <w:p w:rsidR="00555918" w:rsidRPr="00E400E4" w:rsidRDefault="00555918" w:rsidP="000B1771">
            <w:pPr>
              <w:pStyle w:val="TableText"/>
            </w:pPr>
            <w:r w:rsidRPr="00E400E4">
              <w:t>[Eurotiales: Trichocomaceae]</w:t>
            </w:r>
          </w:p>
        </w:tc>
        <w:tc>
          <w:tcPr>
            <w:tcW w:w="728" w:type="pct"/>
            <w:shd w:val="clear" w:color="auto" w:fill="auto"/>
          </w:tcPr>
          <w:p w:rsidR="00555918" w:rsidRPr="00E400E4" w:rsidRDefault="00555918" w:rsidP="000B1771">
            <w:pPr>
              <w:pStyle w:val="TableText"/>
            </w:pPr>
            <w:r w:rsidRPr="00E400E4">
              <w:t xml:space="preserve">Yes </w:t>
            </w:r>
            <w:r>
              <w:rPr>
                <w:noProof/>
              </w:rPr>
              <w:t>(CABI 2019a; Minter &amp; Peredo López 2019)</w:t>
            </w:r>
          </w:p>
        </w:tc>
        <w:tc>
          <w:tcPr>
            <w:tcW w:w="797" w:type="pct"/>
            <w:shd w:val="clear" w:color="auto" w:fill="auto"/>
          </w:tcPr>
          <w:p w:rsidR="00555918" w:rsidRPr="00E400E4" w:rsidRDefault="00555918" w:rsidP="000B1771">
            <w:pPr>
              <w:pStyle w:val="TableText"/>
            </w:pPr>
            <w:r w:rsidRPr="00E400E4">
              <w:t xml:space="preserve">Yes. ACT, NSW, NT, Qld, SA,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Athelia rolfsii</w:t>
            </w:r>
            <w:r w:rsidRPr="00E400E4">
              <w:t xml:space="preserve"> (Curzi) C.C. Tu &amp; Kimbr.</w:t>
            </w:r>
          </w:p>
          <w:p w:rsidR="00555918" w:rsidRPr="00E400E4" w:rsidRDefault="00555918" w:rsidP="000B1771">
            <w:pPr>
              <w:pStyle w:val="TableText"/>
            </w:pPr>
            <w:r w:rsidRPr="00E400E4">
              <w:t>[Atheliales: Atheliaceae]</w:t>
            </w:r>
          </w:p>
        </w:tc>
        <w:tc>
          <w:tcPr>
            <w:tcW w:w="728" w:type="pct"/>
            <w:shd w:val="clear" w:color="auto" w:fill="auto"/>
          </w:tcPr>
          <w:p w:rsidR="00555918" w:rsidRPr="00E400E4" w:rsidRDefault="00555918" w:rsidP="000B1771">
            <w:pPr>
              <w:pStyle w:val="TableText"/>
            </w:pPr>
            <w:r w:rsidRPr="00E400E4">
              <w:t xml:space="preserve">Yes </w:t>
            </w:r>
            <w:r>
              <w:rPr>
                <w:noProof/>
              </w:rPr>
              <w:t>(CABI 2019a; Farr &amp; Rossman 2019)</w:t>
            </w:r>
          </w:p>
        </w:tc>
        <w:tc>
          <w:tcPr>
            <w:tcW w:w="797" w:type="pct"/>
            <w:shd w:val="clear" w:color="auto" w:fill="auto"/>
          </w:tcPr>
          <w:p w:rsidR="00555918" w:rsidRPr="00E400E4" w:rsidRDefault="00555918" w:rsidP="000B1771">
            <w:pPr>
              <w:pStyle w:val="TableText"/>
            </w:pPr>
            <w:r w:rsidRPr="00E400E4">
              <w:t xml:space="preserve">Yes. ACT, NSW, NT,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Aureobasidium pullulans</w:t>
            </w:r>
            <w:r w:rsidRPr="00E400E4">
              <w:t xml:space="preserve"> (de Bary) G. Arnaud</w:t>
            </w:r>
          </w:p>
          <w:p w:rsidR="00555918" w:rsidRPr="00E400E4" w:rsidRDefault="00555918" w:rsidP="000B1771">
            <w:pPr>
              <w:pStyle w:val="TableText"/>
            </w:pPr>
            <w:r w:rsidRPr="00E400E4">
              <w:t>[Dothideales: Dothioraceae]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ACT, NSW, NT,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Botryosphaeria dothidea</w:t>
            </w:r>
            <w:r w:rsidRPr="00E400E4">
              <w:t xml:space="preserve"> (Moug. ex Fr.) Ces. &amp; De Not. </w:t>
            </w:r>
          </w:p>
          <w:p w:rsidR="00555918" w:rsidRPr="00E400E4" w:rsidRDefault="00555918" w:rsidP="000B1771">
            <w:pPr>
              <w:pStyle w:val="TableText"/>
            </w:pPr>
            <w:r w:rsidRPr="00E400E4">
              <w:t>[Botryosphaeriales: Botryosphaeriaceae]</w:t>
            </w:r>
          </w:p>
        </w:tc>
        <w:tc>
          <w:tcPr>
            <w:tcW w:w="728" w:type="pct"/>
            <w:shd w:val="clear" w:color="auto" w:fill="auto"/>
          </w:tcPr>
          <w:p w:rsidR="00555918" w:rsidRPr="00E400E4" w:rsidRDefault="00555918" w:rsidP="000B1771">
            <w:pPr>
              <w:pStyle w:val="TableText"/>
            </w:pPr>
            <w:r w:rsidRPr="00E400E4">
              <w:t xml:space="preserve">Yes </w:t>
            </w:r>
            <w:r>
              <w:rPr>
                <w:noProof/>
              </w:rPr>
              <w:t>(SAG 2005b)</w:t>
            </w:r>
          </w:p>
        </w:tc>
        <w:tc>
          <w:tcPr>
            <w:tcW w:w="797" w:type="pct"/>
            <w:shd w:val="clear" w:color="auto" w:fill="auto"/>
          </w:tcPr>
          <w:p w:rsidR="00555918" w:rsidRPr="00E400E4" w:rsidRDefault="00555918" w:rsidP="000B1771">
            <w:pPr>
              <w:pStyle w:val="TableText"/>
            </w:pPr>
            <w:r w:rsidRPr="00E400E4">
              <w:t xml:space="preserve">Yes. NSW, Qld,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Botrytis cinerea</w:t>
            </w:r>
            <w:r w:rsidRPr="00E400E4">
              <w:t xml:space="preserve"> Pers.</w:t>
            </w:r>
          </w:p>
          <w:p w:rsidR="00555918" w:rsidRPr="00E400E4" w:rsidRDefault="00555918" w:rsidP="000B1771">
            <w:pPr>
              <w:pStyle w:val="TableText"/>
            </w:pPr>
            <w:r w:rsidRPr="00E400E4">
              <w:t>[Helotiales: Sclerotiniaceae]</w:t>
            </w:r>
          </w:p>
          <w:p w:rsidR="00555918" w:rsidRPr="00E400E4" w:rsidRDefault="00555918" w:rsidP="000B1771">
            <w:pPr>
              <w:pStyle w:val="TableText"/>
            </w:pPr>
            <w:r w:rsidRPr="00E400E4">
              <w:t>Grey mould</w:t>
            </w:r>
          </w:p>
        </w:tc>
        <w:tc>
          <w:tcPr>
            <w:tcW w:w="728" w:type="pct"/>
            <w:shd w:val="clear" w:color="auto" w:fill="auto"/>
          </w:tcPr>
          <w:p w:rsidR="00555918" w:rsidRPr="00E400E4" w:rsidRDefault="00555918" w:rsidP="000B1771">
            <w:pPr>
              <w:pStyle w:val="TableText"/>
            </w:pPr>
            <w:r w:rsidRPr="00E400E4">
              <w:t xml:space="preserve">Yes </w:t>
            </w:r>
            <w:r>
              <w:rPr>
                <w:noProof/>
              </w:rPr>
              <w:t>(SAG 2005b)</w:t>
            </w:r>
          </w:p>
        </w:tc>
        <w:tc>
          <w:tcPr>
            <w:tcW w:w="797" w:type="pct"/>
            <w:shd w:val="clear" w:color="auto" w:fill="auto"/>
          </w:tcPr>
          <w:p w:rsidR="00555918" w:rsidRPr="00E400E4" w:rsidRDefault="00555918" w:rsidP="000B1771">
            <w:pPr>
              <w:pStyle w:val="TableText"/>
            </w:pPr>
            <w:r w:rsidRPr="00E400E4">
              <w:t xml:space="preserve">Yes. ACT, NSW,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Calonectria cylindrospora</w:t>
            </w:r>
            <w:r w:rsidRPr="00E400E4">
              <w:t xml:space="preserve"> (Ellis &amp; Everh.) Rossman, L. Lombard &amp; Crous</w:t>
            </w:r>
          </w:p>
          <w:p w:rsidR="00555918" w:rsidRPr="00E400E4" w:rsidRDefault="00555918" w:rsidP="000B1771">
            <w:pPr>
              <w:pStyle w:val="TableText"/>
            </w:pPr>
            <w:r w:rsidRPr="00E400E4">
              <w:t xml:space="preserve">Synonyms: </w:t>
            </w:r>
            <w:r w:rsidRPr="00E400E4">
              <w:rPr>
                <w:i/>
              </w:rPr>
              <w:t>Calonectria morganii</w:t>
            </w:r>
            <w:r w:rsidRPr="00E400E4">
              <w:t xml:space="preserve"> Crous, Alfenas &amp; M.J. Wingf.; </w:t>
            </w:r>
            <w:r w:rsidRPr="00E400E4">
              <w:rPr>
                <w:i/>
              </w:rPr>
              <w:t>Cylindrocladium scoparium</w:t>
            </w:r>
            <w:r w:rsidRPr="00E400E4">
              <w:t xml:space="preserve"> Morg.</w:t>
            </w:r>
          </w:p>
          <w:p w:rsidR="00555918" w:rsidRPr="00E400E4" w:rsidRDefault="00555918" w:rsidP="000B1771">
            <w:pPr>
              <w:pStyle w:val="TableText"/>
            </w:pPr>
            <w:r w:rsidRPr="00E400E4">
              <w:t>[Hypocreales: Nectriaceae]</w:t>
            </w:r>
          </w:p>
        </w:tc>
        <w:tc>
          <w:tcPr>
            <w:tcW w:w="728" w:type="pct"/>
            <w:shd w:val="clear" w:color="auto" w:fill="auto"/>
          </w:tcPr>
          <w:p w:rsidR="00555918" w:rsidRPr="00E400E4" w:rsidRDefault="00555918" w:rsidP="000B1771">
            <w:pPr>
              <w:pStyle w:val="TableText"/>
            </w:pPr>
            <w:r w:rsidRPr="00E400E4">
              <w:t xml:space="preserve">Yes </w:t>
            </w:r>
            <w:r>
              <w:rPr>
                <w:noProof/>
              </w:rPr>
              <w:t>(Gallegos Cespedes 2005; Valenzuela &amp; Peredo 1989)</w:t>
            </w:r>
            <w:r w:rsidRPr="00E400E4">
              <w:t xml:space="preserve">. However, records of this species from Chile are considered unconfirmed </w:t>
            </w:r>
            <w:r>
              <w:rPr>
                <w:noProof/>
              </w:rPr>
              <w:t>(Crous 2002)</w:t>
            </w:r>
            <w:r w:rsidRPr="00E400E4">
              <w:t>.</w:t>
            </w:r>
          </w:p>
        </w:tc>
        <w:tc>
          <w:tcPr>
            <w:tcW w:w="797" w:type="pct"/>
            <w:shd w:val="clear" w:color="auto" w:fill="auto"/>
          </w:tcPr>
          <w:p w:rsidR="00555918" w:rsidRPr="00E400E4" w:rsidRDefault="00555918" w:rsidP="000B1771">
            <w:pPr>
              <w:pStyle w:val="TableText"/>
            </w:pPr>
            <w:r w:rsidRPr="00E400E4">
              <w:t xml:space="preserve">No. Although </w:t>
            </w:r>
            <w:r w:rsidRPr="00E400E4">
              <w:rPr>
                <w:i/>
              </w:rPr>
              <w:t>C. cylindrospora</w:t>
            </w:r>
            <w:r w:rsidRPr="00E400E4">
              <w:t xml:space="preserve"> (as </w:t>
            </w:r>
            <w:r w:rsidRPr="00E400E4">
              <w:rPr>
                <w:i/>
              </w:rPr>
              <w:t>Cylindrocladium scoparium</w:t>
            </w:r>
            <w:r w:rsidRPr="00E400E4">
              <w:t>) has been recorded from Australia prior to 1997</w:t>
            </w:r>
            <w:r>
              <w:rPr>
                <w:noProof/>
              </w:rPr>
              <w:t>(Plant Health Australia 2019; Shivas 1989)</w:t>
            </w:r>
            <w:r w:rsidRPr="00E400E4">
              <w:t xml:space="preserve">, this pest is now considered restricted to the Northern Hemisphere and Brazil </w:t>
            </w:r>
            <w:r>
              <w:rPr>
                <w:noProof/>
              </w:rPr>
              <w:t>(Lombard et al. 2010)</w:t>
            </w:r>
            <w:r w:rsidRPr="00E400E4">
              <w:t xml:space="preserve">. Most of the </w:t>
            </w:r>
            <w:r w:rsidRPr="00E400E4">
              <w:rPr>
                <w:i/>
              </w:rPr>
              <w:t>Cylindrocladium scoparium</w:t>
            </w:r>
            <w:r w:rsidRPr="00E400E4">
              <w:t xml:space="preserve"> records published outside mainland USA are considered to refer to </w:t>
            </w:r>
            <w:r w:rsidRPr="00E400E4">
              <w:rPr>
                <w:i/>
              </w:rPr>
              <w:t>Calonectria pauciramosa</w:t>
            </w:r>
            <w:r w:rsidRPr="00E400E4">
              <w:t xml:space="preserve"> (synonym </w:t>
            </w:r>
            <w:r w:rsidRPr="00E400E4">
              <w:rPr>
                <w:i/>
              </w:rPr>
              <w:t>Cylindrocladium pauciramosum</w:t>
            </w:r>
            <w:r w:rsidRPr="00E400E4">
              <w:t xml:space="preserve">) </w:t>
            </w:r>
            <w:r>
              <w:rPr>
                <w:noProof/>
              </w:rPr>
              <w:t>(Crous 2002)</w:t>
            </w:r>
            <w:r w:rsidRPr="00E400E4">
              <w:t xml:space="preserve">. Australian isolates of this species examined by Crous (2002) were confirmed as </w:t>
            </w:r>
            <w:r w:rsidRPr="00E400E4">
              <w:rPr>
                <w:i/>
              </w:rPr>
              <w:t>Cylindrocladium pauciramosum</w:t>
            </w:r>
            <w:r w:rsidRPr="00E400E4">
              <w:t>.</w:t>
            </w:r>
          </w:p>
        </w:tc>
        <w:tc>
          <w:tcPr>
            <w:tcW w:w="789" w:type="pct"/>
            <w:shd w:val="clear" w:color="auto" w:fill="auto"/>
          </w:tcPr>
          <w:p w:rsidR="00555918" w:rsidRPr="00E400E4" w:rsidRDefault="00555918" w:rsidP="000B1771">
            <w:pPr>
              <w:pStyle w:val="TableText"/>
            </w:pPr>
            <w:r w:rsidRPr="00E400E4">
              <w:t xml:space="preserve">No. </w:t>
            </w:r>
            <w:r w:rsidRPr="00E400E4">
              <w:rPr>
                <w:i/>
              </w:rPr>
              <w:t>Calonectria</w:t>
            </w:r>
            <w:r w:rsidRPr="00E400E4">
              <w:t xml:space="preserve"> (</w:t>
            </w:r>
            <w:r w:rsidRPr="00E400E4">
              <w:rPr>
                <w:i/>
              </w:rPr>
              <w:t>Cylindrocladium</w:t>
            </w:r>
            <w:r w:rsidRPr="00E400E4">
              <w:t xml:space="preserve">) spp. are associated with avocado roots and root disease </w:t>
            </w:r>
            <w:r>
              <w:rPr>
                <w:noProof/>
              </w:rPr>
              <w:t>(Dann et al. 2013)</w:t>
            </w:r>
            <w:r w:rsidRPr="00E400E4">
              <w:t xml:space="preserve">. </w:t>
            </w:r>
            <w:r w:rsidRPr="00E400E4">
              <w:rPr>
                <w:i/>
              </w:rPr>
              <w:t>Calonectria cylindrospora</w:t>
            </w:r>
            <w:r w:rsidRPr="00E400E4">
              <w:t xml:space="preserve"> (as </w:t>
            </w:r>
            <w:r w:rsidRPr="00E400E4">
              <w:rPr>
                <w:i/>
              </w:rPr>
              <w:t>Cylindrocladium scoparium</w:t>
            </w:r>
            <w:r w:rsidRPr="00E400E4">
              <w:t xml:space="preserve">) has been reported from roots of </w:t>
            </w:r>
            <w:r w:rsidRPr="00E400E4">
              <w:rPr>
                <w:i/>
              </w:rPr>
              <w:t>Nothofagus alpina</w:t>
            </w:r>
            <w:r w:rsidRPr="00E400E4">
              <w:t xml:space="preserve"> and needles of </w:t>
            </w:r>
            <w:r w:rsidRPr="00E400E4">
              <w:rPr>
                <w:i/>
              </w:rPr>
              <w:t>Pinus radiata</w:t>
            </w:r>
            <w:r w:rsidRPr="00E400E4">
              <w:t xml:space="preserve"> in Chile </w:t>
            </w:r>
            <w:r>
              <w:rPr>
                <w:noProof/>
              </w:rPr>
              <w:t>(Valenzuela &amp; Peredo 1989)</w:t>
            </w:r>
            <w:r w:rsidRPr="00E400E4">
              <w:t xml:space="preserve">. However, records of this species from Chile are considered unconfirmed </w:t>
            </w:r>
            <w:r>
              <w:rPr>
                <w:noProof/>
              </w:rPr>
              <w:t>(Crous 2002)</w:t>
            </w:r>
            <w:r w:rsidRPr="00E400E4">
              <w:t xml:space="preserve"> and no record of an association with avocado plants in Chile was found.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Cladosporium cladosporioides</w:t>
            </w:r>
            <w:r w:rsidRPr="00E400E4">
              <w:t xml:space="preserve"> (Fresen.) G.A. de Vries</w:t>
            </w:r>
          </w:p>
          <w:p w:rsidR="00555918" w:rsidRPr="00E400E4" w:rsidRDefault="00555918" w:rsidP="000B1771">
            <w:pPr>
              <w:pStyle w:val="TableText"/>
            </w:pPr>
            <w:r w:rsidRPr="00E400E4">
              <w:t>[Capnodiales: Cladosporiaceae]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ACT, NSW, NT,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Cladosporium herbarum</w:t>
            </w:r>
            <w:r w:rsidRPr="00E400E4">
              <w:t xml:space="preserve"> (Pers.) Link</w:t>
            </w:r>
          </w:p>
          <w:p w:rsidR="00555918" w:rsidRPr="00E400E4" w:rsidRDefault="00555918" w:rsidP="000B1771">
            <w:pPr>
              <w:pStyle w:val="TableText"/>
            </w:pPr>
            <w:r w:rsidRPr="00E400E4">
              <w:t>[Capnodiales: Cladosporiaceae]</w:t>
            </w:r>
          </w:p>
        </w:tc>
        <w:tc>
          <w:tcPr>
            <w:tcW w:w="728" w:type="pct"/>
            <w:shd w:val="clear" w:color="auto" w:fill="auto"/>
          </w:tcPr>
          <w:p w:rsidR="00555918" w:rsidRPr="00E400E4" w:rsidRDefault="00555918" w:rsidP="000B1771">
            <w:pPr>
              <w:pStyle w:val="TableText"/>
            </w:pPr>
            <w:r w:rsidRPr="00E400E4">
              <w:t xml:space="preserve">Yes </w:t>
            </w:r>
            <w:r>
              <w:rPr>
                <w:noProof/>
              </w:rPr>
              <w:t>(Farr &amp; Rossman 2019; SAG 2005b)</w:t>
            </w:r>
          </w:p>
        </w:tc>
        <w:tc>
          <w:tcPr>
            <w:tcW w:w="797" w:type="pct"/>
            <w:shd w:val="clear" w:color="auto" w:fill="auto"/>
          </w:tcPr>
          <w:p w:rsidR="00555918" w:rsidRPr="00E400E4" w:rsidRDefault="00555918" w:rsidP="000B1771">
            <w:pPr>
              <w:pStyle w:val="TableText"/>
            </w:pPr>
            <w:r w:rsidRPr="00E400E4">
              <w:t xml:space="preserve">Yes. NSW,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Colletotrichum acutatum</w:t>
            </w:r>
            <w:r w:rsidRPr="00E400E4">
              <w:t xml:space="preserve"> J.H. Simmonds</w:t>
            </w:r>
          </w:p>
          <w:p w:rsidR="00555918" w:rsidRPr="00E400E4" w:rsidRDefault="00555918" w:rsidP="000B1771">
            <w:pPr>
              <w:pStyle w:val="TableText"/>
            </w:pPr>
            <w:r w:rsidRPr="00E400E4">
              <w:t xml:space="preserve">Synonym: </w:t>
            </w:r>
            <w:r w:rsidRPr="00E400E4">
              <w:rPr>
                <w:i/>
              </w:rPr>
              <w:t>Glomerella acutata</w:t>
            </w:r>
            <w:r w:rsidRPr="00E400E4">
              <w:t xml:space="preserve"> Guerber &amp; J.C. Correll</w:t>
            </w:r>
          </w:p>
          <w:p w:rsidR="00555918" w:rsidRPr="00E400E4" w:rsidRDefault="00555918" w:rsidP="000B1771">
            <w:pPr>
              <w:pStyle w:val="TableText"/>
            </w:pPr>
            <w:r w:rsidRPr="00E400E4">
              <w:t>[Glomerellales: Glomerellaceae]</w:t>
            </w:r>
          </w:p>
          <w:p w:rsidR="00555918" w:rsidRPr="00E400E4" w:rsidRDefault="00555918" w:rsidP="000B1771">
            <w:pPr>
              <w:pStyle w:val="TableText"/>
            </w:pPr>
            <w:r w:rsidRPr="00E400E4">
              <w:t>Anthracnose</w:t>
            </w:r>
          </w:p>
        </w:tc>
        <w:tc>
          <w:tcPr>
            <w:tcW w:w="728" w:type="pct"/>
            <w:shd w:val="clear" w:color="auto" w:fill="auto"/>
          </w:tcPr>
          <w:p w:rsidR="00555918" w:rsidRPr="00E400E4" w:rsidRDefault="00555918" w:rsidP="000B1771">
            <w:pPr>
              <w:pStyle w:val="TableText"/>
            </w:pPr>
            <w:r w:rsidRPr="00E400E4">
              <w:t xml:space="preserve">Yes </w:t>
            </w:r>
            <w:r>
              <w:rPr>
                <w:noProof/>
              </w:rPr>
              <w:t>(CABI 2019a; Farr &amp; Rossman 2019)</w:t>
            </w:r>
          </w:p>
        </w:tc>
        <w:tc>
          <w:tcPr>
            <w:tcW w:w="797" w:type="pct"/>
            <w:shd w:val="clear" w:color="auto" w:fill="auto"/>
          </w:tcPr>
          <w:p w:rsidR="00555918" w:rsidRPr="00E400E4" w:rsidRDefault="00555918" w:rsidP="000B1771">
            <w:pPr>
              <w:pStyle w:val="TableText"/>
            </w:pPr>
            <w:r w:rsidRPr="00E400E4">
              <w:t xml:space="preserve">Yes. NSW,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Colletotrichum gloeosporioides</w:t>
            </w:r>
            <w:r w:rsidRPr="00E400E4">
              <w:t xml:space="preserve"> (Penz.) Penz. &amp; Sacc.</w:t>
            </w:r>
          </w:p>
          <w:p w:rsidR="00555918" w:rsidRPr="00E400E4" w:rsidRDefault="00555918" w:rsidP="000B1771">
            <w:pPr>
              <w:pStyle w:val="TableText"/>
            </w:pPr>
            <w:r w:rsidRPr="00E400E4">
              <w:t xml:space="preserve">Synonym: </w:t>
            </w:r>
            <w:r w:rsidRPr="00E400E4">
              <w:rPr>
                <w:i/>
              </w:rPr>
              <w:t>Glomerella cingulata</w:t>
            </w:r>
            <w:r w:rsidRPr="00E400E4">
              <w:t xml:space="preserve"> (Stoneman) Spauld. &amp; H. Schrenk</w:t>
            </w:r>
          </w:p>
          <w:p w:rsidR="00555918" w:rsidRPr="00E400E4" w:rsidRDefault="00555918" w:rsidP="000B1771">
            <w:pPr>
              <w:pStyle w:val="TableText"/>
            </w:pPr>
            <w:r w:rsidRPr="00E400E4">
              <w:t>[Glomerellales: Glomerellaceae]</w:t>
            </w:r>
          </w:p>
          <w:p w:rsidR="00555918" w:rsidRPr="00E400E4" w:rsidRDefault="00555918" w:rsidP="000B1771">
            <w:pPr>
              <w:pStyle w:val="TableText"/>
            </w:pPr>
            <w:r w:rsidRPr="00E400E4">
              <w:t>Anthracnose</w:t>
            </w:r>
          </w:p>
        </w:tc>
        <w:tc>
          <w:tcPr>
            <w:tcW w:w="728" w:type="pct"/>
            <w:shd w:val="clear" w:color="auto" w:fill="auto"/>
          </w:tcPr>
          <w:p w:rsidR="00555918" w:rsidRPr="00E400E4" w:rsidRDefault="00555918" w:rsidP="000B1771">
            <w:pPr>
              <w:pStyle w:val="TableText"/>
            </w:pPr>
            <w:r w:rsidRPr="00E400E4">
              <w:t xml:space="preserve">Yes </w:t>
            </w:r>
            <w:r>
              <w:rPr>
                <w:noProof/>
              </w:rPr>
              <w:t>(SAG 2005b)</w:t>
            </w:r>
          </w:p>
        </w:tc>
        <w:tc>
          <w:tcPr>
            <w:tcW w:w="797" w:type="pct"/>
            <w:shd w:val="clear" w:color="auto" w:fill="auto"/>
          </w:tcPr>
          <w:p w:rsidR="00555918" w:rsidRPr="00E400E4" w:rsidRDefault="00555918" w:rsidP="000B1771">
            <w:pPr>
              <w:pStyle w:val="TableText"/>
            </w:pPr>
            <w:r w:rsidRPr="00E400E4">
              <w:t xml:space="preserve">Yes. ACT, NSW, NT, Qld,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Curvularia lunata</w:t>
            </w:r>
            <w:r w:rsidRPr="00E400E4">
              <w:t xml:space="preserve"> (Wakker) Boedijn</w:t>
            </w:r>
          </w:p>
          <w:p w:rsidR="00555918" w:rsidRPr="00E400E4" w:rsidRDefault="00555918" w:rsidP="000B1771">
            <w:pPr>
              <w:pStyle w:val="TableText"/>
            </w:pPr>
            <w:r w:rsidRPr="00E400E4">
              <w:t xml:space="preserve">Synonym: </w:t>
            </w:r>
            <w:r w:rsidRPr="00E400E4">
              <w:rPr>
                <w:i/>
              </w:rPr>
              <w:t>Cochliobolus lunatus</w:t>
            </w:r>
            <w:r w:rsidRPr="00E400E4">
              <w:t xml:space="preserve"> R.R. Nelson &amp; F.A. Haasis</w:t>
            </w:r>
          </w:p>
          <w:p w:rsidR="00555918" w:rsidRPr="00E400E4" w:rsidRDefault="00555918" w:rsidP="000B1771">
            <w:pPr>
              <w:pStyle w:val="TableText"/>
            </w:pPr>
            <w:r w:rsidRPr="00E400E4">
              <w:t>[Pleosporales: Pleosporaceae]</w:t>
            </w:r>
          </w:p>
        </w:tc>
        <w:tc>
          <w:tcPr>
            <w:tcW w:w="728" w:type="pct"/>
            <w:shd w:val="clear" w:color="auto" w:fill="auto"/>
          </w:tcPr>
          <w:p w:rsidR="00555918" w:rsidRPr="00E400E4" w:rsidRDefault="00555918" w:rsidP="000B1771">
            <w:pPr>
              <w:pStyle w:val="TableText"/>
            </w:pPr>
            <w:r w:rsidRPr="00E400E4">
              <w:t xml:space="preserve">Yes </w:t>
            </w:r>
            <w:r>
              <w:rPr>
                <w:noProof/>
              </w:rPr>
              <w:t>(CABI 2019a)</w:t>
            </w:r>
          </w:p>
        </w:tc>
        <w:tc>
          <w:tcPr>
            <w:tcW w:w="797" w:type="pct"/>
            <w:shd w:val="clear" w:color="auto" w:fill="auto"/>
          </w:tcPr>
          <w:p w:rsidR="00555918" w:rsidRPr="00E400E4" w:rsidRDefault="00555918" w:rsidP="000B1771">
            <w:pPr>
              <w:pStyle w:val="TableText"/>
            </w:pPr>
            <w:r w:rsidRPr="00E400E4">
              <w:t xml:space="preserve">Yes. ACT, NSW, NT, Qld,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Cylindrocarpon didymum</w:t>
            </w:r>
            <w:r w:rsidRPr="00E400E4">
              <w:t xml:space="preserve"> (Harting) Wollenw.</w:t>
            </w:r>
          </w:p>
          <w:p w:rsidR="00555918" w:rsidRPr="00E400E4" w:rsidRDefault="00555918" w:rsidP="000B1771">
            <w:pPr>
              <w:pStyle w:val="TableText"/>
            </w:pPr>
            <w:r w:rsidRPr="00E400E4">
              <w:t>[Hypocreales: Nectriaceae]</w:t>
            </w:r>
          </w:p>
        </w:tc>
        <w:tc>
          <w:tcPr>
            <w:tcW w:w="728" w:type="pct"/>
            <w:shd w:val="clear" w:color="auto" w:fill="auto"/>
          </w:tcPr>
          <w:p w:rsidR="00555918" w:rsidRPr="00E400E4" w:rsidRDefault="00555918" w:rsidP="000B1771">
            <w:pPr>
              <w:pStyle w:val="TableText"/>
            </w:pPr>
            <w:r w:rsidRPr="00E400E4">
              <w:t xml:space="preserve">Yes </w:t>
            </w:r>
            <w:r>
              <w:rPr>
                <w:noProof/>
              </w:rPr>
              <w:t>(SAG 2005b)</w:t>
            </w:r>
          </w:p>
        </w:tc>
        <w:tc>
          <w:tcPr>
            <w:tcW w:w="797" w:type="pct"/>
            <w:shd w:val="clear" w:color="auto" w:fill="auto"/>
          </w:tcPr>
          <w:p w:rsidR="00555918" w:rsidRPr="00E400E4" w:rsidRDefault="00555918" w:rsidP="000B1771">
            <w:pPr>
              <w:pStyle w:val="TableText"/>
            </w:pPr>
            <w:r w:rsidRPr="00E400E4">
              <w:t xml:space="preserve">Yes. ACT,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Dialonectria episphaeria</w:t>
            </w:r>
            <w:r w:rsidRPr="00E400E4">
              <w:t xml:space="preserve"> (Tode) Cooke </w:t>
            </w:r>
          </w:p>
          <w:p w:rsidR="00555918" w:rsidRPr="00E400E4" w:rsidRDefault="00555918" w:rsidP="000B1771">
            <w:pPr>
              <w:pStyle w:val="TableText"/>
            </w:pPr>
            <w:r w:rsidRPr="00E400E4">
              <w:t xml:space="preserve">Synonym: </w:t>
            </w:r>
            <w:r w:rsidRPr="00E400E4">
              <w:rPr>
                <w:i/>
              </w:rPr>
              <w:t>Nectria episphaeria</w:t>
            </w:r>
            <w:r w:rsidRPr="00E400E4">
              <w:t xml:space="preserve"> (Tode) Fr.; </w:t>
            </w:r>
            <w:r w:rsidRPr="00E400E4">
              <w:rPr>
                <w:i/>
              </w:rPr>
              <w:t>Fusarium episphaeria</w:t>
            </w:r>
            <w:r w:rsidRPr="00E400E4">
              <w:t xml:space="preserve"> (Tode) W.C. Snyder &amp; H.N. Hansen </w:t>
            </w:r>
          </w:p>
          <w:p w:rsidR="00555918" w:rsidRPr="00E400E4" w:rsidRDefault="00555918" w:rsidP="000B1771">
            <w:pPr>
              <w:pStyle w:val="TableText"/>
            </w:pPr>
            <w:r w:rsidRPr="00E400E4">
              <w:t>[Hypocreales: Nectriaceae]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NSW, Qld, Vic. </w:t>
            </w:r>
            <w:r>
              <w:rPr>
                <w:noProof/>
              </w:rPr>
              <w:t>(Plant Health Australia 2019; Wearing &amp; Burgess 1977)</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Diaporthe ampelina</w:t>
            </w:r>
            <w:r w:rsidRPr="00E400E4">
              <w:t xml:space="preserve"> (Berk. &amp; M.A. Curtis) R.R. Gomes, C. Glienke &amp; Crous</w:t>
            </w:r>
          </w:p>
          <w:p w:rsidR="00555918" w:rsidRPr="00E400E4" w:rsidRDefault="00555918" w:rsidP="000B1771">
            <w:pPr>
              <w:pStyle w:val="TableText"/>
            </w:pPr>
            <w:r w:rsidRPr="00E400E4">
              <w:t xml:space="preserve">Synonym: </w:t>
            </w:r>
            <w:r w:rsidRPr="00E400E4">
              <w:rPr>
                <w:i/>
              </w:rPr>
              <w:t>Phomopsis viticola</w:t>
            </w:r>
            <w:r w:rsidRPr="00E400E4">
              <w:t xml:space="preserve"> (Sacc.) Sacc.</w:t>
            </w:r>
          </w:p>
          <w:p w:rsidR="00555918" w:rsidRPr="00E400E4" w:rsidRDefault="00555918" w:rsidP="000B1771">
            <w:pPr>
              <w:pStyle w:val="TableText"/>
            </w:pPr>
            <w:r w:rsidRPr="00E400E4">
              <w:t>[Diaporthales: Diaporthaceae]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NSW, Qld, SA, Vic. </w:t>
            </w:r>
            <w:r>
              <w:rPr>
                <w:noProof/>
              </w:rPr>
              <w:t>(Burges, Taylor &amp; Kumar 2005; Plant Health Australia 2019)</w:t>
            </w:r>
            <w:r w:rsidRPr="00E400E4">
              <w:t xml:space="preserve">, Tas. </w:t>
            </w:r>
            <w:r>
              <w:rPr>
                <w:noProof/>
              </w:rPr>
              <w:t>(Mostert, Corus &amp; Kang 2001)</w:t>
            </w:r>
            <w:r w:rsidRPr="00E400E4">
              <w:t>.</w:t>
            </w:r>
          </w:p>
          <w:p w:rsidR="00555918" w:rsidRPr="00E400E4" w:rsidRDefault="00555918" w:rsidP="000B1771">
            <w:pPr>
              <w:pStyle w:val="TableText"/>
            </w:pPr>
            <w:r>
              <w:rPr>
                <w:noProof/>
              </w:rPr>
              <w:t>Plant Health Australia (2019)</w:t>
            </w:r>
            <w:r w:rsidRPr="00E400E4">
              <w:t xml:space="preserve"> has records for WA, but these have been identified as </w:t>
            </w:r>
            <w:r w:rsidRPr="00E400E4">
              <w:rPr>
                <w:i/>
              </w:rPr>
              <w:t>Diaporthe australafricana</w:t>
            </w:r>
            <w:r w:rsidRPr="00E400E4">
              <w:t xml:space="preserve"> by molecular analysis </w:t>
            </w:r>
            <w:r>
              <w:rPr>
                <w:noProof/>
              </w:rPr>
              <w:t>(Burges, Taylor &amp; Kumar 2005; Poole &amp; Hammond 2011)</w:t>
            </w:r>
            <w:r w:rsidRPr="00E400E4">
              <w:t xml:space="preserve">. </w:t>
            </w:r>
          </w:p>
          <w:p w:rsidR="00555918" w:rsidRPr="00E400E4" w:rsidRDefault="00555918" w:rsidP="000B1771">
            <w:pPr>
              <w:pStyle w:val="TableText"/>
            </w:pPr>
            <w:r w:rsidRPr="00E400E4">
              <w:t xml:space="preserve">Regulated as a Declared Organism (Prohibited (s. 12)) by WA under the </w:t>
            </w:r>
            <w:r w:rsidRPr="00E400E4">
              <w:rPr>
                <w:i/>
              </w:rPr>
              <w:t>Biosecurity and Agriculture Management Act 2007</w:t>
            </w:r>
            <w:r w:rsidRPr="00E400E4">
              <w:t xml:space="preserve"> </w:t>
            </w:r>
            <w:r>
              <w:rPr>
                <w:noProof/>
              </w:rPr>
              <w:t>(Government of Western Australia 2019)</w:t>
            </w:r>
            <w:r w:rsidRPr="00E400E4">
              <w:t xml:space="preserve"> and specific measures are required for this pathogen for the movement of table grapes from other Australian states/territories where this pathogen is present </w:t>
            </w:r>
            <w:r>
              <w:rPr>
                <w:noProof/>
              </w:rPr>
              <w:t>(DPIRD 2019)</w:t>
            </w:r>
            <w:r w:rsidRPr="00E400E4">
              <w:t>.</w:t>
            </w:r>
          </w:p>
        </w:tc>
        <w:tc>
          <w:tcPr>
            <w:tcW w:w="789" w:type="pct"/>
            <w:shd w:val="clear" w:color="auto" w:fill="auto"/>
          </w:tcPr>
          <w:p w:rsidR="00555918" w:rsidRPr="00E400E4" w:rsidRDefault="00555918" w:rsidP="000B1771">
            <w:pPr>
              <w:pStyle w:val="TableText"/>
            </w:pPr>
            <w:r w:rsidRPr="00E400E4">
              <w:t xml:space="preserve">No. </w:t>
            </w:r>
            <w:r w:rsidRPr="00E400E4">
              <w:rPr>
                <w:i/>
              </w:rPr>
              <w:t>Diaporthe ampelina</w:t>
            </w:r>
            <w:r w:rsidRPr="00E400E4">
              <w:t xml:space="preserve"> is a pathogen of grapevine (</w:t>
            </w:r>
            <w:r w:rsidRPr="00E400E4">
              <w:rPr>
                <w:i/>
              </w:rPr>
              <w:t>Vitis vinifera</w:t>
            </w:r>
            <w:r w:rsidRPr="00E400E4">
              <w:t xml:space="preserve">) </w:t>
            </w:r>
            <w:r>
              <w:rPr>
                <w:noProof/>
              </w:rPr>
              <w:t>(Burges, Taylor &amp; Kumar 2005; Hewitt &amp; Pearson 1988)</w:t>
            </w:r>
            <w:r w:rsidRPr="00E400E4">
              <w:t xml:space="preserve">. Secondary hosts of </w:t>
            </w:r>
            <w:r w:rsidRPr="00E400E4">
              <w:rPr>
                <w:i/>
              </w:rPr>
              <w:t>D. ampelina</w:t>
            </w:r>
            <w:r w:rsidRPr="00E400E4">
              <w:t xml:space="preserve"> include other </w:t>
            </w:r>
            <w:r w:rsidRPr="00E400E4">
              <w:rPr>
                <w:i/>
              </w:rPr>
              <w:t>Vitis</w:t>
            </w:r>
            <w:r w:rsidRPr="00E400E4">
              <w:t xml:space="preserve"> species and </w:t>
            </w:r>
            <w:r w:rsidRPr="00E400E4">
              <w:rPr>
                <w:i/>
              </w:rPr>
              <w:t>Parthenocissus quinquefolia</w:t>
            </w:r>
            <w:r w:rsidRPr="00E400E4">
              <w:t xml:space="preserve"> (virginia creeper) which are all in the family Vitaceae </w:t>
            </w:r>
            <w:r>
              <w:rPr>
                <w:noProof/>
              </w:rPr>
              <w:t>(Burges, Taylor &amp; Kumar 2005)</w:t>
            </w:r>
            <w:r w:rsidRPr="00E400E4">
              <w:t xml:space="preserve">. </w:t>
            </w:r>
          </w:p>
          <w:p w:rsidR="00555918" w:rsidRPr="00E400E4" w:rsidRDefault="00555918" w:rsidP="000B1771">
            <w:pPr>
              <w:pStyle w:val="TableText"/>
            </w:pPr>
            <w:r w:rsidRPr="00E400E4">
              <w:t xml:space="preserve">Only one publication from Mexico reported </w:t>
            </w:r>
            <w:r w:rsidRPr="00E400E4">
              <w:rPr>
                <w:i/>
              </w:rPr>
              <w:t>P. viticola</w:t>
            </w:r>
            <w:r w:rsidRPr="00E400E4">
              <w:t xml:space="preserve">, a synonym for </w:t>
            </w:r>
            <w:r w:rsidRPr="00E400E4">
              <w:rPr>
                <w:i/>
              </w:rPr>
              <w:t>D. ampelina</w:t>
            </w:r>
            <w:r w:rsidRPr="00E400E4">
              <w:t xml:space="preserve">, to be associated with stem-end rot of avocado fruit </w:t>
            </w:r>
            <w:r>
              <w:rPr>
                <w:noProof/>
              </w:rPr>
              <w:t>(Ochoa Ascencio 2009)</w:t>
            </w:r>
            <w:r w:rsidRPr="00E400E4">
              <w:t xml:space="preserve">. However, another publication by the same author reports </w:t>
            </w:r>
            <w:r w:rsidRPr="00E400E4">
              <w:rPr>
                <w:i/>
              </w:rPr>
              <w:t>P. perseae</w:t>
            </w:r>
            <w:r w:rsidRPr="00E400E4">
              <w:t xml:space="preserve">, not </w:t>
            </w:r>
            <w:r w:rsidRPr="00E400E4">
              <w:rPr>
                <w:i/>
              </w:rPr>
              <w:t>P. viticola</w:t>
            </w:r>
            <w:r w:rsidRPr="00E400E4">
              <w:t xml:space="preserve">, as associated with stem-end rot of avocado fruit in Mexico </w:t>
            </w:r>
            <w:r>
              <w:rPr>
                <w:noProof/>
              </w:rPr>
              <w:t>(Ochoa &amp; Vazquez 2009)</w:t>
            </w:r>
            <w:r w:rsidRPr="00E400E4">
              <w:t xml:space="preserve">. </w:t>
            </w:r>
          </w:p>
          <w:p w:rsidR="00555918" w:rsidRPr="00E400E4" w:rsidRDefault="00555918" w:rsidP="000B1771">
            <w:pPr>
              <w:pStyle w:val="TableText"/>
            </w:pPr>
            <w:r w:rsidRPr="00E400E4">
              <w:t>No other evidence of an association with avocado fruit was found.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Diplodia mutila</w:t>
            </w:r>
            <w:r w:rsidRPr="00E400E4">
              <w:t xml:space="preserve"> (Fr.) Mont. </w:t>
            </w:r>
          </w:p>
          <w:p w:rsidR="00555918" w:rsidRPr="00E400E4" w:rsidRDefault="00555918" w:rsidP="000B1771">
            <w:pPr>
              <w:pStyle w:val="TableText"/>
            </w:pPr>
            <w:r w:rsidRPr="00E400E4">
              <w:t xml:space="preserve">Synonym: </w:t>
            </w:r>
            <w:r w:rsidRPr="00E400E4">
              <w:rPr>
                <w:i/>
              </w:rPr>
              <w:t>Botryosphaeria stevensii</w:t>
            </w:r>
            <w:r w:rsidRPr="00E400E4">
              <w:t xml:space="preserve"> Shoemaker</w:t>
            </w:r>
          </w:p>
          <w:p w:rsidR="00555918" w:rsidRPr="00E400E4" w:rsidRDefault="00555918" w:rsidP="000B1771">
            <w:pPr>
              <w:pStyle w:val="TableText"/>
            </w:pPr>
            <w:r w:rsidRPr="00E400E4">
              <w:t>[Botryosphaeriales: Botryosphaeriaceae]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NSW, SA, Vic., WA </w:t>
            </w:r>
            <w:r>
              <w:rPr>
                <w:noProof/>
              </w:rPr>
              <w:t>(Plant Health Australia 2019; Wunderlich et al. 2011)</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Diplodia seriata</w:t>
            </w:r>
            <w:r w:rsidRPr="00E400E4">
              <w:t xml:space="preserve"> De Not. </w:t>
            </w:r>
          </w:p>
          <w:p w:rsidR="00555918" w:rsidRPr="00E400E4" w:rsidRDefault="00555918" w:rsidP="000B1771">
            <w:pPr>
              <w:pStyle w:val="TableText"/>
            </w:pPr>
            <w:r w:rsidRPr="00E400E4">
              <w:t xml:space="preserve">Synonym: </w:t>
            </w:r>
            <w:r w:rsidRPr="00E400E4">
              <w:rPr>
                <w:i/>
              </w:rPr>
              <w:t>Botryosphaeria obtusa</w:t>
            </w:r>
            <w:r w:rsidRPr="00E400E4">
              <w:t xml:space="preserve"> (Schwein.) Shoemaker </w:t>
            </w:r>
          </w:p>
          <w:p w:rsidR="00555918" w:rsidRPr="00E400E4" w:rsidRDefault="00555918" w:rsidP="000B1771">
            <w:pPr>
              <w:pStyle w:val="TableText"/>
            </w:pPr>
            <w:r w:rsidRPr="00E400E4">
              <w:t>[Botryosphaeriales: Botryosphaeriaceae]</w:t>
            </w:r>
          </w:p>
        </w:tc>
        <w:tc>
          <w:tcPr>
            <w:tcW w:w="728" w:type="pct"/>
            <w:shd w:val="clear" w:color="auto" w:fill="auto"/>
          </w:tcPr>
          <w:p w:rsidR="00555918" w:rsidRPr="00E400E4" w:rsidRDefault="00555918" w:rsidP="000B1771">
            <w:pPr>
              <w:pStyle w:val="TableText"/>
            </w:pPr>
            <w:r w:rsidRPr="00E400E4">
              <w:t xml:space="preserve">Yes </w:t>
            </w:r>
            <w:r>
              <w:rPr>
                <w:noProof/>
              </w:rPr>
              <w:t>(Farr &amp; Rossman 2019)</w:t>
            </w:r>
          </w:p>
        </w:tc>
        <w:tc>
          <w:tcPr>
            <w:tcW w:w="797" w:type="pct"/>
            <w:shd w:val="clear" w:color="auto" w:fill="auto"/>
          </w:tcPr>
          <w:p w:rsidR="00555918" w:rsidRPr="00E400E4" w:rsidRDefault="00555918" w:rsidP="000B1771">
            <w:pPr>
              <w:pStyle w:val="TableText"/>
            </w:pPr>
            <w:r w:rsidRPr="00E400E4">
              <w:t xml:space="preserve">Yes. ACT, NSW, Qld, SA,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bCs/>
                <w:i/>
              </w:rPr>
              <w:t>Dothiorella iberica</w:t>
            </w:r>
            <w:r w:rsidRPr="00E400E4">
              <w:rPr>
                <w:i/>
              </w:rPr>
              <w:t xml:space="preserve"> </w:t>
            </w:r>
            <w:r w:rsidRPr="00E400E4">
              <w:t>A.J.L. Phillips, J. Luque &amp; A. Alves</w:t>
            </w:r>
          </w:p>
          <w:p w:rsidR="00555918" w:rsidRPr="00E400E4" w:rsidRDefault="00555918" w:rsidP="000B1771">
            <w:pPr>
              <w:pStyle w:val="TableText"/>
            </w:pPr>
            <w:r w:rsidRPr="00E400E4">
              <w:t>Synonym:</w:t>
            </w:r>
            <w:r w:rsidRPr="00E400E4">
              <w:rPr>
                <w:rFonts w:ascii="Arial" w:hAnsi="Arial" w:cs="Arial"/>
                <w:color w:val="000000"/>
                <w:sz w:val="19"/>
                <w:szCs w:val="19"/>
              </w:rPr>
              <w:t xml:space="preserve"> </w:t>
            </w:r>
            <w:r w:rsidRPr="00E400E4">
              <w:rPr>
                <w:i/>
              </w:rPr>
              <w:t xml:space="preserve">Botryosphaeria iberica </w:t>
            </w:r>
            <w:r w:rsidRPr="00E400E4">
              <w:t>A.J.L. Phillips, J. Luque &amp; A. Alves</w:t>
            </w:r>
          </w:p>
          <w:p w:rsidR="00555918" w:rsidRPr="00E400E4" w:rsidRDefault="00555918" w:rsidP="000B1771">
            <w:pPr>
              <w:pStyle w:val="TableText"/>
            </w:pPr>
            <w:r w:rsidRPr="00E400E4">
              <w:t>[Botryosphaeriales: Botryosphaeriaceae]</w:t>
            </w:r>
          </w:p>
        </w:tc>
        <w:tc>
          <w:tcPr>
            <w:tcW w:w="728" w:type="pct"/>
            <w:shd w:val="clear" w:color="auto" w:fill="auto"/>
          </w:tcPr>
          <w:p w:rsidR="00555918" w:rsidRPr="00E400E4" w:rsidRDefault="00555918" w:rsidP="000B1771">
            <w:pPr>
              <w:pStyle w:val="TableText"/>
            </w:pPr>
            <w:r w:rsidRPr="00E400E4">
              <w:t xml:space="preserve">Yes </w:t>
            </w:r>
            <w:r>
              <w:rPr>
                <w:noProof/>
              </w:rPr>
              <w:t>(Farr &amp; Rossman 2019; Valencia et al. 2019)</w:t>
            </w:r>
          </w:p>
        </w:tc>
        <w:tc>
          <w:tcPr>
            <w:tcW w:w="797" w:type="pct"/>
            <w:shd w:val="clear" w:color="auto" w:fill="auto"/>
          </w:tcPr>
          <w:p w:rsidR="00555918" w:rsidRPr="00E400E4" w:rsidRDefault="00555918" w:rsidP="000B1771">
            <w:pPr>
              <w:pStyle w:val="TableText"/>
            </w:pPr>
            <w:r w:rsidRPr="00E400E4">
              <w:t xml:space="preserve">Yes. SA, Vic., NSW, ACT </w:t>
            </w:r>
            <w:r>
              <w:rPr>
                <w:noProof/>
              </w:rPr>
              <w:t>(Pitt et al. 2010; Plant Health Australia 2019)</w:t>
            </w:r>
          </w:p>
          <w:p w:rsidR="00555918" w:rsidRPr="00E400E4" w:rsidRDefault="00555918" w:rsidP="000B1771">
            <w:pPr>
              <w:pStyle w:val="TableText"/>
            </w:pPr>
            <w:r w:rsidRPr="00E400E4">
              <w:rPr>
                <w:szCs w:val="16"/>
              </w:rPr>
              <w:t xml:space="preserve">Regulated as a Declared Organism (Prohibited (s. 12)) by WA under the </w:t>
            </w:r>
            <w:r w:rsidRPr="00E400E4">
              <w:rPr>
                <w:i/>
                <w:szCs w:val="16"/>
              </w:rPr>
              <w:t xml:space="preserve">Biosecurity and Agriculture Management Act 2007 </w:t>
            </w:r>
            <w:r>
              <w:rPr>
                <w:noProof/>
                <w:szCs w:val="16"/>
              </w:rPr>
              <w:t>(Government of Western Australia 2019)</w:t>
            </w:r>
            <w:r w:rsidRPr="00E400E4">
              <w:rPr>
                <w:szCs w:val="16"/>
              </w:rPr>
              <w:t xml:space="preserve">. However, routine visual inspection is not an adequate measure to detect this pest in host material, and specific measures are not required for this pest for the movement of fruit or planting material of numerous hosts into WA from other Australian states/territories where this pest is present </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Epicoccum nigrum</w:t>
            </w:r>
            <w:r w:rsidRPr="00E400E4">
              <w:t xml:space="preserve"> Link</w:t>
            </w:r>
          </w:p>
          <w:p w:rsidR="00555918" w:rsidRPr="00E400E4" w:rsidRDefault="00555918" w:rsidP="000B1771">
            <w:pPr>
              <w:pStyle w:val="TableText"/>
            </w:pPr>
            <w:r w:rsidRPr="00E400E4">
              <w:t>[Pleosporales: Didymellaceae]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ACT, NSW, Qld,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Fusarium avenaceum</w:t>
            </w:r>
            <w:r w:rsidRPr="00E400E4">
              <w:t xml:space="preserve"> (Fr.) Sacc.</w:t>
            </w:r>
          </w:p>
          <w:p w:rsidR="00555918" w:rsidRPr="00E400E4" w:rsidRDefault="00555918" w:rsidP="000B1771">
            <w:pPr>
              <w:pStyle w:val="TableText"/>
            </w:pPr>
            <w:r w:rsidRPr="00E400E4">
              <w:t xml:space="preserve">Synonym: </w:t>
            </w:r>
            <w:r w:rsidRPr="00E400E4">
              <w:rPr>
                <w:i/>
              </w:rPr>
              <w:t>Gibberella avenacea</w:t>
            </w:r>
            <w:r w:rsidRPr="00E400E4">
              <w:t xml:space="preserve"> R.J. Cook</w:t>
            </w:r>
          </w:p>
          <w:p w:rsidR="00555918" w:rsidRPr="00E400E4" w:rsidRDefault="00555918" w:rsidP="000B1771">
            <w:pPr>
              <w:pStyle w:val="TableText"/>
            </w:pPr>
            <w:r w:rsidRPr="00E400E4">
              <w:t>[Hypocreales: Nectriaceae]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NSW, Qld, SA, Tas., Vic., WA </w:t>
            </w:r>
            <w:r>
              <w:rPr>
                <w:noProof/>
              </w:rPr>
              <w:t>(Plant Health Australia 2019; Shivas 1989)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Fusarium equiseti</w:t>
            </w:r>
            <w:r w:rsidRPr="00E400E4">
              <w:t xml:space="preserve"> (Corda) Sacc.</w:t>
            </w:r>
          </w:p>
          <w:p w:rsidR="00555918" w:rsidRPr="00E400E4" w:rsidRDefault="00555918" w:rsidP="000B1771">
            <w:pPr>
              <w:pStyle w:val="TableText"/>
            </w:pPr>
            <w:r w:rsidRPr="00E400E4">
              <w:t xml:space="preserve">Synonym: </w:t>
            </w:r>
            <w:r w:rsidRPr="00E400E4">
              <w:rPr>
                <w:i/>
              </w:rPr>
              <w:t>Gibberella intricans</w:t>
            </w:r>
            <w:r w:rsidRPr="00E400E4">
              <w:t xml:space="preserve"> Wollenw.</w:t>
            </w:r>
          </w:p>
          <w:p w:rsidR="00555918" w:rsidRPr="00E400E4" w:rsidRDefault="00555918" w:rsidP="000B1771">
            <w:pPr>
              <w:pStyle w:val="TableText"/>
            </w:pPr>
            <w:r w:rsidRPr="00E400E4">
              <w:t>[Hypocreales: Nectriaceae]</w:t>
            </w:r>
          </w:p>
        </w:tc>
        <w:tc>
          <w:tcPr>
            <w:tcW w:w="728" w:type="pct"/>
            <w:shd w:val="clear" w:color="auto" w:fill="auto"/>
          </w:tcPr>
          <w:p w:rsidR="00555918" w:rsidRPr="00E400E4" w:rsidRDefault="00555918" w:rsidP="000B1771">
            <w:pPr>
              <w:pStyle w:val="TableText"/>
            </w:pPr>
            <w:r w:rsidRPr="00E400E4">
              <w:t xml:space="preserve">Yes </w:t>
            </w:r>
            <w:r>
              <w:rPr>
                <w:noProof/>
              </w:rPr>
              <w:t>(Piontelli et al. 2002)</w:t>
            </w:r>
          </w:p>
        </w:tc>
        <w:tc>
          <w:tcPr>
            <w:tcW w:w="797" w:type="pct"/>
            <w:shd w:val="clear" w:color="auto" w:fill="auto"/>
          </w:tcPr>
          <w:p w:rsidR="00555918" w:rsidRPr="00E400E4" w:rsidRDefault="00555918" w:rsidP="000B1771">
            <w:pPr>
              <w:pStyle w:val="TableText"/>
            </w:pPr>
            <w:r w:rsidRPr="00E400E4">
              <w:t xml:space="preserve">Yes. NSW, NT,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Fusarium graminearum</w:t>
            </w:r>
            <w:r w:rsidRPr="00E400E4">
              <w:t xml:space="preserve"> Schwabe </w:t>
            </w:r>
          </w:p>
          <w:p w:rsidR="00555918" w:rsidRPr="00E400E4" w:rsidRDefault="00555918" w:rsidP="000B1771">
            <w:pPr>
              <w:pStyle w:val="TableText"/>
            </w:pPr>
            <w:r w:rsidRPr="00E400E4">
              <w:t xml:space="preserve">Synonym: </w:t>
            </w:r>
            <w:r w:rsidRPr="00E400E4">
              <w:rPr>
                <w:i/>
              </w:rPr>
              <w:t xml:space="preserve">Gibberella zeae </w:t>
            </w:r>
            <w:r w:rsidRPr="00E400E4">
              <w:t>(Schwein.) Petch</w:t>
            </w:r>
          </w:p>
          <w:p w:rsidR="00555918" w:rsidRPr="00E400E4" w:rsidRDefault="00555918" w:rsidP="000B1771">
            <w:pPr>
              <w:pStyle w:val="TableText"/>
            </w:pPr>
            <w:r w:rsidRPr="00E400E4">
              <w:t>[Hypocreales: Nectriaceae]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NSW,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Fusarium lateritium</w:t>
            </w:r>
            <w:r w:rsidRPr="00E400E4">
              <w:t xml:space="preserve"> Nees</w:t>
            </w:r>
          </w:p>
          <w:p w:rsidR="00555918" w:rsidRPr="00E400E4" w:rsidRDefault="00555918" w:rsidP="000B1771">
            <w:pPr>
              <w:pStyle w:val="TableText"/>
            </w:pPr>
            <w:r w:rsidRPr="00E400E4">
              <w:t xml:space="preserve">Synonym: </w:t>
            </w:r>
            <w:r w:rsidRPr="00E400E4">
              <w:rPr>
                <w:i/>
              </w:rPr>
              <w:t>Gibberella baccata</w:t>
            </w:r>
            <w:r w:rsidRPr="00E400E4">
              <w:t xml:space="preserve"> (Wallr.) Sacc.</w:t>
            </w:r>
          </w:p>
          <w:p w:rsidR="00555918" w:rsidRPr="00E400E4" w:rsidRDefault="00555918" w:rsidP="000B1771">
            <w:pPr>
              <w:pStyle w:val="TableText"/>
            </w:pPr>
            <w:r w:rsidRPr="00E400E4">
              <w:t>[Hypocreales: Nectriaceae]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NSW,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Fusarium oxysporum</w:t>
            </w:r>
            <w:r w:rsidRPr="00E400E4">
              <w:t xml:space="preserve"> Schltdl.</w:t>
            </w:r>
          </w:p>
          <w:p w:rsidR="00555918" w:rsidRPr="00E400E4" w:rsidRDefault="00555918" w:rsidP="000B1771">
            <w:pPr>
              <w:pStyle w:val="TableText"/>
            </w:pPr>
            <w:r w:rsidRPr="00E400E4">
              <w:t>[Hypocreales: Nectriaceae]</w:t>
            </w:r>
          </w:p>
        </w:tc>
        <w:tc>
          <w:tcPr>
            <w:tcW w:w="728" w:type="pct"/>
            <w:shd w:val="clear" w:color="auto" w:fill="auto"/>
          </w:tcPr>
          <w:p w:rsidR="00555918" w:rsidRPr="00E400E4" w:rsidRDefault="00555918" w:rsidP="000B1771">
            <w:pPr>
              <w:pStyle w:val="TableText"/>
            </w:pPr>
            <w:r w:rsidRPr="00E400E4">
              <w:t xml:space="preserve">Yes </w:t>
            </w:r>
            <w:r>
              <w:rPr>
                <w:noProof/>
              </w:rPr>
              <w:t>(SAG 2005b)</w:t>
            </w:r>
          </w:p>
        </w:tc>
        <w:tc>
          <w:tcPr>
            <w:tcW w:w="797" w:type="pct"/>
            <w:shd w:val="clear" w:color="auto" w:fill="auto"/>
          </w:tcPr>
          <w:p w:rsidR="00555918" w:rsidRPr="00E400E4" w:rsidRDefault="00555918" w:rsidP="000B1771">
            <w:pPr>
              <w:pStyle w:val="TableText"/>
            </w:pPr>
            <w:r w:rsidRPr="00E400E4">
              <w:t xml:space="preserve">Yes. ACT, NSW, NT,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Fusarium sambucinum</w:t>
            </w:r>
            <w:r w:rsidRPr="00E400E4">
              <w:t xml:space="preserve"> Fuckel</w:t>
            </w:r>
          </w:p>
          <w:p w:rsidR="00555918" w:rsidRPr="00E400E4" w:rsidRDefault="00555918" w:rsidP="000B1771">
            <w:pPr>
              <w:pStyle w:val="TableText"/>
            </w:pPr>
            <w:r w:rsidRPr="00E400E4">
              <w:t xml:space="preserve">Synonym: </w:t>
            </w:r>
            <w:r w:rsidRPr="00E400E4">
              <w:rPr>
                <w:i/>
              </w:rPr>
              <w:t>Gibberella pulicaris</w:t>
            </w:r>
            <w:r w:rsidRPr="00E400E4">
              <w:t xml:space="preserve"> (Fr.) Sacc.</w:t>
            </w:r>
          </w:p>
          <w:p w:rsidR="00555918" w:rsidRPr="00E400E4" w:rsidRDefault="00555918" w:rsidP="000B1771">
            <w:pPr>
              <w:pStyle w:val="TableText"/>
            </w:pPr>
            <w:r w:rsidRPr="00E400E4">
              <w:t>[Hypocreales: Nectriaceae]</w:t>
            </w:r>
          </w:p>
        </w:tc>
        <w:tc>
          <w:tcPr>
            <w:tcW w:w="728" w:type="pct"/>
            <w:shd w:val="clear" w:color="auto" w:fill="auto"/>
          </w:tcPr>
          <w:p w:rsidR="00555918" w:rsidRPr="00E400E4" w:rsidRDefault="00555918" w:rsidP="000B1771">
            <w:pPr>
              <w:pStyle w:val="TableText"/>
            </w:pPr>
            <w:r w:rsidRPr="00E400E4">
              <w:t xml:space="preserve">Yes </w:t>
            </w:r>
            <w:r>
              <w:rPr>
                <w:noProof/>
              </w:rPr>
              <w:t>(Farr &amp; Rossman 2019; Minter &amp; Peredo López 2019)</w:t>
            </w:r>
          </w:p>
        </w:tc>
        <w:tc>
          <w:tcPr>
            <w:tcW w:w="797" w:type="pct"/>
            <w:shd w:val="clear" w:color="auto" w:fill="auto"/>
          </w:tcPr>
          <w:p w:rsidR="00555918" w:rsidRPr="00E400E4" w:rsidRDefault="00555918" w:rsidP="000B1771">
            <w:pPr>
              <w:pStyle w:val="TableText"/>
            </w:pPr>
            <w:r w:rsidRPr="00E400E4">
              <w:t xml:space="preserve">Yes. ACT, NSW,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Fusarium solani</w:t>
            </w:r>
            <w:r w:rsidRPr="00E400E4">
              <w:t xml:space="preserve"> (Mart.) Sacc.</w:t>
            </w:r>
          </w:p>
          <w:p w:rsidR="00555918" w:rsidRPr="00E400E4" w:rsidRDefault="00555918" w:rsidP="000B1771">
            <w:pPr>
              <w:pStyle w:val="TableText"/>
            </w:pPr>
            <w:r w:rsidRPr="00E400E4">
              <w:t>[Hypocreales: Nectriaceae]</w:t>
            </w:r>
          </w:p>
        </w:tc>
        <w:tc>
          <w:tcPr>
            <w:tcW w:w="728" w:type="pct"/>
            <w:shd w:val="clear" w:color="auto" w:fill="auto"/>
          </w:tcPr>
          <w:p w:rsidR="00555918" w:rsidRPr="00E400E4" w:rsidRDefault="00555918" w:rsidP="000B1771">
            <w:pPr>
              <w:pStyle w:val="TableText"/>
            </w:pPr>
            <w:r w:rsidRPr="00E400E4">
              <w:t xml:space="preserve">Yes </w:t>
            </w:r>
            <w:r>
              <w:rPr>
                <w:noProof/>
              </w:rPr>
              <w:t>(CABI 2019a)</w:t>
            </w:r>
          </w:p>
        </w:tc>
        <w:tc>
          <w:tcPr>
            <w:tcW w:w="797" w:type="pct"/>
            <w:shd w:val="clear" w:color="auto" w:fill="auto"/>
          </w:tcPr>
          <w:p w:rsidR="00555918" w:rsidRPr="00E400E4" w:rsidRDefault="00555918" w:rsidP="000B1771">
            <w:pPr>
              <w:pStyle w:val="TableText"/>
            </w:pPr>
            <w:r w:rsidRPr="00E400E4">
              <w:t xml:space="preserve">Yes. NSW, NT,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Ilyonectria destructans</w:t>
            </w:r>
            <w:r w:rsidRPr="00E400E4">
              <w:t xml:space="preserve"> (Zinssm.) Rossman, L. Lombard &amp; Crous</w:t>
            </w:r>
          </w:p>
          <w:p w:rsidR="00555918" w:rsidRPr="00E400E4" w:rsidRDefault="00555918" w:rsidP="000B1771">
            <w:pPr>
              <w:pStyle w:val="TableText"/>
            </w:pPr>
            <w:r w:rsidRPr="00E400E4">
              <w:t xml:space="preserve">Synonyms: </w:t>
            </w:r>
            <w:r w:rsidRPr="00E400E4">
              <w:rPr>
                <w:i/>
              </w:rPr>
              <w:t>Cylindrocarpon destructans</w:t>
            </w:r>
            <w:r w:rsidRPr="00E400E4">
              <w:t xml:space="preserve"> (Zinssm.) Scholten; </w:t>
            </w:r>
            <w:r w:rsidRPr="00E400E4">
              <w:rPr>
                <w:i/>
              </w:rPr>
              <w:t>Neonectria radicicola</w:t>
            </w:r>
            <w:r w:rsidRPr="00E400E4">
              <w:t xml:space="preserve"> (Gerlach &amp; L. Nilsson) Mantiri &amp; Samuels</w:t>
            </w:r>
          </w:p>
          <w:p w:rsidR="00555918" w:rsidRPr="00E400E4" w:rsidRDefault="00555918" w:rsidP="000B1771">
            <w:pPr>
              <w:pStyle w:val="TableText"/>
            </w:pPr>
            <w:r w:rsidRPr="00E400E4">
              <w:t>[Hypocreales: Nectriaceae]</w:t>
            </w:r>
          </w:p>
        </w:tc>
        <w:tc>
          <w:tcPr>
            <w:tcW w:w="728" w:type="pct"/>
            <w:shd w:val="clear" w:color="auto" w:fill="auto"/>
          </w:tcPr>
          <w:p w:rsidR="00555918" w:rsidRPr="00E400E4" w:rsidRDefault="00555918" w:rsidP="000B1771">
            <w:pPr>
              <w:pStyle w:val="TableText"/>
            </w:pPr>
            <w:r w:rsidRPr="00E400E4">
              <w:t xml:space="preserve">Yes </w:t>
            </w:r>
            <w:r>
              <w:rPr>
                <w:noProof/>
              </w:rPr>
              <w:t>(Besoain &amp; Piontelli 1999)</w:t>
            </w:r>
          </w:p>
        </w:tc>
        <w:tc>
          <w:tcPr>
            <w:tcW w:w="797" w:type="pct"/>
            <w:shd w:val="clear" w:color="auto" w:fill="auto"/>
          </w:tcPr>
          <w:p w:rsidR="00555918" w:rsidRPr="00E400E4" w:rsidRDefault="00555918" w:rsidP="000B1771">
            <w:pPr>
              <w:pStyle w:val="TableText"/>
            </w:pPr>
            <w:r w:rsidRPr="00E400E4">
              <w:t xml:space="preserve">Yes. ACT, NSW, Qld, Tas., Vic., SA,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Lasiodiplodia theobromae</w:t>
            </w:r>
            <w:r w:rsidRPr="00E400E4">
              <w:t xml:space="preserve"> (Pat.) Griffon &amp; Maubl.</w:t>
            </w:r>
          </w:p>
          <w:p w:rsidR="00555918" w:rsidRPr="00E400E4" w:rsidRDefault="00555918" w:rsidP="000B1771">
            <w:pPr>
              <w:pStyle w:val="TableText"/>
            </w:pPr>
            <w:r w:rsidRPr="00E400E4">
              <w:t xml:space="preserve">Synonym: </w:t>
            </w:r>
            <w:r w:rsidRPr="00E400E4">
              <w:rPr>
                <w:i/>
              </w:rPr>
              <w:t>Botryosphaeria rhodina</w:t>
            </w:r>
            <w:r w:rsidRPr="00E400E4">
              <w:t xml:space="preserve"> (Berk. &amp; M.A. Curtis) Arx</w:t>
            </w:r>
          </w:p>
          <w:p w:rsidR="00555918" w:rsidRPr="00E400E4" w:rsidRDefault="00555918" w:rsidP="000B1771">
            <w:pPr>
              <w:pStyle w:val="TableText"/>
            </w:pPr>
            <w:r w:rsidRPr="00E400E4">
              <w:t>[Botryosphaeriales: Botryosphaeriaceae]</w:t>
            </w:r>
          </w:p>
          <w:p w:rsidR="00555918" w:rsidRPr="00E400E4" w:rsidRDefault="00555918" w:rsidP="000B1771">
            <w:pPr>
              <w:pStyle w:val="TableText"/>
            </w:pPr>
            <w:r w:rsidRPr="00E400E4">
              <w:t>Stem-end rot of avocado</w:t>
            </w:r>
          </w:p>
        </w:tc>
        <w:tc>
          <w:tcPr>
            <w:tcW w:w="728" w:type="pct"/>
            <w:shd w:val="clear" w:color="auto" w:fill="auto"/>
          </w:tcPr>
          <w:p w:rsidR="00555918" w:rsidRPr="00E400E4" w:rsidRDefault="00555918" w:rsidP="000B1771">
            <w:pPr>
              <w:pStyle w:val="TableText"/>
            </w:pPr>
            <w:r w:rsidRPr="00E400E4">
              <w:t xml:space="preserve">Yes </w:t>
            </w:r>
            <w:r>
              <w:rPr>
                <w:noProof/>
              </w:rPr>
              <w:t>(Menge &amp; Ploetz 2003; Minter &amp; Peredo López 2019)</w:t>
            </w:r>
          </w:p>
        </w:tc>
        <w:tc>
          <w:tcPr>
            <w:tcW w:w="797" w:type="pct"/>
            <w:shd w:val="clear" w:color="auto" w:fill="auto"/>
          </w:tcPr>
          <w:p w:rsidR="00555918" w:rsidRPr="00E400E4" w:rsidRDefault="00555918" w:rsidP="000B1771">
            <w:pPr>
              <w:pStyle w:val="TableText"/>
            </w:pPr>
            <w:r w:rsidRPr="00E400E4">
              <w:t xml:space="preserve">Yes. NSW, NT, Qld, SA,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Leptosphaerulina trifolii</w:t>
            </w:r>
            <w:r w:rsidRPr="00E400E4">
              <w:t xml:space="preserve"> (Rostr.) Petr.</w:t>
            </w:r>
          </w:p>
          <w:p w:rsidR="00555918" w:rsidRPr="00E400E4" w:rsidRDefault="00555918" w:rsidP="000B1771">
            <w:pPr>
              <w:pStyle w:val="TableText"/>
            </w:pPr>
            <w:r w:rsidRPr="00E400E4">
              <w:t>[Pleosporales: Pleosporaceae]</w:t>
            </w:r>
          </w:p>
        </w:tc>
        <w:tc>
          <w:tcPr>
            <w:tcW w:w="728" w:type="pct"/>
            <w:shd w:val="clear" w:color="auto" w:fill="auto"/>
          </w:tcPr>
          <w:p w:rsidR="00555918" w:rsidRPr="00E400E4" w:rsidRDefault="00555918" w:rsidP="000B1771">
            <w:pPr>
              <w:pStyle w:val="TableText"/>
            </w:pPr>
            <w:r w:rsidRPr="00E400E4">
              <w:t xml:space="preserve">Yes </w:t>
            </w:r>
            <w:r>
              <w:rPr>
                <w:noProof/>
              </w:rPr>
              <w:t>(Farr &amp; Rossman 2019; Minter &amp; Peredo López 2019)</w:t>
            </w:r>
          </w:p>
        </w:tc>
        <w:tc>
          <w:tcPr>
            <w:tcW w:w="797" w:type="pct"/>
            <w:shd w:val="clear" w:color="auto" w:fill="auto"/>
          </w:tcPr>
          <w:p w:rsidR="00555918" w:rsidRPr="00E400E4" w:rsidRDefault="00555918" w:rsidP="000B1771">
            <w:pPr>
              <w:pStyle w:val="TableText"/>
            </w:pPr>
            <w:r w:rsidRPr="00E400E4">
              <w:t xml:space="preserve">Yes. ACT, NSW,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Macrophomina phaseolina</w:t>
            </w:r>
            <w:r w:rsidRPr="00E400E4">
              <w:t xml:space="preserve"> (Tassi) Goid.</w:t>
            </w:r>
          </w:p>
          <w:p w:rsidR="00555918" w:rsidRPr="00E400E4" w:rsidRDefault="00555918" w:rsidP="000B1771">
            <w:pPr>
              <w:pStyle w:val="TableText"/>
            </w:pPr>
            <w:r w:rsidRPr="00E400E4">
              <w:t>[Botryosphaeriales: Botryosphaeriaceae]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ACT, NSW, NT, Qld, SA,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Microthia havanensis</w:t>
            </w:r>
            <w:r w:rsidRPr="00E400E4">
              <w:t xml:space="preserve"> (Bruner) Gryzenh. &amp; M.J. Wingf.</w:t>
            </w:r>
          </w:p>
          <w:p w:rsidR="00555918" w:rsidRPr="00E400E4" w:rsidRDefault="00555918" w:rsidP="000B1771">
            <w:pPr>
              <w:pStyle w:val="TableText"/>
            </w:pPr>
            <w:r w:rsidRPr="00E400E4">
              <w:t xml:space="preserve">Synonym: </w:t>
            </w:r>
            <w:r w:rsidRPr="00E400E4">
              <w:rPr>
                <w:i/>
              </w:rPr>
              <w:t>Cryphonectria havanensis</w:t>
            </w:r>
            <w:r w:rsidRPr="00E400E4">
              <w:t xml:space="preserve"> (Bruner) M.E. Barr</w:t>
            </w:r>
          </w:p>
          <w:p w:rsidR="00555918" w:rsidRPr="00E400E4" w:rsidRDefault="00555918" w:rsidP="000B1771">
            <w:pPr>
              <w:pStyle w:val="TableText"/>
            </w:pPr>
            <w:r w:rsidRPr="00E400E4">
              <w:t>[Diaporthales: Cryphonectriaceae]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No records found</w:t>
            </w:r>
          </w:p>
        </w:tc>
        <w:tc>
          <w:tcPr>
            <w:tcW w:w="789" w:type="pct"/>
            <w:shd w:val="clear" w:color="auto" w:fill="auto"/>
          </w:tcPr>
          <w:p w:rsidR="00555918" w:rsidRPr="00E400E4" w:rsidRDefault="00555918" w:rsidP="000B1771">
            <w:pPr>
              <w:pStyle w:val="TableText"/>
            </w:pPr>
            <w:r w:rsidRPr="00E400E4">
              <w:t xml:space="preserve">No. Reported from dead branches of avocado </w:t>
            </w:r>
            <w:r>
              <w:rPr>
                <w:noProof/>
              </w:rPr>
              <w:t>(Gryzenhout et al. 2006)</w:t>
            </w:r>
            <w:r w:rsidRPr="00E400E4">
              <w:t>. No record of an association with avocado fruit was found.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Neofusicoccum australe</w:t>
            </w:r>
            <w:r w:rsidRPr="00E400E4">
              <w:t xml:space="preserve"> (Slippers, Crous &amp; M.J. Wingf.) Crous, Slippers &amp; A.J.L. Phillips </w:t>
            </w:r>
          </w:p>
          <w:p w:rsidR="00555918" w:rsidRPr="00E400E4" w:rsidRDefault="00555918" w:rsidP="000B1771">
            <w:pPr>
              <w:pStyle w:val="TableText"/>
            </w:pPr>
            <w:r w:rsidRPr="00E400E4">
              <w:t>[Botryosphaeriales: Botryosphaeriaceae]</w:t>
            </w:r>
          </w:p>
          <w:p w:rsidR="00555918" w:rsidRPr="00E400E4" w:rsidRDefault="00555918" w:rsidP="000B1771">
            <w:pPr>
              <w:pStyle w:val="TableText"/>
            </w:pPr>
            <w:r w:rsidRPr="00E400E4">
              <w:t>Stem canker, dieback</w:t>
            </w:r>
          </w:p>
        </w:tc>
        <w:tc>
          <w:tcPr>
            <w:tcW w:w="728" w:type="pct"/>
            <w:shd w:val="clear" w:color="auto" w:fill="auto"/>
          </w:tcPr>
          <w:p w:rsidR="00555918" w:rsidRPr="00E400E4" w:rsidRDefault="00555918" w:rsidP="000B1771">
            <w:pPr>
              <w:pStyle w:val="TableText"/>
            </w:pPr>
            <w:r w:rsidRPr="00E400E4">
              <w:t xml:space="preserve">Yes </w:t>
            </w:r>
            <w:r>
              <w:rPr>
                <w:noProof/>
              </w:rPr>
              <w:t>(CABI 2019a)</w:t>
            </w:r>
          </w:p>
        </w:tc>
        <w:tc>
          <w:tcPr>
            <w:tcW w:w="797" w:type="pct"/>
            <w:shd w:val="clear" w:color="auto" w:fill="auto"/>
          </w:tcPr>
          <w:p w:rsidR="00555918" w:rsidRPr="00E400E4" w:rsidRDefault="00555918" w:rsidP="000B1771">
            <w:pPr>
              <w:pStyle w:val="TableText"/>
            </w:pPr>
            <w:r w:rsidRPr="00E400E4">
              <w:t xml:space="preserve">Yes. NSW, SA, Vic., WA </w:t>
            </w:r>
            <w:r>
              <w:rPr>
                <w:noProof/>
              </w:rPr>
              <w:t>(Pitt et al. 2010; 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Neofusicoccum luteum</w:t>
            </w:r>
            <w:r w:rsidRPr="00E400E4">
              <w:t xml:space="preserve"> (Pennycook &amp; Samuels) Crous, Slippers &amp; A.J.L. Phillips</w:t>
            </w:r>
          </w:p>
          <w:p w:rsidR="00555918" w:rsidRPr="00E400E4" w:rsidRDefault="00555918" w:rsidP="000B1771">
            <w:pPr>
              <w:pStyle w:val="TableText"/>
            </w:pPr>
            <w:r w:rsidRPr="00E400E4">
              <w:t xml:space="preserve">Synonym: </w:t>
            </w:r>
            <w:r w:rsidRPr="00E400E4">
              <w:rPr>
                <w:i/>
              </w:rPr>
              <w:t xml:space="preserve">Fusicoccum luteum </w:t>
            </w:r>
            <w:r w:rsidRPr="00E400E4">
              <w:t>Pennycook &amp; Samuels</w:t>
            </w:r>
          </w:p>
          <w:p w:rsidR="00555918" w:rsidRPr="00E400E4" w:rsidRDefault="00555918" w:rsidP="000B1771">
            <w:pPr>
              <w:pStyle w:val="TableText"/>
            </w:pPr>
            <w:r w:rsidRPr="00E400E4">
              <w:t>[Botryosphaeriales: Botryosphaeriaceae]</w:t>
            </w:r>
          </w:p>
          <w:p w:rsidR="00555918" w:rsidRPr="00E400E4" w:rsidRDefault="00555918" w:rsidP="000B1771">
            <w:pPr>
              <w:pStyle w:val="TableText"/>
            </w:pPr>
            <w:r w:rsidRPr="00E400E4">
              <w:t>Branch canker, stem-end rot</w:t>
            </w:r>
          </w:p>
        </w:tc>
        <w:tc>
          <w:tcPr>
            <w:tcW w:w="728" w:type="pct"/>
            <w:shd w:val="clear" w:color="auto" w:fill="auto"/>
          </w:tcPr>
          <w:p w:rsidR="00555918" w:rsidRPr="00E400E4" w:rsidRDefault="00555918" w:rsidP="000B1771">
            <w:pPr>
              <w:pStyle w:val="TableText"/>
            </w:pPr>
            <w:r w:rsidRPr="00E400E4">
              <w:t xml:space="preserve">Yes </w:t>
            </w:r>
            <w:r>
              <w:rPr>
                <w:noProof/>
              </w:rPr>
              <w:t>(Montealegre 1995)</w:t>
            </w:r>
          </w:p>
        </w:tc>
        <w:tc>
          <w:tcPr>
            <w:tcW w:w="797" w:type="pct"/>
            <w:shd w:val="clear" w:color="auto" w:fill="auto"/>
          </w:tcPr>
          <w:p w:rsidR="00555918" w:rsidRPr="00E400E4" w:rsidRDefault="00555918" w:rsidP="000B1771">
            <w:pPr>
              <w:pStyle w:val="TableText"/>
            </w:pPr>
            <w:r w:rsidRPr="00E400E4">
              <w:t xml:space="preserve">Yes. NSW, Qld,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Neofusicoccum mangiferae</w:t>
            </w:r>
            <w:r w:rsidRPr="00E400E4">
              <w:t xml:space="preserve"> (Syd. &amp; P. Syd.) Crous, Slippers &amp; A.J.L. Phillips</w:t>
            </w:r>
          </w:p>
          <w:p w:rsidR="00555918" w:rsidRPr="00E400E4" w:rsidRDefault="00555918" w:rsidP="000B1771">
            <w:pPr>
              <w:pStyle w:val="TableText"/>
            </w:pPr>
            <w:r w:rsidRPr="00E400E4">
              <w:t xml:space="preserve">Synonym: </w:t>
            </w:r>
            <w:r w:rsidRPr="00E400E4">
              <w:rPr>
                <w:i/>
              </w:rPr>
              <w:t>Nattrassia mangiferae</w:t>
            </w:r>
            <w:r w:rsidRPr="00E400E4">
              <w:t xml:space="preserve"> (Syd. &amp; P. Syd.) B. Sutton &amp; Dyko</w:t>
            </w:r>
          </w:p>
          <w:p w:rsidR="00555918" w:rsidRPr="00E400E4" w:rsidRDefault="00555918" w:rsidP="000B1771">
            <w:pPr>
              <w:pStyle w:val="TableText"/>
            </w:pPr>
            <w:r w:rsidRPr="00E400E4">
              <w:t>[Botryosphaeriales: Botryosphaeriaceae]</w:t>
            </w:r>
          </w:p>
          <w:p w:rsidR="00555918" w:rsidRPr="00E400E4" w:rsidRDefault="00555918" w:rsidP="000B1771">
            <w:pPr>
              <w:pStyle w:val="TableText"/>
            </w:pPr>
            <w:r w:rsidRPr="00E400E4">
              <w:t>Fruit rot</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Qld,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Neofusicoccum parvum</w:t>
            </w:r>
            <w:r w:rsidRPr="00E400E4">
              <w:t xml:space="preserve"> (Pennycook &amp; Samuels) Crous, Slippers &amp; A.J.L. Phillips</w:t>
            </w:r>
          </w:p>
          <w:p w:rsidR="00555918" w:rsidRPr="00E400E4" w:rsidRDefault="00555918" w:rsidP="000B1771">
            <w:pPr>
              <w:pStyle w:val="TableText"/>
            </w:pPr>
            <w:r w:rsidRPr="00E400E4">
              <w:t>[Botryosphaeriales: Botryosphaeriaceae]</w:t>
            </w:r>
          </w:p>
        </w:tc>
        <w:tc>
          <w:tcPr>
            <w:tcW w:w="728" w:type="pct"/>
            <w:shd w:val="clear" w:color="auto" w:fill="auto"/>
          </w:tcPr>
          <w:p w:rsidR="00555918" w:rsidRPr="00E400E4" w:rsidRDefault="00555918" w:rsidP="000B1771">
            <w:pPr>
              <w:pStyle w:val="TableText"/>
            </w:pPr>
            <w:r w:rsidRPr="00E400E4">
              <w:t xml:space="preserve">Yes </w:t>
            </w:r>
            <w:r>
              <w:rPr>
                <w:noProof/>
              </w:rPr>
              <w:t>(CABI 2012; Farr &amp; Rossman 2019)</w:t>
            </w:r>
          </w:p>
        </w:tc>
        <w:tc>
          <w:tcPr>
            <w:tcW w:w="797" w:type="pct"/>
            <w:shd w:val="clear" w:color="auto" w:fill="auto"/>
          </w:tcPr>
          <w:p w:rsidR="00555918" w:rsidRPr="00E400E4" w:rsidRDefault="00555918" w:rsidP="000B1771">
            <w:pPr>
              <w:pStyle w:val="TableText"/>
            </w:pPr>
            <w:r w:rsidRPr="00E400E4">
              <w:t xml:space="preserve">Yes. NSW, Qld, SA, WA </w:t>
            </w:r>
            <w:r>
              <w:rPr>
                <w:noProof/>
              </w:rPr>
              <w:t>(Pitt et al. 2010)</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Neofusicoccum vitifusiforme</w:t>
            </w:r>
            <w:r w:rsidRPr="00E400E4">
              <w:t xml:space="preserve"> (Van Niekerk &amp; Crous) Crous, Slippers &amp; A.J.L. Phillips</w:t>
            </w:r>
          </w:p>
          <w:p w:rsidR="00555918" w:rsidRPr="00E400E4" w:rsidRDefault="00555918" w:rsidP="000B1771">
            <w:pPr>
              <w:pStyle w:val="TableText"/>
            </w:pPr>
            <w:r w:rsidRPr="00E400E4">
              <w:t xml:space="preserve">Synonyms: </w:t>
            </w:r>
            <w:r w:rsidRPr="00E400E4">
              <w:rPr>
                <w:i/>
              </w:rPr>
              <w:t xml:space="preserve">Camarosporium eucalypti </w:t>
            </w:r>
            <w:r w:rsidRPr="00E400E4">
              <w:t xml:space="preserve">G. Winter; </w:t>
            </w:r>
            <w:r w:rsidRPr="00E400E4">
              <w:rPr>
                <w:i/>
              </w:rPr>
              <w:t>Dichomera eucalypti</w:t>
            </w:r>
            <w:r w:rsidRPr="00E400E4">
              <w:t xml:space="preserve"> (G. Winter) B. Sutton; </w:t>
            </w:r>
            <w:r w:rsidRPr="00E400E4">
              <w:rPr>
                <w:i/>
              </w:rPr>
              <w:t>Neofusicoccum corticosae</w:t>
            </w:r>
            <w:r w:rsidRPr="00E400E4">
              <w:t xml:space="preserve"> Crous &amp; Summerell</w:t>
            </w:r>
          </w:p>
          <w:p w:rsidR="00555918" w:rsidRPr="00E400E4" w:rsidRDefault="00555918" w:rsidP="000B1771">
            <w:pPr>
              <w:pStyle w:val="TableText"/>
            </w:pPr>
            <w:r w:rsidRPr="00E400E4">
              <w:t>[Botryosphaeriales: Botryosphaeriaceae]</w:t>
            </w:r>
          </w:p>
          <w:p w:rsidR="00555918" w:rsidRPr="00E400E4" w:rsidRDefault="00555918" w:rsidP="000B1771">
            <w:pPr>
              <w:pStyle w:val="TableText"/>
            </w:pPr>
            <w:r w:rsidRPr="00E400E4">
              <w:t>Branch canker</w:t>
            </w:r>
          </w:p>
        </w:tc>
        <w:tc>
          <w:tcPr>
            <w:tcW w:w="728" w:type="pct"/>
            <w:shd w:val="clear" w:color="auto" w:fill="auto"/>
          </w:tcPr>
          <w:p w:rsidR="00555918" w:rsidRPr="00E400E4" w:rsidRDefault="00555918" w:rsidP="000B1771">
            <w:pPr>
              <w:pStyle w:val="TableText"/>
            </w:pPr>
            <w:r w:rsidRPr="00E400E4">
              <w:t xml:space="preserve">Yes </w:t>
            </w:r>
            <w:r>
              <w:rPr>
                <w:noProof/>
              </w:rPr>
              <w:t>(Espinoza, Briceño &amp; Latorre 2008)</w:t>
            </w:r>
          </w:p>
        </w:tc>
        <w:tc>
          <w:tcPr>
            <w:tcW w:w="797" w:type="pct"/>
            <w:shd w:val="clear" w:color="auto" w:fill="auto"/>
          </w:tcPr>
          <w:p w:rsidR="00555918" w:rsidRPr="00E400E4" w:rsidRDefault="00555918" w:rsidP="000B1771">
            <w:pPr>
              <w:pStyle w:val="TableText"/>
            </w:pPr>
            <w:r w:rsidRPr="00E400E4">
              <w:t xml:space="preserve">Yes </w:t>
            </w:r>
            <w:r>
              <w:rPr>
                <w:noProof/>
              </w:rPr>
              <w:t>(Farr &amp; Rossman 2019)</w:t>
            </w:r>
            <w:r w:rsidRPr="00E400E4">
              <w:t xml:space="preserve">. NSW, Qld,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4"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Neonectria ditissima</w:t>
            </w:r>
            <w:r w:rsidRPr="00E400E4">
              <w:t xml:space="preserve"> (Tul. &amp; C. Tul.) Samuels &amp; Rossman</w:t>
            </w:r>
          </w:p>
          <w:p w:rsidR="00555918" w:rsidRPr="00E400E4" w:rsidRDefault="00555918" w:rsidP="000B1771">
            <w:pPr>
              <w:pStyle w:val="TableText"/>
            </w:pPr>
            <w:r w:rsidRPr="00E400E4">
              <w:t xml:space="preserve">Synonyms: </w:t>
            </w:r>
            <w:r w:rsidRPr="00E400E4">
              <w:rPr>
                <w:i/>
              </w:rPr>
              <w:t>Nectria ditissima</w:t>
            </w:r>
            <w:r w:rsidRPr="00E400E4">
              <w:t xml:space="preserve"> Tul. &amp; C. Tul.; </w:t>
            </w:r>
            <w:r w:rsidRPr="00E400E4">
              <w:rPr>
                <w:i/>
              </w:rPr>
              <w:t>Nectria galligena</w:t>
            </w:r>
            <w:r w:rsidRPr="00E400E4">
              <w:t xml:space="preserve"> Bres.</w:t>
            </w:r>
          </w:p>
          <w:p w:rsidR="00555918" w:rsidRPr="00E400E4" w:rsidRDefault="00555918" w:rsidP="000B1771">
            <w:pPr>
              <w:pStyle w:val="TableText"/>
            </w:pPr>
            <w:r w:rsidRPr="00E400E4">
              <w:t>[Hypocreales: Nectriaceae]</w:t>
            </w:r>
          </w:p>
          <w:p w:rsidR="00555918" w:rsidRPr="00E400E4" w:rsidRDefault="00555918" w:rsidP="000B1771">
            <w:pPr>
              <w:pStyle w:val="TableText"/>
            </w:pPr>
            <w:r w:rsidRPr="00E400E4">
              <w:t>European canker</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No records found</w:t>
            </w:r>
          </w:p>
        </w:tc>
        <w:tc>
          <w:tcPr>
            <w:tcW w:w="789" w:type="pct"/>
            <w:shd w:val="clear" w:color="auto" w:fill="auto"/>
          </w:tcPr>
          <w:p w:rsidR="00555918" w:rsidRPr="00E400E4" w:rsidRDefault="00555918" w:rsidP="000B1771">
            <w:pPr>
              <w:pStyle w:val="TableText"/>
            </w:pPr>
            <w:r w:rsidRPr="00E400E4">
              <w:t xml:space="preserve">No. </w:t>
            </w:r>
            <w:r w:rsidRPr="00E400E4">
              <w:rPr>
                <w:i/>
              </w:rPr>
              <w:t>Neonectria ditissima</w:t>
            </w:r>
            <w:r w:rsidRPr="00E400E4">
              <w:t xml:space="preserve"> causes canker on the limbs and trunk on avocado </w:t>
            </w:r>
            <w:r>
              <w:rPr>
                <w:noProof/>
              </w:rPr>
              <w:t>(Aguilera-Montãnez &amp; Salazar-Garcia 1991; Ceja-Torres et al. 2000)</w:t>
            </w:r>
            <w:r w:rsidRPr="00E400E4">
              <w:t xml:space="preserve">. No record of an association with avocado fruit was found. </w:t>
            </w:r>
          </w:p>
          <w:p w:rsidR="00555918" w:rsidRPr="00E400E4" w:rsidRDefault="00555918" w:rsidP="000B1771">
            <w:pPr>
              <w:pStyle w:val="TableText"/>
            </w:pPr>
            <w:r w:rsidRPr="00E400E4">
              <w:t xml:space="preserve">Furthermore, </w:t>
            </w:r>
            <w:r w:rsidRPr="00E400E4">
              <w:rPr>
                <w:i/>
              </w:rPr>
              <w:t>N. ditissima</w:t>
            </w:r>
            <w:r w:rsidRPr="00E400E4">
              <w:t xml:space="preserve"> has never been reported on avocado plants in Chile.</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Neopestalotiopsis clavispora</w:t>
            </w:r>
            <w:r w:rsidRPr="00E400E4">
              <w:t xml:space="preserve"> (G.F. Atk.) Maharachch., K.D. Hyde &amp; Crous </w:t>
            </w:r>
          </w:p>
          <w:p w:rsidR="00555918" w:rsidRPr="00E400E4" w:rsidRDefault="00555918" w:rsidP="000B1771">
            <w:pPr>
              <w:pStyle w:val="TableText"/>
            </w:pPr>
            <w:r w:rsidRPr="00E400E4">
              <w:t xml:space="preserve">Synonym: </w:t>
            </w:r>
            <w:r w:rsidRPr="00E400E4">
              <w:rPr>
                <w:i/>
              </w:rPr>
              <w:t>Pestalotiopsis clavispora</w:t>
            </w:r>
            <w:r w:rsidRPr="00E400E4">
              <w:t xml:space="preserve"> (Atk.) Steyaert</w:t>
            </w:r>
          </w:p>
          <w:p w:rsidR="00555918" w:rsidRPr="00E400E4" w:rsidRDefault="00555918" w:rsidP="000B1771">
            <w:pPr>
              <w:pStyle w:val="TableText"/>
            </w:pPr>
            <w:r w:rsidRPr="00E400E4">
              <w:t>[Amphisphaeriales: Pestalotiopsidaceae]</w:t>
            </w:r>
          </w:p>
          <w:p w:rsidR="00555918" w:rsidRPr="00E400E4" w:rsidRDefault="00555918" w:rsidP="000B1771">
            <w:pPr>
              <w:pStyle w:val="TableText"/>
            </w:pPr>
            <w:r w:rsidRPr="00E400E4">
              <w:t>Stem-end rot</w:t>
            </w:r>
          </w:p>
        </w:tc>
        <w:tc>
          <w:tcPr>
            <w:tcW w:w="728" w:type="pct"/>
            <w:shd w:val="clear" w:color="auto" w:fill="auto"/>
          </w:tcPr>
          <w:p w:rsidR="00555918" w:rsidRPr="00E400E4" w:rsidRDefault="00555918" w:rsidP="000B1771">
            <w:pPr>
              <w:pStyle w:val="TableText"/>
            </w:pPr>
            <w:r w:rsidRPr="00E400E4">
              <w:t xml:space="preserve">Yes </w:t>
            </w:r>
            <w:r>
              <w:rPr>
                <w:noProof/>
              </w:rPr>
              <w:t>(Farr &amp; Rossman 2019; Valencia, Torres &amp; Latorre 2011)</w:t>
            </w:r>
          </w:p>
        </w:tc>
        <w:tc>
          <w:tcPr>
            <w:tcW w:w="797" w:type="pct"/>
            <w:shd w:val="clear" w:color="auto" w:fill="auto"/>
          </w:tcPr>
          <w:p w:rsidR="00555918" w:rsidRPr="00E400E4" w:rsidRDefault="00555918" w:rsidP="000B1771">
            <w:pPr>
              <w:pStyle w:val="TableText"/>
            </w:pPr>
            <w:r w:rsidRPr="00E400E4">
              <w:t xml:space="preserve">Yes. </w:t>
            </w:r>
            <w:r w:rsidRPr="00E400E4">
              <w:rPr>
                <w:i/>
              </w:rPr>
              <w:t>Neopestalotiopsis clavispora</w:t>
            </w:r>
            <w:r w:rsidRPr="00E400E4">
              <w:t xml:space="preserve"> was identified from isolates of endophytic fungi collected from stems of </w:t>
            </w:r>
            <w:r w:rsidRPr="00E400E4">
              <w:rPr>
                <w:i/>
              </w:rPr>
              <w:t>Mimosa pigra</w:t>
            </w:r>
            <w:r w:rsidRPr="00E400E4">
              <w:t xml:space="preserve"> in the NT </w:t>
            </w:r>
            <w:r>
              <w:rPr>
                <w:noProof/>
              </w:rPr>
              <w:t>(Sacdalan 2015)</w:t>
            </w:r>
            <w:r w:rsidRPr="00E400E4">
              <w:t>.</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Nigrospora oryzae</w:t>
            </w:r>
            <w:r w:rsidRPr="00E400E4">
              <w:t xml:space="preserve"> (Berk. &amp; Broome) Petch</w:t>
            </w:r>
          </w:p>
          <w:p w:rsidR="00555918" w:rsidRPr="00E400E4" w:rsidRDefault="00555918" w:rsidP="000B1771">
            <w:pPr>
              <w:pStyle w:val="TableText"/>
            </w:pPr>
            <w:r w:rsidRPr="00E400E4">
              <w:t xml:space="preserve">Synonym: </w:t>
            </w:r>
            <w:r w:rsidRPr="00E400E4">
              <w:rPr>
                <w:i/>
              </w:rPr>
              <w:t>Khuskia oryzae</w:t>
            </w:r>
            <w:r w:rsidRPr="00E400E4">
              <w:t xml:space="preserve"> H.J. Huds.</w:t>
            </w:r>
          </w:p>
          <w:p w:rsidR="00555918" w:rsidRPr="00E400E4" w:rsidRDefault="00555918" w:rsidP="000B1771">
            <w:pPr>
              <w:pStyle w:val="TableText"/>
            </w:pPr>
            <w:r w:rsidRPr="00E400E4">
              <w:t>[Trichosphaeriales: Not assigned]</w:t>
            </w:r>
          </w:p>
        </w:tc>
        <w:tc>
          <w:tcPr>
            <w:tcW w:w="728" w:type="pct"/>
            <w:shd w:val="clear" w:color="auto" w:fill="auto"/>
          </w:tcPr>
          <w:p w:rsidR="00555918" w:rsidRPr="00E400E4" w:rsidRDefault="00555918" w:rsidP="000B1771">
            <w:pPr>
              <w:pStyle w:val="TableText"/>
            </w:pPr>
            <w:r w:rsidRPr="00E400E4">
              <w:t xml:space="preserve">Yes. Cosmopolitan distribution </w:t>
            </w:r>
            <w:r>
              <w:rPr>
                <w:noProof/>
              </w:rPr>
              <w:t>(Farr &amp; Rossman 2019)</w:t>
            </w:r>
          </w:p>
        </w:tc>
        <w:tc>
          <w:tcPr>
            <w:tcW w:w="797" w:type="pct"/>
            <w:shd w:val="clear" w:color="auto" w:fill="auto"/>
          </w:tcPr>
          <w:p w:rsidR="00555918" w:rsidRPr="00E400E4" w:rsidRDefault="00555918" w:rsidP="000B1771">
            <w:pPr>
              <w:pStyle w:val="TableText"/>
            </w:pPr>
            <w:r w:rsidRPr="00E400E4">
              <w:t xml:space="preserve">Yes. ACT, NSW, NT, Qld, SA,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Penicillium expansum</w:t>
            </w:r>
            <w:r w:rsidRPr="00E400E4">
              <w:t xml:space="preserve"> Link</w:t>
            </w:r>
          </w:p>
          <w:p w:rsidR="00555918" w:rsidRPr="00E400E4" w:rsidRDefault="00555918" w:rsidP="000B1771">
            <w:pPr>
              <w:pStyle w:val="TableText"/>
            </w:pPr>
            <w:r w:rsidRPr="00E400E4">
              <w:t>[Eurotiales: Trichocomaceae]</w:t>
            </w:r>
          </w:p>
          <w:p w:rsidR="00555918" w:rsidRPr="00E400E4" w:rsidRDefault="00555918" w:rsidP="000B1771">
            <w:pPr>
              <w:pStyle w:val="TableText"/>
            </w:pPr>
            <w:r w:rsidRPr="00E400E4">
              <w:t>Blue mold</w:t>
            </w:r>
          </w:p>
        </w:tc>
        <w:tc>
          <w:tcPr>
            <w:tcW w:w="728" w:type="pct"/>
            <w:shd w:val="clear" w:color="auto" w:fill="auto"/>
          </w:tcPr>
          <w:p w:rsidR="00555918" w:rsidRPr="00E400E4" w:rsidRDefault="00555918" w:rsidP="000B1771">
            <w:pPr>
              <w:pStyle w:val="TableText"/>
            </w:pPr>
            <w:r w:rsidRPr="00E400E4">
              <w:t xml:space="preserve">Yes </w:t>
            </w:r>
            <w:r>
              <w:rPr>
                <w:noProof/>
              </w:rPr>
              <w:t>(SAG 2005b)</w:t>
            </w:r>
          </w:p>
        </w:tc>
        <w:tc>
          <w:tcPr>
            <w:tcW w:w="797" w:type="pct"/>
            <w:shd w:val="clear" w:color="auto" w:fill="auto"/>
          </w:tcPr>
          <w:p w:rsidR="00555918" w:rsidRPr="00E400E4" w:rsidRDefault="00555918" w:rsidP="000B1771">
            <w:pPr>
              <w:pStyle w:val="TableText"/>
            </w:pPr>
            <w:r w:rsidRPr="00E400E4">
              <w:t xml:space="preserve">Yes. NSW, Qld,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Penicillium italicum</w:t>
            </w:r>
            <w:r w:rsidRPr="00E400E4">
              <w:t xml:space="preserve"> Wehmer</w:t>
            </w:r>
          </w:p>
          <w:p w:rsidR="00555918" w:rsidRPr="00E400E4" w:rsidRDefault="00555918" w:rsidP="000B1771">
            <w:pPr>
              <w:pStyle w:val="TableText"/>
            </w:pPr>
            <w:r w:rsidRPr="00E400E4">
              <w:t>[Eurotiales: Trichocomaceae]</w:t>
            </w:r>
          </w:p>
          <w:p w:rsidR="00555918" w:rsidRPr="00E400E4" w:rsidRDefault="00555918" w:rsidP="000B1771">
            <w:pPr>
              <w:pStyle w:val="TableText"/>
            </w:pPr>
            <w:r w:rsidRPr="00E400E4">
              <w:t>Blue mold</w:t>
            </w:r>
          </w:p>
        </w:tc>
        <w:tc>
          <w:tcPr>
            <w:tcW w:w="728" w:type="pct"/>
            <w:shd w:val="clear" w:color="auto" w:fill="auto"/>
          </w:tcPr>
          <w:p w:rsidR="00555918" w:rsidRPr="00E400E4" w:rsidRDefault="00555918" w:rsidP="000B1771">
            <w:pPr>
              <w:pStyle w:val="TableText"/>
            </w:pPr>
            <w:r w:rsidRPr="00E400E4">
              <w:t xml:space="preserve">Yes </w:t>
            </w:r>
            <w:r>
              <w:rPr>
                <w:noProof/>
              </w:rPr>
              <w:t>(SAG 2005b)</w:t>
            </w:r>
          </w:p>
        </w:tc>
        <w:tc>
          <w:tcPr>
            <w:tcW w:w="797" w:type="pct"/>
            <w:shd w:val="clear" w:color="auto" w:fill="auto"/>
          </w:tcPr>
          <w:p w:rsidR="00555918" w:rsidRPr="00E400E4" w:rsidRDefault="00555918" w:rsidP="000B1771">
            <w:pPr>
              <w:pStyle w:val="TableText"/>
            </w:pPr>
            <w:r w:rsidRPr="00E400E4">
              <w:t xml:space="preserve">Yes. ACT, NSW, Qld, SA,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Periconia byssoides</w:t>
            </w:r>
            <w:r w:rsidRPr="00E400E4">
              <w:t xml:space="preserve"> Pers. </w:t>
            </w:r>
          </w:p>
          <w:p w:rsidR="00555918" w:rsidRPr="00E400E4" w:rsidRDefault="00555918" w:rsidP="000B1771">
            <w:pPr>
              <w:pStyle w:val="TableText"/>
            </w:pPr>
            <w:r w:rsidRPr="00E400E4">
              <w:t>[Pleosporales: Not assigned]</w:t>
            </w:r>
          </w:p>
        </w:tc>
        <w:tc>
          <w:tcPr>
            <w:tcW w:w="728" w:type="pct"/>
            <w:shd w:val="clear" w:color="auto" w:fill="auto"/>
          </w:tcPr>
          <w:p w:rsidR="00555918" w:rsidRPr="00E400E4" w:rsidRDefault="00555918" w:rsidP="000B1771">
            <w:pPr>
              <w:pStyle w:val="TableText"/>
            </w:pPr>
            <w:r w:rsidRPr="00E400E4">
              <w:t xml:space="preserve">Yes </w:t>
            </w:r>
            <w:r>
              <w:rPr>
                <w:noProof/>
              </w:rPr>
              <w:t>(Farr &amp; Rossman 2019; Minter &amp; Peredo López 2019)</w:t>
            </w:r>
          </w:p>
        </w:tc>
        <w:tc>
          <w:tcPr>
            <w:tcW w:w="797" w:type="pct"/>
            <w:shd w:val="clear" w:color="auto" w:fill="auto"/>
          </w:tcPr>
          <w:p w:rsidR="00555918" w:rsidRPr="00E400E4" w:rsidRDefault="00555918" w:rsidP="000B1771">
            <w:pPr>
              <w:pStyle w:val="TableText"/>
            </w:pPr>
            <w:r w:rsidRPr="00E400E4">
              <w:t xml:space="preserve">Yes. NSW, NT, Qld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Pestalotiopsis guepinii</w:t>
            </w:r>
            <w:r w:rsidRPr="00E400E4">
              <w:t xml:space="preserve"> (Desm.) Steyaert</w:t>
            </w:r>
          </w:p>
          <w:p w:rsidR="00555918" w:rsidRPr="00E400E4" w:rsidRDefault="00555918" w:rsidP="000B1771">
            <w:pPr>
              <w:pStyle w:val="TableText"/>
            </w:pPr>
            <w:r w:rsidRPr="00E400E4">
              <w:t>[Amphisphaeriales: Pestalotiopsidaceae]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NSW, Qld,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Pestalotiopsis versicolor</w:t>
            </w:r>
            <w:r w:rsidRPr="00E400E4">
              <w:t xml:space="preserve"> (Speg.) Steyaert</w:t>
            </w:r>
          </w:p>
          <w:p w:rsidR="00555918" w:rsidRPr="00E400E4" w:rsidRDefault="00555918" w:rsidP="000B1771">
            <w:pPr>
              <w:pStyle w:val="TableText"/>
            </w:pPr>
            <w:r w:rsidRPr="00E400E4">
              <w:t>[Amphisphaeriales: Pestalotiopsidaceae]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NSW, NT, Qld,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Pseudocercospora purpurea</w:t>
            </w:r>
            <w:r w:rsidRPr="00E400E4">
              <w:t xml:space="preserve"> (Cooke) Deighton</w:t>
            </w:r>
          </w:p>
          <w:p w:rsidR="00555918" w:rsidRPr="00E400E4" w:rsidRDefault="00555918" w:rsidP="000B1771">
            <w:pPr>
              <w:pStyle w:val="TableText"/>
            </w:pPr>
            <w:r w:rsidRPr="00E400E4">
              <w:t xml:space="preserve">Synonym: </w:t>
            </w:r>
            <w:r w:rsidRPr="00E400E4">
              <w:rPr>
                <w:i/>
              </w:rPr>
              <w:t xml:space="preserve">Cercospora purpurea </w:t>
            </w:r>
            <w:r w:rsidRPr="00E400E4">
              <w:t>Cooke</w:t>
            </w:r>
          </w:p>
          <w:p w:rsidR="00555918" w:rsidRPr="00E400E4" w:rsidRDefault="00555918" w:rsidP="000B1771">
            <w:pPr>
              <w:pStyle w:val="TableText"/>
            </w:pPr>
            <w:r w:rsidRPr="00E400E4">
              <w:t>[Capnodiales: Mycosphaerellaceae]</w:t>
            </w:r>
          </w:p>
          <w:p w:rsidR="00555918" w:rsidRPr="00E400E4" w:rsidRDefault="00555918" w:rsidP="000B1771">
            <w:pPr>
              <w:pStyle w:val="TableText"/>
            </w:pPr>
            <w:r w:rsidRPr="00E400E4">
              <w:t>Cercospora spot, Pseudocercospora spot</w:t>
            </w:r>
          </w:p>
        </w:tc>
        <w:tc>
          <w:tcPr>
            <w:tcW w:w="728" w:type="pct"/>
            <w:shd w:val="clear" w:color="auto" w:fill="auto"/>
          </w:tcPr>
          <w:p w:rsidR="00555918" w:rsidRPr="00E400E4" w:rsidRDefault="00555918" w:rsidP="000B1771">
            <w:pPr>
              <w:pStyle w:val="TableText"/>
            </w:pPr>
            <w:r w:rsidRPr="00E400E4">
              <w:t xml:space="preserve">No. Reports of </w:t>
            </w:r>
            <w:r w:rsidRPr="00E400E4">
              <w:rPr>
                <w:i/>
              </w:rPr>
              <w:t>P. purpurea</w:t>
            </w:r>
            <w:r w:rsidRPr="00E400E4">
              <w:t xml:space="preserve"> in Chile, such as </w:t>
            </w:r>
            <w:r>
              <w:rPr>
                <w:noProof/>
              </w:rPr>
              <w:t>Minter and Peredo López (2019)</w:t>
            </w:r>
            <w:r w:rsidRPr="00E400E4">
              <w:t xml:space="preserve"> and </w:t>
            </w:r>
            <w:r>
              <w:rPr>
                <w:noProof/>
              </w:rPr>
              <w:t>Mujica and Vergara (1980)</w:t>
            </w:r>
            <w:r w:rsidRPr="00E400E4">
              <w:t xml:space="preserve">, are based on an unreliable record from 1943 </w:t>
            </w:r>
            <w:r>
              <w:rPr>
                <w:noProof/>
              </w:rPr>
              <w:t>(Anon 1943)</w:t>
            </w:r>
            <w:r w:rsidRPr="00E400E4">
              <w:t>.</w:t>
            </w:r>
          </w:p>
          <w:p w:rsidR="00555918" w:rsidRPr="00E400E4" w:rsidRDefault="00555918" w:rsidP="000B1771">
            <w:pPr>
              <w:pStyle w:val="TableText"/>
            </w:pPr>
            <w:r w:rsidRPr="00E400E4">
              <w:t xml:space="preserve">Under Chile’s agricultural surveillance program, pest surveillance is conducted annually. As part of this program, over 3,300 avocado orchards accounting for around 29,000 hectares of avocado plantings have been surveyed from 2009 to 2017 and </w:t>
            </w:r>
            <w:r w:rsidRPr="00E400E4">
              <w:rPr>
                <w:i/>
              </w:rPr>
              <w:t>P. purpurea</w:t>
            </w:r>
            <w:r w:rsidRPr="00E400E4">
              <w:t xml:space="preserve"> has never been detected.</w:t>
            </w:r>
          </w:p>
        </w:tc>
        <w:tc>
          <w:tcPr>
            <w:tcW w:w="797" w:type="pct"/>
            <w:shd w:val="clear" w:color="auto" w:fill="auto"/>
          </w:tcPr>
          <w:p w:rsidR="00555918" w:rsidRPr="00E400E4" w:rsidRDefault="00555918" w:rsidP="000B1771">
            <w:pPr>
              <w:pStyle w:val="TableText"/>
            </w:pPr>
            <w:r w:rsidRPr="00E400E4">
              <w:t>Assessment not required</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Rhizoctonia solani</w:t>
            </w:r>
            <w:r w:rsidRPr="00E400E4">
              <w:t xml:space="preserve"> J.G. Kühn</w:t>
            </w:r>
          </w:p>
          <w:p w:rsidR="00555918" w:rsidRPr="00E400E4" w:rsidRDefault="00555918" w:rsidP="000B1771">
            <w:pPr>
              <w:pStyle w:val="TableText"/>
            </w:pPr>
            <w:r w:rsidRPr="00E400E4">
              <w:t xml:space="preserve">Synonym: </w:t>
            </w:r>
            <w:r w:rsidRPr="00E400E4">
              <w:rPr>
                <w:i/>
              </w:rPr>
              <w:t>Thanatephorus cucumeris</w:t>
            </w:r>
            <w:r w:rsidRPr="00E400E4">
              <w:t xml:space="preserve"> (A.B. Frank) Donk</w:t>
            </w:r>
          </w:p>
          <w:p w:rsidR="00555918" w:rsidRPr="00E400E4" w:rsidRDefault="00555918" w:rsidP="000B1771">
            <w:pPr>
              <w:pStyle w:val="TableText"/>
            </w:pPr>
            <w:r w:rsidRPr="00E400E4">
              <w:t>[Cantharellales: Ceratobasidiaceae]</w:t>
            </w:r>
          </w:p>
          <w:p w:rsidR="00555918" w:rsidRPr="00E400E4" w:rsidRDefault="00555918" w:rsidP="000B1771">
            <w:pPr>
              <w:pStyle w:val="TableText"/>
            </w:pPr>
            <w:r w:rsidRPr="00E400E4">
              <w:t>Seed and root rot</w:t>
            </w:r>
          </w:p>
        </w:tc>
        <w:tc>
          <w:tcPr>
            <w:tcW w:w="728" w:type="pct"/>
            <w:shd w:val="clear" w:color="auto" w:fill="auto"/>
          </w:tcPr>
          <w:p w:rsidR="00555918" w:rsidRPr="00E400E4" w:rsidRDefault="00555918" w:rsidP="000B1771">
            <w:pPr>
              <w:pStyle w:val="TableText"/>
            </w:pPr>
            <w:r w:rsidRPr="00E400E4">
              <w:t xml:space="preserve">Yes </w:t>
            </w:r>
            <w:r>
              <w:rPr>
                <w:noProof/>
              </w:rPr>
              <w:t>(SAG 2005b)</w:t>
            </w:r>
          </w:p>
        </w:tc>
        <w:tc>
          <w:tcPr>
            <w:tcW w:w="797" w:type="pct"/>
            <w:shd w:val="clear" w:color="auto" w:fill="auto"/>
          </w:tcPr>
          <w:p w:rsidR="00555918" w:rsidRPr="00E400E4" w:rsidRDefault="00555918" w:rsidP="000B1771">
            <w:pPr>
              <w:pStyle w:val="TableText"/>
            </w:pPr>
            <w:r w:rsidRPr="00E400E4">
              <w:t xml:space="preserve">Yes. ACT, NSW, NT,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Rhizopus stolonifer</w:t>
            </w:r>
            <w:r w:rsidRPr="00E400E4">
              <w:t xml:space="preserve"> (Ehrenb.) Vuill.</w:t>
            </w:r>
          </w:p>
          <w:p w:rsidR="00555918" w:rsidRPr="00E400E4" w:rsidRDefault="00555918" w:rsidP="000B1771">
            <w:pPr>
              <w:pStyle w:val="TableText"/>
            </w:pPr>
            <w:r w:rsidRPr="00E400E4">
              <w:t>[Mucorales: Mucoraceae]</w:t>
            </w:r>
          </w:p>
          <w:p w:rsidR="00555918" w:rsidRPr="00E400E4" w:rsidRDefault="00555918" w:rsidP="000B1771">
            <w:pPr>
              <w:pStyle w:val="TableText"/>
            </w:pPr>
            <w:r w:rsidRPr="00E400E4">
              <w:t>Fruit rot</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NSW, NT, Qld,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Sclerotinia sclerotiorum</w:t>
            </w:r>
            <w:r w:rsidRPr="00E400E4">
              <w:t xml:space="preserve"> (Lib.) de Bary </w:t>
            </w:r>
          </w:p>
          <w:p w:rsidR="00555918" w:rsidRPr="00E400E4" w:rsidRDefault="00555918" w:rsidP="000B1771">
            <w:pPr>
              <w:pStyle w:val="TableText"/>
            </w:pPr>
            <w:r w:rsidRPr="00E400E4">
              <w:t>[Helotiales: Sclerotiniaceae]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ACT, NSW, Qld, SA, Tas., Vic., WA </w:t>
            </w:r>
            <w:r>
              <w:rPr>
                <w:noProof/>
              </w:rPr>
              <w:t>(Hall, McMahon &amp; Wicks 2002; Plant Health Australia 2019)</w:t>
            </w:r>
            <w:r w:rsidRPr="00E400E4">
              <w:t>.</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Trichoderma viride</w:t>
            </w:r>
            <w:r w:rsidRPr="00E400E4">
              <w:t xml:space="preserve"> Pers.</w:t>
            </w:r>
          </w:p>
          <w:p w:rsidR="00555918" w:rsidRPr="00E400E4" w:rsidRDefault="00555918" w:rsidP="000B1771">
            <w:pPr>
              <w:pStyle w:val="TableText"/>
            </w:pPr>
            <w:r w:rsidRPr="00E400E4">
              <w:t>[Hypocreales: Hypocreaceae]</w:t>
            </w:r>
          </w:p>
        </w:tc>
        <w:tc>
          <w:tcPr>
            <w:tcW w:w="728" w:type="pct"/>
            <w:shd w:val="clear" w:color="auto" w:fill="auto"/>
          </w:tcPr>
          <w:p w:rsidR="00555918" w:rsidRPr="00E400E4" w:rsidRDefault="00555918" w:rsidP="000B1771">
            <w:pPr>
              <w:pStyle w:val="TableText"/>
            </w:pPr>
            <w:r w:rsidRPr="00E400E4">
              <w:t xml:space="preserve">Yes </w:t>
            </w:r>
            <w:r>
              <w:rPr>
                <w:noProof/>
              </w:rPr>
              <w:t>(Minter &amp; Peredo López 2019)</w:t>
            </w:r>
          </w:p>
        </w:tc>
        <w:tc>
          <w:tcPr>
            <w:tcW w:w="797" w:type="pct"/>
            <w:shd w:val="clear" w:color="auto" w:fill="auto"/>
          </w:tcPr>
          <w:p w:rsidR="00555918" w:rsidRPr="00E400E4" w:rsidRDefault="00555918" w:rsidP="000B1771">
            <w:pPr>
              <w:pStyle w:val="TableText"/>
            </w:pPr>
            <w:r w:rsidRPr="00E400E4">
              <w:t xml:space="preserve">Yes. ACT, NSW, Qld, SA,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Trichothecium roseum</w:t>
            </w:r>
            <w:r w:rsidRPr="00E400E4">
              <w:t xml:space="preserve"> (Pers.) Link</w:t>
            </w:r>
          </w:p>
          <w:p w:rsidR="00555918" w:rsidRPr="00E400E4" w:rsidRDefault="00555918" w:rsidP="000B1771">
            <w:pPr>
              <w:pStyle w:val="TableText"/>
            </w:pPr>
            <w:r w:rsidRPr="00E400E4">
              <w:t>[Hypocreales: Not assigned]</w:t>
            </w:r>
          </w:p>
          <w:p w:rsidR="00555918" w:rsidRPr="00E400E4" w:rsidRDefault="00555918" w:rsidP="000B1771">
            <w:pPr>
              <w:pStyle w:val="TableText"/>
            </w:pPr>
            <w:r w:rsidRPr="00E400E4">
              <w:t>Fruit rot</w:t>
            </w:r>
          </w:p>
        </w:tc>
        <w:tc>
          <w:tcPr>
            <w:tcW w:w="728" w:type="pct"/>
            <w:shd w:val="clear" w:color="auto" w:fill="auto"/>
          </w:tcPr>
          <w:p w:rsidR="00555918" w:rsidRPr="00E400E4" w:rsidRDefault="00555918" w:rsidP="000B1771">
            <w:pPr>
              <w:pStyle w:val="TableText"/>
            </w:pPr>
            <w:r w:rsidRPr="00E400E4">
              <w:t xml:space="preserve">Yes </w:t>
            </w:r>
            <w:r>
              <w:rPr>
                <w:noProof/>
              </w:rPr>
              <w:t>(Farr &amp; Rossman 2019; Minter &amp; Peredo López 2019)</w:t>
            </w:r>
          </w:p>
        </w:tc>
        <w:tc>
          <w:tcPr>
            <w:tcW w:w="797" w:type="pct"/>
            <w:shd w:val="clear" w:color="auto" w:fill="auto"/>
          </w:tcPr>
          <w:p w:rsidR="00555918" w:rsidRPr="00E400E4" w:rsidRDefault="00555918" w:rsidP="000B1771">
            <w:pPr>
              <w:pStyle w:val="TableText"/>
            </w:pPr>
            <w:r w:rsidRPr="00E400E4">
              <w:t xml:space="preserve">Yes. ACT, NSW, Qld,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lastRenderedPageBreak/>
              <w:t>Verticillium albo-atrum</w:t>
            </w:r>
            <w:r w:rsidRPr="00E400E4">
              <w:t xml:space="preserve"> Reinke &amp; Berthold</w:t>
            </w:r>
          </w:p>
          <w:p w:rsidR="00555918" w:rsidRPr="00E400E4" w:rsidRDefault="00555918" w:rsidP="000B1771">
            <w:pPr>
              <w:pStyle w:val="TableText"/>
            </w:pPr>
            <w:r w:rsidRPr="00E400E4">
              <w:t>[Glomerellales: Plectosphaerellaceae]</w:t>
            </w:r>
          </w:p>
        </w:tc>
        <w:tc>
          <w:tcPr>
            <w:tcW w:w="728" w:type="pct"/>
            <w:shd w:val="clear" w:color="auto" w:fill="auto"/>
          </w:tcPr>
          <w:p w:rsidR="00555918" w:rsidRPr="00E400E4" w:rsidRDefault="00555918" w:rsidP="000B1771">
            <w:pPr>
              <w:pStyle w:val="TableText"/>
            </w:pPr>
            <w:r w:rsidRPr="00E400E4">
              <w:t xml:space="preserve">Yes </w:t>
            </w:r>
            <w:r>
              <w:rPr>
                <w:noProof/>
              </w:rPr>
              <w:t>(SAG 2005b)</w:t>
            </w:r>
          </w:p>
        </w:tc>
        <w:tc>
          <w:tcPr>
            <w:tcW w:w="797" w:type="pct"/>
            <w:shd w:val="clear" w:color="auto" w:fill="auto"/>
          </w:tcPr>
          <w:p w:rsidR="00555918" w:rsidRPr="00E400E4" w:rsidRDefault="00555918" w:rsidP="000B1771">
            <w:pPr>
              <w:pStyle w:val="TableText"/>
            </w:pPr>
            <w:r w:rsidRPr="00E400E4">
              <w:t xml:space="preserve">Yes. Qld, SA, Tas., Vic. </w:t>
            </w:r>
            <w:r>
              <w:rPr>
                <w:noProof/>
              </w:rPr>
              <w:t>(Plant Health Australia 2019)</w:t>
            </w:r>
            <w:r w:rsidRPr="00E400E4" w:rsidDel="00FC145D">
              <w:t xml:space="preserve"> </w:t>
            </w:r>
            <w:r w:rsidRPr="00E400E4">
              <w:t xml:space="preserve">Records of this pest in WA on </w:t>
            </w:r>
            <w:r w:rsidRPr="00E400E4">
              <w:rPr>
                <w:i/>
              </w:rPr>
              <w:t>Lycopersicon esculentum</w:t>
            </w:r>
            <w:r w:rsidRPr="00E400E4">
              <w:t xml:space="preserve"> and </w:t>
            </w:r>
            <w:r w:rsidRPr="00E400E4">
              <w:rPr>
                <w:i/>
              </w:rPr>
              <w:t>Solanum tuberosum</w:t>
            </w:r>
            <w:r w:rsidRPr="00E400E4">
              <w:t xml:space="preserve"> are doubtful </w:t>
            </w:r>
            <w:r>
              <w:rPr>
                <w:noProof/>
              </w:rPr>
              <w:t>(Shivas 1989)</w:t>
            </w:r>
            <w:r w:rsidRPr="00E400E4">
              <w:t xml:space="preserve">. Regulated as a Declared Organism (Prohibited (s. 12)) by WA under the </w:t>
            </w:r>
            <w:r w:rsidRPr="00E400E4">
              <w:rPr>
                <w:i/>
              </w:rPr>
              <w:t>Biosecurity and Agriculture Management Act 2007</w:t>
            </w:r>
            <w:r w:rsidRPr="00E400E4">
              <w:t xml:space="preserve"> </w:t>
            </w:r>
            <w:r>
              <w:rPr>
                <w:noProof/>
              </w:rPr>
              <w:t>(Government of Western Australia 2019)</w:t>
            </w:r>
            <w:r w:rsidRPr="00E400E4">
              <w:t>. However, routine visual inspection is not an adequate measure to detect this pest in host material, and specific measures are not required for this pest for the movement of fruit or planting material of numerous hosts into WA from other Australian states/territories where this pest is present.</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Verticillium dahliae</w:t>
            </w:r>
            <w:r w:rsidRPr="00E400E4">
              <w:t xml:space="preserve"> Kleb.</w:t>
            </w:r>
          </w:p>
          <w:p w:rsidR="00555918" w:rsidRPr="00E400E4" w:rsidRDefault="00555918" w:rsidP="000B1771">
            <w:pPr>
              <w:pStyle w:val="TableText"/>
            </w:pPr>
            <w:r w:rsidRPr="00E400E4">
              <w:t>[Glomerellales: Plectosphaerellaceae]</w:t>
            </w:r>
          </w:p>
        </w:tc>
        <w:tc>
          <w:tcPr>
            <w:tcW w:w="728" w:type="pct"/>
            <w:shd w:val="clear" w:color="auto" w:fill="auto"/>
          </w:tcPr>
          <w:p w:rsidR="00555918" w:rsidRPr="00E400E4" w:rsidRDefault="00555918" w:rsidP="000B1771">
            <w:pPr>
              <w:pStyle w:val="TableText"/>
            </w:pPr>
            <w:r w:rsidRPr="00E400E4">
              <w:t xml:space="preserve">Yes </w:t>
            </w:r>
            <w:r>
              <w:rPr>
                <w:noProof/>
              </w:rPr>
              <w:t>(Menge &amp; Ploetz 2003; SAG 2005b)</w:t>
            </w:r>
          </w:p>
        </w:tc>
        <w:tc>
          <w:tcPr>
            <w:tcW w:w="797" w:type="pct"/>
            <w:shd w:val="clear" w:color="auto" w:fill="auto"/>
          </w:tcPr>
          <w:p w:rsidR="00555918" w:rsidRPr="00E400E4" w:rsidRDefault="00555918" w:rsidP="000B1771">
            <w:pPr>
              <w:pStyle w:val="TableText"/>
            </w:pPr>
            <w:r w:rsidRPr="00E400E4">
              <w:t xml:space="preserve">Yes. ACT, NSW, Qld, SA, Tas., Vic., WA </w:t>
            </w:r>
            <w:r>
              <w:rPr>
                <w:noProof/>
              </w:rPr>
              <w:t>(Plant Health Australia 2019)</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trPr>
          <w:cantSplit/>
          <w:jc w:val="center"/>
        </w:trPr>
        <w:tc>
          <w:tcPr>
            <w:tcW w:w="5000" w:type="pct"/>
            <w:gridSpan w:val="7"/>
            <w:shd w:val="clear" w:color="auto" w:fill="auto"/>
          </w:tcPr>
          <w:p w:rsidR="00555918" w:rsidRPr="00E400E4" w:rsidRDefault="00555918" w:rsidP="000B1771">
            <w:pPr>
              <w:pStyle w:val="TableText"/>
              <w:keepNext/>
              <w:rPr>
                <w:b/>
              </w:rPr>
            </w:pPr>
            <w:r w:rsidRPr="00E400E4">
              <w:rPr>
                <w:b/>
              </w:rPr>
              <w:lastRenderedPageBreak/>
              <w:t>VIROIDS</w:t>
            </w:r>
          </w:p>
        </w:tc>
      </w:tr>
      <w:tr w:rsidR="00555918" w:rsidRPr="00E400E4" w:rsidTr="000B1771">
        <w:trPr>
          <w:cantSplit/>
          <w:jc w:val="center"/>
        </w:trPr>
        <w:tc>
          <w:tcPr>
            <w:tcW w:w="842" w:type="pct"/>
            <w:shd w:val="clear" w:color="auto" w:fill="auto"/>
          </w:tcPr>
          <w:p w:rsidR="00555918" w:rsidRPr="00E400E4" w:rsidRDefault="00555918" w:rsidP="000B1771">
            <w:pPr>
              <w:pStyle w:val="TableText"/>
            </w:pPr>
            <w:r w:rsidRPr="00E400E4">
              <w:rPr>
                <w:i/>
              </w:rPr>
              <w:t xml:space="preserve">Avocado sunblotch viroid </w:t>
            </w:r>
          </w:p>
          <w:p w:rsidR="00555918" w:rsidRPr="00E400E4" w:rsidRDefault="00555918" w:rsidP="000B1771">
            <w:pPr>
              <w:pStyle w:val="TableText"/>
            </w:pPr>
            <w:r w:rsidRPr="00E400E4">
              <w:t>(ASBVd)</w:t>
            </w:r>
          </w:p>
          <w:p w:rsidR="00555918" w:rsidRPr="00E400E4" w:rsidRDefault="00555918" w:rsidP="000B1771">
            <w:pPr>
              <w:pStyle w:val="TableText"/>
            </w:pPr>
            <w:r w:rsidRPr="00E400E4">
              <w:t>[Avsunviroidae: Avsunviroid]</w:t>
            </w:r>
          </w:p>
        </w:tc>
        <w:tc>
          <w:tcPr>
            <w:tcW w:w="728" w:type="pct"/>
            <w:shd w:val="clear" w:color="auto" w:fill="auto"/>
          </w:tcPr>
          <w:p w:rsidR="00555918" w:rsidRPr="00E400E4" w:rsidRDefault="00555918" w:rsidP="000B1771">
            <w:pPr>
              <w:pStyle w:val="TableText"/>
            </w:pPr>
            <w:r w:rsidRPr="00E400E4">
              <w:t xml:space="preserve">Yes </w:t>
            </w:r>
            <w:r>
              <w:rPr>
                <w:noProof/>
              </w:rPr>
              <w:t>(Ramella et al. 2006)</w:t>
            </w:r>
            <w:r w:rsidRPr="00E400E4">
              <w:t xml:space="preserve">. However, apart from the conference abstract by Ramella </w:t>
            </w:r>
            <w:r>
              <w:rPr>
                <w:noProof/>
              </w:rPr>
              <w:t>(2006)</w:t>
            </w:r>
            <w:r w:rsidRPr="00E400E4">
              <w:t xml:space="preserve"> no other evidence of this viroid in Chile could be found. Chile has regulations in place to prohibit the use for propagation of seeds from avocado fruit imported for human consumption from countries where ASBVd is present </w:t>
            </w:r>
            <w:r>
              <w:rPr>
                <w:noProof/>
              </w:rPr>
              <w:t>(SAG 2013)</w:t>
            </w:r>
            <w:r w:rsidRPr="00E400E4">
              <w:t xml:space="preserve">. </w:t>
            </w:r>
          </w:p>
        </w:tc>
        <w:tc>
          <w:tcPr>
            <w:tcW w:w="797" w:type="pct"/>
            <w:shd w:val="clear" w:color="auto" w:fill="auto"/>
          </w:tcPr>
          <w:p w:rsidR="00555918" w:rsidRPr="00E400E4" w:rsidRDefault="00555918" w:rsidP="000B1771">
            <w:pPr>
              <w:pStyle w:val="TableText"/>
            </w:pPr>
            <w:r w:rsidRPr="00E400E4">
              <w:t xml:space="preserve">Yes. Recorded only from some areas of NSW, NT, Qld and Vic., and considered very rare </w:t>
            </w:r>
            <w:r>
              <w:rPr>
                <w:noProof/>
              </w:rPr>
              <w:t>(Geering &amp; Steele 2009; Geering 2018)</w:t>
            </w:r>
            <w:r w:rsidRPr="00E400E4">
              <w:t xml:space="preserve">. A clean planting material scheme for avocados has been established in Australia since 1978, ensuring planting material is free from diseases </w:t>
            </w:r>
            <w:r>
              <w:rPr>
                <w:noProof/>
              </w:rPr>
              <w:t>(Geering 2018)</w:t>
            </w:r>
            <w:r w:rsidRPr="00E400E4">
              <w:t>.</w:t>
            </w:r>
          </w:p>
          <w:p w:rsidR="00555918" w:rsidRPr="00E400E4" w:rsidRDefault="00555918" w:rsidP="00A77B21">
            <w:pPr>
              <w:pStyle w:val="TableText"/>
            </w:pPr>
            <w:r w:rsidRPr="00E400E4">
              <w:t xml:space="preserve">Regulated as a Declared Organism (Prohibited (s. 12)) by WA under the </w:t>
            </w:r>
            <w:r w:rsidRPr="00E400E4">
              <w:rPr>
                <w:i/>
              </w:rPr>
              <w:t>Biosecurity and Agriculture Management Act 2007</w:t>
            </w:r>
            <w:r w:rsidRPr="00E400E4">
              <w:t xml:space="preserve"> </w:t>
            </w:r>
            <w:r>
              <w:rPr>
                <w:noProof/>
              </w:rPr>
              <w:t>(Government of Western Australia 2019)</w:t>
            </w:r>
            <w:r w:rsidRPr="00E400E4">
              <w:t>. However, routine visual inspection is not an adequate measure to detect this viroid in host material, and specific measures are not required for this viroid for the movement of avocado fruit into WA from other Australian states/territories where this viroid is present.</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r w:rsidR="00555918" w:rsidRPr="00E400E4" w:rsidTr="000B1771">
        <w:trPr>
          <w:cantSplit/>
          <w:jc w:val="center"/>
        </w:trPr>
        <w:tc>
          <w:tcPr>
            <w:tcW w:w="842" w:type="pct"/>
            <w:shd w:val="clear" w:color="auto" w:fill="auto"/>
          </w:tcPr>
          <w:p w:rsidR="00555918" w:rsidRPr="00E400E4" w:rsidRDefault="00555918" w:rsidP="000B1771">
            <w:pPr>
              <w:pStyle w:val="TableText"/>
              <w:rPr>
                <w:lang w:val="pt-BR"/>
              </w:rPr>
            </w:pPr>
            <w:r w:rsidRPr="00E400E4">
              <w:rPr>
                <w:i/>
                <w:lang w:val="pt-BR"/>
              </w:rPr>
              <w:lastRenderedPageBreak/>
              <w:t>Potato spindle tuber viroid</w:t>
            </w:r>
            <w:r w:rsidRPr="00E400E4">
              <w:rPr>
                <w:lang w:val="pt-BR"/>
              </w:rPr>
              <w:t xml:space="preserve"> (PSTVd)</w:t>
            </w:r>
          </w:p>
          <w:p w:rsidR="00555918" w:rsidRPr="00E400E4" w:rsidRDefault="00555918" w:rsidP="000B1771">
            <w:pPr>
              <w:pStyle w:val="TableText"/>
              <w:rPr>
                <w:lang w:val="pt-BR"/>
              </w:rPr>
            </w:pPr>
            <w:r w:rsidRPr="00E400E4">
              <w:rPr>
                <w:lang w:val="pt-BR"/>
              </w:rPr>
              <w:t>[Pospiviroidae: Pospiviroid]</w:t>
            </w:r>
          </w:p>
        </w:tc>
        <w:tc>
          <w:tcPr>
            <w:tcW w:w="728" w:type="pct"/>
            <w:shd w:val="clear" w:color="auto" w:fill="auto"/>
          </w:tcPr>
          <w:p w:rsidR="00555918" w:rsidRPr="00E400E4" w:rsidRDefault="00555918" w:rsidP="000B1771">
            <w:pPr>
              <w:pStyle w:val="TableText"/>
            </w:pPr>
            <w:r w:rsidRPr="00E400E4">
              <w:t xml:space="preserve">No. A previous report of PSTVd in Chile </w:t>
            </w:r>
            <w:r>
              <w:rPr>
                <w:noProof/>
              </w:rPr>
              <w:t>(Shamloul et al. 1997)</w:t>
            </w:r>
            <w:r w:rsidRPr="00E400E4">
              <w:t xml:space="preserve"> is considered invalid </w:t>
            </w:r>
            <w:r>
              <w:rPr>
                <w:noProof/>
              </w:rPr>
              <w:t>(CABI 2019a; EPPO 2019)</w:t>
            </w:r>
          </w:p>
        </w:tc>
        <w:tc>
          <w:tcPr>
            <w:tcW w:w="797" w:type="pct"/>
            <w:shd w:val="clear" w:color="auto" w:fill="auto"/>
          </w:tcPr>
          <w:p w:rsidR="00555918" w:rsidRPr="00E400E4" w:rsidRDefault="00555918" w:rsidP="000B1771">
            <w:pPr>
              <w:pStyle w:val="TableText"/>
            </w:pPr>
            <w:r w:rsidRPr="00E400E4">
              <w:t>Assessment not required</w:t>
            </w:r>
          </w:p>
        </w:tc>
        <w:tc>
          <w:tcPr>
            <w:tcW w:w="789" w:type="pct"/>
            <w:shd w:val="clear" w:color="auto" w:fill="auto"/>
          </w:tcPr>
          <w:p w:rsidR="00555918" w:rsidRPr="00E400E4" w:rsidRDefault="00555918" w:rsidP="000B1771">
            <w:pPr>
              <w:pStyle w:val="TableText"/>
            </w:pPr>
            <w:r w:rsidRPr="00E400E4">
              <w:t>Assessment not required</w:t>
            </w:r>
          </w:p>
        </w:tc>
        <w:tc>
          <w:tcPr>
            <w:tcW w:w="684" w:type="pct"/>
            <w:shd w:val="clear" w:color="auto" w:fill="auto"/>
          </w:tcPr>
          <w:p w:rsidR="00555918" w:rsidRPr="00E400E4" w:rsidRDefault="00555918" w:rsidP="000B1771">
            <w:pPr>
              <w:pStyle w:val="TableText"/>
            </w:pPr>
            <w:r w:rsidRPr="00E400E4">
              <w:t>Assessment not required</w:t>
            </w:r>
          </w:p>
        </w:tc>
        <w:tc>
          <w:tcPr>
            <w:tcW w:w="726" w:type="pct"/>
            <w:shd w:val="clear" w:color="auto" w:fill="auto"/>
          </w:tcPr>
          <w:p w:rsidR="00555918" w:rsidRPr="00E400E4" w:rsidRDefault="00555918" w:rsidP="000B1771">
            <w:pPr>
              <w:pStyle w:val="TableText"/>
            </w:pPr>
            <w:r w:rsidRPr="00E400E4">
              <w:t>Assessment not required</w:t>
            </w:r>
          </w:p>
        </w:tc>
        <w:tc>
          <w:tcPr>
            <w:tcW w:w="436" w:type="pct"/>
            <w:shd w:val="clear" w:color="auto" w:fill="auto"/>
          </w:tcPr>
          <w:p w:rsidR="00555918" w:rsidRPr="00E400E4" w:rsidRDefault="00555918" w:rsidP="000B1771">
            <w:pPr>
              <w:pStyle w:val="TableText"/>
            </w:pPr>
            <w:r w:rsidRPr="00E400E4">
              <w:t>No</w:t>
            </w:r>
          </w:p>
        </w:tc>
      </w:tr>
    </w:tbl>
    <w:p w:rsidR="00555918" w:rsidRPr="00E400E4" w:rsidRDefault="00555918" w:rsidP="000B1771">
      <w:pPr>
        <w:sectPr w:rsidR="00555918" w:rsidRPr="00E400E4" w:rsidSect="000B1771">
          <w:headerReference w:type="default" r:id="rId70"/>
          <w:footerReference w:type="default" r:id="rId71"/>
          <w:pgSz w:w="16838" w:h="11906" w:orient="landscape"/>
          <w:pgMar w:top="1418" w:right="1418" w:bottom="1418" w:left="1418" w:header="567" w:footer="284" w:gutter="0"/>
          <w:cols w:space="708"/>
          <w:docGrid w:linePitch="360"/>
        </w:sectPr>
      </w:pPr>
    </w:p>
    <w:p w:rsidR="00555918" w:rsidRPr="00E400E4" w:rsidRDefault="00555918" w:rsidP="000B1771">
      <w:pPr>
        <w:pStyle w:val="Heading2"/>
        <w:numPr>
          <w:ilvl w:val="0"/>
          <w:numId w:val="0"/>
        </w:numPr>
        <w:ind w:left="794" w:hanging="794"/>
      </w:pPr>
      <w:bookmarkStart w:id="143" w:name="_Toc20392259"/>
      <w:r w:rsidRPr="00E400E4">
        <w:lastRenderedPageBreak/>
        <w:t>Appendix B: Issues raised in stakeholder comments</w:t>
      </w:r>
      <w:bookmarkEnd w:id="143"/>
    </w:p>
    <w:p w:rsidR="00555918" w:rsidRPr="00E400E4" w:rsidRDefault="00555918" w:rsidP="000B1771">
      <w:r w:rsidRPr="00E400E4">
        <w:t>This section includes key technical issues raised by stakeholders during consultation on the draft report, and the department’s responses. Additional information on other issues commonly raised by stakeholders, which may be outside the scope of this technical report, is available on the department’s website.</w:t>
      </w:r>
    </w:p>
    <w:p w:rsidR="00555918" w:rsidRPr="00E400E4" w:rsidRDefault="00555918" w:rsidP="000B1771">
      <w:pPr>
        <w:keepNext/>
        <w:rPr>
          <w:b/>
        </w:rPr>
      </w:pPr>
      <w:r w:rsidRPr="00E400E4">
        <w:rPr>
          <w:b/>
        </w:rPr>
        <w:t xml:space="preserve">Issue 1: Methodology for the assessment of pests potentially associated with the pathway. </w:t>
      </w:r>
    </w:p>
    <w:p w:rsidR="00555918" w:rsidRPr="00E400E4" w:rsidRDefault="00555918" w:rsidP="000B1771">
      <w:r w:rsidRPr="00E400E4">
        <w:t xml:space="preserve">Response: The department has conducted this risk analysis, including the pest categorisation process, in accordance with the International Standards for Phytosanitary Measures (ISPMs), including ISPM 2: </w:t>
      </w:r>
      <w:r w:rsidRPr="00E400E4">
        <w:rPr>
          <w:i/>
        </w:rPr>
        <w:t>Framework for pest risk analysis</w:t>
      </w:r>
      <w:r w:rsidRPr="00E400E4">
        <w:t xml:space="preserve"> </w:t>
      </w:r>
      <w:r>
        <w:rPr>
          <w:noProof/>
        </w:rPr>
        <w:t>(FAO 2019a)</w:t>
      </w:r>
      <w:r w:rsidRPr="00E400E4">
        <w:t xml:space="preserve"> and ISPM 11: </w:t>
      </w:r>
      <w:r w:rsidRPr="00E400E4">
        <w:rPr>
          <w:i/>
        </w:rPr>
        <w:t xml:space="preserve">Pest risk analysis for quarantine pests </w:t>
      </w:r>
      <w:r>
        <w:rPr>
          <w:noProof/>
        </w:rPr>
        <w:t>(FAO 2019c)</w:t>
      </w:r>
      <w:r w:rsidRPr="00E400E4">
        <w:t>. As stated in Section 2.1 of ISPM 11, 'The categorization process examines for each pest whether the criteria in the definition for a quarantine pest are satisfied' and 'The opportunity to eliminate an organism or organisms from consideration before in-depth examination is undertaken is a valuable characteristic of the categorization process.'</w:t>
      </w:r>
    </w:p>
    <w:p w:rsidR="00555918" w:rsidRPr="00E400E4" w:rsidRDefault="00555918" w:rsidP="000B1771">
      <w:r w:rsidRPr="00E400E4">
        <w:t xml:space="preserve">Pests of concern that are not specifically associated with the imported commodity (in this case commercially produced avocado fruit from Chile), such as arthropod pests which do not feed on or complete parts of their life cycle on the fruit, may occasionally arrive via the fruit pathway. These pests are considered contaminating pests (see ‘Section 1.2.4 Contaminating pests’ of the report). The risks posed by contaminating pests/organisms are identified and addressed using existing operational procedures that require inspection of all consignments using random samples of 600 units, or equivalent procedures. The department will investigate whether any pest identified through these processes may be of biosecurity concern to Australia, and thus may require remedial action. </w:t>
      </w:r>
    </w:p>
    <w:p w:rsidR="00555918" w:rsidRPr="00E400E4" w:rsidRDefault="00555918" w:rsidP="000B1771">
      <w:r w:rsidRPr="00E400E4">
        <w:t>Further information on processes in place for interceptions of uncategorised pests and pests that were categorised as not likely to be on the import pathway is provided in ‘Section 5.3 Uncategorised pests’ of the report.</w:t>
      </w:r>
    </w:p>
    <w:p w:rsidR="00555918" w:rsidRPr="00E400E4" w:rsidRDefault="00555918" w:rsidP="000B1771">
      <w:pPr>
        <w:keepNext/>
        <w:rPr>
          <w:b/>
        </w:rPr>
      </w:pPr>
      <w:r w:rsidRPr="00E400E4">
        <w:rPr>
          <w:b/>
        </w:rPr>
        <w:t xml:space="preserve">Issue 2: Status of </w:t>
      </w:r>
      <w:r w:rsidRPr="00E400E4">
        <w:rPr>
          <w:b/>
          <w:i/>
        </w:rPr>
        <w:t>Pseudococcus maritimus</w:t>
      </w:r>
      <w:r w:rsidRPr="00E400E4">
        <w:rPr>
          <w:b/>
        </w:rPr>
        <w:t xml:space="preserve"> and </w:t>
      </w:r>
      <w:r w:rsidRPr="00E400E4">
        <w:rPr>
          <w:b/>
          <w:i/>
        </w:rPr>
        <w:t>Oligonychus punicae</w:t>
      </w:r>
      <w:r w:rsidRPr="00E400E4">
        <w:rPr>
          <w:b/>
        </w:rPr>
        <w:t xml:space="preserve"> in Chile.</w:t>
      </w:r>
    </w:p>
    <w:p w:rsidR="00555918" w:rsidRPr="00E400E4" w:rsidRDefault="00555918" w:rsidP="000B1771">
      <w:r w:rsidRPr="00E400E4">
        <w:t xml:space="preserve">The department has reviewed further the claim that </w:t>
      </w:r>
      <w:r w:rsidRPr="00E400E4">
        <w:rPr>
          <w:i/>
        </w:rPr>
        <w:t>Pseudococcus maritimus</w:t>
      </w:r>
      <w:r w:rsidRPr="00E400E4">
        <w:t xml:space="preserve"> and </w:t>
      </w:r>
      <w:r w:rsidRPr="00E400E4">
        <w:rPr>
          <w:i/>
        </w:rPr>
        <w:t>Oligonychus punicae</w:t>
      </w:r>
      <w:r w:rsidRPr="00E400E4">
        <w:t xml:space="preserve"> are not present in Chile, and therefore do not require risk management measures.</w:t>
      </w:r>
    </w:p>
    <w:p w:rsidR="00555918" w:rsidRPr="00E400E4" w:rsidRDefault="00555918" w:rsidP="000B1771">
      <w:r w:rsidRPr="00E400E4">
        <w:t xml:space="preserve">Response: The department re-examined the available evidence relating to the presence of </w:t>
      </w:r>
      <w:r w:rsidRPr="00E400E4">
        <w:rPr>
          <w:i/>
        </w:rPr>
        <w:t>Pseudococcus maritimus</w:t>
      </w:r>
      <w:r w:rsidRPr="00E400E4">
        <w:t xml:space="preserve"> and </w:t>
      </w:r>
      <w:r w:rsidRPr="00E400E4">
        <w:rPr>
          <w:i/>
        </w:rPr>
        <w:t>Oligonychus punicae</w:t>
      </w:r>
      <w:r w:rsidRPr="00E400E4">
        <w:t xml:space="preserve"> in Chile </w:t>
      </w:r>
      <w:r>
        <w:rPr>
          <w:noProof/>
        </w:rPr>
        <w:t>(Flechtmann 1996; García Morales et al. 2019; Gimpel &amp; Miller 1996; Klein Koch &amp; Waterhouse 2000; Quiros Manterola 1998)</w:t>
      </w:r>
      <w:r w:rsidRPr="00E400E4">
        <w:t xml:space="preserve">. There are numerous reports in the literature of </w:t>
      </w:r>
      <w:r w:rsidRPr="00E400E4">
        <w:rPr>
          <w:i/>
        </w:rPr>
        <w:t>Pseudococcus maritimus</w:t>
      </w:r>
      <w:r w:rsidRPr="00E400E4">
        <w:t xml:space="preserve"> and </w:t>
      </w:r>
      <w:r w:rsidRPr="00E400E4">
        <w:rPr>
          <w:i/>
        </w:rPr>
        <w:t>Oligonychus punicae</w:t>
      </w:r>
      <w:r w:rsidRPr="00E400E4">
        <w:t xml:space="preserve"> in Chile. No evidence was received to support the assertion that the reporting of these two pests in the references cited in the draft report was erroneous. The department maintains the status of these pests in the final report. </w:t>
      </w:r>
    </w:p>
    <w:p w:rsidR="00555918" w:rsidRPr="00E400E4" w:rsidRDefault="00555918" w:rsidP="000B1771">
      <w:r w:rsidRPr="00E400E4">
        <w:t xml:space="preserve">However, additional text has been added in ‘Section 4.3 Grape mealybug’ of the report to acknowledge contradictory evidence and uncertainty about the presence of </w:t>
      </w:r>
      <w:r w:rsidRPr="00E400E4">
        <w:rPr>
          <w:i/>
        </w:rPr>
        <w:t>P. maritimus</w:t>
      </w:r>
      <w:r w:rsidRPr="00E400E4">
        <w:t xml:space="preserve"> in Chile. Also, ‘Section 4.5.1 Likelihood of entry’ of the report notes that there is a lack of evidence of economic damage caused by </w:t>
      </w:r>
      <w:r w:rsidRPr="00E400E4">
        <w:rPr>
          <w:i/>
        </w:rPr>
        <w:t xml:space="preserve">O. punicae </w:t>
      </w:r>
      <w:r w:rsidRPr="00E400E4">
        <w:t>in Chile. H</w:t>
      </w:r>
      <w:r>
        <w:t>owever,</w:t>
      </w:r>
      <w:r w:rsidRPr="00E400E4">
        <w:t xml:space="preserve"> </w:t>
      </w:r>
      <w:r w:rsidRPr="00E400E4">
        <w:rPr>
          <w:i/>
        </w:rPr>
        <w:t xml:space="preserve">O. punicae </w:t>
      </w:r>
      <w:r w:rsidRPr="00E400E4">
        <w:t xml:space="preserve">has been reported in the literature on avocado in Chile </w:t>
      </w:r>
      <w:r>
        <w:rPr>
          <w:noProof/>
        </w:rPr>
        <w:t>(Flechtmann 1996)</w:t>
      </w:r>
      <w:r w:rsidRPr="00E400E4">
        <w:t xml:space="preserve">, and for these reasons, the department considers these pests to be present in Chile and requiring further assessment. </w:t>
      </w:r>
    </w:p>
    <w:p w:rsidR="00555918" w:rsidRPr="00E400E4" w:rsidRDefault="00555918" w:rsidP="000B1771">
      <w:r w:rsidRPr="00E400E4">
        <w:lastRenderedPageBreak/>
        <w:t xml:space="preserve">If new information becomes available to support the claims that </w:t>
      </w:r>
      <w:r w:rsidRPr="00E400E4">
        <w:rPr>
          <w:i/>
        </w:rPr>
        <w:t>Pseudococcus maritimus</w:t>
      </w:r>
      <w:r w:rsidRPr="00E400E4">
        <w:t xml:space="preserve"> and/or </w:t>
      </w:r>
      <w:r w:rsidRPr="00E400E4">
        <w:rPr>
          <w:i/>
        </w:rPr>
        <w:t>Oligonychus punicae</w:t>
      </w:r>
      <w:r w:rsidRPr="00E400E4">
        <w:t xml:space="preserve"> are not present in Chile, the department will consider this information and may review the assessments of these two pests.</w:t>
      </w:r>
    </w:p>
    <w:p w:rsidR="00555918" w:rsidRPr="00E400E4" w:rsidRDefault="00555918" w:rsidP="000B1771">
      <w:pPr>
        <w:keepNext/>
        <w:rPr>
          <w:b/>
        </w:rPr>
      </w:pPr>
      <w:r w:rsidRPr="00E400E4">
        <w:rPr>
          <w:b/>
        </w:rPr>
        <w:t xml:space="preserve">Issue 3: Host status of Hass avocado for </w:t>
      </w:r>
      <w:r w:rsidRPr="00E400E4">
        <w:rPr>
          <w:b/>
          <w:i/>
        </w:rPr>
        <w:t>Ceratitis capitata</w:t>
      </w:r>
      <w:r w:rsidRPr="00E400E4">
        <w:rPr>
          <w:b/>
        </w:rPr>
        <w:t>.</w:t>
      </w:r>
    </w:p>
    <w:p w:rsidR="00555918" w:rsidRPr="00E400E4" w:rsidRDefault="00555918" w:rsidP="000B1771">
      <w:r w:rsidRPr="00E400E4">
        <w:t xml:space="preserve">Response: The department recognises that hard mature Hass avocado fruit is not a host of </w:t>
      </w:r>
      <w:r w:rsidRPr="00E400E4">
        <w:rPr>
          <w:i/>
        </w:rPr>
        <w:t>Ceratitis capitata</w:t>
      </w:r>
      <w:r w:rsidRPr="00E400E4">
        <w:t xml:space="preserve"> as a number of studies have shown that </w:t>
      </w:r>
      <w:r w:rsidRPr="00E400E4">
        <w:rPr>
          <w:i/>
        </w:rPr>
        <w:t>C. capitata</w:t>
      </w:r>
      <w:r w:rsidRPr="00E400E4">
        <w:t xml:space="preserve"> is not able to infest hard mature Hass avocado fruit </w:t>
      </w:r>
      <w:r>
        <w:rPr>
          <w:noProof/>
        </w:rPr>
        <w:t>(De Lima 1995; Liquido et al. 2011)</w:t>
      </w:r>
      <w:r w:rsidRPr="00E400E4">
        <w:t xml:space="preserve">. Therefore, the hard condition of Hass avocado fruit is considered an appropriate measure option for the management of </w:t>
      </w:r>
      <w:r w:rsidRPr="00E400E4">
        <w:rPr>
          <w:i/>
        </w:rPr>
        <w:t>C. capitata</w:t>
      </w:r>
      <w:r w:rsidRPr="00E400E4">
        <w:t xml:space="preserve"> (see ‘Section 5.1.4 </w:t>
      </w:r>
      <w:r w:rsidRPr="00E400E4">
        <w:rPr>
          <w:i/>
        </w:rPr>
        <w:t>Recommended measure 3: Hard condition of fruit for the Hass cultivar only</w:t>
      </w:r>
      <w:r w:rsidRPr="00E400E4">
        <w:t xml:space="preserve">’). Under this measure, Hass fruit must be harvested from trees while in the hard condition and be stored in secure conditions after harvest. These safeguarding measures are considered necessary as overripe avocado fruit, including Hass fruit, has been known to be able to become infested with </w:t>
      </w:r>
      <w:r w:rsidRPr="00E400E4">
        <w:rPr>
          <w:i/>
        </w:rPr>
        <w:t>C. capitata</w:t>
      </w:r>
      <w:r w:rsidRPr="00E400E4">
        <w:t xml:space="preserve"> </w:t>
      </w:r>
      <w:r>
        <w:rPr>
          <w:noProof/>
        </w:rPr>
        <w:t>(De Lima 1995; Hancock et al. 2000)</w:t>
      </w:r>
      <w:r w:rsidRPr="00E400E4">
        <w:t xml:space="preserve">. </w:t>
      </w:r>
    </w:p>
    <w:p w:rsidR="00555918" w:rsidRPr="00E400E4" w:rsidRDefault="00555918" w:rsidP="000B1771">
      <w:pPr>
        <w:keepNext/>
        <w:rPr>
          <w:b/>
        </w:rPr>
      </w:pPr>
      <w:r w:rsidRPr="00E400E4">
        <w:rPr>
          <w:b/>
        </w:rPr>
        <w:t xml:space="preserve">Issue 4: Brown marmorated stinkbug (BMSB, </w:t>
      </w:r>
      <w:r w:rsidRPr="00E400E4">
        <w:rPr>
          <w:b/>
          <w:i/>
        </w:rPr>
        <w:t>Halyomorpha halys</w:t>
      </w:r>
      <w:r w:rsidRPr="00E400E4">
        <w:rPr>
          <w:b/>
        </w:rPr>
        <w:t>)</w:t>
      </w:r>
      <w:r w:rsidR="00330A3B">
        <w:rPr>
          <w:b/>
        </w:rPr>
        <w:t>.</w:t>
      </w:r>
    </w:p>
    <w:p w:rsidR="00555918" w:rsidRPr="00E400E4" w:rsidRDefault="00555918" w:rsidP="000B1771">
      <w:r w:rsidRPr="00E400E4">
        <w:t xml:space="preserve">The </w:t>
      </w:r>
      <w:r>
        <w:t>d</w:t>
      </w:r>
      <w:r w:rsidRPr="00E400E4">
        <w:t xml:space="preserve">epartment is aware that brown marmorated stinkbug (BMSB, </w:t>
      </w:r>
      <w:r w:rsidRPr="00E400E4">
        <w:rPr>
          <w:i/>
        </w:rPr>
        <w:t>Halyomorpha halys</w:t>
      </w:r>
      <w:r w:rsidRPr="00E400E4">
        <w:t xml:space="preserve">), which is a quarantine pest for Australia, has recently been detected in Chile. The outbreak in Chile is so far limited to an urban area in Santiago </w:t>
      </w:r>
      <w:r>
        <w:rPr>
          <w:noProof/>
        </w:rPr>
        <w:t>(Faúndez &amp; Rider 2017; Leskey &amp; Nielsen 2018)</w:t>
      </w:r>
      <w:r w:rsidRPr="00E400E4">
        <w:t>. BMSB is not included in the pest categorisation process (Appendix A) of this report for avocados from Chile as it is not considered associated with avocado fruit. However, if BMSB was detected on avocado consignments, including on packaging material, on arrival in Australia, it would be treated as a contaminant pest and phytosanitary action would be required. If BMSB was detected repeatedly on avocado consignments, the department would apply appropriate risk management measures to ensure that the appropriate level of protection for Australia is achieved.</w:t>
      </w:r>
    </w:p>
    <w:p w:rsidR="00555918" w:rsidRPr="00E400E4" w:rsidRDefault="00555918" w:rsidP="000B1771">
      <w:pPr>
        <w:keepNext/>
        <w:rPr>
          <w:b/>
        </w:rPr>
      </w:pPr>
      <w:r w:rsidRPr="00E400E4">
        <w:rPr>
          <w:b/>
        </w:rPr>
        <w:t>Other issues</w:t>
      </w:r>
    </w:p>
    <w:p w:rsidR="00555918" w:rsidRPr="00E400E4" w:rsidRDefault="00555918" w:rsidP="000B1771">
      <w:r w:rsidRPr="00E400E4">
        <w:t>The department has made a number of changes to the risk analysis following consideration of stakeholder comments on the draft report and subsequent review of scientific literature. These include:</w:t>
      </w:r>
    </w:p>
    <w:p w:rsidR="00555918" w:rsidRPr="00E400E4" w:rsidRDefault="00555918" w:rsidP="00555918">
      <w:pPr>
        <w:pStyle w:val="ListBullet"/>
        <w:numPr>
          <w:ilvl w:val="0"/>
          <w:numId w:val="7"/>
        </w:numPr>
      </w:pPr>
      <w:r w:rsidRPr="00E400E4">
        <w:t xml:space="preserve">amendments to text in the pest categorisation table (Appendix A) to further support the assessment that pests (for example </w:t>
      </w:r>
      <w:r w:rsidRPr="00E400E4">
        <w:rPr>
          <w:i/>
        </w:rPr>
        <w:t>Pellaea stictica</w:t>
      </w:r>
      <w:r w:rsidRPr="00E400E4">
        <w:t xml:space="preserve">, </w:t>
      </w:r>
      <w:r w:rsidRPr="00E400E4">
        <w:rPr>
          <w:i/>
        </w:rPr>
        <w:t>Oiketicus kirbyi</w:t>
      </w:r>
      <w:r w:rsidRPr="00E400E4">
        <w:t xml:space="preserve"> and </w:t>
      </w:r>
      <w:r w:rsidRPr="00E400E4">
        <w:rPr>
          <w:i/>
        </w:rPr>
        <w:t>Helicoverpa zea</w:t>
      </w:r>
      <w:r w:rsidRPr="00E400E4">
        <w:t>) should not be considered associated with the avocado fruit export pathway</w:t>
      </w:r>
    </w:p>
    <w:p w:rsidR="00555918" w:rsidRPr="00E400E4" w:rsidRDefault="00555918" w:rsidP="00555918">
      <w:pPr>
        <w:pStyle w:val="ListBullet"/>
        <w:numPr>
          <w:ilvl w:val="0"/>
          <w:numId w:val="7"/>
        </w:numPr>
      </w:pPr>
      <w:r w:rsidRPr="00E400E4">
        <w:t xml:space="preserve">the removal of one fungal species, </w:t>
      </w:r>
      <w:r w:rsidRPr="00E400E4">
        <w:rPr>
          <w:i/>
        </w:rPr>
        <w:t>Neofusicoccum ribis</w:t>
      </w:r>
      <w:r w:rsidRPr="00E400E4">
        <w:t>, from the pest categorisation table (Appendix A) after further consideration of scientific literature on the taxonomic status of this species and consultation with plant pathologists</w:t>
      </w:r>
    </w:p>
    <w:p w:rsidR="00555918" w:rsidRPr="00E400E4" w:rsidRDefault="00555918" w:rsidP="00555918">
      <w:pPr>
        <w:pStyle w:val="ListBullet2"/>
        <w:numPr>
          <w:ilvl w:val="1"/>
          <w:numId w:val="7"/>
        </w:numPr>
      </w:pPr>
      <w:r w:rsidRPr="00E400E4">
        <w:rPr>
          <w:i/>
        </w:rPr>
        <w:t>Neofusicoccum ribis</w:t>
      </w:r>
      <w:r w:rsidRPr="00E400E4">
        <w:t xml:space="preserve"> only infects </w:t>
      </w:r>
      <w:r w:rsidRPr="00E400E4">
        <w:rPr>
          <w:i/>
        </w:rPr>
        <w:t>Ribes</w:t>
      </w:r>
      <w:r w:rsidRPr="00E400E4">
        <w:t xml:space="preserve"> species and is not associated with avocado</w:t>
      </w:r>
    </w:p>
    <w:p w:rsidR="00555918" w:rsidRPr="00E400E4" w:rsidRDefault="00555918" w:rsidP="00555918">
      <w:pPr>
        <w:pStyle w:val="ListBullet"/>
        <w:numPr>
          <w:ilvl w:val="0"/>
          <w:numId w:val="7"/>
        </w:numPr>
      </w:pPr>
      <w:r w:rsidRPr="00E400E4">
        <w:t xml:space="preserve">the inclusion of one additional fungal species, </w:t>
      </w:r>
      <w:r w:rsidRPr="00E400E4">
        <w:rPr>
          <w:i/>
        </w:rPr>
        <w:t>Dothiorella iberica</w:t>
      </w:r>
      <w:r w:rsidRPr="00E400E4">
        <w:t>, in the pest categorisation table (Appendix A) following review of further scientific literature determining that this species is present in Chile and can be associated with avocado fruit</w:t>
      </w:r>
    </w:p>
    <w:p w:rsidR="00555918" w:rsidRPr="00E400E4" w:rsidRDefault="00555918" w:rsidP="00555918">
      <w:pPr>
        <w:pStyle w:val="ListBullet2"/>
        <w:numPr>
          <w:ilvl w:val="1"/>
          <w:numId w:val="7"/>
        </w:numPr>
        <w:ind w:left="794" w:hanging="397"/>
      </w:pPr>
      <w:r w:rsidRPr="00E400E4">
        <w:rPr>
          <w:i/>
        </w:rPr>
        <w:t>Dothiorella iberica</w:t>
      </w:r>
      <w:r w:rsidRPr="00E400E4">
        <w:t xml:space="preserve"> was subsequently assessed as present in Australia and therefore was not assessed further in the pest categorisation</w:t>
      </w:r>
    </w:p>
    <w:p w:rsidR="00555918" w:rsidRPr="00E400E4" w:rsidRDefault="00555918" w:rsidP="00555918">
      <w:pPr>
        <w:pStyle w:val="ListBullet"/>
        <w:numPr>
          <w:ilvl w:val="0"/>
          <w:numId w:val="7"/>
        </w:numPr>
      </w:pPr>
      <w:r w:rsidRPr="00E400E4">
        <w:lastRenderedPageBreak/>
        <w:t xml:space="preserve">revision of the pest statuses of </w:t>
      </w:r>
      <w:r w:rsidRPr="00E400E4">
        <w:rPr>
          <w:i/>
        </w:rPr>
        <w:t>Calonectria cylindrospora</w:t>
      </w:r>
      <w:r w:rsidRPr="00E400E4">
        <w:t xml:space="preserve"> and </w:t>
      </w:r>
      <w:r w:rsidRPr="00E400E4">
        <w:rPr>
          <w:i/>
        </w:rPr>
        <w:t>Eotetranychus sexmaculatus</w:t>
      </w:r>
      <w:r w:rsidRPr="00E400E4">
        <w:t xml:space="preserve"> in Australia to 'not present' after further consideration of scientific literature on the taxonomic status of these species and as a result, assessment of their potentials to be on the pathway</w:t>
      </w:r>
    </w:p>
    <w:p w:rsidR="00555918" w:rsidRPr="00E400E4" w:rsidRDefault="00555918" w:rsidP="00555918">
      <w:pPr>
        <w:pStyle w:val="ListBullet2"/>
        <w:numPr>
          <w:ilvl w:val="1"/>
          <w:numId w:val="7"/>
        </w:numPr>
        <w:ind w:left="794" w:hanging="397"/>
      </w:pPr>
      <w:r w:rsidRPr="00E400E4">
        <w:t>both pests were assessed as not being associated with the avocado fruit export pathway and therefore were not assessed further in the pest categorisation process</w:t>
      </w:r>
    </w:p>
    <w:p w:rsidR="00555918" w:rsidRPr="00E400E4" w:rsidRDefault="00555918" w:rsidP="00555918">
      <w:pPr>
        <w:pStyle w:val="ListBullet"/>
        <w:numPr>
          <w:ilvl w:val="0"/>
          <w:numId w:val="7"/>
        </w:numPr>
      </w:pPr>
      <w:r w:rsidRPr="00E400E4">
        <w:t>amendments in the pest risk management section (Chapter 5) to include requirements for containers and updating of the hyperlink to information on packaging requirements</w:t>
      </w:r>
    </w:p>
    <w:p w:rsidR="00555918" w:rsidRPr="00E400E4" w:rsidRDefault="00555918" w:rsidP="00555918">
      <w:pPr>
        <w:pStyle w:val="ListBullet"/>
        <w:numPr>
          <w:ilvl w:val="0"/>
          <w:numId w:val="7"/>
        </w:numPr>
      </w:pPr>
      <w:r w:rsidRPr="00E400E4">
        <w:t>minor corrections, rewording and editorial changes for consistency, clarity and web-accessibility.</w:t>
      </w:r>
    </w:p>
    <w:p w:rsidR="00555918" w:rsidRPr="00E400E4" w:rsidRDefault="00555918" w:rsidP="000B1771"/>
    <w:p w:rsidR="00555918" w:rsidRPr="00E400E4" w:rsidRDefault="00555918" w:rsidP="000B1771">
      <w:pPr>
        <w:pStyle w:val="Heading2"/>
        <w:numPr>
          <w:ilvl w:val="0"/>
          <w:numId w:val="0"/>
        </w:numPr>
        <w:sectPr w:rsidR="00555918" w:rsidRPr="00E400E4">
          <w:headerReference w:type="default" r:id="rId72"/>
          <w:pgSz w:w="11906" w:h="16838"/>
          <w:pgMar w:top="1418" w:right="1418" w:bottom="1418" w:left="1418" w:header="567" w:footer="283" w:gutter="0"/>
          <w:cols w:space="708"/>
          <w:docGrid w:linePitch="360"/>
        </w:sectPr>
      </w:pPr>
    </w:p>
    <w:p w:rsidR="00555918" w:rsidRPr="00E400E4" w:rsidRDefault="00555918" w:rsidP="000B1771">
      <w:pPr>
        <w:pStyle w:val="Heading2"/>
        <w:numPr>
          <w:ilvl w:val="0"/>
          <w:numId w:val="0"/>
        </w:numPr>
      </w:pPr>
      <w:bookmarkStart w:id="144" w:name="_Toc20392260"/>
      <w:r w:rsidRPr="00E400E4">
        <w:lastRenderedPageBreak/>
        <w:t>Glossary</w:t>
      </w:r>
      <w:bookmarkEnd w:id="144"/>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555918" w:rsidRPr="00E400E4" w:rsidTr="000B1771">
        <w:trPr>
          <w:cantSplit/>
          <w:tblHeader/>
        </w:trPr>
        <w:tc>
          <w:tcPr>
            <w:tcW w:w="1509" w:type="pct"/>
          </w:tcPr>
          <w:p w:rsidR="00555918" w:rsidRPr="00E400E4" w:rsidRDefault="00555918" w:rsidP="000B1771">
            <w:pPr>
              <w:pStyle w:val="TableHeading"/>
            </w:pPr>
            <w:r w:rsidRPr="00E400E4">
              <w:t>Term or abbreviation</w:t>
            </w:r>
          </w:p>
        </w:tc>
        <w:tc>
          <w:tcPr>
            <w:tcW w:w="3491" w:type="pct"/>
          </w:tcPr>
          <w:p w:rsidR="00555918" w:rsidRPr="00E400E4" w:rsidRDefault="00555918" w:rsidP="000B1771">
            <w:pPr>
              <w:pStyle w:val="TableHeading"/>
            </w:pPr>
            <w:r w:rsidRPr="00E400E4">
              <w:t>Definition</w:t>
            </w:r>
          </w:p>
        </w:tc>
      </w:tr>
      <w:tr w:rsidR="00555918" w:rsidRPr="00E400E4" w:rsidTr="000B1771">
        <w:trPr>
          <w:cantSplit/>
        </w:trPr>
        <w:tc>
          <w:tcPr>
            <w:tcW w:w="1509" w:type="pct"/>
          </w:tcPr>
          <w:p w:rsidR="00555918" w:rsidRPr="00E400E4" w:rsidRDefault="00555918" w:rsidP="000B1771">
            <w:pPr>
              <w:pStyle w:val="TableText"/>
            </w:pPr>
            <w:r w:rsidRPr="00E400E4">
              <w:t>Additional declaration</w:t>
            </w:r>
          </w:p>
        </w:tc>
        <w:tc>
          <w:tcPr>
            <w:tcW w:w="3491" w:type="pct"/>
          </w:tcPr>
          <w:p w:rsidR="00555918" w:rsidRPr="00E400E4" w:rsidRDefault="00555918" w:rsidP="000B1771">
            <w:pPr>
              <w:pStyle w:val="TableText"/>
            </w:pPr>
            <w:r w:rsidRPr="00E400E4">
              <w:t xml:space="preserve">A statement that is required by an importing country to be entered on a phytosanitary certificate and which provides specific additional information on a consignment in relation to regulated pests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Appropriate level of protection (ALOP)</w:t>
            </w:r>
          </w:p>
        </w:tc>
        <w:tc>
          <w:tcPr>
            <w:tcW w:w="3491" w:type="pct"/>
          </w:tcPr>
          <w:p w:rsidR="00555918" w:rsidRPr="00E400E4" w:rsidRDefault="00555918" w:rsidP="000B1771">
            <w:pPr>
              <w:pStyle w:val="TableText"/>
            </w:pPr>
            <w:r w:rsidRPr="00E400E4">
              <w:t xml:space="preserve">The level of protection deemed appropriate by the Member establishing a sanitary or phytosanitary measure to protect human, animal or plant life or health within its territory </w:t>
            </w:r>
            <w:r>
              <w:rPr>
                <w:noProof/>
              </w:rPr>
              <w:t>(WTO 1995)</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Appropriate level of protection (ALOP) for Australia</w:t>
            </w:r>
          </w:p>
        </w:tc>
        <w:tc>
          <w:tcPr>
            <w:tcW w:w="3491" w:type="pct"/>
          </w:tcPr>
          <w:p w:rsidR="00555918" w:rsidRPr="00E400E4" w:rsidRDefault="00555918" w:rsidP="000B1771">
            <w:pPr>
              <w:pStyle w:val="TableText"/>
            </w:pPr>
            <w:r w:rsidRPr="00E400E4">
              <w:t xml:space="preserve">The </w:t>
            </w:r>
            <w:r w:rsidRPr="00E400E4">
              <w:rPr>
                <w:i/>
              </w:rPr>
              <w:t>Biosecurity Act 2015</w:t>
            </w:r>
            <w:r w:rsidRPr="00E400E4">
              <w:t xml:space="preserve"> defines the appropriate level of protection (or ALOP) for Australia as a high level of sanitary and phytosanitary protection aimed at reducing biosecurity risks to very low, but not to zero.</w:t>
            </w:r>
          </w:p>
        </w:tc>
      </w:tr>
      <w:tr w:rsidR="00555918" w:rsidRPr="00E400E4" w:rsidTr="000B1771">
        <w:trPr>
          <w:cantSplit/>
        </w:trPr>
        <w:tc>
          <w:tcPr>
            <w:tcW w:w="1509" w:type="pct"/>
          </w:tcPr>
          <w:p w:rsidR="00555918" w:rsidRPr="00E400E4" w:rsidRDefault="00555918" w:rsidP="000B1771">
            <w:pPr>
              <w:pStyle w:val="TableText"/>
            </w:pPr>
            <w:r w:rsidRPr="00E400E4">
              <w:t>Area</w:t>
            </w:r>
          </w:p>
        </w:tc>
        <w:tc>
          <w:tcPr>
            <w:tcW w:w="3491" w:type="pct"/>
          </w:tcPr>
          <w:p w:rsidR="00555918" w:rsidRPr="00E400E4" w:rsidRDefault="00555918" w:rsidP="000B1771">
            <w:pPr>
              <w:pStyle w:val="TableText"/>
            </w:pPr>
            <w:r w:rsidRPr="00E400E4">
              <w:t xml:space="preserve">An officially defined country, part of a country or all or parts of several countries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Arthropod</w:t>
            </w:r>
          </w:p>
        </w:tc>
        <w:tc>
          <w:tcPr>
            <w:tcW w:w="3491" w:type="pct"/>
          </w:tcPr>
          <w:p w:rsidR="00555918" w:rsidRPr="00E400E4" w:rsidRDefault="00555918" w:rsidP="000B1771">
            <w:pPr>
              <w:pStyle w:val="TableText"/>
            </w:pPr>
            <w:r w:rsidRPr="00E400E4">
              <w:t>The largest phylum of animals, including the insects, arachnids and crustaceans.</w:t>
            </w:r>
          </w:p>
        </w:tc>
      </w:tr>
      <w:tr w:rsidR="00555918" w:rsidRPr="00E400E4" w:rsidTr="000B1771">
        <w:trPr>
          <w:cantSplit/>
        </w:trPr>
        <w:tc>
          <w:tcPr>
            <w:tcW w:w="1509" w:type="pct"/>
          </w:tcPr>
          <w:p w:rsidR="00555918" w:rsidRPr="00E400E4" w:rsidRDefault="00555918" w:rsidP="000B1771">
            <w:pPr>
              <w:pStyle w:val="TableText"/>
            </w:pPr>
            <w:r w:rsidRPr="00E400E4">
              <w:t>Asexual reproduction</w:t>
            </w:r>
          </w:p>
        </w:tc>
        <w:tc>
          <w:tcPr>
            <w:tcW w:w="3491" w:type="pct"/>
          </w:tcPr>
          <w:p w:rsidR="00555918" w:rsidRPr="00E400E4" w:rsidRDefault="00555918" w:rsidP="000B1771">
            <w:pPr>
              <w:pStyle w:val="TableText"/>
            </w:pPr>
            <w:r w:rsidRPr="00E400E4">
              <w:t>The development of new individual from a single cell or group of cells in the absence of meiosis.</w:t>
            </w:r>
          </w:p>
        </w:tc>
      </w:tr>
      <w:tr w:rsidR="00555918" w:rsidRPr="00E400E4" w:rsidTr="000B1771">
        <w:trPr>
          <w:cantSplit/>
        </w:trPr>
        <w:tc>
          <w:tcPr>
            <w:tcW w:w="1509" w:type="pct"/>
          </w:tcPr>
          <w:p w:rsidR="00555918" w:rsidRPr="00E400E4" w:rsidRDefault="00555918" w:rsidP="000B1771">
            <w:pPr>
              <w:pStyle w:val="TableText"/>
            </w:pPr>
            <w:r w:rsidRPr="00E400E4">
              <w:t>Australian territory</w:t>
            </w:r>
          </w:p>
        </w:tc>
        <w:tc>
          <w:tcPr>
            <w:tcW w:w="3491" w:type="pct"/>
          </w:tcPr>
          <w:p w:rsidR="00555918" w:rsidRPr="00E400E4" w:rsidRDefault="00555918" w:rsidP="000B1771">
            <w:pPr>
              <w:pStyle w:val="TableText"/>
            </w:pPr>
            <w:r w:rsidRPr="00E400E4">
              <w:t xml:space="preserve">Australian territory as referenced in the </w:t>
            </w:r>
            <w:r w:rsidRPr="00E400E4">
              <w:rPr>
                <w:i/>
              </w:rPr>
              <w:t>Biosecurity Act 2015</w:t>
            </w:r>
            <w:r w:rsidRPr="00E400E4">
              <w:t xml:space="preserve"> refers to Australia, Christmas Island and Cocos (Keeling) Islands.</w:t>
            </w:r>
          </w:p>
        </w:tc>
      </w:tr>
      <w:tr w:rsidR="00555918" w:rsidRPr="00E400E4" w:rsidTr="000B1771">
        <w:trPr>
          <w:cantSplit/>
        </w:trPr>
        <w:tc>
          <w:tcPr>
            <w:tcW w:w="1509" w:type="pct"/>
          </w:tcPr>
          <w:p w:rsidR="00555918" w:rsidRPr="00E400E4" w:rsidRDefault="00555918" w:rsidP="000B1771">
            <w:pPr>
              <w:pStyle w:val="TableText"/>
            </w:pPr>
            <w:r w:rsidRPr="00E400E4">
              <w:t>Biosecurity</w:t>
            </w:r>
          </w:p>
        </w:tc>
        <w:tc>
          <w:tcPr>
            <w:tcW w:w="3491" w:type="pct"/>
          </w:tcPr>
          <w:p w:rsidR="00555918" w:rsidRPr="00E400E4" w:rsidRDefault="00555918" w:rsidP="000B1771">
            <w:pPr>
              <w:pStyle w:val="TableText"/>
            </w:pPr>
            <w:r w:rsidRPr="00E400E4">
              <w:t>The prevention of the entry, establishment or spread of unwanted pests and infectious disease agents to protect human, animal or plant health or life, and the environment.</w:t>
            </w:r>
          </w:p>
        </w:tc>
      </w:tr>
      <w:tr w:rsidR="00555918" w:rsidRPr="00E400E4" w:rsidTr="000B1771">
        <w:trPr>
          <w:cantSplit/>
        </w:trPr>
        <w:tc>
          <w:tcPr>
            <w:tcW w:w="1509" w:type="pct"/>
          </w:tcPr>
          <w:p w:rsidR="00555918" w:rsidRPr="00E400E4" w:rsidRDefault="00555918" w:rsidP="000B1771">
            <w:pPr>
              <w:pStyle w:val="TableText"/>
            </w:pPr>
            <w:r w:rsidRPr="00E400E4">
              <w:t>Biosecurity measures</w:t>
            </w:r>
          </w:p>
        </w:tc>
        <w:tc>
          <w:tcPr>
            <w:tcW w:w="3491" w:type="pct"/>
          </w:tcPr>
          <w:p w:rsidR="00555918" w:rsidRPr="00E400E4" w:rsidRDefault="00555918" w:rsidP="000B1771">
            <w:pPr>
              <w:pStyle w:val="TableText"/>
            </w:pPr>
            <w:r w:rsidRPr="00E400E4">
              <w:t xml:space="preserve">The </w:t>
            </w:r>
            <w:r w:rsidRPr="00E400E4">
              <w:rPr>
                <w:i/>
              </w:rPr>
              <w:t>Biosecurity Act 2015</w:t>
            </w:r>
            <w:r w:rsidRPr="00E400E4">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555918" w:rsidRPr="00E400E4" w:rsidTr="000B1771">
        <w:trPr>
          <w:cantSplit/>
        </w:trPr>
        <w:tc>
          <w:tcPr>
            <w:tcW w:w="1509" w:type="pct"/>
          </w:tcPr>
          <w:p w:rsidR="00555918" w:rsidRPr="00E400E4" w:rsidRDefault="00555918" w:rsidP="000B1771">
            <w:pPr>
              <w:pStyle w:val="TableText"/>
            </w:pPr>
            <w:r w:rsidRPr="00E400E4">
              <w:t>Biosecurity import risk analysis (BIRA)</w:t>
            </w:r>
          </w:p>
        </w:tc>
        <w:tc>
          <w:tcPr>
            <w:tcW w:w="3491" w:type="pct"/>
          </w:tcPr>
          <w:p w:rsidR="00555918" w:rsidRPr="00E400E4" w:rsidRDefault="00555918" w:rsidP="000B1771">
            <w:pPr>
              <w:pStyle w:val="TableText"/>
            </w:pPr>
            <w:r w:rsidRPr="00E400E4">
              <w:t xml:space="preserve">The </w:t>
            </w:r>
            <w:r w:rsidRPr="00E400E4">
              <w:rPr>
                <w:i/>
              </w:rPr>
              <w:t>Biosecurity Act 2015</w:t>
            </w:r>
            <w:r w:rsidRPr="00E400E4">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555918" w:rsidRPr="00E400E4" w:rsidTr="000B1771">
        <w:trPr>
          <w:cantSplit/>
        </w:trPr>
        <w:tc>
          <w:tcPr>
            <w:tcW w:w="1509" w:type="pct"/>
          </w:tcPr>
          <w:p w:rsidR="00555918" w:rsidRPr="00E400E4" w:rsidRDefault="00555918" w:rsidP="000B1771">
            <w:pPr>
              <w:pStyle w:val="TableText"/>
            </w:pPr>
            <w:r w:rsidRPr="00E400E4">
              <w:t>Biosecurity risk</w:t>
            </w:r>
          </w:p>
        </w:tc>
        <w:tc>
          <w:tcPr>
            <w:tcW w:w="3491" w:type="pct"/>
          </w:tcPr>
          <w:p w:rsidR="00555918" w:rsidRPr="00E400E4" w:rsidRDefault="00555918" w:rsidP="000B1771">
            <w:pPr>
              <w:pStyle w:val="TableText"/>
            </w:pPr>
            <w:r w:rsidRPr="00E400E4">
              <w:t xml:space="preserve">The </w:t>
            </w:r>
            <w:r w:rsidRPr="00E400E4">
              <w:rPr>
                <w:i/>
              </w:rPr>
              <w:t>Biosecurity Act 2015</w:t>
            </w:r>
            <w:r w:rsidRPr="00E400E4">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555918" w:rsidRPr="00E400E4" w:rsidTr="000B1771">
        <w:trPr>
          <w:cantSplit/>
        </w:trPr>
        <w:tc>
          <w:tcPr>
            <w:tcW w:w="1509" w:type="pct"/>
          </w:tcPr>
          <w:p w:rsidR="00555918" w:rsidRPr="00E400E4" w:rsidRDefault="00555918" w:rsidP="000B1771">
            <w:pPr>
              <w:pStyle w:val="TableText"/>
            </w:pPr>
            <w:r w:rsidRPr="00E400E4">
              <w:t>Commodity</w:t>
            </w:r>
          </w:p>
        </w:tc>
        <w:tc>
          <w:tcPr>
            <w:tcW w:w="3491" w:type="pct"/>
          </w:tcPr>
          <w:p w:rsidR="00555918" w:rsidRPr="00E400E4" w:rsidRDefault="00555918" w:rsidP="000B1771">
            <w:pPr>
              <w:pStyle w:val="TableText"/>
            </w:pPr>
            <w:r w:rsidRPr="00E400E4">
              <w:t xml:space="preserve">A type of plant, plant product, or other article being moved for trade or other purpose </w:t>
            </w:r>
            <w:r>
              <w:rPr>
                <w:noProof/>
              </w:rPr>
              <w:t>(FAO 2019b)</w:t>
            </w:r>
            <w:r w:rsidRPr="00E400E4">
              <w:t>. In this report the commodity is fresh avocado fruit.</w:t>
            </w:r>
          </w:p>
        </w:tc>
      </w:tr>
      <w:tr w:rsidR="00555918" w:rsidRPr="00E400E4" w:rsidTr="000B1771">
        <w:trPr>
          <w:cantSplit/>
        </w:trPr>
        <w:tc>
          <w:tcPr>
            <w:tcW w:w="1509" w:type="pct"/>
          </w:tcPr>
          <w:p w:rsidR="00555918" w:rsidRPr="00E400E4" w:rsidRDefault="00555918" w:rsidP="000B1771">
            <w:pPr>
              <w:pStyle w:val="TableText"/>
            </w:pPr>
            <w:r w:rsidRPr="00E400E4">
              <w:t>Consignment</w:t>
            </w:r>
          </w:p>
        </w:tc>
        <w:tc>
          <w:tcPr>
            <w:tcW w:w="3491" w:type="pct"/>
          </w:tcPr>
          <w:p w:rsidR="00555918" w:rsidRPr="00E400E4" w:rsidRDefault="00555918" w:rsidP="000B1771">
            <w:pPr>
              <w:pStyle w:val="TableText"/>
            </w:pPr>
            <w:r w:rsidRPr="00E400E4">
              <w:t xml:space="preserve">A quantity of plants, plant products or other articles being moved from one country to another and covered, when required, by a single phytosanitary certificate (a consignment may be composed of one or more commodities or lots)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Contaminating pest</w:t>
            </w:r>
          </w:p>
        </w:tc>
        <w:tc>
          <w:tcPr>
            <w:tcW w:w="3491" w:type="pct"/>
          </w:tcPr>
          <w:p w:rsidR="00555918" w:rsidRPr="00E400E4" w:rsidRDefault="00555918" w:rsidP="000B1771">
            <w:pPr>
              <w:pStyle w:val="TableText"/>
            </w:pPr>
            <w:r w:rsidRPr="00E400E4">
              <w:t xml:space="preserve">A pest that is carried by a commodity, packaging, conveyance or container, or present in a storage place and that, in the case of plants and plant products, does not infest them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Control (of a pest)</w:t>
            </w:r>
          </w:p>
        </w:tc>
        <w:tc>
          <w:tcPr>
            <w:tcW w:w="3491" w:type="pct"/>
          </w:tcPr>
          <w:p w:rsidR="00555918" w:rsidRPr="00E400E4" w:rsidRDefault="00555918" w:rsidP="000B1771">
            <w:pPr>
              <w:pStyle w:val="TableText"/>
            </w:pPr>
            <w:r w:rsidRPr="00E400E4">
              <w:t xml:space="preserve">Suppression, containment or eradication of a pest population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Crawler</w:t>
            </w:r>
          </w:p>
        </w:tc>
        <w:tc>
          <w:tcPr>
            <w:tcW w:w="3491" w:type="pct"/>
          </w:tcPr>
          <w:p w:rsidR="00555918" w:rsidRPr="00E400E4" w:rsidRDefault="00555918" w:rsidP="000B1771">
            <w:pPr>
              <w:pStyle w:val="TableText"/>
            </w:pPr>
            <w:r w:rsidRPr="00E400E4">
              <w:t>Intermediate mobile nymph stage of certain Arthropods.</w:t>
            </w:r>
          </w:p>
        </w:tc>
      </w:tr>
      <w:tr w:rsidR="00555918" w:rsidRPr="00E400E4" w:rsidTr="000B1771">
        <w:trPr>
          <w:cantSplit/>
        </w:trPr>
        <w:tc>
          <w:tcPr>
            <w:tcW w:w="1509" w:type="pct"/>
          </w:tcPr>
          <w:p w:rsidR="00555918" w:rsidRPr="00E400E4" w:rsidRDefault="00555918" w:rsidP="000B1771">
            <w:pPr>
              <w:pStyle w:val="TableText"/>
            </w:pPr>
            <w:r w:rsidRPr="00E400E4">
              <w:t>Cultivar</w:t>
            </w:r>
          </w:p>
        </w:tc>
        <w:tc>
          <w:tcPr>
            <w:tcW w:w="3491" w:type="pct"/>
          </w:tcPr>
          <w:p w:rsidR="00555918" w:rsidRPr="00E400E4" w:rsidRDefault="00555918" w:rsidP="000B1771">
            <w:pPr>
              <w:pStyle w:val="TableText"/>
            </w:pPr>
            <w:r w:rsidRPr="00E400E4">
              <w:t xml:space="preserve">A cultivated variety; an assemblage of cultivated individuals distinguished by any characters significant for the purposes of agriculture, forestry or horticulture, and which, when reproduced, retains its distinguishing features </w:t>
            </w:r>
            <w:r>
              <w:rPr>
                <w:noProof/>
              </w:rPr>
              <w:t>(Western Australian Herbarium 2019)</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lastRenderedPageBreak/>
              <w:t>Diapause</w:t>
            </w:r>
          </w:p>
        </w:tc>
        <w:tc>
          <w:tcPr>
            <w:tcW w:w="3491" w:type="pct"/>
          </w:tcPr>
          <w:p w:rsidR="00555918" w:rsidRPr="00E400E4" w:rsidRDefault="00555918" w:rsidP="000B1771">
            <w:pPr>
              <w:pStyle w:val="TableText"/>
            </w:pPr>
            <w:r w:rsidRPr="00E400E4">
              <w:t>Period of suspended development/growth occurring in some insects, in which metabolism is decreased.</w:t>
            </w:r>
          </w:p>
        </w:tc>
      </w:tr>
      <w:tr w:rsidR="00555918" w:rsidRPr="00E400E4" w:rsidTr="000B1771">
        <w:trPr>
          <w:cantSplit/>
        </w:trPr>
        <w:tc>
          <w:tcPr>
            <w:tcW w:w="1509" w:type="pct"/>
          </w:tcPr>
          <w:p w:rsidR="00555918" w:rsidRPr="00E400E4" w:rsidRDefault="00555918" w:rsidP="000B1771">
            <w:pPr>
              <w:pStyle w:val="TableText"/>
            </w:pPr>
            <w:r w:rsidRPr="00E400E4">
              <w:t>The department</w:t>
            </w:r>
          </w:p>
        </w:tc>
        <w:tc>
          <w:tcPr>
            <w:tcW w:w="3491" w:type="pct"/>
          </w:tcPr>
          <w:p w:rsidR="00555918" w:rsidRPr="00E400E4" w:rsidRDefault="00555918" w:rsidP="000B1771">
            <w:pPr>
              <w:pStyle w:val="TableText"/>
            </w:pPr>
            <w:r w:rsidRPr="00E400E4">
              <w:t>The Department of Agriculture.</w:t>
            </w:r>
          </w:p>
        </w:tc>
      </w:tr>
      <w:tr w:rsidR="00555918" w:rsidRPr="00E400E4" w:rsidTr="000B1771">
        <w:trPr>
          <w:cantSplit/>
        </w:trPr>
        <w:tc>
          <w:tcPr>
            <w:tcW w:w="1509" w:type="pct"/>
          </w:tcPr>
          <w:p w:rsidR="00555918" w:rsidRPr="00E400E4" w:rsidRDefault="00555918" w:rsidP="000B1771">
            <w:pPr>
              <w:pStyle w:val="TableText"/>
            </w:pPr>
            <w:r w:rsidRPr="00E400E4">
              <w:t>Endangered area</w:t>
            </w:r>
          </w:p>
        </w:tc>
        <w:tc>
          <w:tcPr>
            <w:tcW w:w="3491" w:type="pct"/>
          </w:tcPr>
          <w:p w:rsidR="00555918" w:rsidRPr="00E400E4" w:rsidRDefault="00555918" w:rsidP="000B1771">
            <w:pPr>
              <w:pStyle w:val="TableText"/>
            </w:pPr>
            <w:r w:rsidRPr="00E400E4">
              <w:t xml:space="preserve">An area where ecological factors favour the establishment of a pest whose presence in the area will result in economically important loss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Endemic</w:t>
            </w:r>
          </w:p>
        </w:tc>
        <w:tc>
          <w:tcPr>
            <w:tcW w:w="3491" w:type="pct"/>
          </w:tcPr>
          <w:p w:rsidR="00555918" w:rsidRPr="00E400E4" w:rsidRDefault="00555918" w:rsidP="000B1771">
            <w:pPr>
              <w:pStyle w:val="TableText"/>
            </w:pPr>
            <w:r w:rsidRPr="00E400E4">
              <w:t>Belonging to, native to, or prevalent in a particular geography, area or environment.</w:t>
            </w:r>
          </w:p>
        </w:tc>
      </w:tr>
      <w:tr w:rsidR="00555918" w:rsidRPr="00E400E4" w:rsidTr="000B1771">
        <w:trPr>
          <w:cantSplit/>
        </w:trPr>
        <w:tc>
          <w:tcPr>
            <w:tcW w:w="1509" w:type="pct"/>
          </w:tcPr>
          <w:p w:rsidR="00555918" w:rsidRPr="00E400E4" w:rsidRDefault="00555918" w:rsidP="000B1771">
            <w:pPr>
              <w:pStyle w:val="TableText"/>
            </w:pPr>
            <w:r w:rsidRPr="00E400E4">
              <w:t>Entry (of a pest)</w:t>
            </w:r>
          </w:p>
        </w:tc>
        <w:tc>
          <w:tcPr>
            <w:tcW w:w="3491" w:type="pct"/>
          </w:tcPr>
          <w:p w:rsidR="00555918" w:rsidRPr="00E400E4" w:rsidRDefault="00555918" w:rsidP="000B1771">
            <w:pPr>
              <w:pStyle w:val="TableText"/>
            </w:pPr>
            <w:r w:rsidRPr="00E400E4">
              <w:t xml:space="preserve">Movement of a pest into an area where it is not yet present, or present but not widely distributed and being officially controlled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Establishment (of a pest)</w:t>
            </w:r>
          </w:p>
        </w:tc>
        <w:tc>
          <w:tcPr>
            <w:tcW w:w="3491" w:type="pct"/>
          </w:tcPr>
          <w:p w:rsidR="00555918" w:rsidRPr="00E400E4" w:rsidRDefault="00555918" w:rsidP="000B1771">
            <w:pPr>
              <w:pStyle w:val="TableText"/>
            </w:pPr>
            <w:r w:rsidRPr="00E400E4">
              <w:t xml:space="preserve">Perpetuation, for the foreseeable future, of a pest within an area after entry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Fresh</w:t>
            </w:r>
          </w:p>
        </w:tc>
        <w:tc>
          <w:tcPr>
            <w:tcW w:w="3491" w:type="pct"/>
          </w:tcPr>
          <w:p w:rsidR="00555918" w:rsidRPr="00E400E4" w:rsidRDefault="00555918" w:rsidP="000B1771">
            <w:pPr>
              <w:pStyle w:val="TableText"/>
            </w:pPr>
            <w:r w:rsidRPr="00E400E4">
              <w:t xml:space="preserve">Living; not dried, deep-frozen or otherwise conserved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Fumigation</w:t>
            </w:r>
          </w:p>
        </w:tc>
        <w:tc>
          <w:tcPr>
            <w:tcW w:w="3491" w:type="pct"/>
          </w:tcPr>
          <w:p w:rsidR="00555918" w:rsidRPr="00E400E4" w:rsidRDefault="00555918" w:rsidP="000B1771">
            <w:pPr>
              <w:pStyle w:val="TableText"/>
            </w:pPr>
            <w:r w:rsidRPr="00E400E4">
              <w:t xml:space="preserve">Treatment with a chemical agent that reaches the commodity wholly or primarily in a gaseous state </w:t>
            </w:r>
            <w:r>
              <w:rPr>
                <w:noProof/>
              </w:rPr>
              <w:t>(FAO 2019b)</w:t>
            </w:r>
          </w:p>
        </w:tc>
      </w:tr>
      <w:tr w:rsidR="00555918" w:rsidRPr="00E400E4" w:rsidTr="000B1771">
        <w:trPr>
          <w:cantSplit/>
        </w:trPr>
        <w:tc>
          <w:tcPr>
            <w:tcW w:w="1509" w:type="pct"/>
          </w:tcPr>
          <w:p w:rsidR="00555918" w:rsidRPr="00E400E4" w:rsidRDefault="00555918" w:rsidP="000B1771">
            <w:pPr>
              <w:pStyle w:val="TableText"/>
            </w:pPr>
            <w:r w:rsidRPr="00E400E4">
              <w:t>Genus</w:t>
            </w:r>
          </w:p>
        </w:tc>
        <w:tc>
          <w:tcPr>
            <w:tcW w:w="3491" w:type="pct"/>
          </w:tcPr>
          <w:p w:rsidR="00555918" w:rsidRPr="00E400E4" w:rsidRDefault="00555918" w:rsidP="000B1771">
            <w:pPr>
              <w:pStyle w:val="TableText"/>
            </w:pPr>
            <w:r w:rsidRPr="00E400E4">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555918" w:rsidRPr="00E400E4" w:rsidTr="000B1771">
        <w:trPr>
          <w:cantSplit/>
        </w:trPr>
        <w:tc>
          <w:tcPr>
            <w:tcW w:w="1509" w:type="pct"/>
          </w:tcPr>
          <w:p w:rsidR="00555918" w:rsidRPr="00E400E4" w:rsidRDefault="00555918" w:rsidP="000B1771">
            <w:pPr>
              <w:pStyle w:val="TableText"/>
            </w:pPr>
            <w:r w:rsidRPr="00E400E4">
              <w:t>Goods</w:t>
            </w:r>
          </w:p>
        </w:tc>
        <w:tc>
          <w:tcPr>
            <w:tcW w:w="3491" w:type="pct"/>
          </w:tcPr>
          <w:p w:rsidR="00555918" w:rsidRPr="00E400E4" w:rsidRDefault="00555918" w:rsidP="000B1771">
            <w:pPr>
              <w:pStyle w:val="TableText"/>
            </w:pPr>
            <w:r w:rsidRPr="00E400E4">
              <w:t xml:space="preserve">The </w:t>
            </w:r>
            <w:r w:rsidRPr="00E400E4">
              <w:rPr>
                <w:i/>
              </w:rPr>
              <w:t>Biosecurity Act 2015</w:t>
            </w:r>
            <w:r w:rsidRPr="00E400E4">
              <w:t xml:space="preserve"> defines goods as an animal, a plant (whether moveable or not), a sample or specimen of a disease agent, a pest, mail or any other article, substance or thing (including, but not limited to, any kind of moveable property).</w:t>
            </w:r>
          </w:p>
        </w:tc>
      </w:tr>
      <w:tr w:rsidR="00555918" w:rsidRPr="00E400E4" w:rsidTr="000B1771">
        <w:trPr>
          <w:cantSplit/>
        </w:trPr>
        <w:tc>
          <w:tcPr>
            <w:tcW w:w="1509" w:type="pct"/>
          </w:tcPr>
          <w:p w:rsidR="00555918" w:rsidRPr="00E400E4" w:rsidRDefault="00555918" w:rsidP="000B1771">
            <w:pPr>
              <w:pStyle w:val="TableText"/>
            </w:pPr>
            <w:r w:rsidRPr="00E400E4">
              <w:t>Host</w:t>
            </w:r>
          </w:p>
        </w:tc>
        <w:tc>
          <w:tcPr>
            <w:tcW w:w="3491" w:type="pct"/>
          </w:tcPr>
          <w:p w:rsidR="00555918" w:rsidRPr="00E400E4" w:rsidRDefault="00555918" w:rsidP="000B1771">
            <w:pPr>
              <w:pStyle w:val="TableText"/>
            </w:pPr>
            <w:r w:rsidRPr="00E400E4">
              <w:t>An organism that harbours a parasite, mutual partner, or commensal partner, typically providing nourishment and shelter.</w:t>
            </w:r>
          </w:p>
        </w:tc>
      </w:tr>
      <w:tr w:rsidR="00555918" w:rsidRPr="00E400E4" w:rsidTr="000B1771">
        <w:trPr>
          <w:cantSplit/>
        </w:trPr>
        <w:tc>
          <w:tcPr>
            <w:tcW w:w="1509" w:type="pct"/>
          </w:tcPr>
          <w:p w:rsidR="00555918" w:rsidRPr="00E400E4" w:rsidRDefault="00555918" w:rsidP="000B1771">
            <w:pPr>
              <w:pStyle w:val="TableText"/>
            </w:pPr>
            <w:r w:rsidRPr="00E400E4">
              <w:t>Host range</w:t>
            </w:r>
          </w:p>
        </w:tc>
        <w:tc>
          <w:tcPr>
            <w:tcW w:w="3491" w:type="pct"/>
          </w:tcPr>
          <w:p w:rsidR="00555918" w:rsidRPr="00E400E4" w:rsidRDefault="00555918" w:rsidP="000B1771">
            <w:pPr>
              <w:pStyle w:val="TableText"/>
            </w:pPr>
            <w:r w:rsidRPr="00E400E4">
              <w:t xml:space="preserve">Species capable, under natural conditions, of sustaining a specific pest or other organism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Import permit</w:t>
            </w:r>
          </w:p>
        </w:tc>
        <w:tc>
          <w:tcPr>
            <w:tcW w:w="3491" w:type="pct"/>
          </w:tcPr>
          <w:p w:rsidR="00555918" w:rsidRPr="00E400E4" w:rsidRDefault="00555918" w:rsidP="000B1771">
            <w:pPr>
              <w:pStyle w:val="TableText"/>
            </w:pPr>
            <w:r w:rsidRPr="00E400E4">
              <w:t xml:space="preserve">Official document authorising importation of a commodity in accordance with specified phytosanitary import requirements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Infection</w:t>
            </w:r>
          </w:p>
        </w:tc>
        <w:tc>
          <w:tcPr>
            <w:tcW w:w="3491" w:type="pct"/>
          </w:tcPr>
          <w:p w:rsidR="00555918" w:rsidRPr="00E400E4" w:rsidRDefault="00555918" w:rsidP="000B1771">
            <w:pPr>
              <w:pStyle w:val="TableText"/>
            </w:pPr>
            <w:r w:rsidRPr="00E400E4">
              <w:t>The internal ‘endophytic’ colonisation of a plant, or plant organ, and is generally associated with the development of disease symptoms as the integrity of cells and/or biological processes are disrupted.</w:t>
            </w:r>
          </w:p>
        </w:tc>
      </w:tr>
      <w:tr w:rsidR="00555918" w:rsidRPr="00E400E4" w:rsidTr="000B1771">
        <w:trPr>
          <w:cantSplit/>
        </w:trPr>
        <w:tc>
          <w:tcPr>
            <w:tcW w:w="1509" w:type="pct"/>
          </w:tcPr>
          <w:p w:rsidR="00555918" w:rsidRPr="00E400E4" w:rsidRDefault="00555918" w:rsidP="000B1771">
            <w:pPr>
              <w:pStyle w:val="TableText"/>
            </w:pPr>
            <w:r w:rsidRPr="00E400E4">
              <w:t>Infestation (of a commodity)</w:t>
            </w:r>
          </w:p>
        </w:tc>
        <w:tc>
          <w:tcPr>
            <w:tcW w:w="3491" w:type="pct"/>
          </w:tcPr>
          <w:p w:rsidR="00555918" w:rsidRPr="00E400E4" w:rsidRDefault="00555918" w:rsidP="000B1771">
            <w:pPr>
              <w:pStyle w:val="TableText"/>
            </w:pPr>
            <w:r w:rsidRPr="00E400E4">
              <w:t xml:space="preserve">Presence in a commodity of a living pest of the plant or plant product concerned. Infestation includes infection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Inspection</w:t>
            </w:r>
          </w:p>
        </w:tc>
        <w:tc>
          <w:tcPr>
            <w:tcW w:w="3491" w:type="pct"/>
          </w:tcPr>
          <w:p w:rsidR="00555918" w:rsidRPr="00E400E4" w:rsidRDefault="00555918" w:rsidP="000B1771">
            <w:pPr>
              <w:pStyle w:val="TableText"/>
            </w:pPr>
            <w:r w:rsidRPr="00E400E4">
              <w:t xml:space="preserve">Official visual examination of plants, plant products or other regulated articles to determine if pests are present or to determine compliance with phytosanitary regulations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Intended use</w:t>
            </w:r>
          </w:p>
        </w:tc>
        <w:tc>
          <w:tcPr>
            <w:tcW w:w="3491" w:type="pct"/>
          </w:tcPr>
          <w:p w:rsidR="00555918" w:rsidRPr="00E400E4" w:rsidRDefault="00555918" w:rsidP="000B1771">
            <w:pPr>
              <w:pStyle w:val="TableText"/>
            </w:pPr>
            <w:r w:rsidRPr="00E400E4">
              <w:t xml:space="preserve">Declared purpose for which plants, plant products, or other regulated articles are imported, produced or used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Interception (of a pest)</w:t>
            </w:r>
          </w:p>
        </w:tc>
        <w:tc>
          <w:tcPr>
            <w:tcW w:w="3491" w:type="pct"/>
          </w:tcPr>
          <w:p w:rsidR="00555918" w:rsidRPr="00E400E4" w:rsidRDefault="00555918" w:rsidP="000B1771">
            <w:pPr>
              <w:pStyle w:val="TableText"/>
            </w:pPr>
            <w:r w:rsidRPr="00E400E4">
              <w:t xml:space="preserve">The detection of a pest during inspection or testing of an imported consignment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International Plant Protection Convention (IPPC)</w:t>
            </w:r>
          </w:p>
        </w:tc>
        <w:tc>
          <w:tcPr>
            <w:tcW w:w="3491" w:type="pct"/>
          </w:tcPr>
          <w:p w:rsidR="00555918" w:rsidRPr="00E400E4" w:rsidRDefault="00555918" w:rsidP="000B1771">
            <w:pPr>
              <w:pStyle w:val="TableText"/>
            </w:pPr>
            <w:r w:rsidRPr="00E400E4">
              <w:rPr>
                <w:lang w:val="en"/>
              </w:rPr>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555918" w:rsidRPr="00E400E4" w:rsidTr="000B1771">
        <w:trPr>
          <w:cantSplit/>
        </w:trPr>
        <w:tc>
          <w:tcPr>
            <w:tcW w:w="1509" w:type="pct"/>
          </w:tcPr>
          <w:p w:rsidR="00555918" w:rsidRPr="00E400E4" w:rsidRDefault="00555918" w:rsidP="000B1771">
            <w:pPr>
              <w:pStyle w:val="TableText"/>
            </w:pPr>
            <w:r w:rsidRPr="00E400E4">
              <w:t>International Standard for Phytosanitary Measures (ISPM)</w:t>
            </w:r>
          </w:p>
        </w:tc>
        <w:tc>
          <w:tcPr>
            <w:tcW w:w="3491" w:type="pct"/>
          </w:tcPr>
          <w:p w:rsidR="00555918" w:rsidRPr="00E400E4" w:rsidRDefault="00555918" w:rsidP="000B1771">
            <w:pPr>
              <w:pStyle w:val="TableText"/>
            </w:pPr>
            <w:r w:rsidRPr="00E400E4">
              <w:t xml:space="preserve">An international standard adopted by the Conference of the Food and Agriculture Organization, the Interim Commission on Phytosanitary Measures or the Commission on Phytosanitary Measures, established under the IPPC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Introduction (of a pest)</w:t>
            </w:r>
          </w:p>
        </w:tc>
        <w:tc>
          <w:tcPr>
            <w:tcW w:w="3491" w:type="pct"/>
          </w:tcPr>
          <w:p w:rsidR="00555918" w:rsidRPr="00E400E4" w:rsidRDefault="00555918" w:rsidP="000B1771">
            <w:pPr>
              <w:pStyle w:val="TableText"/>
            </w:pPr>
            <w:r w:rsidRPr="00E400E4">
              <w:t xml:space="preserve">The entry of a pest resulting in its establishment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Larva</w:t>
            </w:r>
          </w:p>
        </w:tc>
        <w:tc>
          <w:tcPr>
            <w:tcW w:w="3491" w:type="pct"/>
          </w:tcPr>
          <w:p w:rsidR="00555918" w:rsidRPr="00E400E4" w:rsidRDefault="00555918" w:rsidP="000B1771">
            <w:pPr>
              <w:pStyle w:val="TableText"/>
            </w:pPr>
            <w:r w:rsidRPr="00E400E4">
              <w:t>A juvenile form of animal with indirect development, undergoing metamorphosis (for example, insects or amphibians).</w:t>
            </w:r>
          </w:p>
        </w:tc>
      </w:tr>
      <w:tr w:rsidR="00555918" w:rsidRPr="00E400E4" w:rsidTr="000B1771">
        <w:trPr>
          <w:cantSplit/>
        </w:trPr>
        <w:tc>
          <w:tcPr>
            <w:tcW w:w="1509" w:type="pct"/>
          </w:tcPr>
          <w:p w:rsidR="00555918" w:rsidRPr="00E400E4" w:rsidRDefault="00555918" w:rsidP="000B1771">
            <w:pPr>
              <w:pStyle w:val="TableText"/>
            </w:pPr>
            <w:r w:rsidRPr="00E400E4">
              <w:lastRenderedPageBreak/>
              <w:t>Lot</w:t>
            </w:r>
          </w:p>
        </w:tc>
        <w:tc>
          <w:tcPr>
            <w:tcW w:w="3491" w:type="pct"/>
          </w:tcPr>
          <w:p w:rsidR="00555918" w:rsidRPr="00E400E4" w:rsidRDefault="00555918" w:rsidP="000B1771">
            <w:pPr>
              <w:pStyle w:val="TableText"/>
            </w:pPr>
            <w:r w:rsidRPr="00E400E4">
              <w:t xml:space="preserve">A number of units of a single commodity, identifiable by its homogeneity of composition, origin et cetera, forming part of a consignment </w:t>
            </w:r>
            <w:r>
              <w:rPr>
                <w:noProof/>
              </w:rPr>
              <w:t>(FAO 2019b)</w:t>
            </w:r>
            <w:r w:rsidRPr="00E400E4">
              <w:t>. Within this report a ‘lot’ refers to a quantity of fruit of a single variety, harvested from a single production site during a single pick and packed at one time.</w:t>
            </w:r>
          </w:p>
        </w:tc>
      </w:tr>
      <w:tr w:rsidR="00555918" w:rsidRPr="00E400E4" w:rsidTr="000B1771">
        <w:trPr>
          <w:cantSplit/>
        </w:trPr>
        <w:tc>
          <w:tcPr>
            <w:tcW w:w="1509" w:type="pct"/>
          </w:tcPr>
          <w:p w:rsidR="00555918" w:rsidRPr="00E400E4" w:rsidRDefault="00555918" w:rsidP="000B1771">
            <w:pPr>
              <w:pStyle w:val="TableText"/>
            </w:pPr>
            <w:r w:rsidRPr="00E400E4">
              <w:t>Mature fruit</w:t>
            </w:r>
          </w:p>
        </w:tc>
        <w:tc>
          <w:tcPr>
            <w:tcW w:w="3491" w:type="pct"/>
          </w:tcPr>
          <w:p w:rsidR="00555918" w:rsidRPr="00E400E4" w:rsidRDefault="00555918" w:rsidP="000B1771">
            <w:pPr>
              <w:pStyle w:val="TableText"/>
            </w:pPr>
            <w:r w:rsidRPr="00E400E4">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555918" w:rsidRPr="00E400E4" w:rsidTr="000B1771">
        <w:trPr>
          <w:cantSplit/>
        </w:trPr>
        <w:tc>
          <w:tcPr>
            <w:tcW w:w="1509" w:type="pct"/>
          </w:tcPr>
          <w:p w:rsidR="00555918" w:rsidRPr="00E400E4" w:rsidRDefault="00555918" w:rsidP="000B1771">
            <w:pPr>
              <w:pStyle w:val="TableText"/>
            </w:pPr>
            <w:r w:rsidRPr="00E400E4">
              <w:t>National Plant Protection Organization (NPPO)</w:t>
            </w:r>
          </w:p>
        </w:tc>
        <w:tc>
          <w:tcPr>
            <w:tcW w:w="3491" w:type="pct"/>
          </w:tcPr>
          <w:p w:rsidR="00555918" w:rsidRPr="00E400E4" w:rsidRDefault="00555918" w:rsidP="000B1771">
            <w:pPr>
              <w:pStyle w:val="TableText"/>
            </w:pPr>
            <w:r w:rsidRPr="00E400E4">
              <w:t xml:space="preserve">Official service established by a government to discharge the functions specified by the IPPC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Nymph</w:t>
            </w:r>
          </w:p>
        </w:tc>
        <w:tc>
          <w:tcPr>
            <w:tcW w:w="3491" w:type="pct"/>
          </w:tcPr>
          <w:p w:rsidR="00555918" w:rsidRPr="00E400E4" w:rsidRDefault="00555918" w:rsidP="000B1771">
            <w:pPr>
              <w:pStyle w:val="TableText"/>
            </w:pPr>
            <w:r w:rsidRPr="00E400E4">
              <w:t>The immature form of some insect species that undergoes incomplete metamorphosis. It is not to be confused with larva, as its overall form is already that of the adult.</w:t>
            </w:r>
          </w:p>
        </w:tc>
      </w:tr>
      <w:tr w:rsidR="00555918" w:rsidRPr="00E400E4" w:rsidTr="000B1771">
        <w:trPr>
          <w:cantSplit/>
        </w:trPr>
        <w:tc>
          <w:tcPr>
            <w:tcW w:w="1509" w:type="pct"/>
          </w:tcPr>
          <w:p w:rsidR="00555918" w:rsidRPr="00E400E4" w:rsidRDefault="00555918" w:rsidP="000B1771">
            <w:pPr>
              <w:pStyle w:val="TableText"/>
            </w:pPr>
            <w:r w:rsidRPr="00E400E4">
              <w:rPr>
                <w:lang w:eastAsia="ja-JP"/>
              </w:rPr>
              <w:t>Official</w:t>
            </w:r>
          </w:p>
        </w:tc>
        <w:tc>
          <w:tcPr>
            <w:tcW w:w="3491" w:type="pct"/>
          </w:tcPr>
          <w:p w:rsidR="00555918" w:rsidRPr="00E400E4" w:rsidRDefault="00555918" w:rsidP="000B1771">
            <w:pPr>
              <w:pStyle w:val="TableText"/>
            </w:pPr>
            <w:r w:rsidRPr="00E400E4">
              <w:rPr>
                <w:lang w:eastAsia="ja-JP"/>
              </w:rPr>
              <w:t xml:space="preserve">Established, authorized or performed by a national plant protection organization </w:t>
            </w:r>
            <w:r>
              <w:rPr>
                <w:noProof/>
                <w:lang w:eastAsia="ja-JP"/>
              </w:rPr>
              <w:t>(FAO 2019b)</w:t>
            </w:r>
            <w:r w:rsidRPr="00E400E4">
              <w:rPr>
                <w:lang w:eastAsia="ja-JP"/>
              </w:rPr>
              <w:t>.</w:t>
            </w:r>
          </w:p>
        </w:tc>
      </w:tr>
      <w:tr w:rsidR="00555918" w:rsidRPr="00E400E4" w:rsidTr="000B1771">
        <w:trPr>
          <w:cantSplit/>
        </w:trPr>
        <w:tc>
          <w:tcPr>
            <w:tcW w:w="1509" w:type="pct"/>
          </w:tcPr>
          <w:p w:rsidR="00555918" w:rsidRPr="00E400E4" w:rsidRDefault="00555918" w:rsidP="000B1771">
            <w:pPr>
              <w:pStyle w:val="TableText"/>
            </w:pPr>
            <w:r w:rsidRPr="00E400E4">
              <w:t>Official control</w:t>
            </w:r>
          </w:p>
        </w:tc>
        <w:tc>
          <w:tcPr>
            <w:tcW w:w="3491" w:type="pct"/>
          </w:tcPr>
          <w:p w:rsidR="00555918" w:rsidRPr="00E400E4" w:rsidRDefault="00555918" w:rsidP="000B1771">
            <w:pPr>
              <w:pStyle w:val="TableText"/>
            </w:pPr>
            <w:r w:rsidRPr="00E400E4">
              <w:t xml:space="preserve">The active enforcement of mandatory phytosanitary regulations and the application of mandatory phytosanitary procedures with the objective of eradication or containment of quarantine pests or for the management of regulated non-quarantine pests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Orchard</w:t>
            </w:r>
          </w:p>
        </w:tc>
        <w:tc>
          <w:tcPr>
            <w:tcW w:w="3491" w:type="pct"/>
          </w:tcPr>
          <w:p w:rsidR="00555918" w:rsidRPr="00E400E4" w:rsidRDefault="00555918" w:rsidP="000B1771">
            <w:pPr>
              <w:pStyle w:val="TableText"/>
            </w:pPr>
            <w:r w:rsidRPr="00E400E4">
              <w:t>A contiguous area of avocado trees operated as a single entity. Within this report a single orchard is covered under one registration and is issued a unique identifying number.</w:t>
            </w:r>
          </w:p>
        </w:tc>
      </w:tr>
      <w:tr w:rsidR="00555918" w:rsidRPr="00E400E4" w:rsidTr="000B1771">
        <w:trPr>
          <w:cantSplit/>
        </w:trPr>
        <w:tc>
          <w:tcPr>
            <w:tcW w:w="1509" w:type="pct"/>
          </w:tcPr>
          <w:p w:rsidR="00555918" w:rsidRPr="00E400E4" w:rsidRDefault="00555918" w:rsidP="000B1771">
            <w:pPr>
              <w:pStyle w:val="TableText"/>
            </w:pPr>
            <w:r w:rsidRPr="00E400E4">
              <w:t>Pathogen</w:t>
            </w:r>
          </w:p>
        </w:tc>
        <w:tc>
          <w:tcPr>
            <w:tcW w:w="3491" w:type="pct"/>
          </w:tcPr>
          <w:p w:rsidR="00555918" w:rsidRPr="00E400E4" w:rsidRDefault="00555918" w:rsidP="000B1771">
            <w:pPr>
              <w:pStyle w:val="TableText"/>
            </w:pPr>
            <w:r w:rsidRPr="00E400E4">
              <w:t>A biological agent that can cause disease to its host.</w:t>
            </w:r>
          </w:p>
        </w:tc>
      </w:tr>
      <w:tr w:rsidR="00555918" w:rsidRPr="00E400E4" w:rsidTr="000B1771">
        <w:trPr>
          <w:cantSplit/>
        </w:trPr>
        <w:tc>
          <w:tcPr>
            <w:tcW w:w="1509" w:type="pct"/>
          </w:tcPr>
          <w:p w:rsidR="00555918" w:rsidRPr="00E400E4" w:rsidRDefault="00555918" w:rsidP="000B1771">
            <w:pPr>
              <w:pStyle w:val="TableText"/>
            </w:pPr>
            <w:r w:rsidRPr="00E400E4">
              <w:t>Pathway</w:t>
            </w:r>
          </w:p>
        </w:tc>
        <w:tc>
          <w:tcPr>
            <w:tcW w:w="3491" w:type="pct"/>
          </w:tcPr>
          <w:p w:rsidR="00555918" w:rsidRPr="00E400E4" w:rsidRDefault="00555918" w:rsidP="000B1771">
            <w:pPr>
              <w:pStyle w:val="TableText"/>
            </w:pPr>
            <w:r w:rsidRPr="00E400E4">
              <w:t xml:space="preserve">Any means that allows the entry or spread of a pest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Pest</w:t>
            </w:r>
          </w:p>
        </w:tc>
        <w:tc>
          <w:tcPr>
            <w:tcW w:w="3491" w:type="pct"/>
          </w:tcPr>
          <w:p w:rsidR="00555918" w:rsidRPr="00E400E4" w:rsidRDefault="00555918" w:rsidP="000B1771">
            <w:pPr>
              <w:pStyle w:val="TableText"/>
            </w:pPr>
            <w:r w:rsidRPr="00E400E4">
              <w:t xml:space="preserve">Any species, strain or biotype of plant, animal, or pathogenic agent injurious to plants or plant products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Pest categorisation</w:t>
            </w:r>
          </w:p>
        </w:tc>
        <w:tc>
          <w:tcPr>
            <w:tcW w:w="3491" w:type="pct"/>
          </w:tcPr>
          <w:p w:rsidR="00555918" w:rsidRPr="00E400E4" w:rsidRDefault="00555918" w:rsidP="000B1771">
            <w:pPr>
              <w:pStyle w:val="TableText"/>
            </w:pPr>
            <w:r w:rsidRPr="00E400E4">
              <w:t xml:space="preserve">The process for determining whether a pest has or has not the characteristics of a quarantine pest or those of a regulated non-quarantine pest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Pest free area (PFA)</w:t>
            </w:r>
          </w:p>
        </w:tc>
        <w:tc>
          <w:tcPr>
            <w:tcW w:w="3491" w:type="pct"/>
          </w:tcPr>
          <w:p w:rsidR="00555918" w:rsidRPr="00E400E4" w:rsidRDefault="00555918" w:rsidP="000B1771">
            <w:pPr>
              <w:pStyle w:val="TableText"/>
            </w:pPr>
            <w:r w:rsidRPr="00E400E4">
              <w:t xml:space="preserve">An area in which a specific pest does not occur as demonstrated by scientific evidence and in which, where appropriate, this condition is being officially maintained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Pest free place of production</w:t>
            </w:r>
          </w:p>
        </w:tc>
        <w:tc>
          <w:tcPr>
            <w:tcW w:w="3491" w:type="pct"/>
          </w:tcPr>
          <w:p w:rsidR="00555918" w:rsidRPr="00E400E4" w:rsidRDefault="00555918" w:rsidP="000B1771">
            <w:pPr>
              <w:pStyle w:val="TableText"/>
            </w:pPr>
            <w:r w:rsidRPr="00E400E4">
              <w:t xml:space="preserve">Place of production in which a specific pest is absent as demonstrated by scientific evidence and in which, where appropriate, this condition is being officially maintained for a defined period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Pest free production site</w:t>
            </w:r>
          </w:p>
        </w:tc>
        <w:tc>
          <w:tcPr>
            <w:tcW w:w="3491" w:type="pct"/>
          </w:tcPr>
          <w:p w:rsidR="00555918" w:rsidRPr="00E400E4" w:rsidRDefault="00555918" w:rsidP="000B1771">
            <w:pPr>
              <w:pStyle w:val="TableText"/>
            </w:pPr>
            <w:r w:rsidRPr="00E400E4">
              <w:t xml:space="preserve">A </w:t>
            </w:r>
            <w:r w:rsidRPr="00E400E4">
              <w:rPr>
                <w:lang w:eastAsia="ja-JP"/>
              </w:rPr>
              <w:t>production site</w:t>
            </w:r>
            <w:r w:rsidRPr="00E400E4">
              <w:t xml:space="preserve"> in which a specific pest is absent, as demonstrated by scientific evidence, and in which, where appropriate, this condition is being officially maintained for a defined period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Pest risk analysis (PRA)</w:t>
            </w:r>
          </w:p>
        </w:tc>
        <w:tc>
          <w:tcPr>
            <w:tcW w:w="3491" w:type="pct"/>
          </w:tcPr>
          <w:p w:rsidR="00555918" w:rsidRPr="00E400E4" w:rsidRDefault="00555918" w:rsidP="000B1771">
            <w:pPr>
              <w:pStyle w:val="TableText"/>
            </w:pPr>
            <w:r w:rsidRPr="00E400E4">
              <w:t xml:space="preserve">The process of evaluating biological or other scientific and economic evidence to determine whether an organism is a pest, whether it should be regulated, and the strength of any phytosanitary measures to be taken against it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Pest risk assessment (for quarantine pests)</w:t>
            </w:r>
          </w:p>
        </w:tc>
        <w:tc>
          <w:tcPr>
            <w:tcW w:w="3491" w:type="pct"/>
          </w:tcPr>
          <w:p w:rsidR="00555918" w:rsidRPr="00E400E4" w:rsidRDefault="00555918" w:rsidP="000B1771">
            <w:pPr>
              <w:pStyle w:val="TableText"/>
            </w:pPr>
            <w:r w:rsidRPr="00E400E4">
              <w:t xml:space="preserve">Evaluation of the probability of the introduction and spread of a pest and of the magnitude of the associated potential economic consequences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Pest risk assessment (for regulated non-quarantine pests)</w:t>
            </w:r>
          </w:p>
        </w:tc>
        <w:tc>
          <w:tcPr>
            <w:tcW w:w="3491" w:type="pct"/>
          </w:tcPr>
          <w:p w:rsidR="00555918" w:rsidRPr="00E400E4" w:rsidRDefault="00555918" w:rsidP="000B1771">
            <w:pPr>
              <w:pStyle w:val="TableText"/>
            </w:pPr>
            <w:r w:rsidRPr="00E400E4">
              <w:t xml:space="preserve">Evaluation of the probability that a pest in plants for planting affects the intended use of those plants with an economically unacceptable impact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Pest risk management (for quarantine pests)</w:t>
            </w:r>
          </w:p>
        </w:tc>
        <w:tc>
          <w:tcPr>
            <w:tcW w:w="3491" w:type="pct"/>
          </w:tcPr>
          <w:p w:rsidR="00555918" w:rsidRPr="00E400E4" w:rsidRDefault="00555918" w:rsidP="000B1771">
            <w:pPr>
              <w:pStyle w:val="TableText"/>
            </w:pPr>
            <w:r w:rsidRPr="00E400E4">
              <w:t xml:space="preserve">Evaluation and selection of options to reduce the risk of introduction and spread of a pest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Pest risk management (for regulated non-quarantine pests)</w:t>
            </w:r>
          </w:p>
        </w:tc>
        <w:tc>
          <w:tcPr>
            <w:tcW w:w="3491" w:type="pct"/>
          </w:tcPr>
          <w:p w:rsidR="00555918" w:rsidRPr="00E400E4" w:rsidRDefault="00555918" w:rsidP="000B1771">
            <w:pPr>
              <w:pStyle w:val="TableText"/>
            </w:pPr>
            <w:r w:rsidRPr="00E400E4">
              <w:t xml:space="preserve">Evaluation and selection of options to reduce the risk that a pest in plants for planting causes an economically unacceptable impact on the intended use of those plants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lastRenderedPageBreak/>
              <w:t>Pest status (in an area)</w:t>
            </w:r>
          </w:p>
        </w:tc>
        <w:tc>
          <w:tcPr>
            <w:tcW w:w="3491" w:type="pct"/>
          </w:tcPr>
          <w:p w:rsidR="00555918" w:rsidRPr="00E400E4" w:rsidRDefault="00555918" w:rsidP="000B1771">
            <w:pPr>
              <w:pStyle w:val="TableText"/>
            </w:pPr>
            <w:r w:rsidRPr="00E400E4">
              <w:t xml:space="preserve">Presence or absence, at the present time, of a pest in an area, including where appropriate its distribution, as officially determined using expert judgement on the basis of current and historical pest records and other information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Phytosanitary certificate</w:t>
            </w:r>
          </w:p>
        </w:tc>
        <w:tc>
          <w:tcPr>
            <w:tcW w:w="3491" w:type="pct"/>
          </w:tcPr>
          <w:p w:rsidR="00555918" w:rsidRPr="00E400E4" w:rsidRDefault="00555918" w:rsidP="000B1771">
            <w:pPr>
              <w:pStyle w:val="TableText"/>
            </w:pPr>
            <w:r w:rsidRPr="00E400E4">
              <w:t xml:space="preserve">An official paper document or its official electronic equivalent, consistent with the model of certificates of the IPPC, attesting that a consignment meets phytosanitary import requirements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Phytosanitary certification</w:t>
            </w:r>
          </w:p>
        </w:tc>
        <w:tc>
          <w:tcPr>
            <w:tcW w:w="3491" w:type="pct"/>
          </w:tcPr>
          <w:p w:rsidR="00555918" w:rsidRPr="00E400E4" w:rsidRDefault="00555918" w:rsidP="000B1771">
            <w:pPr>
              <w:pStyle w:val="TableText"/>
            </w:pPr>
            <w:r w:rsidRPr="00E400E4">
              <w:t xml:space="preserve">Use of phytosanitary procedures leading to the issue of a phytosanitary certificate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Phytosanitary measure</w:t>
            </w:r>
          </w:p>
        </w:tc>
        <w:tc>
          <w:tcPr>
            <w:tcW w:w="3491" w:type="pct"/>
          </w:tcPr>
          <w:p w:rsidR="00555918" w:rsidRPr="00E400E4" w:rsidRDefault="00555918" w:rsidP="000B1771">
            <w:pPr>
              <w:pStyle w:val="TableText"/>
            </w:pPr>
            <w:r w:rsidRPr="00E400E4">
              <w:t xml:space="preserve">Phytosanitary relates to the health of plants. Any legislation, regulation or official procedure having the purpose to prevent the introduction and/or spread of quarantine pests, or to limit the economic impact of regulated non-quarantine pests </w:t>
            </w:r>
            <w:r>
              <w:rPr>
                <w:noProof/>
              </w:rPr>
              <w:t>(FAO 2019b)</w:t>
            </w:r>
            <w:r w:rsidRPr="00E400E4">
              <w:t xml:space="preserve">. In this risk analysis the term ‘phytosanitary measure’ and ‘risk management measure’ may be used interchangeably. </w:t>
            </w:r>
          </w:p>
        </w:tc>
      </w:tr>
      <w:tr w:rsidR="00555918" w:rsidRPr="00E400E4" w:rsidTr="000B1771">
        <w:trPr>
          <w:cantSplit/>
        </w:trPr>
        <w:tc>
          <w:tcPr>
            <w:tcW w:w="1509" w:type="pct"/>
          </w:tcPr>
          <w:p w:rsidR="00555918" w:rsidRPr="00E400E4" w:rsidRDefault="00555918" w:rsidP="000B1771">
            <w:pPr>
              <w:pStyle w:val="TableText"/>
            </w:pPr>
            <w:r w:rsidRPr="00E400E4">
              <w:t>Phytosanitary procedure</w:t>
            </w:r>
          </w:p>
        </w:tc>
        <w:tc>
          <w:tcPr>
            <w:tcW w:w="3491" w:type="pct"/>
          </w:tcPr>
          <w:p w:rsidR="00555918" w:rsidRPr="00E400E4" w:rsidRDefault="00555918" w:rsidP="000B1771">
            <w:pPr>
              <w:pStyle w:val="TableText"/>
            </w:pPr>
            <w:r w:rsidRPr="00E400E4">
              <w:t xml:space="preserve">Any official method for implementing phytosanitary measures including the performance of inspections, tests, surveillance or treatments in connection with regulated pests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Phytosanitary regulation</w:t>
            </w:r>
          </w:p>
        </w:tc>
        <w:tc>
          <w:tcPr>
            <w:tcW w:w="3491" w:type="pct"/>
          </w:tcPr>
          <w:p w:rsidR="00555918" w:rsidRPr="00E400E4" w:rsidRDefault="00555918" w:rsidP="000B1771">
            <w:pPr>
              <w:pStyle w:val="TableText"/>
            </w:pPr>
            <w:r w:rsidRPr="00E400E4">
              <w:t xml:space="preserve">Official rule to prevent the introduction and/or spread of quarantine pests, or to limit the economic impact of regulated non-quarantine pests, including establishment of procedures for phytosanitary certification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rPr>
                <w:lang w:eastAsia="ja-JP"/>
              </w:rPr>
              <w:t>Place of production</w:t>
            </w:r>
          </w:p>
        </w:tc>
        <w:tc>
          <w:tcPr>
            <w:tcW w:w="3491" w:type="pct"/>
          </w:tcPr>
          <w:p w:rsidR="00555918" w:rsidRPr="00E400E4" w:rsidRDefault="00555918" w:rsidP="000B1771">
            <w:pPr>
              <w:pStyle w:val="TableText"/>
            </w:pPr>
            <w:r w:rsidRPr="00E400E4">
              <w:t xml:space="preserve">Any premises or collection of fields operated as a single production or farming unit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Polyphagous</w:t>
            </w:r>
          </w:p>
        </w:tc>
        <w:tc>
          <w:tcPr>
            <w:tcW w:w="3491" w:type="pct"/>
          </w:tcPr>
          <w:p w:rsidR="00555918" w:rsidRPr="00E400E4" w:rsidRDefault="00555918" w:rsidP="000B1771">
            <w:pPr>
              <w:pStyle w:val="TableText"/>
            </w:pPr>
            <w:r w:rsidRPr="00E400E4">
              <w:t>Feeding on a relatively large number of hosts from different plant family and/or genera.</w:t>
            </w:r>
          </w:p>
        </w:tc>
      </w:tr>
      <w:tr w:rsidR="00555918" w:rsidRPr="00E400E4" w:rsidTr="000B1771">
        <w:trPr>
          <w:cantSplit/>
        </w:trPr>
        <w:tc>
          <w:tcPr>
            <w:tcW w:w="1509" w:type="pct"/>
          </w:tcPr>
          <w:p w:rsidR="00555918" w:rsidRPr="00E400E4" w:rsidRDefault="00555918" w:rsidP="000B1771">
            <w:pPr>
              <w:pStyle w:val="TableText"/>
            </w:pPr>
            <w:r w:rsidRPr="00E400E4">
              <w:t>PRA area</w:t>
            </w:r>
          </w:p>
        </w:tc>
        <w:tc>
          <w:tcPr>
            <w:tcW w:w="3491" w:type="pct"/>
          </w:tcPr>
          <w:p w:rsidR="00555918" w:rsidRPr="00E400E4" w:rsidRDefault="00555918" w:rsidP="000B1771">
            <w:pPr>
              <w:pStyle w:val="TableText"/>
            </w:pPr>
            <w:r w:rsidRPr="00E400E4">
              <w:t xml:space="preserve">Area in relation to which a pest risk analysis is conducted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rPr>
                <w:lang w:eastAsia="ja-JP"/>
              </w:rPr>
              <w:t>Practically free (of a consignment, field or place of production)</w:t>
            </w:r>
          </w:p>
        </w:tc>
        <w:tc>
          <w:tcPr>
            <w:tcW w:w="3491" w:type="pct"/>
          </w:tcPr>
          <w:p w:rsidR="00555918" w:rsidRPr="00E400E4" w:rsidRDefault="00555918" w:rsidP="000B1771">
            <w:pPr>
              <w:pStyle w:val="TableText"/>
            </w:pPr>
            <w:r w:rsidRPr="00E400E4">
              <w:t xml:space="preserve"> Without pests (or a specific pest) in numbers or quantities in excess of those that can be expected to result from, and be consistent with, good cultural and handling practices employed in the production and marketing of the commodity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Production site</w:t>
            </w:r>
          </w:p>
        </w:tc>
        <w:tc>
          <w:tcPr>
            <w:tcW w:w="3491" w:type="pct"/>
          </w:tcPr>
          <w:p w:rsidR="00555918" w:rsidRPr="00E400E4" w:rsidRDefault="00555918" w:rsidP="000B1771">
            <w:pPr>
              <w:pStyle w:val="TableText"/>
            </w:pPr>
            <w:r w:rsidRPr="00E400E4">
              <w:rPr>
                <w:lang w:eastAsia="ja-JP"/>
              </w:rPr>
              <w:t xml:space="preserve">A defined part of a place of production, that is managed as a separate unit for phytosanitary purposes </w:t>
            </w:r>
            <w:r>
              <w:rPr>
                <w:noProof/>
                <w:lang w:eastAsia="ja-JP"/>
              </w:rPr>
              <w:t>(FAO 2019b)</w:t>
            </w:r>
            <w:r w:rsidRPr="00E400E4">
              <w:rPr>
                <w:lang w:eastAsia="ja-JP"/>
              </w:rPr>
              <w:t xml:space="preserve">. </w:t>
            </w:r>
            <w:r w:rsidRPr="00E400E4">
              <w:t>In this report, a production site is a continuous planting of avocado trees treated as a single unit for pest management purposes. If an orchard is subdivided into one or more units for pest management purposes, then each unit is a production site. If the orchard is not subdivided, then the orchard is also the production site.</w:t>
            </w:r>
          </w:p>
        </w:tc>
      </w:tr>
      <w:tr w:rsidR="00555918" w:rsidRPr="00E400E4" w:rsidTr="000B1771">
        <w:trPr>
          <w:cantSplit/>
        </w:trPr>
        <w:tc>
          <w:tcPr>
            <w:tcW w:w="1509" w:type="pct"/>
          </w:tcPr>
          <w:p w:rsidR="00555918" w:rsidRPr="00E400E4" w:rsidRDefault="00555918" w:rsidP="000B1771">
            <w:pPr>
              <w:pStyle w:val="TableText"/>
            </w:pPr>
            <w:r w:rsidRPr="00E400E4">
              <w:t>Pupa</w:t>
            </w:r>
          </w:p>
        </w:tc>
        <w:tc>
          <w:tcPr>
            <w:tcW w:w="3491" w:type="pct"/>
          </w:tcPr>
          <w:p w:rsidR="00555918" w:rsidRPr="00E400E4" w:rsidRDefault="00555918" w:rsidP="000B1771">
            <w:pPr>
              <w:pStyle w:val="TableText"/>
            </w:pPr>
            <w:r w:rsidRPr="00E400E4">
              <w:t>An inactive life stage that only occurs in insects that undergo complete metamorphosis, for example butterflies and moths (Lepidoptera), beetles (Coleoptera) and bees, wasps and ants (Hymenoptera).</w:t>
            </w:r>
          </w:p>
        </w:tc>
      </w:tr>
      <w:tr w:rsidR="00555918" w:rsidRPr="00E400E4" w:rsidTr="000B1771">
        <w:trPr>
          <w:cantSplit/>
        </w:trPr>
        <w:tc>
          <w:tcPr>
            <w:tcW w:w="1509" w:type="pct"/>
          </w:tcPr>
          <w:p w:rsidR="00555918" w:rsidRPr="00E400E4" w:rsidRDefault="00555918" w:rsidP="000B1771">
            <w:pPr>
              <w:pStyle w:val="TableText"/>
            </w:pPr>
            <w:r w:rsidRPr="00E400E4">
              <w:t>Quarantine</w:t>
            </w:r>
          </w:p>
        </w:tc>
        <w:tc>
          <w:tcPr>
            <w:tcW w:w="3491" w:type="pct"/>
          </w:tcPr>
          <w:p w:rsidR="00555918" w:rsidRPr="00E400E4" w:rsidRDefault="00555918" w:rsidP="000B1771">
            <w:pPr>
              <w:pStyle w:val="TableText"/>
            </w:pPr>
            <w:r w:rsidRPr="00E400E4">
              <w:t xml:space="preserve">Official confinement of regulated articles, pests or beneficial organisms for inspection, testing, treatment, observation or research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Quarantine pest</w:t>
            </w:r>
          </w:p>
        </w:tc>
        <w:tc>
          <w:tcPr>
            <w:tcW w:w="3491" w:type="pct"/>
          </w:tcPr>
          <w:p w:rsidR="00555918" w:rsidRPr="00E400E4" w:rsidRDefault="00555918" w:rsidP="000B1771">
            <w:pPr>
              <w:pStyle w:val="TableText"/>
            </w:pPr>
            <w:r w:rsidRPr="00E400E4">
              <w:t xml:space="preserve">A pest of potential economic importance to the area endangered thereby and not yet present there, or present but not widely distributed and being officially controlled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Regulated article</w:t>
            </w:r>
          </w:p>
        </w:tc>
        <w:tc>
          <w:tcPr>
            <w:tcW w:w="3491" w:type="pct"/>
          </w:tcPr>
          <w:p w:rsidR="00555918" w:rsidRPr="00E400E4" w:rsidRDefault="00555918" w:rsidP="000B1771">
            <w:pPr>
              <w:pStyle w:val="TableText"/>
            </w:pPr>
            <w:r w:rsidRPr="00E400E4">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Regulated non-quarantine pest</w:t>
            </w:r>
          </w:p>
        </w:tc>
        <w:tc>
          <w:tcPr>
            <w:tcW w:w="3491" w:type="pct"/>
          </w:tcPr>
          <w:p w:rsidR="00555918" w:rsidRPr="00E400E4" w:rsidRDefault="00555918" w:rsidP="000B1771">
            <w:pPr>
              <w:pStyle w:val="TableText"/>
            </w:pPr>
            <w:r w:rsidRPr="00E400E4">
              <w:t xml:space="preserve">A non-quarantine pest whose presence in plants for planting affects the intended use of those plants with an economically unacceptable impact and which is therefore regulated within the territory of the importing contracting party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Regulated pest</w:t>
            </w:r>
          </w:p>
        </w:tc>
        <w:tc>
          <w:tcPr>
            <w:tcW w:w="3491" w:type="pct"/>
          </w:tcPr>
          <w:p w:rsidR="00555918" w:rsidRPr="00E400E4" w:rsidRDefault="00555918" w:rsidP="000B1771">
            <w:pPr>
              <w:pStyle w:val="TableText"/>
            </w:pPr>
            <w:r w:rsidRPr="00E400E4">
              <w:t xml:space="preserve">A quarantine pest or a regulated non-quarantine pest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Restricted risk</w:t>
            </w:r>
          </w:p>
        </w:tc>
        <w:tc>
          <w:tcPr>
            <w:tcW w:w="3491" w:type="pct"/>
          </w:tcPr>
          <w:p w:rsidR="00555918" w:rsidRPr="00E400E4" w:rsidRDefault="00555918" w:rsidP="000B1771">
            <w:pPr>
              <w:pStyle w:val="TableText"/>
            </w:pPr>
            <w:r w:rsidRPr="00E400E4">
              <w:t>Restricted risk is the risk estimate when risk management measures are applied.</w:t>
            </w:r>
          </w:p>
        </w:tc>
      </w:tr>
      <w:tr w:rsidR="00555918" w:rsidRPr="00E400E4" w:rsidTr="000B1771">
        <w:trPr>
          <w:cantSplit/>
        </w:trPr>
        <w:tc>
          <w:tcPr>
            <w:tcW w:w="1509" w:type="pct"/>
          </w:tcPr>
          <w:p w:rsidR="00555918" w:rsidRPr="00E400E4" w:rsidRDefault="00555918" w:rsidP="000B1771">
            <w:pPr>
              <w:pStyle w:val="TableText"/>
            </w:pPr>
            <w:r w:rsidRPr="00E400E4">
              <w:lastRenderedPageBreak/>
              <w:t>Risk analysis</w:t>
            </w:r>
          </w:p>
        </w:tc>
        <w:tc>
          <w:tcPr>
            <w:tcW w:w="3491" w:type="pct"/>
          </w:tcPr>
          <w:p w:rsidR="00555918" w:rsidRPr="00E400E4" w:rsidRDefault="00555918" w:rsidP="000B1771">
            <w:pPr>
              <w:pStyle w:val="TableText"/>
            </w:pPr>
            <w:r w:rsidRPr="00E400E4">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555918" w:rsidRPr="00E400E4" w:rsidTr="000B1771">
        <w:trPr>
          <w:cantSplit/>
        </w:trPr>
        <w:tc>
          <w:tcPr>
            <w:tcW w:w="1509" w:type="pct"/>
          </w:tcPr>
          <w:p w:rsidR="00555918" w:rsidRPr="00E400E4" w:rsidRDefault="00555918" w:rsidP="000B1771">
            <w:pPr>
              <w:pStyle w:val="TableText"/>
            </w:pPr>
            <w:r w:rsidRPr="00E400E4">
              <w:t>Risk management measure</w:t>
            </w:r>
          </w:p>
        </w:tc>
        <w:tc>
          <w:tcPr>
            <w:tcW w:w="3491" w:type="pct"/>
          </w:tcPr>
          <w:p w:rsidR="00555918" w:rsidRPr="00E400E4" w:rsidRDefault="00555918" w:rsidP="000B1771">
            <w:pPr>
              <w:pStyle w:val="TableText"/>
            </w:pPr>
            <w:r w:rsidRPr="00E400E4">
              <w:t>Are 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555918" w:rsidRPr="00E400E4" w:rsidTr="000B1771">
        <w:trPr>
          <w:cantSplit/>
        </w:trPr>
        <w:tc>
          <w:tcPr>
            <w:tcW w:w="1509" w:type="pct"/>
          </w:tcPr>
          <w:p w:rsidR="00555918" w:rsidRPr="00E400E4" w:rsidRDefault="00555918" w:rsidP="000B1771">
            <w:pPr>
              <w:pStyle w:val="TableText"/>
            </w:pPr>
            <w:r w:rsidRPr="00E400E4">
              <w:t>Spread (of a pest)</w:t>
            </w:r>
          </w:p>
        </w:tc>
        <w:tc>
          <w:tcPr>
            <w:tcW w:w="3491" w:type="pct"/>
          </w:tcPr>
          <w:p w:rsidR="00555918" w:rsidRPr="00E400E4" w:rsidRDefault="00555918" w:rsidP="000B1771">
            <w:pPr>
              <w:pStyle w:val="TableText"/>
            </w:pPr>
            <w:r w:rsidRPr="00E400E4">
              <w:t xml:space="preserve">Expansion of the geographical distribution of a pest within an area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SPS Agreement</w:t>
            </w:r>
          </w:p>
        </w:tc>
        <w:tc>
          <w:tcPr>
            <w:tcW w:w="3491" w:type="pct"/>
          </w:tcPr>
          <w:p w:rsidR="00555918" w:rsidRPr="00E400E4" w:rsidRDefault="00555918" w:rsidP="000B1771">
            <w:pPr>
              <w:pStyle w:val="TableText"/>
            </w:pPr>
            <w:r w:rsidRPr="00E400E4">
              <w:t>WTO Agreement on the Application of Sanitary and Phytosanitary Measures.</w:t>
            </w:r>
          </w:p>
        </w:tc>
      </w:tr>
      <w:tr w:rsidR="00555918" w:rsidRPr="00E400E4" w:rsidTr="000B1771">
        <w:trPr>
          <w:cantSplit/>
        </w:trPr>
        <w:tc>
          <w:tcPr>
            <w:tcW w:w="1509" w:type="pct"/>
          </w:tcPr>
          <w:p w:rsidR="00555918" w:rsidRPr="00E400E4" w:rsidRDefault="00555918" w:rsidP="000B1771">
            <w:pPr>
              <w:pStyle w:val="TableText"/>
            </w:pPr>
            <w:r w:rsidRPr="00E400E4">
              <w:t>Stakeholders</w:t>
            </w:r>
          </w:p>
        </w:tc>
        <w:tc>
          <w:tcPr>
            <w:tcW w:w="3491" w:type="pct"/>
          </w:tcPr>
          <w:p w:rsidR="00555918" w:rsidRPr="00E400E4" w:rsidRDefault="00555918" w:rsidP="000B1771">
            <w:pPr>
              <w:pStyle w:val="TableText"/>
            </w:pPr>
            <w:r w:rsidRPr="00E400E4">
              <w:t>Government agencies, individuals, community or industry groups or organisations, whether in Australia or overseas, including the proponent/applicant for a specific proposal, who have an interest in the policy issues.</w:t>
            </w:r>
          </w:p>
        </w:tc>
      </w:tr>
      <w:tr w:rsidR="00555918" w:rsidRPr="00E400E4" w:rsidTr="000B1771">
        <w:trPr>
          <w:cantSplit/>
        </w:trPr>
        <w:tc>
          <w:tcPr>
            <w:tcW w:w="1509" w:type="pct"/>
          </w:tcPr>
          <w:p w:rsidR="00555918" w:rsidRPr="00E400E4" w:rsidRDefault="00555918" w:rsidP="000B1771">
            <w:pPr>
              <w:pStyle w:val="TableText"/>
            </w:pPr>
            <w:r w:rsidRPr="00E400E4">
              <w:t>Surveillance</w:t>
            </w:r>
          </w:p>
        </w:tc>
        <w:tc>
          <w:tcPr>
            <w:tcW w:w="3491" w:type="pct"/>
          </w:tcPr>
          <w:p w:rsidR="00555918" w:rsidRPr="00E400E4" w:rsidRDefault="00555918" w:rsidP="000B1771">
            <w:pPr>
              <w:pStyle w:val="TableText"/>
            </w:pPr>
            <w:r w:rsidRPr="00E400E4">
              <w:t xml:space="preserve">An official process which collects and records data on pest occurrence or absence by surveying, monitoring or other procedures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Trash</w:t>
            </w:r>
          </w:p>
        </w:tc>
        <w:tc>
          <w:tcPr>
            <w:tcW w:w="3491" w:type="pct"/>
          </w:tcPr>
          <w:p w:rsidR="00555918" w:rsidRPr="00E400E4" w:rsidRDefault="00555918" w:rsidP="000B1771">
            <w:pPr>
              <w:pStyle w:val="TableText"/>
            </w:pPr>
            <w:r w:rsidRPr="00E400E4">
              <w:t>Soil, splinters, twigs, leaves and other plant material, other than fruit as defined in the scope of this risk analysis. For example, stem and leaf material, seeds, soil, animal matter/parts or other extraneous material</w:t>
            </w:r>
          </w:p>
        </w:tc>
      </w:tr>
      <w:tr w:rsidR="00555918" w:rsidRPr="00E400E4" w:rsidTr="000B1771">
        <w:trPr>
          <w:cantSplit/>
        </w:trPr>
        <w:tc>
          <w:tcPr>
            <w:tcW w:w="1509" w:type="pct"/>
          </w:tcPr>
          <w:p w:rsidR="00555918" w:rsidRPr="00E400E4" w:rsidRDefault="00555918" w:rsidP="000B1771">
            <w:pPr>
              <w:pStyle w:val="TableText"/>
            </w:pPr>
            <w:r w:rsidRPr="00E400E4">
              <w:t>Treatment</w:t>
            </w:r>
          </w:p>
        </w:tc>
        <w:tc>
          <w:tcPr>
            <w:tcW w:w="3491" w:type="pct"/>
          </w:tcPr>
          <w:p w:rsidR="00555918" w:rsidRPr="00E400E4" w:rsidRDefault="00555918" w:rsidP="000B1771">
            <w:pPr>
              <w:pStyle w:val="TableText"/>
            </w:pPr>
            <w:r w:rsidRPr="00E400E4">
              <w:t xml:space="preserve">Official procedure for the killing, inactivation or removal of pests, or for rendering pests infertile or for devitalisation </w:t>
            </w:r>
            <w:r>
              <w:rPr>
                <w:noProof/>
              </w:rPr>
              <w:t>(FAO 2019b)</w:t>
            </w:r>
            <w:r w:rsidRPr="00E400E4">
              <w:t>.</w:t>
            </w:r>
          </w:p>
        </w:tc>
      </w:tr>
      <w:tr w:rsidR="00555918" w:rsidRPr="00E400E4" w:rsidTr="000B1771">
        <w:trPr>
          <w:cantSplit/>
        </w:trPr>
        <w:tc>
          <w:tcPr>
            <w:tcW w:w="1509" w:type="pct"/>
          </w:tcPr>
          <w:p w:rsidR="00555918" w:rsidRPr="00E400E4" w:rsidRDefault="00555918" w:rsidP="000B1771">
            <w:pPr>
              <w:pStyle w:val="TableText"/>
            </w:pPr>
            <w:r w:rsidRPr="00E400E4">
              <w:t>Unrestricted risk</w:t>
            </w:r>
          </w:p>
        </w:tc>
        <w:tc>
          <w:tcPr>
            <w:tcW w:w="3491" w:type="pct"/>
          </w:tcPr>
          <w:p w:rsidR="00555918" w:rsidRPr="00E400E4" w:rsidRDefault="00555918" w:rsidP="000B1771">
            <w:pPr>
              <w:pStyle w:val="TableText"/>
            </w:pPr>
            <w:r w:rsidRPr="00E400E4">
              <w:t>Unrestricted risk estimates apply in the absence of risk management measures.</w:t>
            </w:r>
          </w:p>
        </w:tc>
      </w:tr>
      <w:tr w:rsidR="00555918" w:rsidRPr="00E400E4" w:rsidTr="000B1771">
        <w:trPr>
          <w:cantSplit/>
        </w:trPr>
        <w:tc>
          <w:tcPr>
            <w:tcW w:w="1509" w:type="pct"/>
          </w:tcPr>
          <w:p w:rsidR="00555918" w:rsidRPr="00E400E4" w:rsidRDefault="00555918" w:rsidP="000B1771">
            <w:pPr>
              <w:pStyle w:val="TableText"/>
            </w:pPr>
            <w:r w:rsidRPr="00E400E4">
              <w:t>Vector</w:t>
            </w:r>
          </w:p>
        </w:tc>
        <w:tc>
          <w:tcPr>
            <w:tcW w:w="3491" w:type="pct"/>
          </w:tcPr>
          <w:p w:rsidR="00555918" w:rsidRPr="00E400E4" w:rsidRDefault="00555918" w:rsidP="000B1771">
            <w:pPr>
              <w:pStyle w:val="TableText"/>
            </w:pPr>
            <w:r w:rsidRPr="00E400E4">
              <w:t>An organism that does not cause disease itself, but which causes infection by conveying pathogens from one host to another.</w:t>
            </w:r>
          </w:p>
        </w:tc>
      </w:tr>
      <w:tr w:rsidR="00555918" w:rsidRPr="00E400E4" w:rsidTr="000B1771">
        <w:trPr>
          <w:cantSplit/>
        </w:trPr>
        <w:tc>
          <w:tcPr>
            <w:tcW w:w="1509" w:type="pct"/>
          </w:tcPr>
          <w:p w:rsidR="00555918" w:rsidRPr="00E400E4" w:rsidRDefault="00555918" w:rsidP="000B1771">
            <w:pPr>
              <w:pStyle w:val="TableText"/>
            </w:pPr>
            <w:r w:rsidRPr="00E400E4">
              <w:t>Viable</w:t>
            </w:r>
          </w:p>
        </w:tc>
        <w:tc>
          <w:tcPr>
            <w:tcW w:w="3491" w:type="pct"/>
          </w:tcPr>
          <w:p w:rsidR="00555918" w:rsidRPr="00E400E4" w:rsidRDefault="00555918" w:rsidP="000B1771">
            <w:pPr>
              <w:pStyle w:val="TableText"/>
            </w:pPr>
            <w:r w:rsidRPr="00E400E4">
              <w:t>Alive, able to germinate or capable of growth.</w:t>
            </w:r>
          </w:p>
        </w:tc>
      </w:tr>
    </w:tbl>
    <w:p w:rsidR="00555918" w:rsidRPr="00E400E4" w:rsidRDefault="00555918" w:rsidP="000B1771"/>
    <w:p w:rsidR="00555918" w:rsidRPr="00E400E4" w:rsidRDefault="00555918" w:rsidP="000B1771">
      <w:pPr>
        <w:sectPr w:rsidR="00555918" w:rsidRPr="00E400E4">
          <w:headerReference w:type="default" r:id="rId73"/>
          <w:pgSz w:w="11906" w:h="16838"/>
          <w:pgMar w:top="1418" w:right="1418" w:bottom="1418" w:left="1418" w:header="567" w:footer="283" w:gutter="0"/>
          <w:cols w:space="708"/>
          <w:docGrid w:linePitch="360"/>
        </w:sectPr>
      </w:pPr>
    </w:p>
    <w:p w:rsidR="00555918" w:rsidRDefault="00555918" w:rsidP="000B1771">
      <w:pPr>
        <w:pStyle w:val="Heading2"/>
        <w:numPr>
          <w:ilvl w:val="0"/>
          <w:numId w:val="0"/>
        </w:numPr>
      </w:pPr>
      <w:bookmarkStart w:id="145" w:name="_Toc20392261"/>
      <w:r w:rsidRPr="00E400E4">
        <w:lastRenderedPageBreak/>
        <w:t>References</w:t>
      </w:r>
      <w:bookmarkEnd w:id="145"/>
    </w:p>
    <w:p w:rsidR="00555918" w:rsidRPr="0015743B" w:rsidRDefault="00555918" w:rsidP="000B1771">
      <w:pPr>
        <w:pStyle w:val="EndNoteBibliography"/>
        <w:spacing w:after="0"/>
      </w:pPr>
      <w:bookmarkStart w:id="146" w:name="_ENREF_1"/>
      <w:r w:rsidRPr="0015743B">
        <w:t xml:space="preserve">ABRS 2019, ‘Australian Faunal Directory’, available at </w:t>
      </w:r>
      <w:hyperlink r:id="rId74" w:history="1">
        <w:r w:rsidRPr="001F37FC">
          <w:rPr>
            <w:rStyle w:val="Hyperlink"/>
          </w:rPr>
          <w:t>https://biodiversity.org.au/afd/home</w:t>
        </w:r>
      </w:hyperlink>
      <w:r w:rsidRPr="0015743B">
        <w:t>, accessed 2019.</w:t>
      </w:r>
      <w:bookmarkEnd w:id="146"/>
    </w:p>
    <w:p w:rsidR="00555918" w:rsidRPr="0015743B" w:rsidRDefault="00555918" w:rsidP="000B1771">
      <w:pPr>
        <w:pStyle w:val="EndNoteBibliography"/>
        <w:spacing w:after="0"/>
      </w:pPr>
      <w:bookmarkStart w:id="147" w:name="_ENREF_2"/>
      <w:r w:rsidRPr="0015743B">
        <w:t xml:space="preserve">Agostini, E, Tapia, S, Zamar, MI &amp; Aguirre, C 2005, </w:t>
      </w:r>
      <w:r w:rsidRPr="0015743B">
        <w:rPr>
          <w:i/>
        </w:rPr>
        <w:t>Diversidad de especies de trips y relación de sus poblaciones en cultivos de palto con diferentes tratamientos químicos en Jujuy (Argentina)</w:t>
      </w:r>
      <w:r w:rsidRPr="0015743B">
        <w:t xml:space="preserve">, Estación Experimental de Cultivos Tropicales Yuto, available at </w:t>
      </w:r>
      <w:hyperlink r:id="rId75" w:history="1">
        <w:r w:rsidRPr="001F37FC">
          <w:rPr>
            <w:rStyle w:val="Hyperlink"/>
          </w:rPr>
          <w:t>http://www.inta.gov.ar/yuto/info/documentos/entomologia/trips.pdf</w:t>
        </w:r>
      </w:hyperlink>
      <w:r w:rsidRPr="0015743B">
        <w:t xml:space="preserve"> (pdf 30.95 kb).</w:t>
      </w:r>
      <w:bookmarkEnd w:id="147"/>
    </w:p>
    <w:p w:rsidR="00555918" w:rsidRPr="0015743B" w:rsidRDefault="00555918" w:rsidP="000B1771">
      <w:pPr>
        <w:pStyle w:val="EndNoteBibliography"/>
        <w:spacing w:after="0"/>
      </w:pPr>
      <w:bookmarkStart w:id="148" w:name="_ENREF_3"/>
      <w:r w:rsidRPr="0015743B">
        <w:t xml:space="preserve">Aguayo Silva, J, Alvarado Ojeda, A, Baldini Umutia, A, Cerda Martinez, LC, Emanualli Avilés, P, Kirkendall, LR &amp; Sartori Ruilova, A 2008, </w:t>
      </w:r>
      <w:r w:rsidRPr="0015743B">
        <w:rPr>
          <w:i/>
        </w:rPr>
        <w:t>Manual de plagas y enfermedades del bosque nativo en Chile</w:t>
      </w:r>
      <w:r w:rsidRPr="0015743B">
        <w:t>, Baldini Umutia, A &amp; Alvarado Ojeda, A (eds), Editora e Imprenta Maval Ltda, Santiago de Chile.</w:t>
      </w:r>
      <w:bookmarkEnd w:id="148"/>
    </w:p>
    <w:p w:rsidR="00555918" w:rsidRPr="0015743B" w:rsidRDefault="00555918" w:rsidP="000B1771">
      <w:pPr>
        <w:pStyle w:val="EndNoteBibliography"/>
        <w:spacing w:after="0"/>
      </w:pPr>
      <w:bookmarkStart w:id="149" w:name="_ENREF_4"/>
      <w:r w:rsidRPr="0015743B">
        <w:t xml:space="preserve">Aguilera-Montãnez, JL &amp; Salazar-Garcia, S 1991, ‘The avocado industry in Michoacan, Mexico’, </w:t>
      </w:r>
      <w:r w:rsidRPr="0015743B">
        <w:rPr>
          <w:i/>
        </w:rPr>
        <w:t>South African Avocado Growers' Association Yearbook</w:t>
      </w:r>
      <w:r w:rsidRPr="0015743B">
        <w:t>, vol. 14, pp. 94-7.</w:t>
      </w:r>
      <w:bookmarkEnd w:id="149"/>
    </w:p>
    <w:p w:rsidR="00555918" w:rsidRPr="0015743B" w:rsidRDefault="00555918" w:rsidP="000B1771">
      <w:pPr>
        <w:pStyle w:val="EndNoteBibliography"/>
        <w:spacing w:after="0"/>
      </w:pPr>
      <w:bookmarkStart w:id="150" w:name="_ENREF_5"/>
      <w:r w:rsidRPr="0015743B">
        <w:t xml:space="preserve">Ahlmark, K &amp; Steck, GJ 1997, ‘A new U.S. record for a secondary fruit infester, </w:t>
      </w:r>
      <w:r w:rsidRPr="0015743B">
        <w:rPr>
          <w:i/>
        </w:rPr>
        <w:t>Neosilba batesi</w:t>
      </w:r>
      <w:r w:rsidRPr="0015743B">
        <w:t xml:space="preserve"> (Curran) (Diptera: Lonchaeidae)’, </w:t>
      </w:r>
      <w:r w:rsidRPr="0015743B">
        <w:rPr>
          <w:i/>
        </w:rPr>
        <w:t>Insecta Mundi</w:t>
      </w:r>
      <w:r w:rsidRPr="0015743B">
        <w:t>, vol. 11, no. 2, p. 116.</w:t>
      </w:r>
      <w:bookmarkEnd w:id="150"/>
    </w:p>
    <w:p w:rsidR="00555918" w:rsidRPr="0015743B" w:rsidRDefault="00555918" w:rsidP="000B1771">
      <w:pPr>
        <w:pStyle w:val="EndNoteBibliography"/>
        <w:spacing w:after="0"/>
      </w:pPr>
      <w:bookmarkStart w:id="151" w:name="_ENREF_6"/>
      <w:r w:rsidRPr="0015743B">
        <w:t xml:space="preserve">Alcock, J 1971, ‘The behavior of a stinkbug, </w:t>
      </w:r>
      <w:r w:rsidRPr="0015743B">
        <w:rPr>
          <w:i/>
        </w:rPr>
        <w:t>Euschistus conspersus</w:t>
      </w:r>
      <w:r w:rsidRPr="0015743B">
        <w:t xml:space="preserve"> Uhler (Hemiptera: Pentatomidae)’, </w:t>
      </w:r>
      <w:r w:rsidRPr="0015743B">
        <w:rPr>
          <w:i/>
        </w:rPr>
        <w:t>Psyche</w:t>
      </w:r>
      <w:r w:rsidRPr="0015743B">
        <w:t>, vol. 78, no. 4, pp. 215-28.</w:t>
      </w:r>
      <w:bookmarkEnd w:id="151"/>
    </w:p>
    <w:p w:rsidR="00555918" w:rsidRPr="0015743B" w:rsidRDefault="00555918" w:rsidP="000B1771">
      <w:pPr>
        <w:pStyle w:val="EndNoteBibliography"/>
        <w:spacing w:after="0"/>
      </w:pPr>
      <w:bookmarkStart w:id="152" w:name="_ENREF_7"/>
      <w:r w:rsidRPr="0015743B">
        <w:t xml:space="preserve">Alford, DV 2007, </w:t>
      </w:r>
      <w:r w:rsidRPr="0015743B">
        <w:rPr>
          <w:i/>
        </w:rPr>
        <w:t>Pest of fruit crops: a colour handbook</w:t>
      </w:r>
      <w:r w:rsidRPr="0015743B">
        <w:t>, Manson Publishing, London, UK.</w:t>
      </w:r>
      <w:bookmarkEnd w:id="152"/>
    </w:p>
    <w:p w:rsidR="00555918" w:rsidRPr="0015743B" w:rsidRDefault="00555918" w:rsidP="000B1771">
      <w:pPr>
        <w:pStyle w:val="EndNoteBibliography"/>
        <w:spacing w:after="0"/>
      </w:pPr>
      <w:bookmarkStart w:id="153" w:name="_ENREF_8"/>
      <w:r w:rsidRPr="0015743B">
        <w:t xml:space="preserve">Alonso-Zarazaga, MA &amp; Goldarazena, A 2005, ‘Presencia en al País Vasco de </w:t>
      </w:r>
      <w:r w:rsidRPr="0015743B">
        <w:rPr>
          <w:i/>
        </w:rPr>
        <w:t>Rhyephenes humeralis</w:t>
      </w:r>
      <w:r w:rsidRPr="0015743B">
        <w:t xml:space="preserve"> (Coleoptera, Curculionidae), plaga de </w:t>
      </w:r>
      <w:r w:rsidRPr="0015743B">
        <w:rPr>
          <w:i/>
        </w:rPr>
        <w:t>Pinus radiata</w:t>
      </w:r>
      <w:r w:rsidRPr="0015743B">
        <w:t xml:space="preserve"> procedente de Chile’ (Presence in the Basque country of </w:t>
      </w:r>
      <w:r w:rsidRPr="0015743B">
        <w:rPr>
          <w:i/>
        </w:rPr>
        <w:t>Rhyephenes humeralis</w:t>
      </w:r>
      <w:r w:rsidRPr="0015743B">
        <w:t xml:space="preserve"> (Coleoptera, Curculionidae), a pest of </w:t>
      </w:r>
      <w:r w:rsidRPr="0015743B">
        <w:rPr>
          <w:i/>
        </w:rPr>
        <w:t>Pinus radiata</w:t>
      </w:r>
      <w:r w:rsidRPr="0015743B">
        <w:t xml:space="preserve"> coming from Chile), </w:t>
      </w:r>
      <w:r w:rsidRPr="0015743B">
        <w:rPr>
          <w:i/>
        </w:rPr>
        <w:t>Boletin Sociedad Entomológica Aragonesa</w:t>
      </w:r>
      <w:r w:rsidRPr="0015743B">
        <w:t xml:space="preserve">, vol. 36, pp. 143-6. </w:t>
      </w:r>
      <w:bookmarkEnd w:id="153"/>
    </w:p>
    <w:p w:rsidR="00555918" w:rsidRPr="0015743B" w:rsidRDefault="00555918" w:rsidP="000B1771">
      <w:pPr>
        <w:pStyle w:val="EndNoteBibliography"/>
        <w:spacing w:after="0"/>
      </w:pPr>
      <w:bookmarkStart w:id="154" w:name="_ENREF_9"/>
      <w:r w:rsidRPr="0015743B">
        <w:t xml:space="preserve">Anderson, CM 1996, </w:t>
      </w:r>
      <w:r w:rsidRPr="0015743B">
        <w:rPr>
          <w:i/>
        </w:rPr>
        <w:t>Manual para productores de naranja y mandarina de la región del Río Uruguay</w:t>
      </w:r>
      <w:r w:rsidRPr="0015743B">
        <w:t>, INTA, Estación Experimental Agropecuaria Concordia, Argentina.</w:t>
      </w:r>
      <w:bookmarkEnd w:id="154"/>
    </w:p>
    <w:p w:rsidR="00555918" w:rsidRPr="0015743B" w:rsidRDefault="00555918" w:rsidP="000B1771">
      <w:pPr>
        <w:pStyle w:val="EndNoteBibliography"/>
        <w:spacing w:after="0"/>
      </w:pPr>
      <w:bookmarkStart w:id="155" w:name="_ENREF_10"/>
      <w:r w:rsidRPr="0015743B">
        <w:t xml:space="preserve">Angulo, AO, Jana-Saenz, C, Parra, LE &amp; Castillo, EE 1990, ‘Lista de </w:t>
      </w:r>
      <w:r w:rsidRPr="0015743B">
        <w:rPr>
          <w:i/>
        </w:rPr>
        <w:t xml:space="preserve">Lepidopteros noctuidos </w:t>
      </w:r>
      <w:r w:rsidRPr="0015743B">
        <w:t xml:space="preserve">asociados a algunos cultivos en Chile (Lepidoptera: Noctuidae): status sistematico actual’ (List of </w:t>
      </w:r>
      <w:r w:rsidRPr="0015743B">
        <w:rPr>
          <w:i/>
        </w:rPr>
        <w:t>Lepidopterous noctuids</w:t>
      </w:r>
      <w:r w:rsidRPr="0015743B">
        <w:t xml:space="preserve"> associated with some crops in Chile (Lepidoptera: Noctuidae): systematic status today), </w:t>
      </w:r>
      <w:r w:rsidRPr="0015743B">
        <w:rPr>
          <w:i/>
        </w:rPr>
        <w:t>Gayana Zoologia</w:t>
      </w:r>
      <w:r w:rsidRPr="0015743B">
        <w:t xml:space="preserve">, vol. 54, no. 1-2, pp. 51-61. </w:t>
      </w:r>
      <w:bookmarkEnd w:id="155"/>
    </w:p>
    <w:p w:rsidR="00555918" w:rsidRPr="0015743B" w:rsidRDefault="00555918" w:rsidP="000B1771">
      <w:pPr>
        <w:pStyle w:val="EndNoteBibliography"/>
        <w:spacing w:after="0"/>
      </w:pPr>
      <w:bookmarkStart w:id="156" w:name="_ENREF_11"/>
      <w:r w:rsidRPr="0015743B">
        <w:t xml:space="preserve">Anon 1943, ‘Principales enfermedades de origen parasitario que fueron objeto de consulta en el semestre (Enero-Junio) de 1943’ (in Spainish ), </w:t>
      </w:r>
      <w:r w:rsidRPr="0015743B">
        <w:rPr>
          <w:i/>
        </w:rPr>
        <w:t xml:space="preserve">Boletín de Sanidad Vegetal </w:t>
      </w:r>
      <w:r w:rsidRPr="0015743B">
        <w:t>vol. 3, pp. 38-9.</w:t>
      </w:r>
      <w:bookmarkEnd w:id="156"/>
    </w:p>
    <w:p w:rsidR="00555918" w:rsidRPr="0015743B" w:rsidRDefault="00555918" w:rsidP="000B1771">
      <w:pPr>
        <w:pStyle w:val="EndNoteBibliography"/>
        <w:spacing w:after="0"/>
      </w:pPr>
      <w:bookmarkStart w:id="157" w:name="_ENREF_12"/>
      <w:r w:rsidRPr="0015743B">
        <w:t xml:space="preserve">Aponte, O &amp; McMurty, JA 1997, ‘Damage on 'Hass' avocado leaves, webbing and nesting behaviour of </w:t>
      </w:r>
      <w:r w:rsidRPr="0015743B">
        <w:rPr>
          <w:i/>
        </w:rPr>
        <w:t>Oligonychus perseae</w:t>
      </w:r>
      <w:r w:rsidRPr="0015743B">
        <w:t xml:space="preserve"> (Acari: Tetranychidae)’, </w:t>
      </w:r>
      <w:r w:rsidRPr="0015743B">
        <w:rPr>
          <w:i/>
        </w:rPr>
        <w:t>Experimental and Applied Acarology</w:t>
      </w:r>
      <w:r w:rsidRPr="0015743B">
        <w:t>, vol. 21, no. 5, pp. 265-72.</w:t>
      </w:r>
      <w:bookmarkEnd w:id="157"/>
    </w:p>
    <w:p w:rsidR="00555918" w:rsidRPr="0015743B" w:rsidRDefault="00555918" w:rsidP="000B1771">
      <w:pPr>
        <w:pStyle w:val="EndNoteBibliography"/>
        <w:spacing w:after="0"/>
      </w:pPr>
      <w:bookmarkStart w:id="158" w:name="_ENREF_13"/>
      <w:r w:rsidRPr="0015743B">
        <w:t xml:space="preserve">Araya, JE, Curkovic, T &amp; Zárate, H 2007, ‘Mortality of </w:t>
      </w:r>
      <w:r w:rsidRPr="0015743B">
        <w:rPr>
          <w:i/>
        </w:rPr>
        <w:t>Frankliniella occidentalis</w:t>
      </w:r>
      <w:r w:rsidRPr="0015743B">
        <w:t xml:space="preserve"> (Pergande) (Thysanoptera: Thripidae) by gamma irradiation’, </w:t>
      </w:r>
      <w:r w:rsidRPr="0015743B">
        <w:rPr>
          <w:i/>
        </w:rPr>
        <w:t>Agricultura Técnica</w:t>
      </w:r>
      <w:r w:rsidRPr="0015743B">
        <w:t>, vol. 67, pp. 196-200.</w:t>
      </w:r>
      <w:bookmarkEnd w:id="158"/>
    </w:p>
    <w:p w:rsidR="00555918" w:rsidRPr="0015743B" w:rsidRDefault="00555918" w:rsidP="000B1771">
      <w:pPr>
        <w:pStyle w:val="EndNoteBibliography"/>
        <w:spacing w:after="0"/>
      </w:pPr>
      <w:bookmarkStart w:id="159" w:name="_ENREF_14"/>
      <w:r w:rsidRPr="0015743B">
        <w:t xml:space="preserve">Atkinson, TH, Saucedo Cespedes, E, Martinez Fernandez, E &amp; Burgos Solorio, A 1986, ‘Coleopteros Scolytidae y Platypodidae asociados con las comunidades vegetales de clima templado y frio en el estado de Morelos, Mexico’ (in Spanish), </w:t>
      </w:r>
      <w:r w:rsidRPr="0015743B">
        <w:rPr>
          <w:i/>
        </w:rPr>
        <w:t>Acta Zoologica Mexicana</w:t>
      </w:r>
      <w:r w:rsidRPr="0015743B">
        <w:t>, vol. 17, pp. 1-58.</w:t>
      </w:r>
      <w:bookmarkEnd w:id="159"/>
    </w:p>
    <w:p w:rsidR="00555918" w:rsidRPr="0015743B" w:rsidRDefault="00555918" w:rsidP="000B1771">
      <w:pPr>
        <w:pStyle w:val="EndNoteBibliography"/>
        <w:spacing w:after="0"/>
      </w:pPr>
      <w:bookmarkStart w:id="160" w:name="_ENREF_15"/>
      <w:r w:rsidRPr="0015743B">
        <w:t xml:space="preserve">Australian Government Department of Agriculture and Water Resources 2017, </w:t>
      </w:r>
      <w:r w:rsidRPr="0015743B">
        <w:rPr>
          <w:i/>
        </w:rPr>
        <w:t>Final group pest risk analysis for thrips and orthotospoviruses on fresh fruit, vegetable, cut-flower and foliage imports</w:t>
      </w:r>
      <w:r w:rsidRPr="0015743B">
        <w:t xml:space="preserve">, Department of Agriculture and Water Resources, Canberra, available at </w:t>
      </w:r>
      <w:hyperlink r:id="rId76" w:history="1">
        <w:r w:rsidRPr="001F37FC">
          <w:rPr>
            <w:rStyle w:val="Hyperlink"/>
          </w:rPr>
          <w:t>http://www.agriculture.gov.au/biosecurity/risk-analysis/group-pest-risk-analyses/group-pra-thrips-orthotospoviruses/final-report</w:t>
        </w:r>
      </w:hyperlink>
      <w:r w:rsidRPr="0015743B">
        <w:t xml:space="preserve"> (pdf 3.95 mb).</w:t>
      </w:r>
      <w:bookmarkEnd w:id="160"/>
    </w:p>
    <w:p w:rsidR="00555918" w:rsidRPr="0015743B" w:rsidRDefault="00555918" w:rsidP="000B1771">
      <w:pPr>
        <w:pStyle w:val="EndNoteBibliography"/>
        <w:spacing w:after="0"/>
      </w:pPr>
      <w:bookmarkStart w:id="161" w:name="_ENREF_16"/>
      <w:r w:rsidRPr="0015743B">
        <w:t xml:space="preserve">Ayquipa Aycho, G, Mendocilla Bacilio, R &amp; Neyra, S 2009, ‘Insectos plaga, predatores y parasitoides en el cultivo de palto, </w:t>
      </w:r>
      <w:r w:rsidRPr="0015743B">
        <w:rPr>
          <w:i/>
        </w:rPr>
        <w:t>Persea Americana,</w:t>
      </w:r>
      <w:r w:rsidRPr="0015743B">
        <w:t xml:space="preserve"> en el Fundo San Miguel, Virú, La Libertad, </w:t>
      </w:r>
      <w:r w:rsidRPr="0015743B">
        <w:lastRenderedPageBreak/>
        <w:t xml:space="preserve">Perú’ (Insect pests, predators and parasitoids in the avocado cultivar, </w:t>
      </w:r>
      <w:r w:rsidRPr="0015743B">
        <w:rPr>
          <w:i/>
        </w:rPr>
        <w:t>Persea americana</w:t>
      </w:r>
      <w:r w:rsidRPr="0015743B">
        <w:t xml:space="preserve">, in Fundo San Miguel, Virú, La Libertad, Perú), </w:t>
      </w:r>
      <w:r w:rsidRPr="0015743B">
        <w:rPr>
          <w:i/>
        </w:rPr>
        <w:t>Revista Rebiol</w:t>
      </w:r>
      <w:r w:rsidRPr="0015743B">
        <w:t xml:space="preserve">, vol. 29, no. 1. </w:t>
      </w:r>
      <w:bookmarkEnd w:id="161"/>
    </w:p>
    <w:p w:rsidR="00555918" w:rsidRPr="0015743B" w:rsidRDefault="00555918" w:rsidP="000B1771">
      <w:pPr>
        <w:pStyle w:val="EndNoteBibliography"/>
        <w:spacing w:after="0"/>
      </w:pPr>
      <w:bookmarkStart w:id="162" w:name="_ENREF_17"/>
      <w:r w:rsidRPr="0015743B">
        <w:t>Bahder, BW, Poojari, S, Alabi, OJ, Naidu, RA &amp; Walsh, DB 2013, ‘</w:t>
      </w:r>
      <w:r w:rsidRPr="0015743B">
        <w:rPr>
          <w:i/>
        </w:rPr>
        <w:t xml:space="preserve">Pseudococcus maritimus </w:t>
      </w:r>
      <w:r w:rsidRPr="0015743B">
        <w:t xml:space="preserve">(Hemiptera: Pseudococcidae) and </w:t>
      </w:r>
      <w:r w:rsidRPr="0015743B">
        <w:rPr>
          <w:i/>
        </w:rPr>
        <w:t xml:space="preserve">Parthenolecanium corni </w:t>
      </w:r>
      <w:r w:rsidRPr="0015743B">
        <w:t xml:space="preserve">(Hemiptera: Coccidae) are capable of transmitting grapevine leafroll-associated virus 3 between </w:t>
      </w:r>
      <w:r w:rsidRPr="0015743B">
        <w:rPr>
          <w:i/>
        </w:rPr>
        <w:t xml:space="preserve">Vitis </w:t>
      </w:r>
      <w:r w:rsidRPr="0015743B">
        <w:t xml:space="preserve">x </w:t>
      </w:r>
      <w:r w:rsidRPr="0015743B">
        <w:rPr>
          <w:i/>
        </w:rPr>
        <w:t xml:space="preserve">labruscana </w:t>
      </w:r>
      <w:r w:rsidRPr="0015743B">
        <w:t xml:space="preserve">and </w:t>
      </w:r>
      <w:r w:rsidRPr="0015743B">
        <w:rPr>
          <w:i/>
        </w:rPr>
        <w:t>Vitis vinifera</w:t>
      </w:r>
      <w:r w:rsidRPr="0015743B">
        <w:t xml:space="preserve">’, </w:t>
      </w:r>
      <w:r w:rsidRPr="0015743B">
        <w:rPr>
          <w:i/>
        </w:rPr>
        <w:t>Envionmental Entomology</w:t>
      </w:r>
      <w:r w:rsidRPr="0015743B">
        <w:t>, vol. 42, no. 6, pp. 1292-8.</w:t>
      </w:r>
      <w:bookmarkEnd w:id="162"/>
    </w:p>
    <w:p w:rsidR="00555918" w:rsidRPr="0015743B" w:rsidRDefault="00555918" w:rsidP="000B1771">
      <w:pPr>
        <w:pStyle w:val="EndNoteBibliography"/>
        <w:spacing w:after="0"/>
      </w:pPr>
      <w:bookmarkStart w:id="163" w:name="_ENREF_18"/>
      <w:r w:rsidRPr="0015743B">
        <w:t xml:space="preserve">Bailey, JB &amp; Olsen, KN 1990, ‘Control of two avocado mite pests’, </w:t>
      </w:r>
      <w:r w:rsidRPr="0015743B">
        <w:rPr>
          <w:i/>
        </w:rPr>
        <w:t>California Agriculture</w:t>
      </w:r>
      <w:r w:rsidRPr="0015743B">
        <w:t>, vol. 44, no. 2, pp. 31-2.</w:t>
      </w:r>
      <w:bookmarkEnd w:id="163"/>
    </w:p>
    <w:p w:rsidR="00555918" w:rsidRPr="0015743B" w:rsidRDefault="00555918" w:rsidP="000B1771">
      <w:pPr>
        <w:pStyle w:val="EndNoteBibliography"/>
        <w:spacing w:after="0"/>
      </w:pPr>
      <w:bookmarkStart w:id="164" w:name="_ENREF_19"/>
      <w:r w:rsidRPr="0015743B">
        <w:t xml:space="preserve">Bayındır, A &amp; Birgücü, AK 2016, ‘Effect of temperature on life history of </w:t>
      </w:r>
      <w:r w:rsidRPr="0015743B">
        <w:rPr>
          <w:i/>
        </w:rPr>
        <w:t xml:space="preserve">Chrysomphalus dictyospermi </w:t>
      </w:r>
      <w:r w:rsidRPr="0015743B">
        <w:t xml:space="preserve">(Morgan) (Hemiptera Diaspididae)’, </w:t>
      </w:r>
      <w:r w:rsidRPr="0015743B">
        <w:rPr>
          <w:i/>
        </w:rPr>
        <w:t>Redia</w:t>
      </w:r>
      <w:r w:rsidRPr="0015743B">
        <w:t>, vol. 99, no. 1, pp. 145-9.</w:t>
      </w:r>
      <w:bookmarkEnd w:id="164"/>
    </w:p>
    <w:p w:rsidR="00555918" w:rsidRPr="0015743B" w:rsidRDefault="00555918" w:rsidP="000B1771">
      <w:pPr>
        <w:pStyle w:val="EndNoteBibliography"/>
        <w:spacing w:after="0"/>
      </w:pPr>
      <w:bookmarkStart w:id="165" w:name="_ENREF_20"/>
      <w:r w:rsidRPr="0015743B">
        <w:t xml:space="preserve">Beardsley, JW, Jnr &amp; Gonzalez, RH 1975, ‘The biology and ecology of armored scales’, </w:t>
      </w:r>
      <w:r w:rsidRPr="0015743B">
        <w:rPr>
          <w:i/>
        </w:rPr>
        <w:t>Annual Review of Entomology</w:t>
      </w:r>
      <w:r w:rsidRPr="0015743B">
        <w:t>, vol. 20, pp. 47-73.</w:t>
      </w:r>
      <w:bookmarkEnd w:id="165"/>
    </w:p>
    <w:p w:rsidR="00555918" w:rsidRPr="0015743B" w:rsidRDefault="00555918" w:rsidP="000B1771">
      <w:pPr>
        <w:pStyle w:val="EndNoteBibliography"/>
        <w:spacing w:after="0"/>
      </w:pPr>
      <w:bookmarkStart w:id="166" w:name="_ENREF_21"/>
      <w:r w:rsidRPr="0015743B">
        <w:t xml:space="preserve">Beattie, GAC &amp; Gellatley, JG 2003, </w:t>
      </w:r>
      <w:r w:rsidRPr="0015743B">
        <w:rPr>
          <w:i/>
        </w:rPr>
        <w:t>Mite pests of citrus</w:t>
      </w:r>
      <w:r w:rsidRPr="0015743B">
        <w:t xml:space="preserve">, H2.AE.3 AGDEX 220/622, New South Wales Agriculture, New South Wales, available at </w:t>
      </w:r>
      <w:hyperlink r:id="rId77" w:history="1">
        <w:r w:rsidRPr="001F37FC">
          <w:rPr>
            <w:rStyle w:val="Hyperlink"/>
          </w:rPr>
          <w:t>http://www.dpi.nsw.gov.au/__data/assets/pdf_file/0006/138705/mite-pests-citrus.pdf</w:t>
        </w:r>
      </w:hyperlink>
      <w:r w:rsidRPr="0015743B">
        <w:t>.</w:t>
      </w:r>
      <w:bookmarkEnd w:id="166"/>
    </w:p>
    <w:p w:rsidR="00555918" w:rsidRPr="0015743B" w:rsidRDefault="00555918" w:rsidP="000B1771">
      <w:pPr>
        <w:pStyle w:val="EndNoteBibliography"/>
        <w:spacing w:after="0"/>
      </w:pPr>
      <w:bookmarkStart w:id="167" w:name="_ENREF_22"/>
      <w:r w:rsidRPr="0015743B">
        <w:t>Besoain, C &amp; Piontelli, LE 1999, ‘Pudrición negra en raicillas de palto (</w:t>
      </w:r>
      <w:r w:rsidRPr="0015743B">
        <w:rPr>
          <w:i/>
        </w:rPr>
        <w:t>Persea americana</w:t>
      </w:r>
      <w:r w:rsidRPr="0015743B">
        <w:t xml:space="preserve"> Mill.) por </w:t>
      </w:r>
      <w:r w:rsidRPr="0015743B">
        <w:rPr>
          <w:i/>
        </w:rPr>
        <w:t>Cylindrocarpon destructans</w:t>
      </w:r>
      <w:r w:rsidRPr="0015743B">
        <w:t xml:space="preserve">: patogenicidad y aspectos epidemiologicos’, </w:t>
      </w:r>
      <w:r w:rsidRPr="0015743B">
        <w:rPr>
          <w:i/>
        </w:rPr>
        <w:t>Boletin Micologico</w:t>
      </w:r>
      <w:r w:rsidRPr="0015743B">
        <w:t>, vol. 14, pp. 41-7.</w:t>
      </w:r>
      <w:bookmarkEnd w:id="167"/>
    </w:p>
    <w:p w:rsidR="00555918" w:rsidRPr="0015743B" w:rsidRDefault="00555918" w:rsidP="000B1771">
      <w:pPr>
        <w:pStyle w:val="EndNoteBibliography"/>
        <w:spacing w:after="0"/>
      </w:pPr>
      <w:bookmarkStart w:id="168" w:name="_ENREF_23"/>
      <w:r w:rsidRPr="0015743B">
        <w:t xml:space="preserve">Biosecurity Australia 2002, </w:t>
      </w:r>
      <w:r w:rsidRPr="0015743B">
        <w:rPr>
          <w:i/>
        </w:rPr>
        <w:t>Citrus imports from the Arab Republic of Egypt: a review under existing import conditions for citrus from Israel</w:t>
      </w:r>
      <w:r w:rsidRPr="0015743B">
        <w:t>, Department of Agriculture, Fisheries and Forestry, Canberra.</w:t>
      </w:r>
      <w:bookmarkEnd w:id="168"/>
    </w:p>
    <w:p w:rsidR="00555918" w:rsidRPr="0015743B" w:rsidRDefault="00555918" w:rsidP="000B1771">
      <w:pPr>
        <w:pStyle w:val="EndNoteBibliography"/>
        <w:spacing w:after="0"/>
      </w:pPr>
      <w:bookmarkStart w:id="169" w:name="_ENREF_24"/>
      <w:r w:rsidRPr="0015743B">
        <w:t xml:space="preserve">-- -- 2005a, </w:t>
      </w:r>
      <w:r w:rsidRPr="0015743B">
        <w:rPr>
          <w:i/>
        </w:rPr>
        <w:t>Final report: extension of existing policy for sweet oranges from Italy</w:t>
      </w:r>
      <w:r w:rsidRPr="0015743B">
        <w:t>, Department of Agriculture, Fisheries and Forestry, Canberra.</w:t>
      </w:r>
      <w:bookmarkEnd w:id="169"/>
    </w:p>
    <w:p w:rsidR="00555918" w:rsidRPr="0015743B" w:rsidRDefault="00555918" w:rsidP="000B1771">
      <w:pPr>
        <w:pStyle w:val="EndNoteBibliography"/>
        <w:spacing w:after="0"/>
      </w:pPr>
      <w:bookmarkStart w:id="170" w:name="_ENREF_25"/>
      <w:r w:rsidRPr="0015743B">
        <w:t xml:space="preserve">-- -- 2005b, </w:t>
      </w:r>
      <w:r w:rsidRPr="0015743B">
        <w:rPr>
          <w:i/>
        </w:rPr>
        <w:t>Final report: import risk analysis for table grapes from Chile</w:t>
      </w:r>
      <w:r w:rsidRPr="0015743B">
        <w:t>, Department of Agriculture, Fisheries and Forestry, Canberra.</w:t>
      </w:r>
      <w:bookmarkEnd w:id="170"/>
    </w:p>
    <w:p w:rsidR="00555918" w:rsidRPr="0015743B" w:rsidRDefault="00555918" w:rsidP="000B1771">
      <w:pPr>
        <w:pStyle w:val="EndNoteBibliography"/>
        <w:spacing w:after="0"/>
      </w:pPr>
      <w:bookmarkStart w:id="171" w:name="_ENREF_26"/>
      <w:r w:rsidRPr="0015743B">
        <w:t xml:space="preserve">-- -- 2006a, </w:t>
      </w:r>
      <w:r w:rsidRPr="0015743B">
        <w:rPr>
          <w:i/>
        </w:rPr>
        <w:t>Final report: import risk analysis for Tahitian limes from New Caledonia</w:t>
      </w:r>
      <w:r w:rsidRPr="0015743B">
        <w:t xml:space="preserve">, Biosecurity Australia, Department of Agriculture, Fisheries and Forestry, Canberra, available at </w:t>
      </w:r>
      <w:hyperlink r:id="rId78" w:history="1">
        <w:r w:rsidRPr="001F37FC">
          <w:rPr>
            <w:rStyle w:val="Hyperlink"/>
          </w:rPr>
          <w:t>http://www.agriculture.gov.au/biosecurity/risk-analysis/plant/limes-newcaledonia</w:t>
        </w:r>
      </w:hyperlink>
      <w:r w:rsidRPr="0015743B">
        <w:t xml:space="preserve"> (pdf 353 kb).</w:t>
      </w:r>
      <w:bookmarkEnd w:id="171"/>
    </w:p>
    <w:p w:rsidR="00555918" w:rsidRPr="0015743B" w:rsidRDefault="00555918" w:rsidP="000B1771">
      <w:pPr>
        <w:pStyle w:val="EndNoteBibliography"/>
        <w:spacing w:after="0"/>
      </w:pPr>
      <w:bookmarkStart w:id="172" w:name="_ENREF_27"/>
      <w:r w:rsidRPr="0015743B">
        <w:t xml:space="preserve">-- -- 2006b, </w:t>
      </w:r>
      <w:r w:rsidRPr="0015743B">
        <w:rPr>
          <w:i/>
        </w:rPr>
        <w:t>Policy for the importation of fresh mangoes (Mangifera indica L.) from Taiwan</w:t>
      </w:r>
      <w:r w:rsidRPr="0015743B">
        <w:t xml:space="preserve">, Biosecurity Australia, Department of Agriculture, Fisheries and Forestry, Canberra, available at </w:t>
      </w:r>
      <w:hyperlink r:id="rId79" w:history="1">
        <w:r w:rsidRPr="001F37FC">
          <w:rPr>
            <w:rStyle w:val="Hyperlink"/>
          </w:rPr>
          <w:t>http://www.agriculture.gov.au/biosecurity/risk-analysis/plant/mangoes-taiwan</w:t>
        </w:r>
      </w:hyperlink>
      <w:r w:rsidRPr="0015743B">
        <w:t>.</w:t>
      </w:r>
      <w:bookmarkEnd w:id="172"/>
    </w:p>
    <w:p w:rsidR="00555918" w:rsidRPr="0015743B" w:rsidRDefault="00555918" w:rsidP="000B1771">
      <w:pPr>
        <w:pStyle w:val="EndNoteBibliography"/>
        <w:spacing w:after="0"/>
      </w:pPr>
      <w:bookmarkStart w:id="173" w:name="_ENREF_28"/>
      <w:r w:rsidRPr="0015743B">
        <w:t xml:space="preserve">-- -- 2008a, </w:t>
      </w:r>
      <w:r w:rsidRPr="0015743B">
        <w:rPr>
          <w:i/>
        </w:rPr>
        <w:t>Final import risk analysis report for fresh mango fruit from India</w:t>
      </w:r>
      <w:r w:rsidRPr="0015743B">
        <w:t xml:space="preserve">, Biosecurity Australia, Department of Agriculture, Fisheries and Forestry, Canberra, available at </w:t>
      </w:r>
      <w:hyperlink r:id="rId80" w:history="1">
        <w:r w:rsidRPr="001F37FC">
          <w:rPr>
            <w:rStyle w:val="Hyperlink"/>
          </w:rPr>
          <w:t>http://www.agriculture.gov.au/biosecurity/risk-analysis/plant/mangoes-from-india</w:t>
        </w:r>
      </w:hyperlink>
      <w:r w:rsidRPr="0015743B">
        <w:t>.</w:t>
      </w:r>
      <w:bookmarkEnd w:id="173"/>
    </w:p>
    <w:p w:rsidR="00555918" w:rsidRPr="0015743B" w:rsidRDefault="00555918" w:rsidP="000B1771">
      <w:pPr>
        <w:pStyle w:val="EndNoteBibliography"/>
        <w:spacing w:after="0"/>
      </w:pPr>
      <w:bookmarkStart w:id="174" w:name="_ENREF_29"/>
      <w:r w:rsidRPr="0015743B">
        <w:t xml:space="preserve">-- -- 2008b, </w:t>
      </w:r>
      <w:r w:rsidRPr="0015743B">
        <w:rPr>
          <w:i/>
        </w:rPr>
        <w:t>Final import risk analysis report for the importation of Cavendish bananas from the Philippines. Part A, B and C</w:t>
      </w:r>
      <w:r w:rsidRPr="0015743B">
        <w:t xml:space="preserve">, Biosecurity Australia, Department of Agriculture, Fisheries and Forestry, Canberra, available at </w:t>
      </w:r>
      <w:hyperlink r:id="rId81" w:history="1">
        <w:r w:rsidRPr="001F37FC">
          <w:rPr>
            <w:rStyle w:val="Hyperlink"/>
          </w:rPr>
          <w:t>http://www.agriculture.gov.au/biosecurity/risk-analysis/plant/banana-philippines</w:t>
        </w:r>
      </w:hyperlink>
      <w:r w:rsidRPr="0015743B">
        <w:t xml:space="preserve"> (pdf 170 kb).</w:t>
      </w:r>
      <w:bookmarkEnd w:id="174"/>
    </w:p>
    <w:p w:rsidR="00555918" w:rsidRPr="0015743B" w:rsidRDefault="00555918" w:rsidP="000B1771">
      <w:pPr>
        <w:pStyle w:val="EndNoteBibliography"/>
        <w:spacing w:after="0"/>
      </w:pPr>
      <w:bookmarkStart w:id="175" w:name="_ENREF_30"/>
      <w:r w:rsidRPr="0015743B">
        <w:t xml:space="preserve">-- -- 2009, </w:t>
      </w:r>
      <w:r w:rsidRPr="0015743B">
        <w:rPr>
          <w:i/>
        </w:rPr>
        <w:t>Final import risk analysis report for fresh unshu mandarin fruit from Shizuoka prefecture in Japan</w:t>
      </w:r>
      <w:r w:rsidRPr="0015743B">
        <w:t xml:space="preserve">, Department of Agriculture, Fisheries and Forestry, Canberra, available at </w:t>
      </w:r>
      <w:hyperlink r:id="rId82" w:history="1">
        <w:r w:rsidRPr="001F37FC">
          <w:rPr>
            <w:rStyle w:val="Hyperlink"/>
          </w:rPr>
          <w:t>http://www.agriculture.gov.au/biosecurity/risk-analysis/plant/unshu-mandarin-from-japan</w:t>
        </w:r>
      </w:hyperlink>
      <w:r w:rsidRPr="0015743B">
        <w:t xml:space="preserve"> (pdf 2 mb).</w:t>
      </w:r>
      <w:bookmarkEnd w:id="175"/>
    </w:p>
    <w:p w:rsidR="00555918" w:rsidRPr="0015743B" w:rsidRDefault="00555918" w:rsidP="000B1771">
      <w:pPr>
        <w:pStyle w:val="EndNoteBibliography"/>
        <w:spacing w:after="0"/>
      </w:pPr>
      <w:bookmarkStart w:id="176" w:name="_ENREF_31"/>
      <w:r w:rsidRPr="0015743B">
        <w:t xml:space="preserve">-- -- 2010a, </w:t>
      </w:r>
      <w:r w:rsidRPr="0015743B">
        <w:rPr>
          <w:i/>
        </w:rPr>
        <w:t>Final import risk analysis report for fresh apple fruit from the People's Republic of China</w:t>
      </w:r>
      <w:r w:rsidRPr="0015743B">
        <w:t xml:space="preserve">, Biosecurity Australia, Department of Agriculture, Fisheries and Forestry, Canberra, available at </w:t>
      </w:r>
      <w:hyperlink r:id="rId83" w:history="1">
        <w:r w:rsidRPr="001F37FC">
          <w:rPr>
            <w:rStyle w:val="Hyperlink"/>
          </w:rPr>
          <w:t>http://www.agriculture.gov.au/biosecurity/risk-analysis/plant/apples-china</w:t>
        </w:r>
      </w:hyperlink>
      <w:r w:rsidRPr="0015743B">
        <w:t xml:space="preserve"> (pdf 2.9 mb).</w:t>
      </w:r>
      <w:bookmarkEnd w:id="176"/>
    </w:p>
    <w:p w:rsidR="00555918" w:rsidRPr="0015743B" w:rsidRDefault="00555918" w:rsidP="000B1771">
      <w:pPr>
        <w:pStyle w:val="EndNoteBibliography"/>
        <w:spacing w:after="0"/>
      </w:pPr>
      <w:bookmarkStart w:id="177" w:name="_ENREF_32"/>
      <w:r w:rsidRPr="0015743B">
        <w:lastRenderedPageBreak/>
        <w:t xml:space="preserve">-- -- 2010b, </w:t>
      </w:r>
      <w:r w:rsidRPr="0015743B">
        <w:rPr>
          <w:i/>
        </w:rPr>
        <w:t>Final import risk analysis report for fresh stone fruit from California, Idaho, Oregon and Washington</w:t>
      </w:r>
      <w:r w:rsidRPr="0015743B">
        <w:t xml:space="preserve">, Biosecurity Australia, Department of Agriculture, Fisheries and Forestry, Canberra, available at </w:t>
      </w:r>
      <w:hyperlink r:id="rId84" w:history="1">
        <w:r w:rsidRPr="001F37FC">
          <w:rPr>
            <w:rStyle w:val="Hyperlink"/>
          </w:rPr>
          <w:t>http://www.agriculture.gov.au/biosecurity/risk-analysis/plant/stonefruit-usa</w:t>
        </w:r>
      </w:hyperlink>
      <w:r w:rsidRPr="0015743B">
        <w:t xml:space="preserve"> (pdf 1.4 mb).</w:t>
      </w:r>
      <w:bookmarkEnd w:id="177"/>
    </w:p>
    <w:p w:rsidR="00555918" w:rsidRPr="0015743B" w:rsidRDefault="00555918" w:rsidP="000B1771">
      <w:pPr>
        <w:pStyle w:val="EndNoteBibliography"/>
        <w:spacing w:after="0"/>
      </w:pPr>
      <w:bookmarkStart w:id="178" w:name="_ENREF_33"/>
      <w:r w:rsidRPr="0015743B">
        <w:t xml:space="preserve">-- -- 2011, </w:t>
      </w:r>
      <w:r w:rsidRPr="0015743B">
        <w:rPr>
          <w:i/>
        </w:rPr>
        <w:t>Final import risk analysis report for table grapes from the People's Republic of China</w:t>
      </w:r>
      <w:r w:rsidRPr="0015743B">
        <w:t xml:space="preserve">, Department of Agriculture, Fisheries and Forestry, Canberra, available at </w:t>
      </w:r>
      <w:hyperlink r:id="rId85" w:history="1">
        <w:r w:rsidRPr="001F37FC">
          <w:rPr>
            <w:rStyle w:val="Hyperlink"/>
          </w:rPr>
          <w:t>http://www.agriculture.gov.au/biosecurity/risk-analysis/plant/table-grapes-china</w:t>
        </w:r>
      </w:hyperlink>
      <w:r w:rsidRPr="0015743B">
        <w:t xml:space="preserve"> (pdf 38 kb).</w:t>
      </w:r>
      <w:bookmarkEnd w:id="178"/>
    </w:p>
    <w:p w:rsidR="00555918" w:rsidRPr="0015743B" w:rsidRDefault="00555918" w:rsidP="000B1771">
      <w:pPr>
        <w:pStyle w:val="EndNoteBibliography"/>
        <w:spacing w:after="0"/>
      </w:pPr>
      <w:bookmarkStart w:id="179" w:name="_ENREF_34"/>
      <w:r w:rsidRPr="0015743B">
        <w:t xml:space="preserve">Bolland, HR, Gutierrez, J &amp; Flechtmann, CHW 1998, </w:t>
      </w:r>
      <w:r w:rsidRPr="0015743B">
        <w:rPr>
          <w:i/>
        </w:rPr>
        <w:t>World catalogue of the spider mite family (Acari: Tetranychidae)</w:t>
      </w:r>
      <w:r w:rsidRPr="0015743B">
        <w:t>, Brill, Boston.</w:t>
      </w:r>
      <w:bookmarkEnd w:id="179"/>
    </w:p>
    <w:p w:rsidR="00555918" w:rsidRPr="0015743B" w:rsidRDefault="00555918" w:rsidP="000B1771">
      <w:pPr>
        <w:pStyle w:val="EndNoteBibliography"/>
        <w:spacing w:after="0"/>
      </w:pPr>
      <w:bookmarkStart w:id="180" w:name="_ENREF_35"/>
      <w:r w:rsidRPr="0015743B">
        <w:t xml:space="preserve">Bradbury, JF 1986, </w:t>
      </w:r>
      <w:r w:rsidRPr="0015743B">
        <w:rPr>
          <w:i/>
        </w:rPr>
        <w:t>Guide to plant pathogenic bacteria</w:t>
      </w:r>
      <w:r w:rsidRPr="0015743B">
        <w:t>, CAB International, Slough, UK.</w:t>
      </w:r>
      <w:bookmarkEnd w:id="180"/>
    </w:p>
    <w:p w:rsidR="00555918" w:rsidRPr="0015743B" w:rsidRDefault="00555918" w:rsidP="000B1771">
      <w:pPr>
        <w:pStyle w:val="EndNoteBibliography"/>
        <w:spacing w:after="0"/>
      </w:pPr>
      <w:bookmarkStart w:id="181" w:name="_ENREF_36"/>
      <w:r w:rsidRPr="0015743B">
        <w:t xml:space="preserve">Buckley, CR &amp; Hodges, AC 2013, </w:t>
      </w:r>
      <w:r w:rsidRPr="0015743B">
        <w:rPr>
          <w:i/>
        </w:rPr>
        <w:t xml:space="preserve">Citrus snow scale: Unaspis citri </w:t>
      </w:r>
      <w:r w:rsidRPr="0015743B">
        <w:t xml:space="preserve">University of Florida, IFAS Featured Creatures, available at </w:t>
      </w:r>
      <w:hyperlink r:id="rId86" w:history="1">
        <w:r w:rsidRPr="001F37FC">
          <w:rPr>
            <w:rStyle w:val="Hyperlink"/>
          </w:rPr>
          <w:t>http://entnemdept.ufl.edu/creatures/orn/scales/citrus_snow_scale.htm</w:t>
        </w:r>
      </w:hyperlink>
      <w:r w:rsidRPr="0015743B">
        <w:t>.</w:t>
      </w:r>
      <w:bookmarkEnd w:id="181"/>
    </w:p>
    <w:p w:rsidR="00555918" w:rsidRPr="0015743B" w:rsidRDefault="00555918" w:rsidP="000B1771">
      <w:pPr>
        <w:pStyle w:val="EndNoteBibliography"/>
        <w:spacing w:after="0"/>
      </w:pPr>
      <w:bookmarkStart w:id="182" w:name="_ENREF_37"/>
      <w:r w:rsidRPr="0015743B">
        <w:t xml:space="preserve">Burges, N, Taylor, A &amp; Kumar, S 2005, ‘Phomopsis cane and leaf spot: </w:t>
      </w:r>
      <w:r w:rsidRPr="0015743B">
        <w:rPr>
          <w:i/>
        </w:rPr>
        <w:t>Phomopsis viticola</w:t>
      </w:r>
      <w:r w:rsidRPr="0015743B">
        <w:t xml:space="preserve"> (synonym: </w:t>
      </w:r>
      <w:r w:rsidRPr="0015743B">
        <w:rPr>
          <w:i/>
        </w:rPr>
        <w:t>P. viticola</w:t>
      </w:r>
      <w:r w:rsidRPr="0015743B">
        <w:t xml:space="preserve"> taxon 2) an exotic threat to Western Australia’, </w:t>
      </w:r>
      <w:r w:rsidRPr="0015743B">
        <w:rPr>
          <w:i/>
        </w:rPr>
        <w:t>Department of Agriculture Factsheet</w:t>
      </w:r>
      <w:r w:rsidRPr="0015743B">
        <w:t>, vol. 9, pp. 1-2.</w:t>
      </w:r>
      <w:bookmarkEnd w:id="182"/>
    </w:p>
    <w:p w:rsidR="00555918" w:rsidRPr="0015743B" w:rsidRDefault="00555918" w:rsidP="000B1771">
      <w:pPr>
        <w:pStyle w:val="EndNoteBibliography"/>
        <w:spacing w:after="0"/>
      </w:pPr>
      <w:bookmarkStart w:id="183" w:name="_ENREF_38"/>
      <w:r w:rsidRPr="0015743B">
        <w:t xml:space="preserve">Bush, GL 1957, ‘Some notes on the susceptibility of avocados in Mexico to attach by the Mexican fruit fly’, </w:t>
      </w:r>
      <w:r w:rsidRPr="0015743B">
        <w:rPr>
          <w:i/>
        </w:rPr>
        <w:t>Proceedings of the Rio Grande Valley Horticultural Society</w:t>
      </w:r>
      <w:r w:rsidRPr="0015743B">
        <w:t>, vol. 11, pp. 75-8.</w:t>
      </w:r>
      <w:bookmarkEnd w:id="183"/>
    </w:p>
    <w:p w:rsidR="00555918" w:rsidRPr="0015743B" w:rsidRDefault="00555918" w:rsidP="000B1771">
      <w:pPr>
        <w:pStyle w:val="EndNoteBibliography"/>
        <w:spacing w:after="0"/>
      </w:pPr>
      <w:bookmarkStart w:id="184" w:name="_ENREF_39"/>
      <w:r w:rsidRPr="0015743B">
        <w:t xml:space="preserve">Byrne, DN &amp; Bellows, TS, Jnr 1991, ‘Whitefly biology’, </w:t>
      </w:r>
      <w:r w:rsidRPr="0015743B">
        <w:rPr>
          <w:i/>
        </w:rPr>
        <w:t>Annual Review of Entomology</w:t>
      </w:r>
      <w:r w:rsidRPr="0015743B">
        <w:t>, vol. 36, pp. 431-57.</w:t>
      </w:r>
      <w:bookmarkEnd w:id="184"/>
    </w:p>
    <w:p w:rsidR="00555918" w:rsidRPr="0015743B" w:rsidRDefault="00555918" w:rsidP="000B1771">
      <w:pPr>
        <w:pStyle w:val="EndNoteBibliography"/>
        <w:spacing w:after="0"/>
      </w:pPr>
      <w:bookmarkStart w:id="185" w:name="_ENREF_40"/>
      <w:r w:rsidRPr="0015743B">
        <w:t xml:space="preserve">CABI 2012, </w:t>
      </w:r>
      <w:r w:rsidRPr="0015743B">
        <w:rPr>
          <w:i/>
        </w:rPr>
        <w:t>Distribution maps of plant diseases: Neofusicoccum parvum (Pennycook &amp; Samuels) Crous, Slippers &amp; Phillips</w:t>
      </w:r>
      <w:r w:rsidRPr="0015743B">
        <w:t xml:space="preserve">, CABI International, Wallingford, UK, available at </w:t>
      </w:r>
      <w:hyperlink r:id="rId87" w:history="1">
        <w:r w:rsidRPr="001F37FC">
          <w:rPr>
            <w:rStyle w:val="Hyperlink"/>
          </w:rPr>
          <w:t>http://www.cabi.org/publishing-products/compendia</w:t>
        </w:r>
      </w:hyperlink>
      <w:r w:rsidRPr="0015743B">
        <w:t>.</w:t>
      </w:r>
      <w:bookmarkEnd w:id="185"/>
    </w:p>
    <w:p w:rsidR="00555918" w:rsidRPr="0015743B" w:rsidRDefault="00555918" w:rsidP="000B1771">
      <w:pPr>
        <w:pStyle w:val="EndNoteBibliography"/>
        <w:spacing w:after="0"/>
      </w:pPr>
      <w:bookmarkStart w:id="186" w:name="_ENREF_41"/>
      <w:r w:rsidRPr="0015743B">
        <w:t xml:space="preserve">-- -- 2019a, ‘Crop Protection Compendium’, CAB International, Wallingford, UK, available at </w:t>
      </w:r>
      <w:hyperlink r:id="rId88" w:history="1">
        <w:r w:rsidRPr="001F37FC">
          <w:rPr>
            <w:rStyle w:val="Hyperlink"/>
          </w:rPr>
          <w:t>http://www.cabi.org/cpc/</w:t>
        </w:r>
      </w:hyperlink>
      <w:r w:rsidRPr="0015743B">
        <w:t>, accessed 2019.</w:t>
      </w:r>
      <w:bookmarkEnd w:id="186"/>
    </w:p>
    <w:p w:rsidR="00555918" w:rsidRPr="0015743B" w:rsidRDefault="00555918" w:rsidP="000B1771">
      <w:pPr>
        <w:pStyle w:val="EndNoteBibliography"/>
        <w:spacing w:after="0"/>
      </w:pPr>
      <w:bookmarkStart w:id="187" w:name="_ENREF_42"/>
      <w:r w:rsidRPr="0015743B">
        <w:t xml:space="preserve">-- -- 2019b, ‘Invasive Species Compendium’, CAB International, Wallingford, UK, available at </w:t>
      </w:r>
      <w:hyperlink r:id="rId89" w:history="1">
        <w:r w:rsidRPr="001F37FC">
          <w:rPr>
            <w:rStyle w:val="Hyperlink"/>
          </w:rPr>
          <w:t>http://www.cabi.org/isc</w:t>
        </w:r>
      </w:hyperlink>
      <w:r w:rsidRPr="0015743B">
        <w:t>, accessed 2019.</w:t>
      </w:r>
      <w:bookmarkEnd w:id="187"/>
    </w:p>
    <w:p w:rsidR="00555918" w:rsidRPr="0015743B" w:rsidRDefault="00555918" w:rsidP="000B1771">
      <w:pPr>
        <w:pStyle w:val="EndNoteBibliography"/>
        <w:spacing w:after="0"/>
      </w:pPr>
      <w:bookmarkStart w:id="188" w:name="_ENREF_43"/>
      <w:r w:rsidRPr="0015743B">
        <w:t xml:space="preserve">CABI &amp; EPPO 2016, </w:t>
      </w:r>
      <w:r w:rsidRPr="0015743B">
        <w:rPr>
          <w:i/>
        </w:rPr>
        <w:t>Data sheets on quarantine pests: Spodoptera eridania</w:t>
      </w:r>
      <w:r w:rsidRPr="0015743B">
        <w:t xml:space="preserve">, European and Mediterranean Plant Protection Organisation, University of Florida Florida, available at </w:t>
      </w:r>
      <w:hyperlink r:id="rId90" w:history="1">
        <w:r w:rsidRPr="001F37FC">
          <w:rPr>
            <w:rStyle w:val="Hyperlink"/>
          </w:rPr>
          <w:t>https://www.eppo.int/QUARANTINE/data_sheets/insects/PRODER_ds.pdf</w:t>
        </w:r>
      </w:hyperlink>
      <w:r w:rsidRPr="0015743B">
        <w:t xml:space="preserve"> (pdf 31.15 kb).</w:t>
      </w:r>
      <w:bookmarkEnd w:id="188"/>
    </w:p>
    <w:p w:rsidR="00555918" w:rsidRPr="0015743B" w:rsidRDefault="00555918" w:rsidP="000B1771">
      <w:pPr>
        <w:pStyle w:val="EndNoteBibliography"/>
        <w:spacing w:after="0"/>
      </w:pPr>
      <w:bookmarkStart w:id="189" w:name="_ENREF_44"/>
      <w:r w:rsidRPr="0015743B">
        <w:t xml:space="preserve">CABI EPPO 1964, </w:t>
      </w:r>
      <w:r w:rsidRPr="0015743B">
        <w:rPr>
          <w:i/>
        </w:rPr>
        <w:t>Commonwealth Mycological Institute, distribution maps of plant diseases, map no. 192: Panonychus citri (McG.)</w:t>
      </w:r>
      <w:r w:rsidRPr="0015743B">
        <w:t xml:space="preserve">, CAB Abstracts plus, available at </w:t>
      </w:r>
      <w:hyperlink r:id="rId91" w:history="1">
        <w:r w:rsidRPr="001F37FC">
          <w:rPr>
            <w:rStyle w:val="Hyperlink"/>
          </w:rPr>
          <w:t>http://www.cababstractsplus.org/DMPD/Index.asp</w:t>
        </w:r>
      </w:hyperlink>
      <w:r w:rsidRPr="0015743B">
        <w:t>.</w:t>
      </w:r>
      <w:bookmarkEnd w:id="189"/>
    </w:p>
    <w:p w:rsidR="00555918" w:rsidRPr="0015743B" w:rsidRDefault="00555918" w:rsidP="000B1771">
      <w:pPr>
        <w:pStyle w:val="EndNoteBibliography"/>
        <w:spacing w:after="0"/>
      </w:pPr>
      <w:bookmarkStart w:id="190" w:name="_ENREF_45"/>
      <w:r w:rsidRPr="0015743B">
        <w:t xml:space="preserve">Capinera, JL 2017, </w:t>
      </w:r>
      <w:r w:rsidRPr="0015743B">
        <w:rPr>
          <w:i/>
        </w:rPr>
        <w:t>Featured creature: corn earworm Helicoverpa zea</w:t>
      </w:r>
      <w:r w:rsidRPr="0015743B">
        <w:t xml:space="preserve">, University of Florida, available at </w:t>
      </w:r>
      <w:hyperlink r:id="rId92" w:history="1">
        <w:r w:rsidRPr="001F37FC">
          <w:rPr>
            <w:rStyle w:val="Hyperlink"/>
          </w:rPr>
          <w:t>http://entnemdept.ufl.edu/creatures/veg/corn_earworm.htm</w:t>
        </w:r>
      </w:hyperlink>
      <w:r w:rsidRPr="0015743B">
        <w:t>.</w:t>
      </w:r>
      <w:bookmarkEnd w:id="190"/>
    </w:p>
    <w:p w:rsidR="00555918" w:rsidRPr="0015743B" w:rsidRDefault="00555918" w:rsidP="000B1771">
      <w:pPr>
        <w:pStyle w:val="EndNoteBibliography"/>
        <w:spacing w:after="0"/>
      </w:pPr>
      <w:bookmarkStart w:id="191" w:name="_ENREF_46"/>
      <w:r w:rsidRPr="0015743B">
        <w:t xml:space="preserve">Castaneda-Gonzalez, EL, Gonzalez-Hernandez, H, Johansen-Naime, RM, Ochoa-Martinez, DL, Bravo-Mojica, H &amp; Solis-Aguilar, JF 2003, ‘Trips en diferentes cultivares de aguacate y en maleza asociada al cv. hass en Coatepec Harinas, estado de México’, </w:t>
      </w:r>
      <w:r w:rsidRPr="0015743B">
        <w:rPr>
          <w:i/>
        </w:rPr>
        <w:t>Proceedings of V World Avocado Congress (Actas V Congreso Mundial del Aguacate), Coatepec Harinas, Mexico</w:t>
      </w:r>
      <w:r w:rsidRPr="0015743B">
        <w:t>, Coatepec Harinas, Mexico, pp. 477-80.</w:t>
      </w:r>
      <w:bookmarkEnd w:id="191"/>
    </w:p>
    <w:p w:rsidR="00555918" w:rsidRPr="0015743B" w:rsidRDefault="00555918" w:rsidP="000B1771">
      <w:pPr>
        <w:pStyle w:val="EndNoteBibliography"/>
        <w:spacing w:after="0"/>
      </w:pPr>
      <w:bookmarkStart w:id="192" w:name="_ENREF_47"/>
      <w:r w:rsidRPr="0015743B">
        <w:t xml:space="preserve">CDFA 2015, ‘California pest rating </w:t>
      </w:r>
      <w:r w:rsidRPr="0015743B">
        <w:rPr>
          <w:i/>
        </w:rPr>
        <w:t>Pagiocerus frontalis</w:t>
      </w:r>
      <w:r w:rsidRPr="0015743B">
        <w:t xml:space="preserve"> (Fabricius): a Scolytid weevil’, </w:t>
      </w:r>
      <w:r w:rsidRPr="0015743B">
        <w:rPr>
          <w:i/>
        </w:rPr>
        <w:t>California Department of Food and Agriculture, Pest Rating Proposals and Final Ratings</w:t>
      </w:r>
      <w:r w:rsidRPr="0015743B">
        <w:t xml:space="preserve">, California Department of Food and Agriculture, California, USA, available at </w:t>
      </w:r>
      <w:hyperlink r:id="rId93" w:history="1">
        <w:r w:rsidRPr="001F37FC">
          <w:rPr>
            <w:rStyle w:val="Hyperlink"/>
          </w:rPr>
          <w:t>https://www.cdfa.ca.gov/plant/pestratings/docs/insects-and-mites/Scolytid-Weevil-Pest-Rating-B.pdf</w:t>
        </w:r>
      </w:hyperlink>
      <w:r w:rsidRPr="0015743B">
        <w:t xml:space="preserve"> (pdf 172.25 kb).</w:t>
      </w:r>
      <w:bookmarkEnd w:id="192"/>
    </w:p>
    <w:p w:rsidR="00555918" w:rsidRPr="0015743B" w:rsidRDefault="00555918" w:rsidP="000B1771">
      <w:pPr>
        <w:pStyle w:val="EndNoteBibliography"/>
        <w:spacing w:after="0"/>
      </w:pPr>
      <w:bookmarkStart w:id="193" w:name="_ENREF_48"/>
      <w:r w:rsidRPr="0015743B">
        <w:lastRenderedPageBreak/>
        <w:t xml:space="preserve">Cean, I, Cean, M &amp; Stănică, F 2012, ‘The harmful fauna of pear in ecological conditions of Bucharest in 2012’, </w:t>
      </w:r>
      <w:r w:rsidRPr="0015743B">
        <w:rPr>
          <w:i/>
        </w:rPr>
        <w:t>Scientific Papers: Series B, Horticulture</w:t>
      </w:r>
      <w:r w:rsidRPr="0015743B">
        <w:t>, vol. 56, pp. 437-42.</w:t>
      </w:r>
      <w:bookmarkEnd w:id="193"/>
    </w:p>
    <w:p w:rsidR="00555918" w:rsidRPr="0015743B" w:rsidRDefault="00555918" w:rsidP="000B1771">
      <w:pPr>
        <w:pStyle w:val="EndNoteBibliography"/>
        <w:spacing w:after="0"/>
      </w:pPr>
      <w:bookmarkStart w:id="194" w:name="_ENREF_49"/>
      <w:r w:rsidRPr="0015743B">
        <w:t>Ceja-Torres, LF, Teliz-Ortiz, D, Osada-Kawasoe, S &amp; Morales-Garcia, JL 2000, ‘Etiologia, distribucion e incidencia del Cancro del aguacate</w:t>
      </w:r>
      <w:r w:rsidRPr="0015743B">
        <w:rPr>
          <w:i/>
        </w:rPr>
        <w:t xml:space="preserve"> Persea americana</w:t>
      </w:r>
      <w:r w:rsidRPr="0015743B">
        <w:t xml:space="preserve"> Mill. en cuatro municipios del Estado de Michoacan, Mexico’ (Etiology, distribution and incidence of avocado canker </w:t>
      </w:r>
      <w:r w:rsidRPr="0015743B">
        <w:rPr>
          <w:i/>
        </w:rPr>
        <w:t>Persea americana</w:t>
      </w:r>
      <w:r w:rsidRPr="0015743B">
        <w:t xml:space="preserve"> Mill. in four municipalities of Estado de Michoacan, Mexico), </w:t>
      </w:r>
      <w:r w:rsidRPr="0015743B">
        <w:rPr>
          <w:i/>
        </w:rPr>
        <w:t>Revista Mexicana de Fitopatologia</w:t>
      </w:r>
      <w:r w:rsidRPr="0015743B">
        <w:t xml:space="preserve">, vol. 18, no. 2, pp. 79-86. </w:t>
      </w:r>
      <w:bookmarkEnd w:id="194"/>
    </w:p>
    <w:p w:rsidR="00555918" w:rsidRPr="0015743B" w:rsidRDefault="00555918" w:rsidP="000B1771">
      <w:pPr>
        <w:pStyle w:val="EndNoteBibliography"/>
        <w:spacing w:after="0"/>
      </w:pPr>
      <w:bookmarkStart w:id="195" w:name="_ENREF_50"/>
      <w:r w:rsidRPr="0015743B">
        <w:t xml:space="preserve">Cerna, E, Badii, MH, Ochoa, Y, Aguirre, LA &amp; Landeros, J 2009, ‘Tabla de vida de </w:t>
      </w:r>
      <w:r w:rsidRPr="0015743B">
        <w:rPr>
          <w:i/>
        </w:rPr>
        <w:t>Oligonychus punicae</w:t>
      </w:r>
      <w:r w:rsidRPr="0015743B">
        <w:t xml:space="preserve"> Hirst (Acari: Tetranychidae) en hojas de aguacate (</w:t>
      </w:r>
      <w:r w:rsidRPr="0015743B">
        <w:rPr>
          <w:i/>
        </w:rPr>
        <w:t xml:space="preserve">Persea americana </w:t>
      </w:r>
      <w:r w:rsidRPr="0015743B">
        <w:t xml:space="preserve">Mill) variedad hass, fuerte y criollo’ (Life table of </w:t>
      </w:r>
      <w:r w:rsidRPr="0015743B">
        <w:rPr>
          <w:i/>
        </w:rPr>
        <w:t>Oligonychus punicae</w:t>
      </w:r>
      <w:r w:rsidRPr="0015743B">
        <w:t xml:space="preserve"> Hirst (Acari: Tetranychidae) in avocado leaves (</w:t>
      </w:r>
      <w:r w:rsidRPr="0015743B">
        <w:rPr>
          <w:i/>
        </w:rPr>
        <w:t>Persea americana</w:t>
      </w:r>
      <w:r w:rsidRPr="0015743B">
        <w:t xml:space="preserve"> Mill) in the Hass, Fuerte and Criollo cultivars), </w:t>
      </w:r>
      <w:r w:rsidRPr="0015743B">
        <w:rPr>
          <w:i/>
        </w:rPr>
        <w:t>Tropico Humedo</w:t>
      </w:r>
      <w:r w:rsidRPr="0015743B">
        <w:t xml:space="preserve">, vol. 25, no. 2, pp. 133-40. </w:t>
      </w:r>
      <w:bookmarkEnd w:id="195"/>
    </w:p>
    <w:p w:rsidR="00555918" w:rsidRPr="0015743B" w:rsidRDefault="00555918" w:rsidP="000B1771">
      <w:pPr>
        <w:pStyle w:val="EndNoteBibliography"/>
        <w:spacing w:after="0"/>
      </w:pPr>
      <w:bookmarkStart w:id="196" w:name="_ENREF_51"/>
      <w:r w:rsidRPr="0015743B">
        <w:t xml:space="preserve">CHAC 2015, ‘History of Hass avocado’, Chile Hass Avocado Committee, available at </w:t>
      </w:r>
      <w:hyperlink r:id="rId94" w:history="1">
        <w:r w:rsidRPr="001F37FC">
          <w:rPr>
            <w:rStyle w:val="Hyperlink"/>
          </w:rPr>
          <w:t>http://www.paltahass.cl/ing/palta-hass</w:t>
        </w:r>
      </w:hyperlink>
      <w:r w:rsidRPr="0015743B">
        <w:t>.</w:t>
      </w:r>
      <w:bookmarkEnd w:id="196"/>
    </w:p>
    <w:p w:rsidR="00555918" w:rsidRPr="0015743B" w:rsidRDefault="00555918" w:rsidP="000B1771">
      <w:pPr>
        <w:pStyle w:val="EndNoteBibliography"/>
        <w:spacing w:after="0"/>
      </w:pPr>
      <w:bookmarkStart w:id="197" w:name="_ENREF_52"/>
      <w:r w:rsidRPr="0015743B">
        <w:t xml:space="preserve">Claps, LE, Wolff, VRS &amp; Gonzalez, RH 2001, ‘Catálogo de las Diaspididae (Hemiptera: Coccoidea) exóticas de la Argentina, Brasil y Chile’ (Catalogue of the exotic species of Diaspididae (Hemiptera: Coccoidea) from Argentina, Brazil and Chile), </w:t>
      </w:r>
      <w:r w:rsidRPr="0015743B">
        <w:rPr>
          <w:i/>
        </w:rPr>
        <w:t xml:space="preserve">Revista de la Sociedad Entomológica Argentina </w:t>
      </w:r>
      <w:r w:rsidRPr="0015743B">
        <w:t xml:space="preserve">vol. 60, pp. 9-34. </w:t>
      </w:r>
      <w:bookmarkEnd w:id="197"/>
    </w:p>
    <w:p w:rsidR="00555918" w:rsidRPr="0015743B" w:rsidRDefault="00555918" w:rsidP="000B1771">
      <w:pPr>
        <w:pStyle w:val="EndNoteBibliography"/>
        <w:spacing w:after="0"/>
      </w:pPr>
      <w:bookmarkStart w:id="198" w:name="_ENREF_53"/>
      <w:r w:rsidRPr="0015743B">
        <w:t xml:space="preserve">Climate-data.org 2017, </w:t>
      </w:r>
      <w:r w:rsidRPr="0015743B">
        <w:rPr>
          <w:i/>
        </w:rPr>
        <w:t>Climate-data.org - climate data for cities worldwide</w:t>
      </w:r>
      <w:r w:rsidRPr="0015743B">
        <w:t xml:space="preserve">, AM Online Projects, available at </w:t>
      </w:r>
      <w:hyperlink r:id="rId95" w:history="1">
        <w:r w:rsidRPr="001F37FC">
          <w:rPr>
            <w:rStyle w:val="Hyperlink"/>
          </w:rPr>
          <w:t>https://en.climate-data.org/</w:t>
        </w:r>
      </w:hyperlink>
      <w:r w:rsidRPr="0015743B">
        <w:t>.</w:t>
      </w:r>
      <w:bookmarkEnd w:id="198"/>
    </w:p>
    <w:p w:rsidR="00555918" w:rsidRPr="0015743B" w:rsidRDefault="00555918" w:rsidP="000B1771">
      <w:pPr>
        <w:pStyle w:val="EndNoteBibliography"/>
        <w:spacing w:after="0"/>
      </w:pPr>
      <w:bookmarkStart w:id="199" w:name="_ENREF_54"/>
      <w:r w:rsidRPr="0015743B">
        <w:t xml:space="preserve">CONAF 2008, </w:t>
      </w:r>
      <w:r w:rsidRPr="0015743B">
        <w:rPr>
          <w:i/>
        </w:rPr>
        <w:t>Manual de plagas y enfermedades del bosque nativo en Chile</w:t>
      </w:r>
      <w:r w:rsidRPr="0015743B">
        <w:t>, FAO, Rome.</w:t>
      </w:r>
      <w:bookmarkEnd w:id="199"/>
    </w:p>
    <w:p w:rsidR="00555918" w:rsidRPr="0015743B" w:rsidRDefault="00555918" w:rsidP="000B1771">
      <w:pPr>
        <w:pStyle w:val="EndNoteBibliography"/>
        <w:spacing w:after="0"/>
      </w:pPr>
      <w:bookmarkStart w:id="200" w:name="_ENREF_55"/>
      <w:r w:rsidRPr="0015743B">
        <w:t xml:space="preserve">Cook, KA &amp; Weinzierl, R 2004, </w:t>
      </w:r>
      <w:r w:rsidRPr="0015743B">
        <w:rPr>
          <w:i/>
        </w:rPr>
        <w:t>Corn earworm (Helicoverpa zea)</w:t>
      </w:r>
      <w:r w:rsidRPr="0015743B">
        <w:t xml:space="preserve">, Insect fact sheet, Integrated pest management, University of Illinois Extension, available at </w:t>
      </w:r>
      <w:hyperlink r:id="rId96" w:history="1">
        <w:r w:rsidRPr="001F37FC">
          <w:rPr>
            <w:rStyle w:val="Hyperlink"/>
          </w:rPr>
          <w:t>http://ipm.illinois.edu/fieldcrops/insects/corn_earworm/index.html</w:t>
        </w:r>
      </w:hyperlink>
      <w:r w:rsidRPr="0015743B">
        <w:t>.</w:t>
      </w:r>
      <w:bookmarkEnd w:id="200"/>
    </w:p>
    <w:p w:rsidR="00555918" w:rsidRPr="0015743B" w:rsidRDefault="00555918" w:rsidP="000B1771">
      <w:pPr>
        <w:pStyle w:val="EndNoteBibliography"/>
        <w:spacing w:after="0"/>
      </w:pPr>
      <w:bookmarkStart w:id="201" w:name="_ENREF_56"/>
      <w:r w:rsidRPr="0015743B">
        <w:t xml:space="preserve">Coria-Avalos, VM, Lara-Chávez, MBN, Muñoz-Flores, HJ, Ávila-Val, TC &amp; Guerrero-Tejeda, JA 2011, </w:t>
      </w:r>
      <w:r w:rsidRPr="0015743B">
        <w:rPr>
          <w:i/>
        </w:rPr>
        <w:t>El "Gusano Canasta" Oiketicus kirbyi Guilding (Lepidoptera: Psychidae) en huertos de aguacate de Michoacán, México.</w:t>
      </w:r>
      <w:r w:rsidRPr="0015743B">
        <w:t xml:space="preserve">, available at </w:t>
      </w:r>
      <w:hyperlink r:id="rId97" w:history="1">
        <w:r w:rsidRPr="001F37FC">
          <w:rPr>
            <w:rStyle w:val="Hyperlink"/>
          </w:rPr>
          <w:t>http://www.worldavocadocongress2011.com/userfiles</w:t>
        </w:r>
      </w:hyperlink>
      <w:r w:rsidRPr="0015743B">
        <w:t>.</w:t>
      </w:r>
      <w:bookmarkEnd w:id="201"/>
    </w:p>
    <w:p w:rsidR="00555918" w:rsidRPr="0015743B" w:rsidRDefault="00555918" w:rsidP="000B1771">
      <w:pPr>
        <w:pStyle w:val="EndNoteBibliography"/>
        <w:spacing w:after="0"/>
      </w:pPr>
      <w:bookmarkStart w:id="202" w:name="_ENREF_57"/>
      <w:r w:rsidRPr="0015743B">
        <w:t xml:space="preserve">Correa, M, Aguirre, C, Germain, J, Hinrichsen, P, Zaviezo, T, Malausa, T &amp; Prado, E 2011, ‘A new species of </w:t>
      </w:r>
      <w:r w:rsidRPr="0015743B">
        <w:rPr>
          <w:i/>
        </w:rPr>
        <w:t>Pseudococcus</w:t>
      </w:r>
      <w:r w:rsidRPr="0015743B">
        <w:t xml:space="preserve"> (Hemiptera: Pseudococcidae) belonging to the “</w:t>
      </w:r>
      <w:r w:rsidRPr="0015743B">
        <w:rPr>
          <w:i/>
        </w:rPr>
        <w:t>Pseudococcus maritimus</w:t>
      </w:r>
      <w:r w:rsidRPr="0015743B">
        <w:t xml:space="preserve">” complex from Chile: molecular and morphological description’, </w:t>
      </w:r>
      <w:r w:rsidRPr="0015743B">
        <w:rPr>
          <w:i/>
        </w:rPr>
        <w:t>Zootaxa</w:t>
      </w:r>
      <w:r w:rsidRPr="0015743B">
        <w:t>, vol. 2926, pp. 46-54.</w:t>
      </w:r>
      <w:bookmarkEnd w:id="202"/>
    </w:p>
    <w:p w:rsidR="00555918" w:rsidRPr="0015743B" w:rsidRDefault="00555918" w:rsidP="000B1771">
      <w:pPr>
        <w:pStyle w:val="EndNoteBibliography"/>
        <w:spacing w:after="0"/>
      </w:pPr>
      <w:bookmarkStart w:id="203" w:name="_ENREF_58"/>
      <w:r w:rsidRPr="0015743B">
        <w:t xml:space="preserve">Correa, MCG, Germain, JF, Malausa, T &amp; Zaviezo, T 2012, ‘Molecular and morphological characterization of mealybugs (Hemiptera: Pseudococcidae) from Chilean vineyards’, </w:t>
      </w:r>
      <w:r w:rsidRPr="0015743B">
        <w:rPr>
          <w:i/>
        </w:rPr>
        <w:t>Bulletin of Entomological Research</w:t>
      </w:r>
      <w:r w:rsidRPr="0015743B">
        <w:t>, vol. 102, no. 5, pp. 524-30.</w:t>
      </w:r>
      <w:bookmarkEnd w:id="203"/>
    </w:p>
    <w:p w:rsidR="00555918" w:rsidRPr="0015743B" w:rsidRDefault="00555918" w:rsidP="000B1771">
      <w:pPr>
        <w:pStyle w:val="EndNoteBibliography"/>
        <w:spacing w:after="0"/>
      </w:pPr>
      <w:bookmarkStart w:id="204" w:name="_ENREF_59"/>
      <w:r w:rsidRPr="0015743B">
        <w:t xml:space="preserve">Crane, JH, Douhan, G, Faber, BA, Arpaia, ML, Bender, GS, Balerdi, CF &amp; Barrientos-Priego, AF 2013, ‘Cultivars and rootstocks’, in </w:t>
      </w:r>
      <w:r w:rsidRPr="0015743B">
        <w:rPr>
          <w:i/>
        </w:rPr>
        <w:t>The avocado: botany, production and uses</w:t>
      </w:r>
      <w:r w:rsidRPr="0015743B">
        <w:t>, 2nd edn, Schaffer, B, Wolstenholme, BN &amp; Whiley, AW (eds), CPI Group (UK) Ltd, Croydon.</w:t>
      </w:r>
      <w:bookmarkEnd w:id="204"/>
    </w:p>
    <w:p w:rsidR="00555918" w:rsidRPr="0015743B" w:rsidRDefault="00555918" w:rsidP="000B1771">
      <w:pPr>
        <w:pStyle w:val="EndNoteBibliography"/>
        <w:spacing w:after="0"/>
      </w:pPr>
      <w:bookmarkStart w:id="205" w:name="_ENREF_60"/>
      <w:r w:rsidRPr="0015743B">
        <w:t xml:space="preserve">Crous, PW 2002, </w:t>
      </w:r>
      <w:r w:rsidRPr="0015743B">
        <w:rPr>
          <w:i/>
        </w:rPr>
        <w:t>Taxonomy and pathology of Cylindrocladium (Calonectria) and allied genera</w:t>
      </w:r>
      <w:r w:rsidRPr="0015743B">
        <w:t>, The American Phytopathological Society, Minnesota, USA.</w:t>
      </w:r>
      <w:bookmarkEnd w:id="205"/>
    </w:p>
    <w:p w:rsidR="00555918" w:rsidRPr="0015743B" w:rsidRDefault="00555918" w:rsidP="000B1771">
      <w:pPr>
        <w:pStyle w:val="EndNoteBibliography"/>
        <w:spacing w:after="0"/>
      </w:pPr>
      <w:bookmarkStart w:id="206" w:name="_ENREF_61"/>
      <w:r w:rsidRPr="0015743B">
        <w:t xml:space="preserve">CSIRO 2004, ‘Australian Insect Common Names Version 1.53’, available at </w:t>
      </w:r>
      <w:hyperlink r:id="rId98" w:history="1">
        <w:r w:rsidRPr="001F37FC">
          <w:rPr>
            <w:rStyle w:val="Hyperlink"/>
          </w:rPr>
          <w:t>http://www.ces.csiro.au/aicn/name_s/b_1.htm</w:t>
        </w:r>
      </w:hyperlink>
      <w:r w:rsidRPr="0015743B">
        <w:t>, accessed 2019.</w:t>
      </w:r>
      <w:bookmarkEnd w:id="206"/>
    </w:p>
    <w:p w:rsidR="00555918" w:rsidRPr="0015743B" w:rsidRDefault="00555918" w:rsidP="000B1771">
      <w:pPr>
        <w:pStyle w:val="EndNoteBibliography"/>
        <w:spacing w:after="0"/>
      </w:pPr>
      <w:bookmarkStart w:id="207" w:name="_ENREF_62"/>
      <w:r w:rsidRPr="0015743B">
        <w:t xml:space="preserve">Da Silva, VJ, Santos, CRMD &amp; Fernandes, JAM 2018, ‘Stink bugs (Hemiptera: Pentatomidae) from Brazilian Amazon: checklist and new records’, </w:t>
      </w:r>
      <w:r w:rsidRPr="0015743B">
        <w:rPr>
          <w:i/>
        </w:rPr>
        <w:t>Zootaxa</w:t>
      </w:r>
      <w:r w:rsidRPr="0015743B">
        <w:t>, vol. 4425, no. 3, pp. 401-55.</w:t>
      </w:r>
      <w:bookmarkEnd w:id="207"/>
    </w:p>
    <w:p w:rsidR="00555918" w:rsidRPr="0015743B" w:rsidRDefault="00555918" w:rsidP="000B1771">
      <w:pPr>
        <w:pStyle w:val="EndNoteBibliography"/>
        <w:spacing w:after="0"/>
      </w:pPr>
      <w:bookmarkStart w:id="208" w:name="_ENREF_63"/>
      <w:r w:rsidRPr="0015743B">
        <w:t xml:space="preserve">DAFF 2003, </w:t>
      </w:r>
      <w:r w:rsidRPr="0015743B">
        <w:rPr>
          <w:i/>
        </w:rPr>
        <w:t>Netherlands truss tomatoes import policy</w:t>
      </w:r>
      <w:r w:rsidRPr="0015743B">
        <w:t xml:space="preserve">, Department of Agriculture, Fisheries and Forestry, Canberra, available at </w:t>
      </w:r>
      <w:hyperlink r:id="rId99" w:history="1">
        <w:r w:rsidRPr="001F37FC">
          <w:rPr>
            <w:rStyle w:val="Hyperlink"/>
          </w:rPr>
          <w:t>http://www.agriculture.gov.au/SiteCollectionDocuments/ba/plant/ungroupeddocs/fin_neth_tomato.pdf</w:t>
        </w:r>
      </w:hyperlink>
      <w:r w:rsidRPr="0015743B">
        <w:t>.</w:t>
      </w:r>
      <w:bookmarkEnd w:id="208"/>
    </w:p>
    <w:p w:rsidR="00555918" w:rsidRPr="0015743B" w:rsidRDefault="00555918" w:rsidP="000B1771">
      <w:pPr>
        <w:pStyle w:val="EndNoteBibliography"/>
        <w:spacing w:after="0"/>
      </w:pPr>
      <w:bookmarkStart w:id="209" w:name="_ENREF_64"/>
      <w:r w:rsidRPr="0015743B">
        <w:lastRenderedPageBreak/>
        <w:t xml:space="preserve">-- -- 2004, </w:t>
      </w:r>
      <w:r w:rsidRPr="0015743B">
        <w:rPr>
          <w:i/>
        </w:rPr>
        <w:t>Persimmon fruit (Diospyros kaki L.) from Japan, Korea and Israel: final import policy</w:t>
      </w:r>
      <w:r w:rsidRPr="0015743B">
        <w:t xml:space="preserve">, Department of Agriculture, Fisheries and Forestry, Canberra, available at </w:t>
      </w:r>
      <w:hyperlink r:id="rId100" w:history="1">
        <w:r w:rsidRPr="001F37FC">
          <w:rPr>
            <w:rStyle w:val="Hyperlink"/>
          </w:rPr>
          <w:t>http://www.agriculture.gov.au/biosecurity/risk-analysis/plant/persimmons-japankoreaisreal</w:t>
        </w:r>
      </w:hyperlink>
      <w:r w:rsidRPr="0015743B">
        <w:t>.</w:t>
      </w:r>
      <w:bookmarkEnd w:id="209"/>
    </w:p>
    <w:p w:rsidR="00555918" w:rsidRPr="0015743B" w:rsidRDefault="00555918" w:rsidP="000B1771">
      <w:pPr>
        <w:pStyle w:val="EndNoteBibliography"/>
        <w:spacing w:after="0"/>
      </w:pPr>
      <w:bookmarkStart w:id="210" w:name="_ENREF_65"/>
      <w:r w:rsidRPr="0015743B">
        <w:t xml:space="preserve">-- -- 2012a, </w:t>
      </w:r>
      <w:r w:rsidRPr="0015743B">
        <w:rPr>
          <w:i/>
        </w:rPr>
        <w:t>Final import risk analysis report for the importation of fresh decrowned pineapple (Ananas comosus (L.) Merr.) fruit from Malaysia</w:t>
      </w:r>
      <w:r w:rsidRPr="0015743B">
        <w:t xml:space="preserve">, Department of Agriculture, Fisheries and Forestry, Canberra, available at </w:t>
      </w:r>
      <w:hyperlink r:id="rId101" w:history="1">
        <w:r w:rsidRPr="001F37FC">
          <w:rPr>
            <w:rStyle w:val="Hyperlink"/>
          </w:rPr>
          <w:t>http://www.agriculture.gov.au/biosecurity/risk-analysis/plant/pineapples-from-malaysia/ba2012-27-final-malaysian-pineapples</w:t>
        </w:r>
      </w:hyperlink>
      <w:r w:rsidRPr="0015743B">
        <w:t xml:space="preserve"> (PDF 1.4 mb).</w:t>
      </w:r>
      <w:bookmarkEnd w:id="210"/>
    </w:p>
    <w:p w:rsidR="00555918" w:rsidRPr="0015743B" w:rsidRDefault="00555918" w:rsidP="000B1771">
      <w:pPr>
        <w:pStyle w:val="EndNoteBibliography"/>
        <w:spacing w:after="0"/>
      </w:pPr>
      <w:bookmarkStart w:id="211" w:name="_ENREF_66"/>
      <w:r w:rsidRPr="0015743B">
        <w:t xml:space="preserve">-- -- 2012b, </w:t>
      </w:r>
      <w:r w:rsidRPr="0015743B">
        <w:rPr>
          <w:i/>
        </w:rPr>
        <w:t>Final report for the non-regulated analysis of existing policy for fresh mangosteen fruit from Indonesia</w:t>
      </w:r>
      <w:r w:rsidRPr="0015743B">
        <w:t xml:space="preserve">, Department of Agriculture, Fisheries and Forestry, Canberra, available at </w:t>
      </w:r>
      <w:hyperlink r:id="rId102" w:history="1">
        <w:r w:rsidRPr="001F37FC">
          <w:rPr>
            <w:rStyle w:val="Hyperlink"/>
          </w:rPr>
          <w:t>http://www.agriculture.gov.au/biosecurity/risk-analysis/plant/mangosteens-indonesia/ba2012-12-final-mangosteens</w:t>
        </w:r>
      </w:hyperlink>
      <w:r w:rsidRPr="0015743B">
        <w:t xml:space="preserve"> (pdf 32 kb).</w:t>
      </w:r>
      <w:bookmarkEnd w:id="211"/>
    </w:p>
    <w:p w:rsidR="00555918" w:rsidRPr="0015743B" w:rsidRDefault="00555918" w:rsidP="000B1771">
      <w:pPr>
        <w:pStyle w:val="EndNoteBibliography"/>
        <w:spacing w:after="0"/>
      </w:pPr>
      <w:bookmarkStart w:id="212" w:name="_ENREF_67"/>
      <w:r w:rsidRPr="0015743B">
        <w:t xml:space="preserve">DAFWA 2015, </w:t>
      </w:r>
      <w:r w:rsidRPr="0015743B">
        <w:rPr>
          <w:i/>
        </w:rPr>
        <w:t>Final policy review: Fresh table grape bunches (Vitis spp.) imported into Western Australia from other states and territories</w:t>
      </w:r>
      <w:r w:rsidRPr="0015743B">
        <w:t xml:space="preserve">, Department of Agriculture and Food, Western Australia, South Perth, available at </w:t>
      </w:r>
      <w:hyperlink r:id="rId103" w:history="1">
        <w:r w:rsidRPr="001F37FC">
          <w:rPr>
            <w:rStyle w:val="Hyperlink"/>
          </w:rPr>
          <w:t>https://www.agric.wa.gov.au/plant-biosecurity/table-grapes-final-policy-review</w:t>
        </w:r>
      </w:hyperlink>
      <w:r w:rsidRPr="0015743B">
        <w:t xml:space="preserve"> (pdf 5883 kb).</w:t>
      </w:r>
      <w:bookmarkEnd w:id="212"/>
    </w:p>
    <w:p w:rsidR="00555918" w:rsidRPr="0015743B" w:rsidRDefault="00555918" w:rsidP="000B1771">
      <w:pPr>
        <w:pStyle w:val="EndNoteBibliography"/>
        <w:spacing w:after="0"/>
      </w:pPr>
      <w:bookmarkStart w:id="213" w:name="_ENREF_68"/>
      <w:r w:rsidRPr="0015743B">
        <w:t xml:space="preserve">Dann, EK, Ploetz, RC, Coates, LM &amp; Pegg, KG 2013, ‘Foliar, fruit and soilborne diseases’, in </w:t>
      </w:r>
      <w:r w:rsidRPr="0015743B">
        <w:rPr>
          <w:i/>
        </w:rPr>
        <w:t>The Avocado: Botany, Production and Uses</w:t>
      </w:r>
      <w:r w:rsidRPr="0015743B">
        <w:t>, 2nd edn, Schaffer, B, Wolstenholme, BN &amp; Whiley, AW (eds), CABI, Wallingford, UK.</w:t>
      </w:r>
      <w:bookmarkEnd w:id="213"/>
    </w:p>
    <w:p w:rsidR="00555918" w:rsidRPr="0015743B" w:rsidRDefault="00555918" w:rsidP="000B1771">
      <w:pPr>
        <w:pStyle w:val="EndNoteBibliography"/>
        <w:spacing w:after="0"/>
      </w:pPr>
      <w:bookmarkStart w:id="214" w:name="_ENREF_69"/>
      <w:r w:rsidRPr="0015743B">
        <w:t xml:space="preserve">de Borbón, CM, Becerra, V, Bonomo, V, Mazzitelli, E &amp; Calvo, M 2008, ‘Trips [Insecta: Thysanoptera] en montes de cerezo en Mendoza, Argentina’ (Thrips [Insecta: Thysanoptera] in cherry orchards in Mendoza, Argentina), </w:t>
      </w:r>
      <w:r w:rsidRPr="0015743B">
        <w:rPr>
          <w:i/>
        </w:rPr>
        <w:t>Revista de la Facultad de Ciencias Agrarias</w:t>
      </w:r>
      <w:r w:rsidRPr="0015743B">
        <w:t xml:space="preserve">, vol. 40, no. 2, pp. 1-10. </w:t>
      </w:r>
      <w:bookmarkEnd w:id="214"/>
    </w:p>
    <w:p w:rsidR="00555918" w:rsidRPr="0015743B" w:rsidRDefault="00555918" w:rsidP="000B1771">
      <w:pPr>
        <w:pStyle w:val="EndNoteBibliography"/>
        <w:spacing w:after="0"/>
      </w:pPr>
      <w:bookmarkStart w:id="215" w:name="_ENREF_70"/>
      <w:r w:rsidRPr="0015743B">
        <w:t xml:space="preserve">De Lima, CPF 1995, ‘Host status of avocados to Mediterrranean fruit fly’, </w:t>
      </w:r>
      <w:r w:rsidRPr="0015743B">
        <w:rPr>
          <w:i/>
        </w:rPr>
        <w:t>Proceedings of the Australasian Postharvest Horticulture Conference held at Monash University, Melbourne, Australia, 18 September to 22 September 1995, Monash University, Melbourne</w:t>
      </w:r>
      <w:r w:rsidRPr="0015743B">
        <w:t>, Department of Natural Resources and Environment, Melbourne, pp. 335-8.</w:t>
      </w:r>
      <w:bookmarkEnd w:id="215"/>
    </w:p>
    <w:p w:rsidR="00555918" w:rsidRPr="0015743B" w:rsidRDefault="00555918" w:rsidP="000B1771">
      <w:pPr>
        <w:pStyle w:val="EndNoteBibliography"/>
        <w:spacing w:after="0"/>
      </w:pPr>
      <w:bookmarkStart w:id="216" w:name="_ENREF_71"/>
      <w:r w:rsidRPr="0015743B">
        <w:t xml:space="preserve">de Villiers, E &amp; Van den Berg, MA 1987, </w:t>
      </w:r>
      <w:r w:rsidRPr="0015743B">
        <w:rPr>
          <w:i/>
        </w:rPr>
        <w:t>Avocado insects of South Africa</w:t>
      </w:r>
      <w:r w:rsidRPr="0015743B">
        <w:t>, Citrus and Subtropical Fruit Research Institute, Germany.</w:t>
      </w:r>
      <w:bookmarkEnd w:id="216"/>
    </w:p>
    <w:p w:rsidR="00555918" w:rsidRPr="0015743B" w:rsidRDefault="00555918" w:rsidP="000B1771">
      <w:pPr>
        <w:pStyle w:val="EndNoteBibliography"/>
        <w:spacing w:after="0"/>
      </w:pPr>
      <w:bookmarkStart w:id="217" w:name="_ENREF_72"/>
      <w:r w:rsidRPr="0015743B">
        <w:t xml:space="preserve">Department of Agriculture and Water Resources 2015, </w:t>
      </w:r>
      <w:r w:rsidRPr="0015743B">
        <w:rPr>
          <w:i/>
        </w:rPr>
        <w:t>Final report for the non-regulated analysis of existing policy for fresh mango fruit from Indonesia, Thailand and Vietnam</w:t>
      </w:r>
      <w:r w:rsidRPr="0015743B">
        <w:t xml:space="preserve">, Australian Government Department of Agriculture and Water Resources, Canberra, available at </w:t>
      </w:r>
      <w:hyperlink r:id="rId104" w:history="1">
        <w:r w:rsidRPr="001F37FC">
          <w:rPr>
            <w:rStyle w:val="Hyperlink"/>
          </w:rPr>
          <w:t>http://www.agriculture.gov.au/biosecurity/risk-analysis/memos/ba2015-20</w:t>
        </w:r>
      </w:hyperlink>
      <w:r w:rsidRPr="0015743B">
        <w:t xml:space="preserve"> (pdf 3.6 mb).</w:t>
      </w:r>
      <w:bookmarkEnd w:id="217"/>
    </w:p>
    <w:p w:rsidR="00555918" w:rsidRPr="0015743B" w:rsidRDefault="00555918" w:rsidP="000B1771">
      <w:pPr>
        <w:pStyle w:val="EndNoteBibliography"/>
        <w:spacing w:after="0"/>
      </w:pPr>
      <w:bookmarkStart w:id="218" w:name="_ENREF_73"/>
      <w:r w:rsidRPr="0015743B">
        <w:t xml:space="preserve">DJPR 2019, </w:t>
      </w:r>
      <w:r w:rsidRPr="0015743B">
        <w:rPr>
          <w:i/>
        </w:rPr>
        <w:t>Plant Quarantine Manual</w:t>
      </w:r>
      <w:r w:rsidRPr="0015743B">
        <w:t xml:space="preserve">, Version 27.0, Victorian Government, Department of Jobs, Precincts and Regions (DJPR), Attwood, Victoria, available at </w:t>
      </w:r>
      <w:hyperlink r:id="rId105" w:history="1">
        <w:r w:rsidRPr="001F37FC">
          <w:rPr>
            <w:rStyle w:val="Hyperlink"/>
          </w:rPr>
          <w:t>http://agriculture.vic.gov.au/__data/assets/pdf_file/0016/305152/Plant_Quarantine_Manual.pdf</w:t>
        </w:r>
      </w:hyperlink>
      <w:r w:rsidRPr="0015743B">
        <w:t xml:space="preserve"> (pdf 684 kb).</w:t>
      </w:r>
      <w:bookmarkEnd w:id="218"/>
    </w:p>
    <w:p w:rsidR="00555918" w:rsidRPr="0015743B" w:rsidRDefault="00555918" w:rsidP="000B1771">
      <w:pPr>
        <w:pStyle w:val="EndNoteBibliography"/>
        <w:spacing w:after="0"/>
      </w:pPr>
      <w:bookmarkStart w:id="219" w:name="_ENREF_74"/>
      <w:r w:rsidRPr="0015743B">
        <w:t xml:space="preserve">Dooley, J 2017, ‘Whitefly pupa of the world’, USDA-APHIS-PPQ-Lucid, available at </w:t>
      </w:r>
      <w:hyperlink r:id="rId106" w:history="1">
        <w:r w:rsidRPr="001F37FC">
          <w:rPr>
            <w:rStyle w:val="Hyperlink"/>
          </w:rPr>
          <w:t>http://keys.lucidcentral.org/keys/v3/whitefly/Old/Homepage.htm</w:t>
        </w:r>
      </w:hyperlink>
      <w:r w:rsidRPr="0015743B">
        <w:t>, accessed 2017.</w:t>
      </w:r>
      <w:bookmarkEnd w:id="219"/>
    </w:p>
    <w:p w:rsidR="00555918" w:rsidRPr="0015743B" w:rsidRDefault="00555918" w:rsidP="000B1771">
      <w:pPr>
        <w:pStyle w:val="EndNoteBibliography"/>
        <w:spacing w:after="0"/>
      </w:pPr>
      <w:bookmarkStart w:id="220" w:name="_ENREF_75"/>
      <w:r w:rsidRPr="0015743B">
        <w:t xml:space="preserve">DPIRD 2019, ‘Quarantine WA Import Requirements’, Government of Western Australia Department of Primary Industries and Regional Development, available at </w:t>
      </w:r>
      <w:hyperlink r:id="rId107" w:history="1">
        <w:r w:rsidRPr="001F37FC">
          <w:rPr>
            <w:rStyle w:val="Hyperlink"/>
          </w:rPr>
          <w:t>https://www.agric.wa.gov.au/qtine/default.asp</w:t>
        </w:r>
      </w:hyperlink>
      <w:r w:rsidRPr="0015743B">
        <w:t>, accessed 2019.</w:t>
      </w:r>
      <w:bookmarkEnd w:id="220"/>
    </w:p>
    <w:p w:rsidR="00555918" w:rsidRPr="0015743B" w:rsidRDefault="00555918" w:rsidP="000B1771">
      <w:pPr>
        <w:pStyle w:val="EndNoteBibliography"/>
        <w:spacing w:after="0"/>
      </w:pPr>
      <w:bookmarkStart w:id="221" w:name="_ENREF_76"/>
      <w:r w:rsidRPr="0015743B">
        <w:t xml:space="preserve">Ebeling, W 1959, </w:t>
      </w:r>
      <w:r w:rsidRPr="0015743B">
        <w:rPr>
          <w:i/>
        </w:rPr>
        <w:t>Subtropical fruit pests</w:t>
      </w:r>
      <w:r w:rsidRPr="0015743B">
        <w:t>, University of California, Division of Agricultural Sciences, Berkeley.</w:t>
      </w:r>
      <w:bookmarkEnd w:id="221"/>
    </w:p>
    <w:p w:rsidR="00555918" w:rsidRPr="0015743B" w:rsidRDefault="00555918" w:rsidP="000B1771">
      <w:pPr>
        <w:pStyle w:val="EndNoteBibliography"/>
        <w:spacing w:after="0"/>
      </w:pPr>
      <w:bookmarkStart w:id="222" w:name="_ENREF_77"/>
      <w:r w:rsidRPr="0015743B">
        <w:t xml:space="preserve">Ebeling, W &amp; Pence, RJ 1952, ‘Pests of the avocado’, </w:t>
      </w:r>
      <w:r w:rsidRPr="0015743B">
        <w:rPr>
          <w:i/>
        </w:rPr>
        <w:t>California Avocado Society 1952 Yearbook</w:t>
      </w:r>
      <w:r w:rsidRPr="0015743B">
        <w:t>, vol. 37, pp. 113-33.</w:t>
      </w:r>
      <w:bookmarkEnd w:id="222"/>
    </w:p>
    <w:p w:rsidR="00555918" w:rsidRPr="0015743B" w:rsidRDefault="00555918" w:rsidP="000B1771">
      <w:pPr>
        <w:pStyle w:val="EndNoteBibliography"/>
        <w:spacing w:after="0"/>
      </w:pPr>
      <w:bookmarkStart w:id="223" w:name="_ENREF_78"/>
      <w:r w:rsidRPr="0015743B">
        <w:t xml:space="preserve">Ehara, S 1969, ‘The tetranychoid mites of Taiwan (Acarina: Prostigmata)’, </w:t>
      </w:r>
      <w:r w:rsidRPr="0015743B">
        <w:rPr>
          <w:i/>
        </w:rPr>
        <w:t>Journal of the Faculty of Education Tottori University Natural Science</w:t>
      </w:r>
      <w:r w:rsidRPr="0015743B">
        <w:t>, vol. 20, pp. 79-103.</w:t>
      </w:r>
      <w:bookmarkEnd w:id="223"/>
    </w:p>
    <w:p w:rsidR="00555918" w:rsidRPr="0015743B" w:rsidRDefault="00555918" w:rsidP="000B1771">
      <w:pPr>
        <w:pStyle w:val="EndNoteBibliography"/>
        <w:spacing w:after="0"/>
      </w:pPr>
      <w:bookmarkStart w:id="224" w:name="_ENREF_79"/>
      <w:r w:rsidRPr="0015743B">
        <w:lastRenderedPageBreak/>
        <w:t xml:space="preserve">Elgueta, M &amp; Marvaldi, AE 2006, ‘Lista sistemática de las especies de Curculionoidea (Insecta: Coleoptera) presentes en Chile, con su sinonimia’ (Systematic list of Chilean Curculionoidea species (Insecta: Coleoptera), with its synonymy), </w:t>
      </w:r>
      <w:r w:rsidRPr="0015743B">
        <w:rPr>
          <w:i/>
        </w:rPr>
        <w:t>Boletín del Museo Nacional de Historia Natural, Chile</w:t>
      </w:r>
      <w:r w:rsidRPr="0015743B">
        <w:t xml:space="preserve">, vol. 55, pp. 113-53. </w:t>
      </w:r>
      <w:bookmarkEnd w:id="224"/>
    </w:p>
    <w:p w:rsidR="00555918" w:rsidRPr="0015743B" w:rsidRDefault="00555918" w:rsidP="000B1771">
      <w:pPr>
        <w:pStyle w:val="EndNoteBibliography"/>
        <w:spacing w:after="0"/>
      </w:pPr>
      <w:bookmarkStart w:id="225" w:name="_ENREF_80"/>
      <w:r w:rsidRPr="0015743B">
        <w:t xml:space="preserve">EPPO 2015, </w:t>
      </w:r>
      <w:r w:rsidRPr="0015743B">
        <w:rPr>
          <w:i/>
        </w:rPr>
        <w:t>EPPO study on pest risks associated with the import of tomato fruit</w:t>
      </w:r>
      <w:r w:rsidRPr="0015743B">
        <w:t>, 1068, EPPO, Paris.</w:t>
      </w:r>
      <w:bookmarkEnd w:id="225"/>
    </w:p>
    <w:p w:rsidR="00555918" w:rsidRPr="0015743B" w:rsidRDefault="00555918" w:rsidP="000B1771">
      <w:pPr>
        <w:pStyle w:val="EndNoteBibliography"/>
        <w:spacing w:after="0"/>
      </w:pPr>
      <w:bookmarkStart w:id="226" w:name="_ENREF_81"/>
      <w:r w:rsidRPr="0015743B">
        <w:t>-- -- 2018, ‘</w:t>
      </w:r>
      <w:r w:rsidRPr="0015743B">
        <w:rPr>
          <w:i/>
        </w:rPr>
        <w:t>Naupactus xanthographus</w:t>
      </w:r>
      <w:r w:rsidRPr="0015743B">
        <w:t xml:space="preserve"> (Coleoptera: Curculionidae): addition to the EPPO Alert List’, </w:t>
      </w:r>
      <w:r w:rsidRPr="0015743B">
        <w:rPr>
          <w:i/>
        </w:rPr>
        <w:t>EPPO Global Database</w:t>
      </w:r>
      <w:r w:rsidRPr="0015743B">
        <w:t xml:space="preserve">, OEPP EPPO, available at </w:t>
      </w:r>
      <w:hyperlink r:id="rId108" w:history="1">
        <w:r w:rsidRPr="000B1771">
          <w:rPr>
            <w:rStyle w:val="Hyperlink"/>
          </w:rPr>
          <w:t>https://gd.eppo.int/reporting/article-6221</w:t>
        </w:r>
      </w:hyperlink>
      <w:r w:rsidRPr="0015743B">
        <w:t>.</w:t>
      </w:r>
      <w:bookmarkEnd w:id="226"/>
    </w:p>
    <w:p w:rsidR="00555918" w:rsidRPr="0015743B" w:rsidRDefault="00555918" w:rsidP="000B1771">
      <w:pPr>
        <w:pStyle w:val="EndNoteBibliography"/>
        <w:spacing w:after="0"/>
      </w:pPr>
      <w:bookmarkStart w:id="227" w:name="_ENREF_82"/>
      <w:r w:rsidRPr="0015743B">
        <w:t xml:space="preserve">-- -- 2019, ‘EPPO Global Database’, available at </w:t>
      </w:r>
      <w:hyperlink r:id="rId109" w:history="1">
        <w:r w:rsidRPr="000B1771">
          <w:rPr>
            <w:rStyle w:val="Hyperlink"/>
          </w:rPr>
          <w:t>https://gd.eppo.int/</w:t>
        </w:r>
      </w:hyperlink>
      <w:r w:rsidRPr="0015743B">
        <w:t>, accessed January, 2019.</w:t>
      </w:r>
      <w:bookmarkEnd w:id="227"/>
    </w:p>
    <w:p w:rsidR="00555918" w:rsidRPr="0015743B" w:rsidRDefault="00555918" w:rsidP="000B1771">
      <w:pPr>
        <w:pStyle w:val="EndNoteBibliography"/>
        <w:spacing w:after="0"/>
      </w:pPr>
      <w:bookmarkStart w:id="228" w:name="_ENREF_83"/>
      <w:r w:rsidRPr="0015743B">
        <w:t xml:space="preserve">Eskafi, FM &amp; Cunningham, RT 1987, ‘Host plants of fruit flies (Diptera: Tephritidae) of economic importance in Guatemala’, </w:t>
      </w:r>
      <w:r w:rsidRPr="0015743B">
        <w:rPr>
          <w:i/>
        </w:rPr>
        <w:t>Florida Entomologist</w:t>
      </w:r>
      <w:r w:rsidRPr="0015743B">
        <w:t>, vol. 70, no. 1, pp. 116-23.</w:t>
      </w:r>
      <w:bookmarkEnd w:id="228"/>
    </w:p>
    <w:p w:rsidR="00555918" w:rsidRPr="0015743B" w:rsidRDefault="00555918" w:rsidP="000B1771">
      <w:pPr>
        <w:pStyle w:val="EndNoteBibliography"/>
        <w:spacing w:after="0"/>
      </w:pPr>
      <w:bookmarkStart w:id="229" w:name="_ENREF_84"/>
      <w:r w:rsidRPr="0015743B">
        <w:t xml:space="preserve">Espinoza, JG, Briceño, EX &amp; Latorre, BA 2008, ‘Identification of species of </w:t>
      </w:r>
      <w:r w:rsidRPr="0015743B">
        <w:rPr>
          <w:i/>
        </w:rPr>
        <w:t>Botryosphaeria, Pestalotiopsis</w:t>
      </w:r>
      <w:r w:rsidRPr="0015743B">
        <w:t xml:space="preserve"> and </w:t>
      </w:r>
      <w:r w:rsidRPr="0015743B">
        <w:rPr>
          <w:i/>
        </w:rPr>
        <w:t>Phomopsis</w:t>
      </w:r>
      <w:r w:rsidRPr="0015743B">
        <w:t xml:space="preserve"> in blueberry in Chile’, </w:t>
      </w:r>
      <w:r w:rsidRPr="0015743B">
        <w:rPr>
          <w:i/>
        </w:rPr>
        <w:t>Journal of Phytopathology</w:t>
      </w:r>
      <w:r w:rsidRPr="0015743B">
        <w:t>, vol. 98, no. 6, pp. 51-.</w:t>
      </w:r>
      <w:bookmarkEnd w:id="229"/>
    </w:p>
    <w:p w:rsidR="00555918" w:rsidRPr="0015743B" w:rsidRDefault="00555918" w:rsidP="000B1771">
      <w:pPr>
        <w:pStyle w:val="EndNoteBibliography"/>
        <w:spacing w:after="0"/>
      </w:pPr>
      <w:bookmarkStart w:id="230" w:name="_ENREF_85"/>
      <w:r w:rsidRPr="0015743B">
        <w:t xml:space="preserve">Esselbaugh, CO 1946, ‘A study of the eggs of the Pentatomidae (Hemiptera)’, </w:t>
      </w:r>
      <w:r w:rsidRPr="0015743B">
        <w:rPr>
          <w:i/>
        </w:rPr>
        <w:t>Annals of the Entomological Society of America</w:t>
      </w:r>
      <w:r w:rsidRPr="0015743B">
        <w:t>, vol. 39, no. 4, pp. 667-91.</w:t>
      </w:r>
      <w:bookmarkEnd w:id="230"/>
    </w:p>
    <w:p w:rsidR="00555918" w:rsidRPr="0015743B" w:rsidRDefault="00555918" w:rsidP="000B1771">
      <w:pPr>
        <w:pStyle w:val="EndNoteBibliography"/>
        <w:spacing w:after="0"/>
      </w:pPr>
      <w:bookmarkStart w:id="231" w:name="_ENREF_86"/>
      <w:r w:rsidRPr="0015743B">
        <w:t xml:space="preserve">Estrada-Venegas, EG, Rodriguez-Navarro, S &amp; McMurty, JA 2002, ‘Some avocado mites from Michoacan, Mexico’, </w:t>
      </w:r>
      <w:r w:rsidRPr="0015743B">
        <w:rPr>
          <w:i/>
        </w:rPr>
        <w:t>International Journal of Acarology</w:t>
      </w:r>
      <w:r w:rsidRPr="0015743B">
        <w:t>, vol. 28, no. 4, pp. 387-92.</w:t>
      </w:r>
      <w:bookmarkEnd w:id="231"/>
    </w:p>
    <w:p w:rsidR="00555918" w:rsidRPr="0015743B" w:rsidRDefault="00555918" w:rsidP="000B1771">
      <w:pPr>
        <w:pStyle w:val="EndNoteBibliography"/>
        <w:spacing w:after="0"/>
      </w:pPr>
      <w:bookmarkStart w:id="232" w:name="_ENREF_87"/>
      <w:r w:rsidRPr="0015743B">
        <w:t xml:space="preserve">Evans, GA 2007, </w:t>
      </w:r>
      <w:r w:rsidRPr="0015743B">
        <w:rPr>
          <w:i/>
        </w:rPr>
        <w:t>Host plant list of the whiteflies (Aleyrodidae) of the world</w:t>
      </w:r>
      <w:r w:rsidRPr="0015743B">
        <w:t xml:space="preserve">, United States Department of Agriculture, Washington, D.C., available at </w:t>
      </w:r>
      <w:hyperlink r:id="rId110" w:history="1">
        <w:r w:rsidRPr="000B1771">
          <w:rPr>
            <w:rStyle w:val="Hyperlink"/>
          </w:rPr>
          <w:t>http://www.sel.barc.usda.gov:8080/1WF/WhiteflyHost.pdf</w:t>
        </w:r>
      </w:hyperlink>
      <w:r w:rsidRPr="0015743B">
        <w:t xml:space="preserve"> (pdf 1.77 mb).</w:t>
      </w:r>
      <w:bookmarkEnd w:id="232"/>
    </w:p>
    <w:p w:rsidR="00555918" w:rsidRPr="0015743B" w:rsidRDefault="00555918" w:rsidP="000B1771">
      <w:pPr>
        <w:pStyle w:val="EndNoteBibliography"/>
        <w:spacing w:after="0"/>
      </w:pPr>
      <w:bookmarkStart w:id="233" w:name="_ENREF_88"/>
      <w:r w:rsidRPr="0015743B">
        <w:t xml:space="preserve">-- -- 2008, </w:t>
      </w:r>
      <w:r w:rsidRPr="0015743B">
        <w:rPr>
          <w:i/>
        </w:rPr>
        <w:t>The whiteflies (Hemiptera: Aleyrodidae) of the world and their host plants and natural enemies</w:t>
      </w:r>
      <w:r w:rsidRPr="0015743B">
        <w:t xml:space="preserve">, United States Department of Agriculture, Washington, D.C., available at </w:t>
      </w:r>
      <w:hyperlink r:id="rId111" w:history="1">
        <w:r w:rsidRPr="000B1771">
          <w:rPr>
            <w:rStyle w:val="Hyperlink"/>
          </w:rPr>
          <w:t>http://www.usda.gov/</w:t>
        </w:r>
      </w:hyperlink>
      <w:r w:rsidRPr="0015743B">
        <w:t>.</w:t>
      </w:r>
      <w:bookmarkEnd w:id="233"/>
    </w:p>
    <w:p w:rsidR="00555918" w:rsidRPr="0015743B" w:rsidRDefault="00555918" w:rsidP="000B1771">
      <w:pPr>
        <w:pStyle w:val="EndNoteBibliography"/>
        <w:spacing w:after="0"/>
      </w:pPr>
      <w:bookmarkStart w:id="234" w:name="_ENREF_89"/>
      <w:r w:rsidRPr="0015743B">
        <w:t xml:space="preserve">Evans, GA, Watson, GW &amp; Miller, DR 2009, ‘A new species of armored scale (Hemiptera: Coccoidea: Diaspididae) found on avocado fruit from Mexico and a key to the species of armored scales found on avocado worldwide’, </w:t>
      </w:r>
      <w:r w:rsidRPr="0015743B">
        <w:rPr>
          <w:i/>
        </w:rPr>
        <w:t>Zootaxa</w:t>
      </w:r>
      <w:r w:rsidRPr="0015743B">
        <w:t>, vol. 1991, pp. 57-68.</w:t>
      </w:r>
      <w:bookmarkEnd w:id="234"/>
    </w:p>
    <w:p w:rsidR="00555918" w:rsidRPr="0015743B" w:rsidRDefault="00555918" w:rsidP="000B1771">
      <w:pPr>
        <w:pStyle w:val="EndNoteBibliography"/>
        <w:spacing w:after="0"/>
      </w:pPr>
      <w:bookmarkStart w:id="235" w:name="_ENREF_90"/>
      <w:r w:rsidRPr="0015743B">
        <w:t xml:space="preserve">Faber, BA, Morse, JG &amp; Hoddle, MS 2016, </w:t>
      </w:r>
      <w:r w:rsidRPr="0015743B">
        <w:rPr>
          <w:i/>
        </w:rPr>
        <w:t>Sixspotted mite: Eotetranychus sexmaculatus</w:t>
      </w:r>
      <w:r w:rsidRPr="0015743B">
        <w:t xml:space="preserve">, UC IPM Pest Management Guidelines: Avocado, available at </w:t>
      </w:r>
      <w:hyperlink r:id="rId112" w:history="1">
        <w:r w:rsidRPr="000B1771">
          <w:rPr>
            <w:rStyle w:val="Hyperlink"/>
          </w:rPr>
          <w:t>http://ipm.ucanr.edu/PMG/r8400311.html</w:t>
        </w:r>
      </w:hyperlink>
      <w:r w:rsidRPr="0015743B">
        <w:t>.</w:t>
      </w:r>
      <w:bookmarkEnd w:id="235"/>
    </w:p>
    <w:p w:rsidR="00555918" w:rsidRPr="0015743B" w:rsidRDefault="00555918" w:rsidP="000B1771">
      <w:pPr>
        <w:pStyle w:val="EndNoteBibliography"/>
        <w:spacing w:after="0"/>
      </w:pPr>
      <w:bookmarkStart w:id="236" w:name="_ENREF_91"/>
      <w:r w:rsidRPr="0015743B">
        <w:t xml:space="preserve">FAO 2016a, </w:t>
      </w:r>
      <w:r w:rsidRPr="0015743B">
        <w:rPr>
          <w:i/>
        </w:rPr>
        <w:t>International Standards for Phytosanitary Measures (ISPM) no. 2: Framework for pest risk analysis</w:t>
      </w:r>
      <w:r w:rsidRPr="0015743B">
        <w:t xml:space="preserve">, Secretariat of the International Plant Protection Convention, Food and Agriculture Organization of the United Nations, Rome, Italy, available at </w:t>
      </w:r>
      <w:hyperlink r:id="rId113" w:history="1">
        <w:r w:rsidRPr="000B1771">
          <w:rPr>
            <w:rStyle w:val="Hyperlink"/>
          </w:rPr>
          <w:t>https://www.ippc.int/en/core-activities/standards-setting/ispms/</w:t>
        </w:r>
      </w:hyperlink>
      <w:r w:rsidRPr="0015743B">
        <w:t>.</w:t>
      </w:r>
      <w:bookmarkEnd w:id="236"/>
    </w:p>
    <w:p w:rsidR="00555918" w:rsidRPr="0015743B" w:rsidRDefault="00555918" w:rsidP="000B1771">
      <w:pPr>
        <w:pStyle w:val="EndNoteBibliography"/>
        <w:spacing w:after="0"/>
      </w:pPr>
      <w:bookmarkStart w:id="237" w:name="_ENREF_92"/>
      <w:r w:rsidRPr="0015743B">
        <w:t xml:space="preserve">-- -- 2016b, </w:t>
      </w:r>
      <w:r w:rsidRPr="0015743B">
        <w:rPr>
          <w:i/>
        </w:rPr>
        <w:t>International Standards for Phytosanitary Measures (ISPM) no. 10: Requirements for the establishment of pest free places of production and pest free production sites</w:t>
      </w:r>
      <w:r w:rsidRPr="0015743B">
        <w:t xml:space="preserve">, Secretariat of the International Plant Protection Convention, Food and Agriculture Organization of the United Nations, Rome, Italy, available at </w:t>
      </w:r>
      <w:hyperlink r:id="rId114" w:history="1">
        <w:r w:rsidRPr="000B1771">
          <w:rPr>
            <w:rStyle w:val="Hyperlink"/>
          </w:rPr>
          <w:t>https://www.ippc.int/en/core-activities/standards-setting/ispms/</w:t>
        </w:r>
      </w:hyperlink>
      <w:r w:rsidRPr="0015743B">
        <w:t>.</w:t>
      </w:r>
      <w:bookmarkEnd w:id="237"/>
    </w:p>
    <w:p w:rsidR="00555918" w:rsidRPr="0015743B" w:rsidRDefault="00555918" w:rsidP="000B1771">
      <w:pPr>
        <w:pStyle w:val="EndNoteBibliography"/>
        <w:spacing w:after="0"/>
      </w:pPr>
      <w:bookmarkStart w:id="238" w:name="_ENREF_93"/>
      <w:r w:rsidRPr="0015743B">
        <w:t xml:space="preserve">-- -- 2016c, </w:t>
      </w:r>
      <w:r w:rsidRPr="0015743B">
        <w:rPr>
          <w:i/>
        </w:rPr>
        <w:t xml:space="preserve">International Standards for Phytosanitary Measures (ISPM) no. 31: Methodologies for sampling of consignments </w:t>
      </w:r>
      <w:r w:rsidRPr="0015743B">
        <w:t xml:space="preserve">Secretariat of the International Plant Protection Convention, Food and Agriculture Organization of the United Nations, Rome, Italy, available at </w:t>
      </w:r>
      <w:hyperlink r:id="rId115" w:history="1">
        <w:r w:rsidRPr="000B1771">
          <w:rPr>
            <w:rStyle w:val="Hyperlink"/>
          </w:rPr>
          <w:t>https://www.ippc.int/en/core-activities/standards-setting/ispms/</w:t>
        </w:r>
      </w:hyperlink>
      <w:r w:rsidRPr="0015743B">
        <w:t>.</w:t>
      </w:r>
      <w:bookmarkEnd w:id="238"/>
    </w:p>
    <w:p w:rsidR="00555918" w:rsidRPr="0015743B" w:rsidRDefault="00555918" w:rsidP="000B1771">
      <w:pPr>
        <w:pStyle w:val="EndNoteBibliography"/>
        <w:spacing w:after="0"/>
      </w:pPr>
      <w:bookmarkStart w:id="239" w:name="_ENREF_94"/>
      <w:r w:rsidRPr="0015743B">
        <w:t xml:space="preserve">-- -- 2017a, </w:t>
      </w:r>
      <w:r w:rsidRPr="0015743B">
        <w:rPr>
          <w:i/>
        </w:rPr>
        <w:t>International Standards for Phytosanitary Measures (ISPM) no. 4: Requirements for the establishment of pest free areas</w:t>
      </w:r>
      <w:r w:rsidRPr="0015743B">
        <w:t xml:space="preserve">, Secretariat of the International Plant Protection Convention, Food and Agriculture Organization of the United Nations, Rome, Italy, available at </w:t>
      </w:r>
      <w:hyperlink r:id="rId116" w:history="1">
        <w:r w:rsidRPr="000B1771">
          <w:rPr>
            <w:rStyle w:val="Hyperlink"/>
          </w:rPr>
          <w:t>https://www.ippc.int/en/core-activities/standards-setting/ispms/</w:t>
        </w:r>
      </w:hyperlink>
      <w:r w:rsidRPr="0015743B">
        <w:t>.</w:t>
      </w:r>
      <w:bookmarkEnd w:id="239"/>
    </w:p>
    <w:p w:rsidR="00555918" w:rsidRPr="0015743B" w:rsidRDefault="00555918" w:rsidP="000B1771">
      <w:pPr>
        <w:pStyle w:val="EndNoteBibliography"/>
        <w:spacing w:after="0"/>
      </w:pPr>
      <w:bookmarkStart w:id="240" w:name="_ENREF_95"/>
      <w:r w:rsidRPr="0015743B">
        <w:lastRenderedPageBreak/>
        <w:t xml:space="preserve">-- -- 2017b, </w:t>
      </w:r>
      <w:r w:rsidRPr="0015743B">
        <w:rPr>
          <w:i/>
        </w:rPr>
        <w:t>International Standards for Phytosanitary Measures (ISPM) no. 8: Determination of pest status in an area</w:t>
      </w:r>
      <w:r w:rsidRPr="0015743B">
        <w:t xml:space="preserve">, Secretariat of the International Plant Protection Convention, Food and Agriculture Organization of the United Nations, Rome, Italy, available at </w:t>
      </w:r>
      <w:hyperlink r:id="rId117" w:history="1">
        <w:r w:rsidRPr="000B1771">
          <w:rPr>
            <w:rStyle w:val="Hyperlink"/>
          </w:rPr>
          <w:t>https://www.ippc.int/en/core-activities/standards-setting/ispms/</w:t>
        </w:r>
      </w:hyperlink>
      <w:r w:rsidRPr="0015743B">
        <w:t>.</w:t>
      </w:r>
      <w:bookmarkEnd w:id="240"/>
    </w:p>
    <w:p w:rsidR="00555918" w:rsidRPr="0015743B" w:rsidRDefault="00555918" w:rsidP="000B1771">
      <w:pPr>
        <w:pStyle w:val="EndNoteBibliography"/>
        <w:spacing w:after="0"/>
      </w:pPr>
      <w:bookmarkStart w:id="241" w:name="_ENREF_96"/>
      <w:r w:rsidRPr="0015743B">
        <w:t xml:space="preserve">-- -- 2019a, </w:t>
      </w:r>
      <w:r w:rsidRPr="0015743B">
        <w:rPr>
          <w:i/>
        </w:rPr>
        <w:t>International Standard for Phytosanitary Measures (ISPM) no. 2: Framework for pest risk analysis</w:t>
      </w:r>
      <w:r w:rsidRPr="0015743B">
        <w:t xml:space="preserve">, Secretariat of the International Plant Protection Convention, Food and Agriculture Organization (FAO) of the United Nations, Rome, Italy, available at </w:t>
      </w:r>
      <w:hyperlink r:id="rId118" w:history="1">
        <w:r w:rsidRPr="000B1771">
          <w:rPr>
            <w:rStyle w:val="Hyperlink"/>
          </w:rPr>
          <w:t>https://www.ippc.int/en/publications/592/</w:t>
        </w:r>
      </w:hyperlink>
      <w:r w:rsidRPr="0015743B">
        <w:t>.</w:t>
      </w:r>
      <w:bookmarkEnd w:id="241"/>
    </w:p>
    <w:p w:rsidR="00555918" w:rsidRPr="0015743B" w:rsidRDefault="00555918" w:rsidP="000B1771">
      <w:pPr>
        <w:pStyle w:val="EndNoteBibliography"/>
        <w:spacing w:after="0"/>
      </w:pPr>
      <w:bookmarkStart w:id="242" w:name="_ENREF_97"/>
      <w:r w:rsidRPr="0015743B">
        <w:t xml:space="preserve">-- -- 2019b, </w:t>
      </w:r>
      <w:r w:rsidRPr="0015743B">
        <w:rPr>
          <w:i/>
        </w:rPr>
        <w:t>International Standards for Phytosanitary Measures (ISPM) no. 5: Glossary of phytosanitary terms</w:t>
      </w:r>
      <w:r w:rsidRPr="0015743B">
        <w:t xml:space="preserve">, Secretariat of the International Plant Protection Convention, Food and Agriculture Organization of the United Nations, Rome, Italy, available at </w:t>
      </w:r>
      <w:hyperlink r:id="rId119" w:history="1">
        <w:r w:rsidRPr="000B1771">
          <w:rPr>
            <w:rStyle w:val="Hyperlink"/>
          </w:rPr>
          <w:t>https://www.ippc.int/en/core-activities/standards-setting/ispms/</w:t>
        </w:r>
      </w:hyperlink>
      <w:r w:rsidRPr="0015743B">
        <w:t>.</w:t>
      </w:r>
      <w:bookmarkEnd w:id="242"/>
    </w:p>
    <w:p w:rsidR="00555918" w:rsidRPr="0015743B" w:rsidRDefault="00555918" w:rsidP="000B1771">
      <w:pPr>
        <w:pStyle w:val="EndNoteBibliography"/>
        <w:spacing w:after="0"/>
      </w:pPr>
      <w:bookmarkStart w:id="243" w:name="_ENREF_98"/>
      <w:r w:rsidRPr="0015743B">
        <w:t xml:space="preserve">-- -- 2019c, </w:t>
      </w:r>
      <w:r w:rsidRPr="0015743B">
        <w:rPr>
          <w:i/>
        </w:rPr>
        <w:t>International Standards for Phytosanitary Measures (ISPM) no. 11: Pest risk analysis for quarantine pests</w:t>
      </w:r>
      <w:r w:rsidRPr="0015743B">
        <w:t xml:space="preserve">, Secretariat of the International Plant Protection Convention, Food and Agriculture Organization (FAO) of the United Nations, Rome, Italy, available at </w:t>
      </w:r>
      <w:hyperlink r:id="rId120" w:history="1">
        <w:r w:rsidRPr="000B1771">
          <w:rPr>
            <w:rStyle w:val="Hyperlink"/>
          </w:rPr>
          <w:t>https://www.ippc.int/en/publications/639/</w:t>
        </w:r>
      </w:hyperlink>
      <w:r w:rsidRPr="0015743B">
        <w:t>.</w:t>
      </w:r>
      <w:bookmarkEnd w:id="243"/>
    </w:p>
    <w:p w:rsidR="00555918" w:rsidRPr="0015743B" w:rsidRDefault="00555918" w:rsidP="000B1771">
      <w:pPr>
        <w:pStyle w:val="EndNoteBibliography"/>
        <w:spacing w:after="0"/>
      </w:pPr>
      <w:bookmarkStart w:id="244" w:name="_ENREF_99"/>
      <w:r w:rsidRPr="0015743B">
        <w:t xml:space="preserve">-- -- 2019d, </w:t>
      </w:r>
      <w:r w:rsidRPr="0015743B">
        <w:rPr>
          <w:i/>
        </w:rPr>
        <w:t>International Standards for Phytosanitary Measures (ISPM) no. 23: Guidelines for inspection</w:t>
      </w:r>
      <w:r w:rsidRPr="0015743B">
        <w:t xml:space="preserve">, Secretariat of the International Plant Protection Convention, Food and Agriculture Organization of the United Nations, Rome, Italy, available at </w:t>
      </w:r>
      <w:hyperlink r:id="rId121" w:history="1">
        <w:r w:rsidRPr="000B1771">
          <w:rPr>
            <w:rStyle w:val="Hyperlink"/>
          </w:rPr>
          <w:t>https://www.ippc.int/en/core-activities/standards-setting/ispms/</w:t>
        </w:r>
      </w:hyperlink>
      <w:r w:rsidRPr="0015743B">
        <w:t>.</w:t>
      </w:r>
      <w:bookmarkEnd w:id="244"/>
    </w:p>
    <w:p w:rsidR="00555918" w:rsidRPr="0015743B" w:rsidRDefault="00555918" w:rsidP="000B1771">
      <w:pPr>
        <w:pStyle w:val="EndNoteBibliography"/>
        <w:spacing w:after="0"/>
      </w:pPr>
      <w:bookmarkStart w:id="245" w:name="_ENREF_100"/>
      <w:r w:rsidRPr="0015743B">
        <w:t xml:space="preserve">-- -- 2019e, </w:t>
      </w:r>
      <w:r w:rsidRPr="0015743B">
        <w:rPr>
          <w:i/>
        </w:rPr>
        <w:t>International Standards for Phytosanitary Measures (ISPM) no. 26: Establishment of pest free areas for fruit flies (Tephritidae)</w:t>
      </w:r>
      <w:r w:rsidRPr="0015743B">
        <w:t xml:space="preserve">, Secretariat of the International Plant Protection Convention, Food and Agriculture Organization of the United Nations, Rome, Italy, available at </w:t>
      </w:r>
      <w:hyperlink r:id="rId122" w:history="1">
        <w:r w:rsidRPr="000B1771">
          <w:rPr>
            <w:rStyle w:val="Hyperlink"/>
          </w:rPr>
          <w:t>https://www.ippc.int/en/core-activities/standards-setting/ispms/</w:t>
        </w:r>
      </w:hyperlink>
      <w:r w:rsidRPr="0015743B">
        <w:t>.</w:t>
      </w:r>
      <w:bookmarkEnd w:id="245"/>
    </w:p>
    <w:p w:rsidR="00555918" w:rsidRPr="0015743B" w:rsidRDefault="00555918" w:rsidP="000B1771">
      <w:pPr>
        <w:pStyle w:val="EndNoteBibliography"/>
        <w:spacing w:after="0"/>
      </w:pPr>
      <w:bookmarkStart w:id="246" w:name="_ENREF_101"/>
      <w:r w:rsidRPr="0015743B">
        <w:t xml:space="preserve">Farr, DF &amp; Rossman, AY 2019, ‘Fungal Databases, U.S. National Fungal Collections, ARS, USDA’, available at </w:t>
      </w:r>
      <w:hyperlink r:id="rId123" w:history="1">
        <w:r w:rsidRPr="000B1771">
          <w:rPr>
            <w:rStyle w:val="Hyperlink"/>
          </w:rPr>
          <w:t>https://nt.ars-grin.gov/fungaldatabases/</w:t>
        </w:r>
      </w:hyperlink>
      <w:r w:rsidRPr="0015743B">
        <w:t>, accessed 2019.</w:t>
      </w:r>
      <w:bookmarkEnd w:id="246"/>
    </w:p>
    <w:p w:rsidR="00555918" w:rsidRPr="0015743B" w:rsidRDefault="00555918" w:rsidP="000B1771">
      <w:pPr>
        <w:pStyle w:val="EndNoteBibliography"/>
        <w:spacing w:after="0"/>
      </w:pPr>
      <w:bookmarkStart w:id="247" w:name="_ENREF_102"/>
      <w:r w:rsidRPr="0015743B">
        <w:t xml:space="preserve">Faúndez, EI &amp; Rider, D 2014, ‘Nuevos registros de Pentatominae Leach 1815 en Chile (Hemiptera: Homoptera: Pentatomidae)’ (New records of Pentatominae Leach, 1815 (Hemiptera: Heteroptera: Pentatomidae) from Chile), </w:t>
      </w:r>
      <w:r w:rsidRPr="0015743B">
        <w:rPr>
          <w:i/>
        </w:rPr>
        <w:t>Boletín de la Sociedad Entomológica Aragonesa</w:t>
      </w:r>
      <w:r w:rsidRPr="0015743B">
        <w:t xml:space="preserve">, vol. 55, pp. 159-62. </w:t>
      </w:r>
      <w:bookmarkEnd w:id="247"/>
    </w:p>
    <w:p w:rsidR="00555918" w:rsidRPr="0015743B" w:rsidRDefault="00555918" w:rsidP="000B1771">
      <w:pPr>
        <w:pStyle w:val="EndNoteBibliography"/>
        <w:spacing w:after="0"/>
      </w:pPr>
      <w:bookmarkStart w:id="248" w:name="_ENREF_103"/>
      <w:r w:rsidRPr="0015743B">
        <w:t xml:space="preserve">Faúndez, EI &amp; Rider, DA 2017, ‘The brown marmorated stink bug </w:t>
      </w:r>
      <w:r w:rsidRPr="0015743B">
        <w:rPr>
          <w:i/>
        </w:rPr>
        <w:t>Halyomorpha halys</w:t>
      </w:r>
      <w:r w:rsidRPr="0015743B">
        <w:t xml:space="preserve"> (Stål, 1855) (Heteroptera: Pentatomidae) in Chile’, </w:t>
      </w:r>
      <w:r w:rsidRPr="0015743B">
        <w:rPr>
          <w:i/>
        </w:rPr>
        <w:t>Arquivos Entomolóxicos</w:t>
      </w:r>
      <w:r w:rsidRPr="0015743B">
        <w:t>, vol. 17, pp. 305-7.</w:t>
      </w:r>
      <w:bookmarkEnd w:id="248"/>
    </w:p>
    <w:p w:rsidR="00555918" w:rsidRPr="0015743B" w:rsidRDefault="00555918" w:rsidP="000B1771">
      <w:pPr>
        <w:pStyle w:val="EndNoteBibliography"/>
        <w:spacing w:after="0"/>
      </w:pPr>
      <w:bookmarkStart w:id="249" w:name="_ENREF_104"/>
      <w:r w:rsidRPr="0015743B">
        <w:t xml:space="preserve">Flechtmann, CHW 1996, ‘Rediscovery of </w:t>
      </w:r>
      <w:r w:rsidRPr="0015743B">
        <w:rPr>
          <w:i/>
        </w:rPr>
        <w:t>Tetranychus abacae</w:t>
      </w:r>
      <w:r w:rsidRPr="0015743B">
        <w:t xml:space="preserve"> Baker &amp; Pritchard, additional description and notes on South American spider mites (Acari: Prostigmata: Tetranychidae)’, </w:t>
      </w:r>
      <w:r w:rsidRPr="0015743B">
        <w:rPr>
          <w:i/>
        </w:rPr>
        <w:t>Revista Brasileira de Zoologia</w:t>
      </w:r>
      <w:r w:rsidRPr="0015743B">
        <w:t>, vol. 13, no. 3, pp. 569-78.</w:t>
      </w:r>
      <w:bookmarkEnd w:id="249"/>
    </w:p>
    <w:p w:rsidR="00555918" w:rsidRPr="0015743B" w:rsidRDefault="00555918" w:rsidP="000B1771">
      <w:pPr>
        <w:pStyle w:val="EndNoteBibliography"/>
        <w:spacing w:after="0"/>
      </w:pPr>
      <w:bookmarkStart w:id="250" w:name="_ENREF_105"/>
      <w:r w:rsidRPr="0015743B">
        <w:t xml:space="preserve">Fuchs, M, Marsella-Herrick, P, Hesler, S, Martinson, T &amp; Loeb, GM 2015, ‘Seasonal pattern of virus acquisition by the grape mealybug, </w:t>
      </w:r>
      <w:r w:rsidRPr="0015743B">
        <w:rPr>
          <w:i/>
        </w:rPr>
        <w:t>Pseudococcus maritimus</w:t>
      </w:r>
      <w:r w:rsidRPr="0015743B">
        <w:t xml:space="preserve">, in a leafroll-diseased vineyard’, </w:t>
      </w:r>
      <w:r w:rsidRPr="0015743B">
        <w:rPr>
          <w:i/>
        </w:rPr>
        <w:t>Journal of Plant Pathology</w:t>
      </w:r>
      <w:r w:rsidRPr="0015743B">
        <w:t>, vol. 97, no. 3, pp. 503-10.</w:t>
      </w:r>
      <w:bookmarkEnd w:id="250"/>
    </w:p>
    <w:p w:rsidR="00555918" w:rsidRPr="0015743B" w:rsidRDefault="00555918" w:rsidP="000B1771">
      <w:pPr>
        <w:pStyle w:val="EndNoteBibliography"/>
        <w:spacing w:after="0"/>
      </w:pPr>
      <w:bookmarkStart w:id="251" w:name="_ENREF_106"/>
      <w:r w:rsidRPr="0015743B">
        <w:t xml:space="preserve">Futch, SH, Childers, CC &amp; McCoy, CW 2017, </w:t>
      </w:r>
      <w:r w:rsidRPr="0015743B">
        <w:rPr>
          <w:i/>
        </w:rPr>
        <w:t>A guide to citrus mite identification</w:t>
      </w:r>
      <w:r w:rsidRPr="0015743B">
        <w:t xml:space="preserve">, Institute of Food and Agricultural Sciences Extension, University of Florida, available at </w:t>
      </w:r>
      <w:hyperlink r:id="rId124" w:history="1">
        <w:r w:rsidRPr="000B1771">
          <w:rPr>
            <w:rStyle w:val="Hyperlink"/>
          </w:rPr>
          <w:t>http://edis.ifas.ufl.edu/ch179</w:t>
        </w:r>
      </w:hyperlink>
      <w:r w:rsidRPr="0015743B">
        <w:t>.</w:t>
      </w:r>
      <w:bookmarkEnd w:id="251"/>
    </w:p>
    <w:p w:rsidR="00555918" w:rsidRPr="0015743B" w:rsidRDefault="00555918" w:rsidP="000B1771">
      <w:pPr>
        <w:pStyle w:val="EndNoteBibliography"/>
        <w:spacing w:after="0"/>
      </w:pPr>
      <w:bookmarkStart w:id="252" w:name="_ENREF_107"/>
      <w:r w:rsidRPr="0015743B">
        <w:t>Gallegos Cespedes, L 2005, ‘Descripción y manejo de plagas y enfermedades en el arbolado urbano de la Comuna de la Reina’, Agricultural; Professional Forester, Universidad de Chile.</w:t>
      </w:r>
      <w:bookmarkEnd w:id="252"/>
    </w:p>
    <w:p w:rsidR="00555918" w:rsidRPr="0015743B" w:rsidRDefault="00555918" w:rsidP="000B1771">
      <w:pPr>
        <w:pStyle w:val="EndNoteBibliography"/>
        <w:spacing w:after="0"/>
      </w:pPr>
      <w:bookmarkStart w:id="253" w:name="_ENREF_108"/>
      <w:r w:rsidRPr="0015743B">
        <w:t xml:space="preserve">García Morales, M, Denno, BD, Miller, DR, Miller, GL, Ben-Dov, Y &amp; Hardy, NB 2019, ‘ScaleNet: a literature-based model of scale insect biology and systematics’, available at </w:t>
      </w:r>
      <w:hyperlink r:id="rId125" w:history="1">
        <w:r w:rsidRPr="000B1771">
          <w:rPr>
            <w:rStyle w:val="Hyperlink"/>
          </w:rPr>
          <w:t>http://scalenet.info</w:t>
        </w:r>
      </w:hyperlink>
      <w:r w:rsidRPr="0015743B">
        <w:t>, accessed 2019.</w:t>
      </w:r>
      <w:bookmarkEnd w:id="253"/>
    </w:p>
    <w:p w:rsidR="00555918" w:rsidRPr="0015743B" w:rsidRDefault="00555918" w:rsidP="000B1771">
      <w:pPr>
        <w:pStyle w:val="EndNoteBibliography"/>
        <w:spacing w:after="0"/>
      </w:pPr>
      <w:bookmarkStart w:id="254" w:name="_ENREF_109"/>
      <w:r w:rsidRPr="0015743B">
        <w:lastRenderedPageBreak/>
        <w:t xml:space="preserve">Gardiazabal, F &amp; Mena, F 2011, ‘The avocado industry in Chile and its evolution’, </w:t>
      </w:r>
      <w:r w:rsidRPr="0015743B">
        <w:rPr>
          <w:i/>
        </w:rPr>
        <w:t>California Avocado Society Yearbook</w:t>
      </w:r>
      <w:r w:rsidRPr="0015743B">
        <w:t>, vol. 94, pp. 52-68.</w:t>
      </w:r>
      <w:bookmarkEnd w:id="254"/>
    </w:p>
    <w:p w:rsidR="00555918" w:rsidRPr="0015743B" w:rsidRDefault="00555918" w:rsidP="000B1771">
      <w:pPr>
        <w:pStyle w:val="EndNoteBibliography"/>
        <w:spacing w:after="0"/>
      </w:pPr>
      <w:bookmarkStart w:id="255" w:name="_ENREF_110"/>
      <w:r w:rsidRPr="0015743B">
        <w:t xml:space="preserve">GBIF Secretariat 2019, ‘Global Biodiversity Information Facility’, Denmark, available at </w:t>
      </w:r>
      <w:hyperlink r:id="rId126" w:history="1">
        <w:r w:rsidRPr="000B1771">
          <w:rPr>
            <w:rStyle w:val="Hyperlink"/>
          </w:rPr>
          <w:t>http://www.gbif.org/</w:t>
        </w:r>
      </w:hyperlink>
      <w:r w:rsidRPr="0015743B">
        <w:t>, accessed 2019.</w:t>
      </w:r>
      <w:bookmarkEnd w:id="255"/>
    </w:p>
    <w:p w:rsidR="00555918" w:rsidRPr="0015743B" w:rsidRDefault="00555918" w:rsidP="000B1771">
      <w:pPr>
        <w:pStyle w:val="EndNoteBibliography"/>
        <w:spacing w:after="0"/>
      </w:pPr>
      <w:bookmarkStart w:id="256" w:name="_ENREF_111"/>
      <w:r w:rsidRPr="0015743B">
        <w:t xml:space="preserve">Geering, A &amp; Steele, V 2009, </w:t>
      </w:r>
      <w:r w:rsidRPr="0015743B">
        <w:rPr>
          <w:i/>
        </w:rPr>
        <w:t>Better control of avocado sunblotch disease through improved diagnostic technologies</w:t>
      </w:r>
      <w:r w:rsidRPr="0015743B">
        <w:t xml:space="preserve">, Horticulture and Forestry Science, Industry Services, The State of Queensland, Department of Employment, Economic Development and Innovation, available at </w:t>
      </w:r>
      <w:hyperlink r:id="rId127" w:history="1">
        <w:r w:rsidRPr="000B1771">
          <w:rPr>
            <w:rStyle w:val="Hyperlink"/>
          </w:rPr>
          <w:t>http://industry.avocado.org.au/documents/ANZAGC09/Thurs/MR2/Andrew%20Geering.pdf</w:t>
        </w:r>
      </w:hyperlink>
      <w:r w:rsidRPr="0015743B">
        <w:t xml:space="preserve"> (pdf 251.88 kb).</w:t>
      </w:r>
      <w:bookmarkEnd w:id="256"/>
    </w:p>
    <w:p w:rsidR="00555918" w:rsidRPr="0015743B" w:rsidRDefault="00555918" w:rsidP="000B1771">
      <w:pPr>
        <w:pStyle w:val="EndNoteBibliography"/>
        <w:spacing w:after="0"/>
      </w:pPr>
      <w:bookmarkStart w:id="257" w:name="_ENREF_112"/>
      <w:r w:rsidRPr="0015743B">
        <w:t xml:space="preserve">Geering, ADW 2018, ‘A review of the status of </w:t>
      </w:r>
      <w:r w:rsidRPr="0015743B">
        <w:rPr>
          <w:i/>
        </w:rPr>
        <w:t>Avocado sunblotch viroid</w:t>
      </w:r>
      <w:r w:rsidRPr="0015743B">
        <w:t xml:space="preserve"> in Australia’, </w:t>
      </w:r>
      <w:r w:rsidRPr="0015743B">
        <w:rPr>
          <w:i/>
        </w:rPr>
        <w:t>Australasian Plant Pathology</w:t>
      </w:r>
      <w:r w:rsidRPr="0015743B">
        <w:t>, vol. 47, no. 6, pp. 555-9.</w:t>
      </w:r>
      <w:bookmarkEnd w:id="257"/>
    </w:p>
    <w:p w:rsidR="00555918" w:rsidRPr="0015743B" w:rsidRDefault="00555918" w:rsidP="000B1771">
      <w:pPr>
        <w:pStyle w:val="EndNoteBibliography"/>
        <w:spacing w:after="0"/>
      </w:pPr>
      <w:bookmarkStart w:id="258" w:name="_ENREF_113"/>
      <w:r w:rsidRPr="0015743B">
        <w:t xml:space="preserve">Gerson, U &amp; Zor, Y 1973, ‘The armoured scale insects (Homoptera: Diaspididae) of avocado trees in Israel’, </w:t>
      </w:r>
      <w:r w:rsidRPr="0015743B">
        <w:rPr>
          <w:i/>
        </w:rPr>
        <w:t>Journal of Natural History</w:t>
      </w:r>
      <w:r w:rsidRPr="0015743B">
        <w:t>, vol. 7, no. 5, pp. 513-33.</w:t>
      </w:r>
      <w:bookmarkEnd w:id="258"/>
    </w:p>
    <w:p w:rsidR="00555918" w:rsidRPr="0015743B" w:rsidRDefault="00555918" w:rsidP="000B1771">
      <w:pPr>
        <w:pStyle w:val="EndNoteBibliography"/>
        <w:spacing w:after="0"/>
      </w:pPr>
      <w:bookmarkStart w:id="259" w:name="_ENREF_114"/>
      <w:r w:rsidRPr="0015743B">
        <w:t xml:space="preserve">Gibson, FA 1968, ‘Citrus red mite, </w:t>
      </w:r>
      <w:r w:rsidRPr="0015743B">
        <w:rPr>
          <w:i/>
        </w:rPr>
        <w:t>Panonychus citri</w:t>
      </w:r>
      <w:r w:rsidRPr="0015743B">
        <w:t xml:space="preserve"> (McGregor) (Tetranychidae: Acari), recorded from New South Wales’, </w:t>
      </w:r>
      <w:r w:rsidRPr="0015743B">
        <w:rPr>
          <w:i/>
        </w:rPr>
        <w:t>Australian Journal of Science</w:t>
      </w:r>
      <w:r w:rsidRPr="0015743B">
        <w:t>, vol. 30, p. 273.</w:t>
      </w:r>
      <w:bookmarkEnd w:id="259"/>
    </w:p>
    <w:p w:rsidR="00555918" w:rsidRPr="0015743B" w:rsidRDefault="00555918" w:rsidP="000B1771">
      <w:pPr>
        <w:pStyle w:val="EndNoteBibliography"/>
        <w:spacing w:after="0"/>
      </w:pPr>
      <w:bookmarkStart w:id="260" w:name="_ENREF_115"/>
      <w:r w:rsidRPr="0015743B">
        <w:t xml:space="preserve">Gill, RJ 1997, </w:t>
      </w:r>
      <w:r w:rsidRPr="0015743B">
        <w:rPr>
          <w:i/>
        </w:rPr>
        <w:t>The scale insects of California, part 3: the armoured scales (Homoptera: Coccoidea: Diaspididae)</w:t>
      </w:r>
      <w:r w:rsidRPr="0015743B">
        <w:t>, Department of Food and Agriculture, California.</w:t>
      </w:r>
      <w:bookmarkEnd w:id="260"/>
    </w:p>
    <w:p w:rsidR="00555918" w:rsidRPr="0015743B" w:rsidRDefault="00555918" w:rsidP="000B1771">
      <w:pPr>
        <w:pStyle w:val="EndNoteBibliography"/>
        <w:spacing w:after="0"/>
      </w:pPr>
      <w:bookmarkStart w:id="261" w:name="_ENREF_116"/>
      <w:r w:rsidRPr="0015743B">
        <w:t xml:space="preserve">Gimpel, WF, Jnr &amp; Miller, DR 1996, ‘Systematic analysis of the mealybugs in the </w:t>
      </w:r>
      <w:r w:rsidRPr="0015743B">
        <w:rPr>
          <w:i/>
        </w:rPr>
        <w:t xml:space="preserve">Pseudococcus maritimus </w:t>
      </w:r>
      <w:r w:rsidRPr="0015743B">
        <w:t xml:space="preserve">complex (Homoptera: Pseudococcidae)’, </w:t>
      </w:r>
      <w:r w:rsidRPr="0015743B">
        <w:rPr>
          <w:i/>
        </w:rPr>
        <w:t>Contributions on Entomology International</w:t>
      </w:r>
      <w:r w:rsidRPr="0015743B">
        <w:t>, vol. 2, no. 1, pp. 7-149.</w:t>
      </w:r>
      <w:bookmarkEnd w:id="261"/>
    </w:p>
    <w:p w:rsidR="00555918" w:rsidRPr="0015743B" w:rsidRDefault="00555918" w:rsidP="000B1771">
      <w:pPr>
        <w:pStyle w:val="EndNoteBibliography"/>
        <w:spacing w:after="0"/>
      </w:pPr>
      <w:bookmarkStart w:id="262" w:name="_ENREF_117"/>
      <w:r w:rsidRPr="0015743B">
        <w:t xml:space="preserve">Gonzalez, RH 1983, </w:t>
      </w:r>
      <w:r w:rsidRPr="0015743B">
        <w:rPr>
          <w:i/>
        </w:rPr>
        <w:t>Manejo de plagas de la vid. Publicacions en Ciencias Agricolas No. 13</w:t>
      </w:r>
      <w:r w:rsidRPr="0015743B">
        <w:t>, Facultad de Ciencias Agrarias, Veterinarias y Forestales, Universidad de Chile, Santiago.</w:t>
      </w:r>
      <w:bookmarkEnd w:id="262"/>
    </w:p>
    <w:p w:rsidR="00555918" w:rsidRPr="0015743B" w:rsidRDefault="00555918" w:rsidP="000B1771">
      <w:pPr>
        <w:pStyle w:val="EndNoteBibliography"/>
        <w:spacing w:after="0"/>
      </w:pPr>
      <w:bookmarkStart w:id="263" w:name="_ENREF_118"/>
      <w:r w:rsidRPr="0015743B">
        <w:t xml:space="preserve">González, RH &amp; Charlín, R 1968, ‘Nota preliminar sobre los insectos Coccoides de Chile’ (A preliminary checklist of Coccidae from Chile), </w:t>
      </w:r>
      <w:r w:rsidRPr="0015743B">
        <w:rPr>
          <w:i/>
        </w:rPr>
        <w:t>Revista Chilena de Entomología</w:t>
      </w:r>
      <w:r w:rsidRPr="0015743B">
        <w:t xml:space="preserve">, vol. 6, pp. 109-13. </w:t>
      </w:r>
      <w:bookmarkEnd w:id="263"/>
    </w:p>
    <w:p w:rsidR="00555918" w:rsidRPr="0015743B" w:rsidRDefault="00555918" w:rsidP="000B1771">
      <w:pPr>
        <w:pStyle w:val="EndNoteBibliography"/>
        <w:spacing w:after="0"/>
      </w:pPr>
      <w:bookmarkStart w:id="264" w:name="_ENREF_119"/>
      <w:r w:rsidRPr="0015743B">
        <w:t xml:space="preserve">Gonzalez, S 2016, </w:t>
      </w:r>
      <w:r w:rsidRPr="0015743B">
        <w:rPr>
          <w:i/>
        </w:rPr>
        <w:t>Chile avocado annual: Chilean avocado production, exports and demand increase in MY2016</w:t>
      </w:r>
      <w:r w:rsidRPr="0015743B">
        <w:t>, CI1633, USDA Foreign Agriculture Service, Washington, D.C.</w:t>
      </w:r>
      <w:bookmarkEnd w:id="264"/>
    </w:p>
    <w:p w:rsidR="00555918" w:rsidRPr="0015743B" w:rsidRDefault="00555918" w:rsidP="000B1771">
      <w:pPr>
        <w:pStyle w:val="EndNoteBibliography"/>
        <w:spacing w:after="0"/>
      </w:pPr>
      <w:bookmarkStart w:id="265" w:name="_ENREF_120"/>
      <w:r w:rsidRPr="0015743B">
        <w:t xml:space="preserve">-- -- 2017, </w:t>
      </w:r>
      <w:r w:rsidRPr="0015743B">
        <w:rPr>
          <w:i/>
        </w:rPr>
        <w:t>Chile avocado annual: the United States becomes the main market for Chilean avocados</w:t>
      </w:r>
      <w:r w:rsidRPr="0015743B">
        <w:t>, CI 1731, USDA Foreign Agriculture Service, Washington D.C.</w:t>
      </w:r>
      <w:bookmarkEnd w:id="265"/>
    </w:p>
    <w:p w:rsidR="00555918" w:rsidRPr="0015743B" w:rsidRDefault="00555918" w:rsidP="000B1771">
      <w:pPr>
        <w:pStyle w:val="EndNoteBibliography"/>
        <w:spacing w:after="0"/>
      </w:pPr>
      <w:bookmarkStart w:id="266" w:name="_ENREF_121"/>
      <w:r w:rsidRPr="0015743B">
        <w:t xml:space="preserve">Gould, WP &amp; Raga, A 2002, ‘Pests of guava’, in </w:t>
      </w:r>
      <w:r w:rsidRPr="0015743B">
        <w:rPr>
          <w:i/>
        </w:rPr>
        <w:t>Tropical fruit pests and pollinators: biology, economic importance, natural enemies and control</w:t>
      </w:r>
      <w:r w:rsidRPr="0015743B">
        <w:t>, Peña, JE, Sharp, JL &amp; Wysoki, M (eds), CAB International, Wallingford.</w:t>
      </w:r>
      <w:bookmarkEnd w:id="266"/>
    </w:p>
    <w:p w:rsidR="00555918" w:rsidRPr="0015743B" w:rsidRDefault="00555918" w:rsidP="000B1771">
      <w:pPr>
        <w:pStyle w:val="EndNoteBibliography"/>
        <w:spacing w:after="0"/>
      </w:pPr>
      <w:bookmarkStart w:id="267" w:name="_ENREF_122"/>
      <w:r w:rsidRPr="0015743B">
        <w:t xml:space="preserve">Government of Western Australia 2019, ‘Western Australia Organism List (WAOL)’, available at </w:t>
      </w:r>
      <w:hyperlink r:id="rId128" w:history="1">
        <w:r w:rsidRPr="000B1771">
          <w:rPr>
            <w:rStyle w:val="Hyperlink"/>
          </w:rPr>
          <w:t>https://www.agric.wa.gov.au/bam/western-australian-organism-list-waol</w:t>
        </w:r>
      </w:hyperlink>
      <w:r w:rsidRPr="0015743B">
        <w:t>, accessed 2019.</w:t>
      </w:r>
      <w:bookmarkEnd w:id="267"/>
    </w:p>
    <w:p w:rsidR="00555918" w:rsidRPr="0015743B" w:rsidRDefault="00555918" w:rsidP="000B1771">
      <w:pPr>
        <w:pStyle w:val="EndNoteBibliography"/>
        <w:spacing w:after="0"/>
      </w:pPr>
      <w:bookmarkStart w:id="268" w:name="_ENREF_123"/>
      <w:r w:rsidRPr="0015743B">
        <w:t>Gryzenhout, M, Myburg, H, Hodges, CS, Wingfield, BD &amp; Wingfield, MJ 2006, ‘</w:t>
      </w:r>
      <w:r w:rsidRPr="0015743B">
        <w:rPr>
          <w:i/>
        </w:rPr>
        <w:t>Microthia</w:t>
      </w:r>
      <w:r w:rsidRPr="0015743B">
        <w:t xml:space="preserve">, </w:t>
      </w:r>
      <w:r w:rsidRPr="0015743B">
        <w:rPr>
          <w:i/>
        </w:rPr>
        <w:t>Holocryphia</w:t>
      </w:r>
      <w:r w:rsidRPr="0015743B">
        <w:t xml:space="preserve"> and </w:t>
      </w:r>
      <w:r w:rsidRPr="0015743B">
        <w:rPr>
          <w:i/>
        </w:rPr>
        <w:t>Ursicollum</w:t>
      </w:r>
      <w:r w:rsidRPr="0015743B">
        <w:t xml:space="preserve">, three new genera on </w:t>
      </w:r>
      <w:r w:rsidRPr="0015743B">
        <w:rPr>
          <w:i/>
        </w:rPr>
        <w:t>Eucalyptus</w:t>
      </w:r>
      <w:r w:rsidRPr="0015743B">
        <w:t xml:space="preserve"> and </w:t>
      </w:r>
      <w:r w:rsidRPr="0015743B">
        <w:rPr>
          <w:i/>
        </w:rPr>
        <w:t>Coccoloba</w:t>
      </w:r>
      <w:r w:rsidRPr="0015743B">
        <w:t xml:space="preserve"> for fungi previously known as </w:t>
      </w:r>
      <w:r w:rsidRPr="0015743B">
        <w:rPr>
          <w:i/>
        </w:rPr>
        <w:t>Cryphonectria</w:t>
      </w:r>
      <w:r w:rsidRPr="0015743B">
        <w:t xml:space="preserve">’, </w:t>
      </w:r>
      <w:r w:rsidRPr="0015743B">
        <w:rPr>
          <w:i/>
        </w:rPr>
        <w:t>Studies in Mycology</w:t>
      </w:r>
      <w:r w:rsidRPr="0015743B">
        <w:t>, vol. 55, pp. 35-52.</w:t>
      </w:r>
      <w:bookmarkEnd w:id="268"/>
    </w:p>
    <w:p w:rsidR="00555918" w:rsidRPr="0015743B" w:rsidRDefault="00555918" w:rsidP="000B1771">
      <w:pPr>
        <w:pStyle w:val="EndNoteBibliography"/>
        <w:spacing w:after="0"/>
      </w:pPr>
      <w:bookmarkStart w:id="269" w:name="_ENREF_124"/>
      <w:r w:rsidRPr="0015743B">
        <w:t xml:space="preserve">Guanilo, AD, de Moraes, GJ, Flechtmann, CHW &amp; Knapp, M 2012, ‘Phytophagous and fungivorous mites (Acari: Prostigmata, Astigmata) from Peru’, </w:t>
      </w:r>
      <w:r w:rsidRPr="0015743B">
        <w:rPr>
          <w:i/>
        </w:rPr>
        <w:t>International Journal of Acarology</w:t>
      </w:r>
      <w:r w:rsidRPr="0015743B">
        <w:t>, vol. 38, no. 2, pp. 120-34.</w:t>
      </w:r>
      <w:bookmarkEnd w:id="269"/>
    </w:p>
    <w:p w:rsidR="00555918" w:rsidRPr="0015743B" w:rsidRDefault="00555918" w:rsidP="000B1771">
      <w:pPr>
        <w:pStyle w:val="EndNoteBibliography"/>
        <w:spacing w:after="0"/>
      </w:pPr>
      <w:bookmarkStart w:id="270" w:name="_ENREF_125"/>
      <w:r w:rsidRPr="0015743B">
        <w:t xml:space="preserve">Gyeltshen, J, Bernon, G &amp; Hodges, A 2010, ‘Brown marmorated stink bug, </w:t>
      </w:r>
      <w:r w:rsidRPr="0015743B">
        <w:rPr>
          <w:i/>
        </w:rPr>
        <w:t xml:space="preserve">Halyomorpha halys </w:t>
      </w:r>
      <w:r w:rsidRPr="0015743B">
        <w:t xml:space="preserve">Stål (Insecta: Hemiptera: Pentatomidae)’, University of Florida, USA, available at </w:t>
      </w:r>
      <w:hyperlink r:id="rId129" w:history="1">
        <w:r w:rsidRPr="000B1771">
          <w:rPr>
            <w:rStyle w:val="Hyperlink"/>
          </w:rPr>
          <w:t>http://entomology.ifas.ufl.edu/creatures</w:t>
        </w:r>
      </w:hyperlink>
      <w:r w:rsidRPr="0015743B">
        <w:t>.</w:t>
      </w:r>
      <w:bookmarkEnd w:id="270"/>
    </w:p>
    <w:p w:rsidR="00555918" w:rsidRPr="0015743B" w:rsidRDefault="00555918" w:rsidP="000B1771">
      <w:pPr>
        <w:pStyle w:val="EndNoteBibliography"/>
        <w:spacing w:after="0"/>
      </w:pPr>
      <w:bookmarkStart w:id="271" w:name="_ENREF_126"/>
      <w:r w:rsidRPr="0015743B">
        <w:t xml:space="preserve">Hall, BH, McMahon, RL &amp; Wicks, TJ 2002, ‘First report of </w:t>
      </w:r>
      <w:r w:rsidRPr="0015743B">
        <w:rPr>
          <w:i/>
        </w:rPr>
        <w:t>Sclerotinia sclerotiorum</w:t>
      </w:r>
      <w:r w:rsidRPr="0015743B">
        <w:t xml:space="preserve"> on grape (</w:t>
      </w:r>
      <w:r w:rsidRPr="0015743B">
        <w:rPr>
          <w:i/>
        </w:rPr>
        <w:t>Vitis vinifera</w:t>
      </w:r>
      <w:r w:rsidRPr="0015743B">
        <w:t xml:space="preserve">) in South Australia’, </w:t>
      </w:r>
      <w:r w:rsidRPr="0015743B">
        <w:rPr>
          <w:i/>
        </w:rPr>
        <w:t>Australasian Plant Pathology</w:t>
      </w:r>
      <w:r w:rsidRPr="0015743B">
        <w:t>, vol. 31, pp. 417-8.</w:t>
      </w:r>
      <w:bookmarkEnd w:id="271"/>
    </w:p>
    <w:p w:rsidR="00555918" w:rsidRPr="0015743B" w:rsidRDefault="00555918" w:rsidP="000B1771">
      <w:pPr>
        <w:pStyle w:val="EndNoteBibliography"/>
        <w:spacing w:after="0"/>
      </w:pPr>
      <w:bookmarkStart w:id="272" w:name="_ENREF_127"/>
      <w:r w:rsidRPr="0015743B">
        <w:lastRenderedPageBreak/>
        <w:t xml:space="preserve">Halliday, RB 2000, ‘Additions and corrections to </w:t>
      </w:r>
      <w:r w:rsidRPr="0015743B">
        <w:rPr>
          <w:i/>
        </w:rPr>
        <w:t xml:space="preserve">Mites of Australia: </w:t>
      </w:r>
      <w:r w:rsidRPr="0015743B">
        <w:t xml:space="preserve">a checklist and bibliography’, </w:t>
      </w:r>
      <w:r w:rsidRPr="0015743B">
        <w:rPr>
          <w:i/>
        </w:rPr>
        <w:t>Australian Journal of Entomology</w:t>
      </w:r>
      <w:r w:rsidRPr="0015743B">
        <w:t>, vol. 39, pp. 233-5.</w:t>
      </w:r>
      <w:bookmarkEnd w:id="272"/>
    </w:p>
    <w:p w:rsidR="00555918" w:rsidRPr="0015743B" w:rsidRDefault="00555918" w:rsidP="000B1771">
      <w:pPr>
        <w:pStyle w:val="EndNoteBibliography"/>
        <w:spacing w:after="0"/>
      </w:pPr>
      <w:bookmarkStart w:id="273" w:name="_ENREF_128"/>
      <w:r w:rsidRPr="0015743B">
        <w:t xml:space="preserve">Hancock, DL, Hamacek, E, Lloyd, AC &amp; Elson-Harris, MM 2000, </w:t>
      </w:r>
      <w:r w:rsidRPr="0015743B">
        <w:rPr>
          <w:i/>
        </w:rPr>
        <w:t>The distribution and host plants of fruit flies (Diptera: Tephritidae) in Australia</w:t>
      </w:r>
      <w:r w:rsidRPr="0015743B">
        <w:t>, Department of Primary Industries, Brisbane.</w:t>
      </w:r>
      <w:bookmarkEnd w:id="273"/>
    </w:p>
    <w:p w:rsidR="00555918" w:rsidRPr="0015743B" w:rsidRDefault="00555918" w:rsidP="000B1771">
      <w:pPr>
        <w:pStyle w:val="EndNoteBibliography"/>
        <w:spacing w:after="0"/>
      </w:pPr>
      <w:bookmarkStart w:id="274" w:name="_ENREF_129"/>
      <w:r w:rsidRPr="0015743B">
        <w:t xml:space="preserve">Heather, NW &amp; Hallman, GJ 2008, ‘Disinfestation with cold’, in </w:t>
      </w:r>
      <w:r w:rsidRPr="0015743B">
        <w:rPr>
          <w:i/>
        </w:rPr>
        <w:t>Pest management and phytosanitary trade barriers</w:t>
      </w:r>
      <w:r w:rsidRPr="0015743B">
        <w:t>, Heather, NW &amp; Hallman, GJ (eds), CABI, Wallingford; UK.</w:t>
      </w:r>
      <w:bookmarkEnd w:id="274"/>
    </w:p>
    <w:p w:rsidR="00555918" w:rsidRPr="0015743B" w:rsidRDefault="00555918" w:rsidP="000B1771">
      <w:pPr>
        <w:pStyle w:val="EndNoteBibliography"/>
        <w:spacing w:after="0"/>
      </w:pPr>
      <w:bookmarkStart w:id="275" w:name="_ENREF_130"/>
      <w:r w:rsidRPr="0015743B">
        <w:t xml:space="preserve">Hewitt, WB &amp; Pearson, RC 1988, ‘Phomopsis cane and leaf spot’, in </w:t>
      </w:r>
      <w:r w:rsidRPr="0015743B">
        <w:rPr>
          <w:i/>
        </w:rPr>
        <w:t>Compendium of grape diseases</w:t>
      </w:r>
      <w:r w:rsidRPr="0015743B">
        <w:t>, Pearson, RC &amp; Goheen, AC (eds), The American Phytopathological Society Press, St. Paul, Minnesota.</w:t>
      </w:r>
      <w:bookmarkEnd w:id="275"/>
    </w:p>
    <w:p w:rsidR="00555918" w:rsidRPr="0015743B" w:rsidRDefault="00555918" w:rsidP="000B1771">
      <w:pPr>
        <w:pStyle w:val="EndNoteBibliography"/>
        <w:spacing w:after="0"/>
      </w:pPr>
      <w:bookmarkStart w:id="276" w:name="_ENREF_131"/>
      <w:r w:rsidRPr="0015743B">
        <w:t xml:space="preserve">Hill, MP, Bertelsmeier, C, Clusella-Trullas, S, Garnas, J, Robertson, MP &amp; Terblanche, JS 2016, ‘Predicted decrease in global climate suitability masks regional complexity of invasive fruit fly species response to climate change’, </w:t>
      </w:r>
      <w:r w:rsidRPr="0015743B">
        <w:rPr>
          <w:i/>
        </w:rPr>
        <w:t>Biological Invasions</w:t>
      </w:r>
      <w:r w:rsidRPr="0015743B">
        <w:t>, vol. 18, pp. 1105-19.</w:t>
      </w:r>
      <w:bookmarkEnd w:id="276"/>
    </w:p>
    <w:p w:rsidR="00555918" w:rsidRPr="0015743B" w:rsidRDefault="00555918" w:rsidP="000B1771">
      <w:pPr>
        <w:pStyle w:val="EndNoteBibliography"/>
        <w:spacing w:after="0"/>
      </w:pPr>
      <w:bookmarkStart w:id="277" w:name="_ENREF_132"/>
      <w:r w:rsidRPr="0015743B">
        <w:t xml:space="preserve">Hoddle, M 2013, </w:t>
      </w:r>
      <w:r w:rsidRPr="0015743B">
        <w:rPr>
          <w:i/>
        </w:rPr>
        <w:t>The biology and management of the avocado thrips, Scirtothrips perseae Nakahara (Thysanoptera: Thripidae)</w:t>
      </w:r>
      <w:r w:rsidRPr="0015743B">
        <w:t xml:space="preserve">, University of California, Riverside, California, available at </w:t>
      </w:r>
      <w:hyperlink r:id="rId130" w:history="1">
        <w:r w:rsidRPr="000B1771">
          <w:rPr>
            <w:rStyle w:val="Hyperlink"/>
          </w:rPr>
          <w:t>http://biocontrol.ucr.edu/hoddle/avocadothrips.html</w:t>
        </w:r>
      </w:hyperlink>
      <w:r w:rsidRPr="0015743B">
        <w:t>.</w:t>
      </w:r>
      <w:bookmarkEnd w:id="277"/>
    </w:p>
    <w:p w:rsidR="00555918" w:rsidRPr="0015743B" w:rsidRDefault="00555918" w:rsidP="000B1771">
      <w:pPr>
        <w:pStyle w:val="EndNoteBibliography"/>
        <w:spacing w:after="0"/>
      </w:pPr>
      <w:bookmarkStart w:id="278" w:name="_ENREF_133"/>
      <w:r w:rsidRPr="0015743B">
        <w:t xml:space="preserve">Hoddle, MS, Nakahara, S &amp; Phillips, PA 2002, ‘Foreign exploration for </w:t>
      </w:r>
      <w:r w:rsidRPr="0015743B">
        <w:rPr>
          <w:i/>
        </w:rPr>
        <w:t>Scirtothrips perseae</w:t>
      </w:r>
      <w:r w:rsidRPr="0015743B">
        <w:t xml:space="preserve"> Nakahara (Thysanoptera: Thripidae) and associated natural enemies on avocado (</w:t>
      </w:r>
      <w:r w:rsidRPr="0015743B">
        <w:rPr>
          <w:i/>
        </w:rPr>
        <w:t>Persea americana</w:t>
      </w:r>
      <w:r w:rsidRPr="0015743B">
        <w:t xml:space="preserve"> Miller)’, </w:t>
      </w:r>
      <w:r w:rsidRPr="0015743B">
        <w:rPr>
          <w:i/>
        </w:rPr>
        <w:t>Biological control: a guide to natural enemies in North America</w:t>
      </w:r>
      <w:r w:rsidRPr="0015743B">
        <w:t>, vol. 24, no. 3, pp. 251-65.</w:t>
      </w:r>
      <w:bookmarkEnd w:id="278"/>
    </w:p>
    <w:p w:rsidR="00555918" w:rsidRPr="0015743B" w:rsidRDefault="00555918" w:rsidP="000B1771">
      <w:pPr>
        <w:pStyle w:val="EndNoteBibliography"/>
        <w:spacing w:after="0"/>
      </w:pPr>
      <w:bookmarkStart w:id="279" w:name="_ENREF_134"/>
      <w:r w:rsidRPr="0015743B">
        <w:t xml:space="preserve">Hodges, A, Ludwig, S, Osborne, L &amp; Edwards, GB 2009, </w:t>
      </w:r>
      <w:r w:rsidRPr="0015743B">
        <w:rPr>
          <w:i/>
        </w:rPr>
        <w:t>Pest thrips of the United States: field identification guide</w:t>
      </w:r>
      <w:r w:rsidRPr="0015743B">
        <w:t xml:space="preserve">, USDA-CSREES Integrated Pest Management Centersin cooperation with the National Plant Diagnostic Network, APHIS, the National Plant Board, and the Land Grant Universities, available at </w:t>
      </w:r>
      <w:hyperlink r:id="rId131" w:history="1">
        <w:r w:rsidRPr="000B1771">
          <w:rPr>
            <w:rStyle w:val="Hyperlink"/>
          </w:rPr>
          <w:t>https://firstdetector.org/pdf/chili_thrips_deck.pdf</w:t>
        </w:r>
      </w:hyperlink>
      <w:r w:rsidRPr="0015743B">
        <w:t xml:space="preserve"> (pdf 2.98 mb).</w:t>
      </w:r>
      <w:bookmarkEnd w:id="279"/>
    </w:p>
    <w:p w:rsidR="00555918" w:rsidRPr="0015743B" w:rsidRDefault="00555918" w:rsidP="000B1771">
      <w:pPr>
        <w:pStyle w:val="EndNoteBibliography"/>
        <w:spacing w:after="0"/>
      </w:pPr>
      <w:bookmarkStart w:id="280" w:name="_ENREF_135"/>
      <w:r w:rsidRPr="0015743B">
        <w:t xml:space="preserve">Hodges, G 2017, ‘Pest alert: the granade scale, </w:t>
      </w:r>
      <w:r w:rsidRPr="0015743B">
        <w:rPr>
          <w:i/>
        </w:rPr>
        <w:t>Cerococcus deklei</w:t>
      </w:r>
      <w:r w:rsidRPr="0015743B">
        <w:t xml:space="preserve"> (Hemiptera: Cerococcidae)’, </w:t>
      </w:r>
      <w:r w:rsidRPr="0015743B">
        <w:rPr>
          <w:i/>
        </w:rPr>
        <w:t>Florida Department of Agriculture and Consumer Services</w:t>
      </w:r>
      <w:r w:rsidRPr="0015743B">
        <w:t xml:space="preserve">, available at </w:t>
      </w:r>
      <w:hyperlink r:id="rId132" w:history="1">
        <w:r w:rsidRPr="000B1771">
          <w:rPr>
            <w:rStyle w:val="Hyperlink"/>
          </w:rPr>
          <w:t>http://www.freshfromflorida.com/content/download/68146/1612588/Pest_Alert_-_Cerococcus_deklei,_grenade_scale.pdf</w:t>
        </w:r>
      </w:hyperlink>
      <w:r w:rsidRPr="0015743B">
        <w:t xml:space="preserve"> (pdf 810 kb).</w:t>
      </w:r>
      <w:bookmarkEnd w:id="280"/>
    </w:p>
    <w:p w:rsidR="00555918" w:rsidRPr="0015743B" w:rsidRDefault="00555918" w:rsidP="000B1771">
      <w:pPr>
        <w:pStyle w:val="EndNoteBibliography"/>
        <w:spacing w:after="0"/>
      </w:pPr>
      <w:bookmarkStart w:id="281" w:name="_ENREF_136"/>
      <w:r w:rsidRPr="0015743B">
        <w:t xml:space="preserve">Hodgson, EW &amp; Leskey, TC 2014, ‘Biology, distribution and management of brown marmorated stink bug’, </w:t>
      </w:r>
      <w:r w:rsidRPr="0015743B">
        <w:rPr>
          <w:i/>
        </w:rPr>
        <w:t>Proceedings of the Integrated Crop Management Conference</w:t>
      </w:r>
      <w:r w:rsidRPr="0015743B">
        <w:t>, vol. 16, pp. 75-7.</w:t>
      </w:r>
      <w:bookmarkEnd w:id="281"/>
    </w:p>
    <w:p w:rsidR="00555918" w:rsidRPr="0015743B" w:rsidRDefault="00555918" w:rsidP="000B1771">
      <w:pPr>
        <w:pStyle w:val="EndNoteBibliography"/>
        <w:spacing w:after="0"/>
      </w:pPr>
      <w:bookmarkStart w:id="282" w:name="_ENREF_137"/>
      <w:r w:rsidRPr="0015743B">
        <w:t xml:space="preserve">Hofman, PJ, Bower, J &amp; Woolf, A 2013, ‘Harvesting, packing, postharvest technology, transport and processing’, in </w:t>
      </w:r>
      <w:r w:rsidRPr="0015743B">
        <w:rPr>
          <w:i/>
        </w:rPr>
        <w:t>The avocado: botany, production and uses</w:t>
      </w:r>
      <w:r w:rsidRPr="0015743B">
        <w:t>, 2nd edn, Schaffer, B, Wolstenholme, BN &amp; Whiley, AW (eds), CPI Group (UK) Ltd, Croydon.</w:t>
      </w:r>
      <w:bookmarkEnd w:id="282"/>
    </w:p>
    <w:p w:rsidR="00555918" w:rsidRPr="0015743B" w:rsidRDefault="00555918" w:rsidP="000B1771">
      <w:pPr>
        <w:pStyle w:val="EndNoteBibliography"/>
        <w:spacing w:after="0"/>
      </w:pPr>
      <w:bookmarkStart w:id="283" w:name="_ENREF_138"/>
      <w:r w:rsidRPr="0015743B">
        <w:t xml:space="preserve">Hong, CX, Gallegly, ME, Browne, GT, Bhat, RG, Richardson, PA &amp; Kong, P 2009, ‘The avocado subgroup of </w:t>
      </w:r>
      <w:r w:rsidRPr="0015743B">
        <w:rPr>
          <w:i/>
        </w:rPr>
        <w:t>Phytophthora citricola</w:t>
      </w:r>
      <w:r w:rsidRPr="0015743B">
        <w:t xml:space="preserve"> constitutes a distinct species, </w:t>
      </w:r>
      <w:r w:rsidRPr="0015743B">
        <w:rPr>
          <w:i/>
        </w:rPr>
        <w:t>Phytophthora mengei</w:t>
      </w:r>
      <w:r w:rsidRPr="0015743B">
        <w:t xml:space="preserve"> sp. nov.’, </w:t>
      </w:r>
      <w:r w:rsidRPr="0015743B">
        <w:rPr>
          <w:i/>
        </w:rPr>
        <w:t>Mycologia</w:t>
      </w:r>
      <w:r w:rsidRPr="0015743B">
        <w:t>, vol. 101, pp. 833-40.</w:t>
      </w:r>
      <w:bookmarkEnd w:id="283"/>
    </w:p>
    <w:p w:rsidR="00555918" w:rsidRPr="0015743B" w:rsidRDefault="00555918" w:rsidP="000B1771">
      <w:pPr>
        <w:pStyle w:val="EndNoteBibliography"/>
        <w:spacing w:after="0"/>
      </w:pPr>
      <w:bookmarkStart w:id="284" w:name="_ENREF_139"/>
      <w:r w:rsidRPr="0015743B">
        <w:t xml:space="preserve">International Trade Centre 2016, </w:t>
      </w:r>
      <w:r w:rsidRPr="0015743B">
        <w:rPr>
          <w:i/>
        </w:rPr>
        <w:t>Trade map: trade statistics for international business development</w:t>
      </w:r>
      <w:r w:rsidRPr="0015743B">
        <w:t xml:space="preserve">, Trade Map, available at </w:t>
      </w:r>
      <w:hyperlink r:id="rId133" w:history="1">
        <w:r w:rsidRPr="000B1771">
          <w:rPr>
            <w:rStyle w:val="Hyperlink"/>
          </w:rPr>
          <w:t>http://www.trademap.org/Index.aspx</w:t>
        </w:r>
      </w:hyperlink>
      <w:r w:rsidRPr="0015743B">
        <w:t>.</w:t>
      </w:r>
      <w:bookmarkEnd w:id="284"/>
    </w:p>
    <w:p w:rsidR="00555918" w:rsidRPr="0015743B" w:rsidRDefault="00555918" w:rsidP="000B1771">
      <w:pPr>
        <w:pStyle w:val="EndNoteBibliography"/>
        <w:spacing w:after="0"/>
      </w:pPr>
      <w:bookmarkStart w:id="285" w:name="_ENREF_140"/>
      <w:r w:rsidRPr="0015743B">
        <w:t xml:space="preserve">IPPC 2017, </w:t>
      </w:r>
      <w:r w:rsidRPr="0015743B">
        <w:rPr>
          <w:i/>
        </w:rPr>
        <w:t>Detection of Protopulvinaria pyriformis (pyriform scale) in Western Australia</w:t>
      </w:r>
      <w:r w:rsidRPr="0015743B">
        <w:t xml:space="preserve">, AUS-82/1, FAO, available at </w:t>
      </w:r>
      <w:hyperlink r:id="rId134" w:history="1">
        <w:r w:rsidRPr="000B1771">
          <w:rPr>
            <w:rStyle w:val="Hyperlink"/>
          </w:rPr>
          <w:t>https://www.ippc.int/en/countries/australia/pestreports/2017/05/detection-of-protopulvinaria-pyriformis-pyriform-scale-in-western-australia/</w:t>
        </w:r>
      </w:hyperlink>
      <w:r w:rsidRPr="0015743B">
        <w:t xml:space="preserve"> (pdf 81 kb).</w:t>
      </w:r>
      <w:bookmarkEnd w:id="285"/>
    </w:p>
    <w:p w:rsidR="00555918" w:rsidRPr="0015743B" w:rsidRDefault="00555918" w:rsidP="000B1771">
      <w:pPr>
        <w:pStyle w:val="EndNoteBibliography"/>
        <w:spacing w:after="0"/>
      </w:pPr>
      <w:bookmarkStart w:id="286" w:name="_ENREF_141"/>
      <w:r w:rsidRPr="0015743B">
        <w:t xml:space="preserve">Javahery, M 1994, ‘Development of eggs in some true bugs (Hemiptera-Heteroptera). Part 1. Pentatomoidea’, </w:t>
      </w:r>
      <w:r w:rsidRPr="0015743B">
        <w:rPr>
          <w:i/>
        </w:rPr>
        <w:t>The Canadian Entomologist</w:t>
      </w:r>
      <w:r w:rsidRPr="0015743B">
        <w:t>, vol. 126, pp. 401-33.</w:t>
      </w:r>
      <w:bookmarkEnd w:id="286"/>
    </w:p>
    <w:p w:rsidR="00555918" w:rsidRPr="0015743B" w:rsidRDefault="00555918" w:rsidP="000B1771">
      <w:pPr>
        <w:pStyle w:val="EndNoteBibliography"/>
        <w:spacing w:after="0"/>
      </w:pPr>
      <w:bookmarkStart w:id="287" w:name="_ENREF_142"/>
      <w:r w:rsidRPr="0015743B">
        <w:t xml:space="preserve">Jeppson, LR 1989, ‘Biology of citrus insects, mites, and moths’, in </w:t>
      </w:r>
      <w:r w:rsidRPr="0015743B">
        <w:rPr>
          <w:i/>
        </w:rPr>
        <w:t>The citrus industry</w:t>
      </w:r>
      <w:r w:rsidRPr="0015743B">
        <w:t>, University of California, Oakland.</w:t>
      </w:r>
      <w:bookmarkEnd w:id="287"/>
    </w:p>
    <w:p w:rsidR="00555918" w:rsidRPr="0015743B" w:rsidRDefault="00555918" w:rsidP="000B1771">
      <w:pPr>
        <w:pStyle w:val="EndNoteBibliography"/>
        <w:spacing w:after="0"/>
      </w:pPr>
      <w:bookmarkStart w:id="288" w:name="_ENREF_143"/>
      <w:r w:rsidRPr="0015743B">
        <w:lastRenderedPageBreak/>
        <w:t xml:space="preserve">Jeppson, LR, Keifer, HH &amp; Baker, EW 1975, </w:t>
      </w:r>
      <w:r w:rsidRPr="0015743B">
        <w:rPr>
          <w:i/>
        </w:rPr>
        <w:t>Mites injurious to economic plants</w:t>
      </w:r>
      <w:r w:rsidRPr="0015743B">
        <w:t>, University of California, Berkeley.</w:t>
      </w:r>
      <w:bookmarkEnd w:id="288"/>
    </w:p>
    <w:p w:rsidR="00555918" w:rsidRPr="0015743B" w:rsidRDefault="00555918" w:rsidP="000B1771">
      <w:pPr>
        <w:pStyle w:val="EndNoteBibliography"/>
        <w:spacing w:after="0"/>
      </w:pPr>
      <w:bookmarkStart w:id="289" w:name="_ENREF_144"/>
      <w:r w:rsidRPr="0015743B">
        <w:t xml:space="preserve">Johansen, RM &amp; Mojica, A 2007, </w:t>
      </w:r>
      <w:r w:rsidRPr="0015743B">
        <w:rPr>
          <w:i/>
        </w:rPr>
        <w:t>About some thrips species assemblages found in avocado trees (Persea americana Mill) in Mexico</w:t>
      </w:r>
      <w:r w:rsidRPr="0015743B">
        <w:t>, Proceedings, Universidad Nacional Autonoma de Mexico, Mexico.</w:t>
      </w:r>
      <w:bookmarkEnd w:id="289"/>
    </w:p>
    <w:p w:rsidR="00555918" w:rsidRPr="0015743B" w:rsidRDefault="00555918" w:rsidP="000B1771">
      <w:pPr>
        <w:pStyle w:val="EndNoteBibliography"/>
        <w:spacing w:after="0"/>
      </w:pPr>
      <w:bookmarkStart w:id="290" w:name="_ENREF_145"/>
      <w:r w:rsidRPr="0015743B">
        <w:t xml:space="preserve">Jones, VP &amp; Morse, JG 1984, ‘A synthesis of temperature dependent developmental studies with the citrus red mite, </w:t>
      </w:r>
      <w:r w:rsidRPr="0015743B">
        <w:rPr>
          <w:i/>
        </w:rPr>
        <w:t>Panonychus citri</w:t>
      </w:r>
      <w:r w:rsidRPr="0015743B">
        <w:t xml:space="preserve"> (McGregor) (Acari: Tetranychidae)’, </w:t>
      </w:r>
      <w:r w:rsidRPr="0015743B">
        <w:rPr>
          <w:i/>
        </w:rPr>
        <w:t>The Florida Entomologist</w:t>
      </w:r>
      <w:r w:rsidRPr="0015743B">
        <w:t>, vol. 67, no. 2, pp. 213-21.</w:t>
      </w:r>
      <w:bookmarkEnd w:id="290"/>
    </w:p>
    <w:p w:rsidR="00555918" w:rsidRPr="0015743B" w:rsidRDefault="00555918" w:rsidP="000B1771">
      <w:pPr>
        <w:pStyle w:val="EndNoteBibliography"/>
        <w:spacing w:after="0"/>
      </w:pPr>
      <w:bookmarkStart w:id="291" w:name="_ENREF_146"/>
      <w:r w:rsidRPr="0015743B">
        <w:t xml:space="preserve">Joubert, PH &amp; Claasens, VE 1994, ‘Stink bug damage on avocado fruit in the Nelspruit Region’, </w:t>
      </w:r>
      <w:r w:rsidRPr="0015743B">
        <w:rPr>
          <w:i/>
        </w:rPr>
        <w:t>South African Avocado Growers' Association</w:t>
      </w:r>
      <w:r w:rsidRPr="0015743B">
        <w:t>, vol. 17, pp. 106-8.</w:t>
      </w:r>
      <w:bookmarkEnd w:id="291"/>
    </w:p>
    <w:p w:rsidR="00555918" w:rsidRPr="0015743B" w:rsidRDefault="00555918" w:rsidP="000B1771">
      <w:pPr>
        <w:pStyle w:val="EndNoteBibliography"/>
        <w:spacing w:after="0"/>
      </w:pPr>
      <w:bookmarkStart w:id="292" w:name="_ENREF_147"/>
      <w:r w:rsidRPr="0015743B">
        <w:t xml:space="preserve">Kamminga, KL, Koppel, AL, Herbert, DA, Jnr &amp; Kuhar, TP 2012, ‘Biology and management of the green stink bug’, </w:t>
      </w:r>
      <w:r w:rsidRPr="0015743B">
        <w:rPr>
          <w:i/>
        </w:rPr>
        <w:t>Journal of Integrated Pest Management</w:t>
      </w:r>
      <w:r w:rsidRPr="0015743B">
        <w:t xml:space="preserve">, vol. 3, no. 3, available at </w:t>
      </w:r>
      <w:hyperlink r:id="rId135" w:history="1">
        <w:r w:rsidRPr="000B1771">
          <w:rPr>
            <w:rStyle w:val="Hyperlink"/>
          </w:rPr>
          <w:t>http://dx.doi.org/10.1603/IPM12006</w:t>
        </w:r>
      </w:hyperlink>
      <w:r w:rsidRPr="0015743B">
        <w:t>.</w:t>
      </w:r>
      <w:bookmarkEnd w:id="292"/>
    </w:p>
    <w:p w:rsidR="00555918" w:rsidRPr="0015743B" w:rsidRDefault="00555918" w:rsidP="000B1771">
      <w:pPr>
        <w:pStyle w:val="EndNoteBibliography"/>
        <w:spacing w:after="0"/>
      </w:pPr>
      <w:bookmarkStart w:id="293" w:name="_ENREF_148"/>
      <w:r w:rsidRPr="0015743B">
        <w:t xml:space="preserve">Kasap, I 2009, ‘The biology and fecundity of the citrus red mite </w:t>
      </w:r>
      <w:r w:rsidRPr="0015743B">
        <w:rPr>
          <w:i/>
        </w:rPr>
        <w:t>Panonychus citri</w:t>
      </w:r>
      <w:r w:rsidRPr="0015743B">
        <w:t xml:space="preserve"> (McGregor) (Acari: Tetranychidae) at different temperatures under laboratory conditions’, </w:t>
      </w:r>
      <w:r w:rsidRPr="0015743B">
        <w:rPr>
          <w:i/>
        </w:rPr>
        <w:t>Turkish Journal of Agriculture and Forestry</w:t>
      </w:r>
      <w:r w:rsidRPr="0015743B">
        <w:t>, vol. 33, pp. 593-600.</w:t>
      </w:r>
      <w:bookmarkEnd w:id="293"/>
    </w:p>
    <w:p w:rsidR="00555918" w:rsidRPr="0015743B" w:rsidRDefault="00555918" w:rsidP="000B1771">
      <w:pPr>
        <w:pStyle w:val="EndNoteBibliography"/>
        <w:spacing w:after="0"/>
      </w:pPr>
      <w:bookmarkStart w:id="294" w:name="_ENREF_149"/>
      <w:r w:rsidRPr="0015743B">
        <w:t xml:space="preserve">Keetch, DP 1971, ‘Ecology of the citrus red mite, </w:t>
      </w:r>
      <w:r w:rsidRPr="0015743B">
        <w:rPr>
          <w:i/>
        </w:rPr>
        <w:t>Panonychus citri</w:t>
      </w:r>
      <w:r w:rsidRPr="0015743B">
        <w:t xml:space="preserve"> (McGregor), (Acarina: Tetranychidae) in South Africa: 2. The influence of temperature and relative humidity on the development and life cycle’, </w:t>
      </w:r>
      <w:r w:rsidRPr="0015743B">
        <w:rPr>
          <w:i/>
        </w:rPr>
        <w:t>Journal of the Entomological Society of South Africa</w:t>
      </w:r>
      <w:r w:rsidRPr="0015743B">
        <w:t>, vol. 34, no. 1, pp. 103-18.</w:t>
      </w:r>
      <w:bookmarkEnd w:id="294"/>
    </w:p>
    <w:p w:rsidR="00555918" w:rsidRPr="0015743B" w:rsidRDefault="00555918" w:rsidP="000B1771">
      <w:pPr>
        <w:pStyle w:val="EndNoteBibliography"/>
        <w:spacing w:after="0"/>
      </w:pPr>
      <w:bookmarkStart w:id="295" w:name="_ENREF_150"/>
      <w:r w:rsidRPr="0015743B">
        <w:t xml:space="preserve">Kennedy, GG &amp; Smitley, DR 1985, ‘Dispersal’, in </w:t>
      </w:r>
      <w:r w:rsidRPr="0015743B">
        <w:rPr>
          <w:i/>
        </w:rPr>
        <w:t>Spider mites: their biology, natural enemies and control. Vol. 1A</w:t>
      </w:r>
      <w:r w:rsidRPr="0015743B">
        <w:t>, Helle, W &amp; Sabelis, MW (eds), Elsevier Science Publishers B.V., Amsterdam.</w:t>
      </w:r>
      <w:bookmarkEnd w:id="295"/>
    </w:p>
    <w:p w:rsidR="00555918" w:rsidRPr="0015743B" w:rsidRDefault="00555918" w:rsidP="000B1771">
      <w:pPr>
        <w:pStyle w:val="EndNoteBibliography"/>
        <w:spacing w:after="0"/>
      </w:pPr>
      <w:bookmarkStart w:id="296" w:name="_ENREF_151"/>
      <w:r w:rsidRPr="0015743B">
        <w:t xml:space="preserve">Khodayari, S, Colinet, H, Moharramipour, S &amp; Renault, D 2013, ‘Seasonal changes in the cold hardiness of the two-spotted spider mite females (Acari: Tetranychidae)’, </w:t>
      </w:r>
      <w:r w:rsidRPr="0015743B">
        <w:rPr>
          <w:i/>
        </w:rPr>
        <w:t>Environmental Entomology</w:t>
      </w:r>
      <w:r w:rsidRPr="0015743B">
        <w:t>, vol. 42, no. 6, pp. 1415-21.</w:t>
      </w:r>
      <w:bookmarkEnd w:id="296"/>
    </w:p>
    <w:p w:rsidR="00555918" w:rsidRPr="0015743B" w:rsidRDefault="00555918" w:rsidP="000B1771">
      <w:pPr>
        <w:pStyle w:val="EndNoteBibliography"/>
        <w:spacing w:after="0"/>
      </w:pPr>
      <w:bookmarkStart w:id="297" w:name="_ENREF_152"/>
      <w:r w:rsidRPr="0015743B">
        <w:t xml:space="preserve">Kilic, G &amp; Demirel, N 2018, ‘A population fluctuation and damage rates of </w:t>
      </w:r>
      <w:r w:rsidRPr="0015743B">
        <w:rPr>
          <w:i/>
        </w:rPr>
        <w:t xml:space="preserve">Ceratitis capitata </w:t>
      </w:r>
      <w:r w:rsidRPr="0015743B">
        <w:t xml:space="preserve">(Diptera: Tephritidae) on persimmon fruits in Turkey’, </w:t>
      </w:r>
      <w:r w:rsidRPr="0015743B">
        <w:rPr>
          <w:i/>
        </w:rPr>
        <w:t>Fresenius Environmental Bulletin</w:t>
      </w:r>
      <w:r w:rsidRPr="0015743B">
        <w:t>, vol. 27 no. 7, pp. 5072-7.</w:t>
      </w:r>
      <w:bookmarkEnd w:id="297"/>
    </w:p>
    <w:p w:rsidR="00555918" w:rsidRPr="0015743B" w:rsidRDefault="00555918" w:rsidP="000B1771">
      <w:pPr>
        <w:pStyle w:val="EndNoteBibliography"/>
        <w:spacing w:after="0"/>
      </w:pPr>
      <w:bookmarkStart w:id="298" w:name="_ENREF_153"/>
      <w:r w:rsidRPr="0015743B">
        <w:t xml:space="preserve">Klein Koch, C &amp; Waterhouse, DF 2000, </w:t>
      </w:r>
      <w:r w:rsidRPr="0015743B">
        <w:rPr>
          <w:i/>
        </w:rPr>
        <w:t>The distribution and importance of arthropods associated with agriculture and forestry in Chile</w:t>
      </w:r>
      <w:r w:rsidRPr="0015743B">
        <w:t>, ACIAR monograph no. 68, Australian Centre for International Agricultural Research, Canberra.</w:t>
      </w:r>
      <w:bookmarkEnd w:id="298"/>
    </w:p>
    <w:p w:rsidR="00555918" w:rsidRPr="0015743B" w:rsidRDefault="00555918" w:rsidP="000B1771">
      <w:pPr>
        <w:pStyle w:val="EndNoteBibliography"/>
        <w:spacing w:after="0"/>
      </w:pPr>
      <w:bookmarkStart w:id="299" w:name="_ENREF_154"/>
      <w:r w:rsidRPr="0015743B">
        <w:t xml:space="preserve">Kondo, T &amp; Muñoz, JA 2016, ‘Scale insects (Hemiptera: Coccoidea) associated with avocado crop, </w:t>
      </w:r>
      <w:r w:rsidRPr="0015743B">
        <w:rPr>
          <w:i/>
        </w:rPr>
        <w:t>Persea americana</w:t>
      </w:r>
      <w:r w:rsidRPr="0015743B">
        <w:t xml:space="preserve"> Mill. (Lauraceae) in Valle del Cauca and neighboring departments of Colombia’, </w:t>
      </w:r>
      <w:r w:rsidRPr="0015743B">
        <w:rPr>
          <w:i/>
        </w:rPr>
        <w:t>Insecta Mundi</w:t>
      </w:r>
      <w:r w:rsidRPr="0015743B">
        <w:t>, vol. 0465, pp. 1-24.</w:t>
      </w:r>
      <w:bookmarkEnd w:id="299"/>
    </w:p>
    <w:p w:rsidR="00555918" w:rsidRPr="0015743B" w:rsidRDefault="00555918" w:rsidP="000B1771">
      <w:pPr>
        <w:pStyle w:val="EndNoteBibliography"/>
        <w:spacing w:after="0"/>
      </w:pPr>
      <w:bookmarkStart w:id="300" w:name="_ENREF_155"/>
      <w:r w:rsidRPr="0015743B">
        <w:t xml:space="preserve">Kozar, F 1976, ‘Colonization sites of scale insects (Homoptera: Coccoidea) on different plant species and varieties’, in </w:t>
      </w:r>
      <w:r w:rsidRPr="0015743B">
        <w:rPr>
          <w:i/>
        </w:rPr>
        <w:t>The host-plant in relation to insect behaviour and reproduction</w:t>
      </w:r>
      <w:r w:rsidRPr="0015743B">
        <w:t>, Jeremy, T (ed), Plenum Press, New York.</w:t>
      </w:r>
      <w:bookmarkEnd w:id="300"/>
    </w:p>
    <w:p w:rsidR="00555918" w:rsidRPr="0015743B" w:rsidRDefault="00555918" w:rsidP="000B1771">
      <w:pPr>
        <w:pStyle w:val="EndNoteBibliography"/>
        <w:spacing w:after="0"/>
      </w:pPr>
      <w:bookmarkStart w:id="301" w:name="_ENREF_156"/>
      <w:r w:rsidRPr="0015743B">
        <w:t xml:space="preserve">Landcare Research 2019, </w:t>
      </w:r>
      <w:r w:rsidRPr="0015743B">
        <w:rPr>
          <w:i/>
        </w:rPr>
        <w:t>Soft scale factsheet: Parthenolacanium corni (Bouche) - Brown scale</w:t>
      </w:r>
      <w:r w:rsidRPr="0015743B">
        <w:t xml:space="preserve">, Landcare Research: Manaaki Whenua, Lincoln, New Zealand, available at </w:t>
      </w:r>
      <w:hyperlink r:id="rId136" w:history="1">
        <w:r w:rsidRPr="000B1771">
          <w:rPr>
            <w:rStyle w:val="Hyperlink"/>
          </w:rPr>
          <w:t>https://www.landcareresearch.co.nz/science/portfolios/defining-land-biota/invertebrates/systematics/scale-insects/species-information-sheets/parthenolacanium-corni</w:t>
        </w:r>
      </w:hyperlink>
      <w:r w:rsidRPr="0015743B">
        <w:t>.</w:t>
      </w:r>
      <w:bookmarkEnd w:id="301"/>
    </w:p>
    <w:p w:rsidR="00555918" w:rsidRPr="0015743B" w:rsidRDefault="00555918" w:rsidP="000B1771">
      <w:pPr>
        <w:pStyle w:val="EndNoteBibliography"/>
        <w:spacing w:after="0"/>
      </w:pPr>
      <w:bookmarkStart w:id="302" w:name="_ENREF_157"/>
      <w:r w:rsidRPr="0015743B">
        <w:t xml:space="preserve">Lemus, SG, Ferreyra, ER, Gil, MP, Sepúlveda, RP, Maldonado, BP, Toledo, GC, Barrera, MC &amp; de Celedón, AJM 2010, </w:t>
      </w:r>
      <w:r w:rsidRPr="0015743B">
        <w:rPr>
          <w:i/>
        </w:rPr>
        <w:t>El cultivo del palto: Tercera edición</w:t>
      </w:r>
      <w:r w:rsidRPr="0015743B">
        <w:t>, Boletín Inia, 129, Instituto de Investigaciones Agropecuarias, La Cruz, Chile (pdf 1.33 mb).</w:t>
      </w:r>
      <w:bookmarkEnd w:id="302"/>
    </w:p>
    <w:p w:rsidR="00555918" w:rsidRPr="0015743B" w:rsidRDefault="00555918" w:rsidP="000B1771">
      <w:pPr>
        <w:pStyle w:val="EndNoteBibliography"/>
        <w:spacing w:after="0"/>
      </w:pPr>
      <w:bookmarkStart w:id="303" w:name="_ENREF_158"/>
      <w:r w:rsidRPr="0015743B">
        <w:lastRenderedPageBreak/>
        <w:t xml:space="preserve">Leskey, TC &amp; Nielsen, AL 2018, ‘Impact of the invasive brown marmorated stink bug in North America and Europe: history, biology, ecology, and management’, </w:t>
      </w:r>
      <w:r w:rsidRPr="0015743B">
        <w:rPr>
          <w:i/>
        </w:rPr>
        <w:t>Annual Review of Entomology</w:t>
      </w:r>
      <w:r w:rsidRPr="0015743B">
        <w:t>, vol. 63, pp. 599-618.</w:t>
      </w:r>
      <w:bookmarkEnd w:id="303"/>
    </w:p>
    <w:p w:rsidR="00555918" w:rsidRPr="0015743B" w:rsidRDefault="00555918" w:rsidP="000B1771">
      <w:pPr>
        <w:pStyle w:val="EndNoteBibliography"/>
        <w:spacing w:after="0"/>
      </w:pPr>
      <w:bookmarkStart w:id="304" w:name="_ENREF_159"/>
      <w:r w:rsidRPr="0015743B">
        <w:t>Li, X, Yin, XY, Ma, L, Liu, YH, Fu, J &amp; Liu, XF 2007, ‘</w:t>
      </w:r>
      <w:r w:rsidRPr="0015743B">
        <w:rPr>
          <w:i/>
        </w:rPr>
        <w:t xml:space="preserve">Halyomorpha halys </w:t>
      </w:r>
      <w:r w:rsidRPr="0015743B">
        <w:t xml:space="preserve">behaviours and their application for control’ (in Chinese), </w:t>
      </w:r>
      <w:r w:rsidRPr="0015743B">
        <w:rPr>
          <w:i/>
        </w:rPr>
        <w:t>Journal of Northwest A&amp;F University</w:t>
      </w:r>
      <w:r w:rsidRPr="0015743B">
        <w:t>, vol. 35, no. 10, pp. 139-45.</w:t>
      </w:r>
      <w:bookmarkEnd w:id="304"/>
    </w:p>
    <w:p w:rsidR="00555918" w:rsidRPr="0015743B" w:rsidRDefault="00555918" w:rsidP="000B1771">
      <w:pPr>
        <w:pStyle w:val="EndNoteBibliography"/>
        <w:spacing w:after="0"/>
      </w:pPr>
      <w:bookmarkStart w:id="305" w:name="_ENREF_160"/>
      <w:r w:rsidRPr="0015743B">
        <w:t xml:space="preserve">Liquido, NJ, Chan, HT, Jnr &amp; McQuate, GT 1995, ‘Hawaiian Tephritid fruit flies (Diptera): integrity of the infestation-free quarantine procedure for 'Sharwil' avocado’, </w:t>
      </w:r>
      <w:r w:rsidRPr="0015743B">
        <w:rPr>
          <w:i/>
        </w:rPr>
        <w:t>Journal of Economic Entomology</w:t>
      </w:r>
      <w:r w:rsidRPr="0015743B">
        <w:t>, vol. 88, no. 1, pp. 85-96.</w:t>
      </w:r>
      <w:bookmarkEnd w:id="305"/>
    </w:p>
    <w:p w:rsidR="00555918" w:rsidRPr="0015743B" w:rsidRDefault="00555918" w:rsidP="000B1771">
      <w:pPr>
        <w:pStyle w:val="EndNoteBibliography"/>
        <w:spacing w:after="0"/>
      </w:pPr>
      <w:bookmarkStart w:id="306" w:name="_ENREF_161"/>
      <w:r w:rsidRPr="0015743B">
        <w:t xml:space="preserve">Liquido, NJ, Layme, JM, Gonzales, LB &amp; Velapatiño, JF 2011, </w:t>
      </w:r>
      <w:r w:rsidRPr="0015743B">
        <w:rPr>
          <w:i/>
        </w:rPr>
        <w:t>Quarantine security: assessment and mitigation of the risk of Anastrepha striata, Anastrepha fraterculus, and Ceratitis capitata (Diptera: Tephritidae) in 'Hass' avocado, Persea americana</w:t>
      </w:r>
      <w:r w:rsidRPr="0015743B">
        <w:t xml:space="preserve">, Proceedings VII World Avocado Congress 2011, 5-9 September 2011, Cairns, Australia, available at </w:t>
      </w:r>
      <w:hyperlink r:id="rId137" w:history="1">
        <w:r w:rsidRPr="00F45F2B">
          <w:rPr>
            <w:rStyle w:val="Hyperlink"/>
          </w:rPr>
          <w:t>http://www.avocadosource.com/wac7/Section_03/LiquidoNicanor2011.pdf</w:t>
        </w:r>
      </w:hyperlink>
      <w:r w:rsidRPr="0015743B">
        <w:t xml:space="preserve"> (pdf 936 kb).</w:t>
      </w:r>
      <w:bookmarkEnd w:id="306"/>
    </w:p>
    <w:p w:rsidR="00555918" w:rsidRPr="0015743B" w:rsidRDefault="00555918" w:rsidP="000B1771">
      <w:pPr>
        <w:pStyle w:val="EndNoteBibliography"/>
        <w:spacing w:after="0"/>
      </w:pPr>
      <w:bookmarkStart w:id="307" w:name="_ENREF_162"/>
      <w:r w:rsidRPr="0015743B">
        <w:t xml:space="preserve">Lombard, L, Crous, PW, Wingfield &amp; Wingfield, MJ 2010, ‘Multigene phylogeny and mating tests reveal three cryptic species related to </w:t>
      </w:r>
      <w:r w:rsidRPr="0015743B">
        <w:rPr>
          <w:i/>
        </w:rPr>
        <w:t>Calonectria pauciramosa</w:t>
      </w:r>
      <w:r w:rsidRPr="0015743B">
        <w:t xml:space="preserve">’, </w:t>
      </w:r>
      <w:r w:rsidRPr="0015743B">
        <w:rPr>
          <w:i/>
        </w:rPr>
        <w:t>Studies in Mycology</w:t>
      </w:r>
      <w:r w:rsidRPr="0015743B">
        <w:t>, vol. 66, pp. 15-30.</w:t>
      </w:r>
      <w:bookmarkEnd w:id="307"/>
    </w:p>
    <w:p w:rsidR="00555918" w:rsidRPr="0015743B" w:rsidRDefault="00555918" w:rsidP="000B1771">
      <w:pPr>
        <w:pStyle w:val="EndNoteBibliography"/>
        <w:spacing w:after="0"/>
      </w:pPr>
      <w:bookmarkStart w:id="308" w:name="_ENREF_163"/>
      <w:r w:rsidRPr="0015743B">
        <w:t xml:space="preserve">López Laport, E &amp; Bermúdez Ortiz, P 2011, </w:t>
      </w:r>
      <w:r w:rsidRPr="0015743B">
        <w:rPr>
          <w:i/>
        </w:rPr>
        <w:t>Las plagas del palto en Chile: aspectos relevantes de su biología, comportamiento y manejo</w:t>
      </w:r>
      <w:r w:rsidRPr="0015743B">
        <w:t>, Pontificia Universidad Católica de Valparaíso, Valparaiso, Chile.</w:t>
      </w:r>
      <w:bookmarkEnd w:id="308"/>
    </w:p>
    <w:p w:rsidR="00555918" w:rsidRPr="0015743B" w:rsidRDefault="00555918" w:rsidP="000B1771">
      <w:pPr>
        <w:pStyle w:val="EndNoteBibliography"/>
        <w:spacing w:after="0"/>
      </w:pPr>
      <w:bookmarkStart w:id="309" w:name="_ENREF_164"/>
      <w:r w:rsidRPr="0015743B">
        <w:t>Maes, JM 2004, ‘Insectos asociados a algunos cultivos tropicales en el Atlantico de Nicaragua: parte iv: Aguacate (</w:t>
      </w:r>
      <w:r w:rsidRPr="0015743B">
        <w:rPr>
          <w:i/>
        </w:rPr>
        <w:t>Persea americana</w:t>
      </w:r>
      <w:r w:rsidRPr="0015743B">
        <w:t>, Lauraceae)’ (Insects associated with some tropical crops from Atlantic of Nicaragua: part iv: Avocado (</w:t>
      </w:r>
      <w:r w:rsidRPr="0015743B">
        <w:rPr>
          <w:i/>
        </w:rPr>
        <w:t>Persea americana</w:t>
      </w:r>
      <w:r w:rsidRPr="0015743B">
        <w:t xml:space="preserve">, Lauraceae)), </w:t>
      </w:r>
      <w:r w:rsidRPr="0015743B">
        <w:rPr>
          <w:i/>
        </w:rPr>
        <w:t>Revista Nicaraguense de Entomologia</w:t>
      </w:r>
      <w:r w:rsidRPr="0015743B">
        <w:t xml:space="preserve">, vol. 64, no. Supplement 1; part 4, pp. 1-262. </w:t>
      </w:r>
      <w:bookmarkEnd w:id="309"/>
    </w:p>
    <w:p w:rsidR="00555918" w:rsidRPr="0015743B" w:rsidRDefault="00555918" w:rsidP="000B1771">
      <w:pPr>
        <w:pStyle w:val="EndNoteBibliography"/>
        <w:spacing w:after="0"/>
      </w:pPr>
      <w:bookmarkStart w:id="310" w:name="_ENREF_165"/>
      <w:r w:rsidRPr="0015743B">
        <w:t>Manani, DM, Ateka, EM, Nyanjom, SRG &amp; Boykin, LM 2017, ‘Phylogenetic relationships among whiteflies in the</w:t>
      </w:r>
      <w:r w:rsidRPr="0015743B">
        <w:rPr>
          <w:i/>
        </w:rPr>
        <w:t xml:space="preserve"> Bemisia tabaci</w:t>
      </w:r>
      <w:r w:rsidRPr="0015743B">
        <w:t xml:space="preserve"> (Gennadius) species complex from major cassava growing areas in Kenya’, </w:t>
      </w:r>
      <w:r w:rsidRPr="0015743B">
        <w:rPr>
          <w:i/>
        </w:rPr>
        <w:t>Insects</w:t>
      </w:r>
      <w:r w:rsidRPr="0015743B">
        <w:t>, vol. 8, no. 1, pp. 1-20.</w:t>
      </w:r>
      <w:bookmarkEnd w:id="310"/>
    </w:p>
    <w:p w:rsidR="00555918" w:rsidRPr="0015743B" w:rsidRDefault="00555918" w:rsidP="000B1771">
      <w:pPr>
        <w:pStyle w:val="EndNoteBibliography"/>
        <w:spacing w:after="0"/>
      </w:pPr>
      <w:bookmarkStart w:id="311" w:name="_ENREF_166"/>
      <w:r w:rsidRPr="0015743B">
        <w:t xml:space="preserve">Martin Kessing, JL &amp; Mau, RFL 2007, </w:t>
      </w:r>
      <w:r w:rsidRPr="0015743B">
        <w:rPr>
          <w:i/>
        </w:rPr>
        <w:t>Abgrallaspis cyanophylli (Signoret)</w:t>
      </w:r>
      <w:r w:rsidRPr="0015743B">
        <w:t xml:space="preserve">, Crop Knowledge Master, available at </w:t>
      </w:r>
      <w:hyperlink r:id="rId138" w:history="1">
        <w:r w:rsidRPr="00F45F2B">
          <w:rPr>
            <w:rStyle w:val="Hyperlink"/>
          </w:rPr>
          <w:t>http://www.extento.hawaii.edu/Kbase/Crop/crop.htm</w:t>
        </w:r>
      </w:hyperlink>
      <w:r w:rsidRPr="0015743B">
        <w:t>.</w:t>
      </w:r>
      <w:bookmarkEnd w:id="311"/>
    </w:p>
    <w:p w:rsidR="00555918" w:rsidRPr="0015743B" w:rsidRDefault="00555918" w:rsidP="000B1771">
      <w:pPr>
        <w:pStyle w:val="EndNoteBibliography"/>
        <w:spacing w:after="0"/>
      </w:pPr>
      <w:bookmarkStart w:id="312" w:name="_ENREF_167"/>
      <w:r w:rsidRPr="0015743B">
        <w:t xml:space="preserve">Mau, RFL &amp; Martin Kessing, JL 2007a, </w:t>
      </w:r>
      <w:r w:rsidRPr="0015743B">
        <w:rPr>
          <w:i/>
        </w:rPr>
        <w:t>Ceratitis capitata (Wiedemann)</w:t>
      </w:r>
      <w:r w:rsidRPr="0015743B">
        <w:t xml:space="preserve">, Crop Knowledge Master, available at </w:t>
      </w:r>
      <w:hyperlink r:id="rId139" w:history="1">
        <w:r w:rsidRPr="00F45F2B">
          <w:rPr>
            <w:rStyle w:val="Hyperlink"/>
          </w:rPr>
          <w:t>http://www.extento.hawaii.edu/kbase/crop/Type/ceratiti.htm</w:t>
        </w:r>
      </w:hyperlink>
      <w:r w:rsidRPr="0015743B">
        <w:t>.</w:t>
      </w:r>
      <w:bookmarkEnd w:id="312"/>
    </w:p>
    <w:p w:rsidR="00555918" w:rsidRPr="0015743B" w:rsidRDefault="00555918" w:rsidP="000B1771">
      <w:pPr>
        <w:pStyle w:val="EndNoteBibliography"/>
        <w:spacing w:after="0"/>
      </w:pPr>
      <w:bookmarkStart w:id="313" w:name="_ENREF_168"/>
      <w:r w:rsidRPr="0015743B">
        <w:t xml:space="preserve">-- -- 2007b, </w:t>
      </w:r>
      <w:r w:rsidRPr="0015743B">
        <w:rPr>
          <w:i/>
        </w:rPr>
        <w:t>Peridroma saucia (Hubner)</w:t>
      </w:r>
      <w:r w:rsidRPr="0015743B">
        <w:t xml:space="preserve">, Crop Knowledge Master, available at </w:t>
      </w:r>
      <w:hyperlink r:id="rId140" w:history="1">
        <w:r w:rsidRPr="00F45F2B">
          <w:rPr>
            <w:rStyle w:val="Hyperlink"/>
          </w:rPr>
          <w:t>http://www.extento.hawaii.edu/kbase/crop/Type/peridrom.htm</w:t>
        </w:r>
      </w:hyperlink>
      <w:r w:rsidRPr="0015743B">
        <w:t>.</w:t>
      </w:r>
      <w:bookmarkEnd w:id="313"/>
    </w:p>
    <w:p w:rsidR="00555918" w:rsidRPr="0015743B" w:rsidRDefault="00555918" w:rsidP="000B1771">
      <w:pPr>
        <w:pStyle w:val="EndNoteBibliography"/>
        <w:spacing w:after="0"/>
      </w:pPr>
      <w:bookmarkStart w:id="314" w:name="_ENREF_169"/>
      <w:r w:rsidRPr="0015743B">
        <w:t xml:space="preserve">McInnis, DO, Hendrichs, J, Shelly, T, Barr, N, Hoffman, K, Rodriguez, R, Lance, DR, Bloem, K, Suckling, DM, Enkerlin, W, Gomes, P &amp; Tan, KH 2017, ‘Can polyphagous invasive tephritid pest populations escape detection for years under favourable climatic and host conditions?’, </w:t>
      </w:r>
      <w:r w:rsidRPr="0015743B">
        <w:rPr>
          <w:i/>
        </w:rPr>
        <w:t>American Entomologist</w:t>
      </w:r>
      <w:r w:rsidRPr="0015743B">
        <w:t>, vol. 63, no. 2, pp. 89-99.</w:t>
      </w:r>
      <w:bookmarkEnd w:id="314"/>
    </w:p>
    <w:p w:rsidR="00555918" w:rsidRPr="0015743B" w:rsidRDefault="00555918" w:rsidP="000B1771">
      <w:pPr>
        <w:pStyle w:val="EndNoteBibliography"/>
        <w:spacing w:after="0"/>
      </w:pPr>
      <w:bookmarkStart w:id="315" w:name="_ENREF_170"/>
      <w:r w:rsidRPr="0015743B">
        <w:t xml:space="preserve">McMurtry, JA 1985a, ‘Avocado’, in </w:t>
      </w:r>
      <w:r w:rsidRPr="0015743B">
        <w:rPr>
          <w:i/>
        </w:rPr>
        <w:t>Spider mites: their biology, natural enemies and control. Vol. 1B</w:t>
      </w:r>
      <w:r w:rsidRPr="0015743B">
        <w:t>, Helle, W &amp; Sabelis, MW (eds), Elsevier Science Publishers B.V., Amsterdam.</w:t>
      </w:r>
      <w:bookmarkEnd w:id="315"/>
    </w:p>
    <w:p w:rsidR="00555918" w:rsidRPr="0015743B" w:rsidRDefault="00555918" w:rsidP="000B1771">
      <w:pPr>
        <w:pStyle w:val="EndNoteBibliography"/>
        <w:spacing w:after="0"/>
      </w:pPr>
      <w:bookmarkStart w:id="316" w:name="_ENREF_171"/>
      <w:r w:rsidRPr="0015743B">
        <w:t xml:space="preserve">-- -- 1985b, ‘Citrus’, in </w:t>
      </w:r>
      <w:r w:rsidRPr="0015743B">
        <w:rPr>
          <w:i/>
        </w:rPr>
        <w:t>Spider mites: their biology, natural enemies and control. Vol. 1B</w:t>
      </w:r>
      <w:r w:rsidRPr="0015743B">
        <w:t>, Helle, W &amp; Sabelis, MW (eds), Elsevier Science Publishers B.V., Amsterdam.</w:t>
      </w:r>
      <w:bookmarkEnd w:id="316"/>
    </w:p>
    <w:p w:rsidR="00555918" w:rsidRPr="0015743B" w:rsidRDefault="00555918" w:rsidP="000B1771">
      <w:pPr>
        <w:pStyle w:val="EndNoteBibliography"/>
        <w:spacing w:after="0"/>
      </w:pPr>
      <w:bookmarkStart w:id="317" w:name="_ENREF_172"/>
      <w:r w:rsidRPr="0015743B">
        <w:t xml:space="preserve">McPherson, JE 2018, </w:t>
      </w:r>
      <w:r w:rsidRPr="0015743B">
        <w:rPr>
          <w:i/>
        </w:rPr>
        <w:t>Invasive stink bugs and related species (Pentatomoidea): biology, higher systematics, semiochemistry, and management</w:t>
      </w:r>
      <w:r w:rsidRPr="0015743B">
        <w:t>, Taylor &amp; Francis Group, Boca Raton, FL.</w:t>
      </w:r>
      <w:bookmarkEnd w:id="317"/>
    </w:p>
    <w:p w:rsidR="00555918" w:rsidRPr="0015743B" w:rsidRDefault="00555918" w:rsidP="000B1771">
      <w:pPr>
        <w:pStyle w:val="EndNoteBibliography"/>
        <w:spacing w:after="0"/>
      </w:pPr>
      <w:bookmarkStart w:id="318" w:name="_ENREF_173"/>
      <w:r w:rsidRPr="0015743B">
        <w:t xml:space="preserve">Menge, JA &amp; Ploetz, RC 2003, ‘Diseases of avocado’, in </w:t>
      </w:r>
      <w:r w:rsidRPr="0015743B">
        <w:rPr>
          <w:i/>
        </w:rPr>
        <w:t>Diseases of tropical fruit crops</w:t>
      </w:r>
      <w:r w:rsidRPr="0015743B">
        <w:t>, Ploetz, RC (ed), CAB International, Wallingford.</w:t>
      </w:r>
      <w:bookmarkEnd w:id="318"/>
    </w:p>
    <w:p w:rsidR="00555918" w:rsidRPr="0015743B" w:rsidRDefault="00555918" w:rsidP="000B1771">
      <w:pPr>
        <w:pStyle w:val="EndNoteBibliography"/>
        <w:spacing w:after="0"/>
      </w:pPr>
      <w:bookmarkStart w:id="319" w:name="_ENREF_174"/>
      <w:r w:rsidRPr="0015743B">
        <w:lastRenderedPageBreak/>
        <w:t xml:space="preserve">Migeon, A &amp; Dorkeld, F 2019, ‘Spider Mites Web: a comprehensive database for the Tetranychidae’, available at </w:t>
      </w:r>
      <w:hyperlink r:id="rId141" w:history="1">
        <w:r w:rsidRPr="00F45F2B">
          <w:rPr>
            <w:rStyle w:val="Hyperlink"/>
          </w:rPr>
          <w:t>http://www.montpellier.inra.fr/CBGP/spmweb</w:t>
        </w:r>
      </w:hyperlink>
      <w:r w:rsidRPr="0015743B">
        <w:t>, accessed 2019.</w:t>
      </w:r>
      <w:bookmarkEnd w:id="319"/>
    </w:p>
    <w:p w:rsidR="00555918" w:rsidRPr="0015743B" w:rsidRDefault="00555918" w:rsidP="000B1771">
      <w:pPr>
        <w:pStyle w:val="EndNoteBibliography"/>
        <w:spacing w:after="0"/>
      </w:pPr>
      <w:bookmarkStart w:id="320" w:name="_ENREF_175"/>
      <w:r w:rsidRPr="0015743B">
        <w:t xml:space="preserve">Miller, D, Rung, A, Parikh, G, Venable, G, Redford, AJ, Evans, GA &amp; Gill, RJ 2014, ‘Scale insects, edition 2’, </w:t>
      </w:r>
      <w:r w:rsidRPr="0015743B">
        <w:rPr>
          <w:i/>
        </w:rPr>
        <w:t>USDA APHIS Identification Technology Program (ITP)</w:t>
      </w:r>
      <w:r w:rsidRPr="0015743B">
        <w:t xml:space="preserve">, Fort Collins, CO., available at </w:t>
      </w:r>
      <w:hyperlink r:id="rId142" w:history="1">
        <w:r w:rsidRPr="00F45F2B">
          <w:rPr>
            <w:rStyle w:val="Hyperlink"/>
          </w:rPr>
          <w:t>http://www.idtools.org/id/scales/about_index.php</w:t>
        </w:r>
      </w:hyperlink>
      <w:r w:rsidRPr="0015743B">
        <w:t>.</w:t>
      </w:r>
      <w:bookmarkEnd w:id="320"/>
    </w:p>
    <w:p w:rsidR="00555918" w:rsidRPr="0015743B" w:rsidRDefault="00555918" w:rsidP="000B1771">
      <w:pPr>
        <w:pStyle w:val="EndNoteBibliography"/>
        <w:spacing w:after="0"/>
      </w:pPr>
      <w:bookmarkStart w:id="321" w:name="_ENREF_176"/>
      <w:r w:rsidRPr="0015743B">
        <w:t xml:space="preserve">Miller, DR &amp; Davidson, JA 2005, </w:t>
      </w:r>
      <w:r w:rsidRPr="0015743B">
        <w:rPr>
          <w:i/>
        </w:rPr>
        <w:t>Armored scale insect pests of trees and shrubs (Hemiptera: Diaspididae)</w:t>
      </w:r>
      <w:r w:rsidRPr="0015743B">
        <w:t>, Cornell University Press, Ithaca &amp; London.</w:t>
      </w:r>
      <w:bookmarkEnd w:id="321"/>
    </w:p>
    <w:p w:rsidR="00555918" w:rsidRPr="0015743B" w:rsidRDefault="00555918" w:rsidP="000B1771">
      <w:pPr>
        <w:pStyle w:val="EndNoteBibliography"/>
        <w:spacing w:after="0"/>
      </w:pPr>
      <w:bookmarkStart w:id="322" w:name="_ENREF_177"/>
      <w:r w:rsidRPr="0015743B">
        <w:t xml:space="preserve">Miller, DR, Rung, A, Venable, GL, Gill, RJ &amp; Williams, DJ 2007, ‘Scale insects - mealybugs: identification tools for species of quarantine significance’, available at </w:t>
      </w:r>
      <w:hyperlink r:id="rId143" w:history="1">
        <w:r w:rsidRPr="00F45F2B">
          <w:rPr>
            <w:rStyle w:val="Hyperlink"/>
          </w:rPr>
          <w:t>http://www.sel.barc.usda.gov/ScaleKeys/ScaleInsectsHome/ScaleInsectsMealybugs.html</w:t>
        </w:r>
      </w:hyperlink>
      <w:r w:rsidRPr="0015743B">
        <w:t xml:space="preserve">, accessed 2014 </w:t>
      </w:r>
      <w:bookmarkEnd w:id="322"/>
    </w:p>
    <w:p w:rsidR="00555918" w:rsidRPr="0015743B" w:rsidRDefault="00555918" w:rsidP="000B1771">
      <w:pPr>
        <w:pStyle w:val="EndNoteBibliography"/>
        <w:spacing w:after="0"/>
      </w:pPr>
      <w:bookmarkStart w:id="323" w:name="_ENREF_178"/>
      <w:r w:rsidRPr="0015743B">
        <w:t xml:space="preserve">Minter, DW &amp; Peredo López, H 2019, ‘Fungi of Chile’, available at </w:t>
      </w:r>
      <w:hyperlink r:id="rId144" w:history="1">
        <w:r w:rsidRPr="00F45F2B">
          <w:rPr>
            <w:rStyle w:val="Hyperlink"/>
          </w:rPr>
          <w:t>http://www.cybertruffle.org.uk/chilfung</w:t>
        </w:r>
      </w:hyperlink>
      <w:r w:rsidRPr="0015743B">
        <w:t>, accessed 2019.</w:t>
      </w:r>
      <w:bookmarkEnd w:id="323"/>
    </w:p>
    <w:p w:rsidR="00555918" w:rsidRPr="0015743B" w:rsidRDefault="00555918" w:rsidP="000B1771">
      <w:pPr>
        <w:pStyle w:val="EndNoteBibliography"/>
        <w:spacing w:after="0"/>
      </w:pPr>
      <w:bookmarkStart w:id="324" w:name="_ENREF_179"/>
      <w:r w:rsidRPr="0015743B">
        <w:t xml:space="preserve">Montealegre, AJR 1995, ‘Enfermedades de postcosecha en kiwi’, in </w:t>
      </w:r>
      <w:r w:rsidRPr="0015743B">
        <w:rPr>
          <w:i/>
        </w:rPr>
        <w:t>Sanidad Vegetal en Frutales y Vides</w:t>
      </w:r>
      <w:r w:rsidRPr="0015743B">
        <w:t>, 41st edn, Esterio, GMA &amp; Magunacelaya, RJC (eds), Publicaciones Miscelaneas Agricolas, Santiago.</w:t>
      </w:r>
      <w:bookmarkEnd w:id="324"/>
    </w:p>
    <w:p w:rsidR="00555918" w:rsidRPr="0015743B" w:rsidRDefault="00555918" w:rsidP="000B1771">
      <w:pPr>
        <w:pStyle w:val="EndNoteBibliography"/>
        <w:spacing w:after="0"/>
      </w:pPr>
      <w:bookmarkStart w:id="325" w:name="_ENREF_180"/>
      <w:r w:rsidRPr="0015743B">
        <w:t xml:space="preserve">Morse, JG &amp; Hoddle, MS 2006, ‘Invasion biology of thrips’, </w:t>
      </w:r>
      <w:r w:rsidRPr="0015743B">
        <w:rPr>
          <w:i/>
        </w:rPr>
        <w:t>Annual Review of Entomology</w:t>
      </w:r>
      <w:r w:rsidRPr="0015743B">
        <w:t>, vol. 51, pp. 67-89.</w:t>
      </w:r>
      <w:bookmarkEnd w:id="325"/>
    </w:p>
    <w:p w:rsidR="00555918" w:rsidRPr="0015743B" w:rsidRDefault="00555918" w:rsidP="000B1771">
      <w:pPr>
        <w:pStyle w:val="EndNoteBibliography"/>
        <w:spacing w:after="0"/>
      </w:pPr>
      <w:bookmarkStart w:id="326" w:name="_ENREF_181"/>
      <w:r w:rsidRPr="0015743B">
        <w:t xml:space="preserve">Mostert, L, Corus, PW &amp; Kang, JC 2001, ‘Species of </w:t>
      </w:r>
      <w:r w:rsidRPr="0015743B">
        <w:rPr>
          <w:i/>
        </w:rPr>
        <w:t xml:space="preserve">Phomopsis </w:t>
      </w:r>
      <w:r w:rsidRPr="0015743B">
        <w:t xml:space="preserve">and a </w:t>
      </w:r>
      <w:r w:rsidRPr="0015743B">
        <w:rPr>
          <w:i/>
        </w:rPr>
        <w:t xml:space="preserve">Libertella </w:t>
      </w:r>
      <w:r w:rsidRPr="0015743B">
        <w:t xml:space="preserve">sp. occurring on grapevines with specific reference to South Africa: morphological, cultural, molecular and pathological characterization’, </w:t>
      </w:r>
      <w:r w:rsidRPr="0015743B">
        <w:rPr>
          <w:i/>
        </w:rPr>
        <w:t>Mycologia</w:t>
      </w:r>
      <w:r w:rsidRPr="0015743B">
        <w:t>, vol. 93, no. 1, pp. 146-67.</w:t>
      </w:r>
      <w:bookmarkEnd w:id="326"/>
    </w:p>
    <w:p w:rsidR="00555918" w:rsidRPr="0015743B" w:rsidRDefault="00555918" w:rsidP="000B1771">
      <w:pPr>
        <w:pStyle w:val="EndNoteBibliography"/>
        <w:spacing w:after="0"/>
      </w:pPr>
      <w:bookmarkStart w:id="327" w:name="_ENREF_182"/>
      <w:r w:rsidRPr="0015743B">
        <w:t xml:space="preserve">Mujica, F &amp; Vergara, C 1980, </w:t>
      </w:r>
      <w:r w:rsidRPr="0015743B">
        <w:rPr>
          <w:i/>
        </w:rPr>
        <w:t>Flora fungosa Chilena</w:t>
      </w:r>
      <w:r w:rsidRPr="0015743B">
        <w:t>, 2nd edn, Editorial Universitaria, Santiago, Chile.</w:t>
      </w:r>
      <w:bookmarkEnd w:id="327"/>
    </w:p>
    <w:p w:rsidR="00555918" w:rsidRPr="0015743B" w:rsidRDefault="00555918" w:rsidP="000B1771">
      <w:pPr>
        <w:pStyle w:val="EndNoteBibliography"/>
        <w:spacing w:after="0"/>
      </w:pPr>
      <w:bookmarkStart w:id="328" w:name="_ENREF_183"/>
      <w:r w:rsidRPr="0015743B">
        <w:t xml:space="preserve">NAPPO 2014, ‘Morphological identification of spider mites (Tetranychidae) affecting imported fruits’, North American Plant Protection Organization, Ottawa, Ontario, Canada, available at </w:t>
      </w:r>
      <w:hyperlink r:id="rId145" w:history="1">
        <w:r w:rsidRPr="00F45F2B">
          <w:rPr>
            <w:rStyle w:val="Hyperlink"/>
          </w:rPr>
          <w:t>http://www.nappo.org/files/3714/3782/0943/DP_03_Tetranychidae-e.pdf</w:t>
        </w:r>
      </w:hyperlink>
      <w:r w:rsidRPr="0015743B">
        <w:t xml:space="preserve"> (pdf 1125 kb).</w:t>
      </w:r>
      <w:bookmarkEnd w:id="328"/>
    </w:p>
    <w:p w:rsidR="00555918" w:rsidRPr="0015743B" w:rsidRDefault="00555918" w:rsidP="000B1771">
      <w:pPr>
        <w:pStyle w:val="EndNoteBibliography"/>
        <w:spacing w:after="0"/>
      </w:pPr>
      <w:bookmarkStart w:id="329" w:name="_ENREF_184"/>
      <w:r w:rsidRPr="0015743B">
        <w:t xml:space="preserve">New South Wales Government 2017, </w:t>
      </w:r>
      <w:r w:rsidRPr="0015743B">
        <w:rPr>
          <w:i/>
        </w:rPr>
        <w:t>Biosecurity regulation under the Biosecurity Act 2015</w:t>
      </w:r>
      <w:r w:rsidRPr="0015743B">
        <w:t xml:space="preserve">, New South Wales Government, available at </w:t>
      </w:r>
      <w:hyperlink r:id="rId146" w:history="1">
        <w:r w:rsidRPr="00F45F2B">
          <w:rPr>
            <w:rStyle w:val="Hyperlink"/>
          </w:rPr>
          <w:t>https://www.legislation.nsw.gov.au/regulations/2017-232.pdf</w:t>
        </w:r>
      </w:hyperlink>
      <w:r w:rsidRPr="0015743B">
        <w:t xml:space="preserve"> (pdf 388 kb).</w:t>
      </w:r>
      <w:bookmarkEnd w:id="329"/>
    </w:p>
    <w:p w:rsidR="00555918" w:rsidRPr="0015743B" w:rsidRDefault="00555918" w:rsidP="000B1771">
      <w:pPr>
        <w:pStyle w:val="EndNoteBibliography"/>
        <w:spacing w:after="0"/>
      </w:pPr>
      <w:bookmarkStart w:id="330" w:name="_ENREF_185"/>
      <w:r w:rsidRPr="0015743B">
        <w:t xml:space="preserve">New Zealand Avocado 2018, ‘Six spotted mite: </w:t>
      </w:r>
      <w:r w:rsidRPr="0015743B">
        <w:rPr>
          <w:i/>
        </w:rPr>
        <w:t>Eotetranychus sexmaculatus</w:t>
      </w:r>
      <w:r w:rsidRPr="0015743B">
        <w:t xml:space="preserve">’, NZ Avocado Growers Association Inc. (NZAGA), Avocado Industry Limited, New Zealand, available at </w:t>
      </w:r>
      <w:hyperlink r:id="rId147" w:history="1">
        <w:r w:rsidRPr="00F45F2B">
          <w:rPr>
            <w:rStyle w:val="Hyperlink"/>
          </w:rPr>
          <w:t>https://industry.nzavocado.co.nz/six-spotted-mite/</w:t>
        </w:r>
      </w:hyperlink>
      <w:r w:rsidRPr="0015743B">
        <w:t>.</w:t>
      </w:r>
      <w:bookmarkEnd w:id="330"/>
    </w:p>
    <w:p w:rsidR="00555918" w:rsidRPr="0015743B" w:rsidRDefault="00555918" w:rsidP="000B1771">
      <w:pPr>
        <w:pStyle w:val="EndNoteBibliography"/>
        <w:spacing w:after="0"/>
      </w:pPr>
      <w:bookmarkStart w:id="331" w:name="_ENREF_186"/>
      <w:r w:rsidRPr="0015743B">
        <w:t xml:space="preserve">Newett, S 2015, </w:t>
      </w:r>
      <w:r w:rsidRPr="0015743B">
        <w:rPr>
          <w:i/>
        </w:rPr>
        <w:t>Report on visit to avocado orchards in Chile</w:t>
      </w:r>
      <w:r w:rsidRPr="0015743B">
        <w:t>, Queensland Department of Agriculture and Fisheries, Nambour, Queensland.</w:t>
      </w:r>
      <w:bookmarkEnd w:id="331"/>
    </w:p>
    <w:p w:rsidR="00555918" w:rsidRPr="0015743B" w:rsidRDefault="00555918" w:rsidP="000B1771">
      <w:pPr>
        <w:pStyle w:val="EndNoteBibliography"/>
        <w:spacing w:after="0"/>
      </w:pPr>
      <w:bookmarkStart w:id="332" w:name="_ENREF_187"/>
      <w:r w:rsidRPr="0015743B">
        <w:t xml:space="preserve">NSW DPI 2017, </w:t>
      </w:r>
      <w:r w:rsidRPr="0015743B">
        <w:rPr>
          <w:i/>
        </w:rPr>
        <w:t>Citrus red mite (primefact 1477), second edition</w:t>
      </w:r>
      <w:r w:rsidRPr="0015743B">
        <w:t xml:space="preserve">, NSW Department of Primary Industries, Orange, available at </w:t>
      </w:r>
      <w:hyperlink r:id="rId148" w:history="1">
        <w:r w:rsidRPr="00F45F2B">
          <w:rPr>
            <w:rStyle w:val="Hyperlink"/>
          </w:rPr>
          <w:t>https://www.dpi.nsw.gov.au/components/module/accordion/agriculture/horticulture/content/insects-diseases-disorders-and-biosecurity/inect-pest-factsheets/citrus-red-mite</w:t>
        </w:r>
      </w:hyperlink>
      <w:r w:rsidRPr="0015743B">
        <w:t xml:space="preserve"> (pdf 110 kb).</w:t>
      </w:r>
      <w:bookmarkEnd w:id="332"/>
    </w:p>
    <w:p w:rsidR="00555918" w:rsidRPr="0015743B" w:rsidRDefault="00555918" w:rsidP="000B1771">
      <w:pPr>
        <w:pStyle w:val="EndNoteBibliography"/>
        <w:spacing w:after="0"/>
      </w:pPr>
      <w:bookmarkStart w:id="333" w:name="_ENREF_188"/>
      <w:r w:rsidRPr="0015743B">
        <w:t xml:space="preserve">Nunez, E 2008, ‘Plagas de paltos y cítricos en Perú’, in </w:t>
      </w:r>
      <w:r w:rsidRPr="0015743B">
        <w:rPr>
          <w:i/>
        </w:rPr>
        <w:t>Manejo de Plagas en Paltos y Citricos</w:t>
      </w:r>
      <w:r w:rsidRPr="0015743B">
        <w:t>, Ripa, R &amp; Larral, P (eds), Instituto de Investgaciones Agropecuarias, La Cruz, Chile.</w:t>
      </w:r>
      <w:bookmarkEnd w:id="333"/>
    </w:p>
    <w:p w:rsidR="00555918" w:rsidRPr="0015743B" w:rsidRDefault="00555918" w:rsidP="000B1771">
      <w:pPr>
        <w:pStyle w:val="EndNoteBibliography"/>
        <w:spacing w:after="0"/>
      </w:pPr>
      <w:bookmarkStart w:id="334" w:name="_ENREF_189"/>
      <w:r w:rsidRPr="0015743B">
        <w:t xml:space="preserve">Ochoa Ascencio, S 2009, </w:t>
      </w:r>
      <w:r w:rsidRPr="0015743B">
        <w:rPr>
          <w:i/>
        </w:rPr>
        <w:t>Postharvest diseases of avocado fruit</w:t>
      </w:r>
      <w:r w:rsidRPr="0015743B">
        <w:t>, III Latin American Congress Avocado, Colombia.</w:t>
      </w:r>
      <w:bookmarkEnd w:id="334"/>
    </w:p>
    <w:p w:rsidR="00555918" w:rsidRPr="0015743B" w:rsidRDefault="00555918" w:rsidP="000B1771">
      <w:pPr>
        <w:pStyle w:val="EndNoteBibliography"/>
        <w:spacing w:after="0"/>
      </w:pPr>
      <w:bookmarkStart w:id="335" w:name="_ENREF_190"/>
      <w:r w:rsidRPr="0015743B">
        <w:t xml:space="preserve">Ochoa, S &amp; Vazquez, G 2009, </w:t>
      </w:r>
      <w:r w:rsidRPr="0015743B">
        <w:rPr>
          <w:i/>
        </w:rPr>
        <w:t>Stem-end-rot of avocado (Persea americana Mill. cv. Hass) incidence at Michoacan, Mexico</w:t>
      </w:r>
      <w:r w:rsidRPr="0015743B">
        <w:t xml:space="preserve">, available at </w:t>
      </w:r>
      <w:hyperlink r:id="rId149" w:history="1">
        <w:r w:rsidRPr="00F45F2B">
          <w:rPr>
            <w:rStyle w:val="Hyperlink"/>
          </w:rPr>
          <w:t>http://www.avocadosource.com/WAC6/en/Resumen/4a-178.pdf</w:t>
        </w:r>
      </w:hyperlink>
      <w:r w:rsidRPr="0015743B">
        <w:t xml:space="preserve"> (pdf 24.31 kb).</w:t>
      </w:r>
      <w:bookmarkEnd w:id="335"/>
    </w:p>
    <w:p w:rsidR="00555918" w:rsidRPr="0015743B" w:rsidRDefault="00555918" w:rsidP="000B1771">
      <w:pPr>
        <w:pStyle w:val="EndNoteBibliography"/>
        <w:spacing w:after="0"/>
      </w:pPr>
      <w:bookmarkStart w:id="336" w:name="_ENREF_191"/>
      <w:r w:rsidRPr="0015743B">
        <w:lastRenderedPageBreak/>
        <w:t xml:space="preserve">Ohr, HD &amp; Zentmyer, GA 1994, ‘Armillaria root rot’, in </w:t>
      </w:r>
      <w:r w:rsidRPr="0015743B">
        <w:rPr>
          <w:i/>
        </w:rPr>
        <w:t>Compendium of tropical fruit diseases</w:t>
      </w:r>
      <w:r w:rsidRPr="0015743B">
        <w:t>, Ploetz, RC, Zentmyer, GA, Nishijima, WT, Rohrbach, KG &amp; Ohr, HD (eds), The American Phytopathological Society Press, St. Paul, Minnesota.</w:t>
      </w:r>
      <w:bookmarkEnd w:id="336"/>
    </w:p>
    <w:p w:rsidR="00555918" w:rsidRPr="0015743B" w:rsidRDefault="00555918" w:rsidP="000B1771">
      <w:pPr>
        <w:pStyle w:val="EndNoteBibliography"/>
        <w:spacing w:after="0"/>
      </w:pPr>
      <w:bookmarkStart w:id="337" w:name="_ENREF_192"/>
      <w:r w:rsidRPr="0015743B">
        <w:t xml:space="preserve">Paull, RE &amp; Duarte, O 2011, </w:t>
      </w:r>
      <w:r w:rsidRPr="0015743B">
        <w:rPr>
          <w:i/>
        </w:rPr>
        <w:t>Tropical fruits</w:t>
      </w:r>
      <w:r w:rsidRPr="0015743B">
        <w:t>, 2nd edn, CAB International, Wallingford, UK.</w:t>
      </w:r>
      <w:bookmarkEnd w:id="337"/>
    </w:p>
    <w:p w:rsidR="00555918" w:rsidRPr="0015743B" w:rsidRDefault="00555918" w:rsidP="000B1771">
      <w:pPr>
        <w:pStyle w:val="EndNoteBibliography"/>
        <w:spacing w:after="0"/>
      </w:pPr>
      <w:bookmarkStart w:id="338" w:name="_ENREF_193"/>
      <w:r w:rsidRPr="0015743B">
        <w:t xml:space="preserve">Peña, JE, Hoddle, MS, Aluja, M, Palevsky, E, Ripa, R &amp; Wysoki, M 2013, ‘Insect and mite pests’, in </w:t>
      </w:r>
      <w:r w:rsidRPr="0015743B">
        <w:rPr>
          <w:i/>
        </w:rPr>
        <w:t>The Avocado: Botany, Production and Uses</w:t>
      </w:r>
      <w:r w:rsidRPr="0015743B">
        <w:t>, Schaffer, B, Wolstenholme, BN &amp; Whiley, AW (eds), CABI, Wallingford, UK.</w:t>
      </w:r>
      <w:bookmarkEnd w:id="338"/>
    </w:p>
    <w:p w:rsidR="00555918" w:rsidRPr="0015743B" w:rsidRDefault="00555918" w:rsidP="000B1771">
      <w:pPr>
        <w:pStyle w:val="EndNoteBibliography"/>
        <w:spacing w:after="0"/>
      </w:pPr>
      <w:bookmarkStart w:id="339" w:name="_ENREF_194"/>
      <w:r w:rsidRPr="0015743B">
        <w:t xml:space="preserve">Peña, JE &amp; Wysoki, M 2008, ‘Plagas del palto en Mexico’, in </w:t>
      </w:r>
      <w:r w:rsidRPr="0015743B">
        <w:rPr>
          <w:i/>
        </w:rPr>
        <w:t>Manejo de Plagas en Paltos y Cítricos</w:t>
      </w:r>
      <w:r w:rsidRPr="0015743B">
        <w:t>, Ripa, R &amp; Larral, P (eds), Institituto de Investigaciones Agropecuarias, La Cruz, Chile.</w:t>
      </w:r>
      <w:bookmarkEnd w:id="339"/>
    </w:p>
    <w:p w:rsidR="00555918" w:rsidRPr="0015743B" w:rsidRDefault="00555918" w:rsidP="000B1771">
      <w:pPr>
        <w:pStyle w:val="EndNoteBibliography"/>
        <w:spacing w:after="0"/>
      </w:pPr>
      <w:bookmarkStart w:id="340" w:name="_ENREF_195"/>
      <w:r w:rsidRPr="0015743B">
        <w:t>Peralta, AL 1993, ‘Nuevos registros de especies de eriofitos (Acarina, Eriphyoidea) en higuera (</w:t>
      </w:r>
      <w:r w:rsidRPr="0015743B">
        <w:rPr>
          <w:i/>
        </w:rPr>
        <w:t>Ficus carica</w:t>
      </w:r>
      <w:r w:rsidRPr="0015743B">
        <w:t xml:space="preserve"> L.) y palto (</w:t>
      </w:r>
      <w:r w:rsidRPr="0015743B">
        <w:rPr>
          <w:i/>
        </w:rPr>
        <w:t>Persea americana</w:t>
      </w:r>
      <w:r w:rsidRPr="0015743B">
        <w:t xml:space="preserve"> Nill.) en Chile’, </w:t>
      </w:r>
      <w:r w:rsidRPr="0015743B">
        <w:rPr>
          <w:i/>
        </w:rPr>
        <w:t>Agricultura Technica Chile</w:t>
      </w:r>
      <w:r w:rsidRPr="0015743B">
        <w:t>, vol. 53, pp. 101-3.</w:t>
      </w:r>
      <w:bookmarkEnd w:id="340"/>
    </w:p>
    <w:p w:rsidR="00555918" w:rsidRPr="0015743B" w:rsidRDefault="00555918" w:rsidP="000B1771">
      <w:pPr>
        <w:pStyle w:val="EndNoteBibliography"/>
        <w:spacing w:after="0"/>
      </w:pPr>
      <w:bookmarkStart w:id="341" w:name="_ENREF_196"/>
      <w:r w:rsidRPr="0015743B">
        <w:t xml:space="preserve">PHA 2009, </w:t>
      </w:r>
      <w:r w:rsidRPr="0015743B">
        <w:rPr>
          <w:i/>
        </w:rPr>
        <w:t>Orchard biosecurity manual for the citrus industry</w:t>
      </w:r>
      <w:r w:rsidRPr="0015743B">
        <w:t>, Plant Health Australia, Australian Capital Territory.</w:t>
      </w:r>
      <w:bookmarkEnd w:id="341"/>
    </w:p>
    <w:p w:rsidR="00555918" w:rsidRPr="0015743B" w:rsidRDefault="00555918" w:rsidP="000B1771">
      <w:pPr>
        <w:pStyle w:val="EndNoteBibliography"/>
        <w:spacing w:after="0"/>
      </w:pPr>
      <w:bookmarkStart w:id="342" w:name="_ENREF_197"/>
      <w:r w:rsidRPr="0015743B">
        <w:t xml:space="preserve">Piontelli, LE, Toro, MA, Giusiano, G &amp; Vivar, MV 2002, ‘Altitudinal distribution of keratinophilic, epiphytic end endophytic fungi from desertic soils in Northern Chile (II region 23°S.L. and 68°W L.)’, </w:t>
      </w:r>
      <w:r w:rsidRPr="0015743B">
        <w:rPr>
          <w:i/>
        </w:rPr>
        <w:t>Boletin Micologico</w:t>
      </w:r>
      <w:r w:rsidRPr="0015743B">
        <w:t>, vol. 17, pp. 33-49.</w:t>
      </w:r>
      <w:bookmarkEnd w:id="342"/>
    </w:p>
    <w:p w:rsidR="00555918" w:rsidRPr="0015743B" w:rsidRDefault="00555918" w:rsidP="000B1771">
      <w:pPr>
        <w:pStyle w:val="EndNoteBibliography"/>
        <w:spacing w:after="0"/>
      </w:pPr>
      <w:bookmarkStart w:id="343" w:name="_ENREF_198"/>
      <w:r w:rsidRPr="0015743B">
        <w:t xml:space="preserve">PIRSA 2019, </w:t>
      </w:r>
      <w:r w:rsidRPr="0015743B">
        <w:rPr>
          <w:i/>
        </w:rPr>
        <w:t>Plant quarantine standard: South Australia: v14.1 March 2019</w:t>
      </w:r>
      <w:r w:rsidRPr="0015743B">
        <w:t xml:space="preserve">, Primary Industries and Regions, South Australia, available at </w:t>
      </w:r>
      <w:hyperlink r:id="rId150" w:history="1">
        <w:r w:rsidRPr="00F45F2B">
          <w:rPr>
            <w:rStyle w:val="Hyperlink"/>
          </w:rPr>
          <w:t>http://www.pir.sa.gov.au/biosecurity/plant_health</w:t>
        </w:r>
      </w:hyperlink>
      <w:r w:rsidRPr="0015743B">
        <w:t xml:space="preserve"> (pdf 4.5 mb).</w:t>
      </w:r>
      <w:bookmarkEnd w:id="343"/>
    </w:p>
    <w:p w:rsidR="00555918" w:rsidRPr="0015743B" w:rsidRDefault="00555918" w:rsidP="000B1771">
      <w:pPr>
        <w:pStyle w:val="EndNoteBibliography"/>
        <w:spacing w:after="0"/>
      </w:pPr>
      <w:bookmarkStart w:id="344" w:name="_ENREF_199"/>
      <w:r w:rsidRPr="0015743B">
        <w:t xml:space="preserve">Pitt, WM, Huang, R, Steel, CC &amp; Savocchia, S 2010, ‘Identification, distribution and current taxonomy of Botryosphaeriaceae species associated with grapevine decline in New South Wales and South Australia’, </w:t>
      </w:r>
      <w:r w:rsidRPr="0015743B">
        <w:rPr>
          <w:i/>
        </w:rPr>
        <w:t>Australian Journal of Grape and Wine Research</w:t>
      </w:r>
      <w:r w:rsidRPr="0015743B">
        <w:t>, vol. 16, pp. 258-71.</w:t>
      </w:r>
      <w:bookmarkEnd w:id="344"/>
    </w:p>
    <w:p w:rsidR="00555918" w:rsidRPr="0015743B" w:rsidRDefault="00555918" w:rsidP="000B1771">
      <w:pPr>
        <w:pStyle w:val="EndNoteBibliography"/>
        <w:spacing w:after="0"/>
      </w:pPr>
      <w:bookmarkStart w:id="345" w:name="_ENREF_200"/>
      <w:r w:rsidRPr="0015743B">
        <w:t xml:space="preserve">Plant Health Australia 2009, </w:t>
      </w:r>
      <w:r w:rsidRPr="0015743B">
        <w:rPr>
          <w:i/>
        </w:rPr>
        <w:t>Threat specific contingency plan - corn earworm, Helicoverpa zea</w:t>
      </w:r>
      <w:r w:rsidRPr="0015743B">
        <w:t>, Plant Health Australia, Canberra (pdf 328 kb).</w:t>
      </w:r>
      <w:bookmarkEnd w:id="345"/>
    </w:p>
    <w:p w:rsidR="00555918" w:rsidRPr="0015743B" w:rsidRDefault="00555918" w:rsidP="000B1771">
      <w:pPr>
        <w:pStyle w:val="EndNoteBibliography"/>
        <w:spacing w:after="0"/>
      </w:pPr>
      <w:bookmarkStart w:id="346" w:name="_ENREF_201"/>
      <w:r w:rsidRPr="0015743B">
        <w:t xml:space="preserve">-- -- 2019, ‘Australian Plant Pest Database, online database’, The Atlas of Living Australia, available at </w:t>
      </w:r>
      <w:hyperlink r:id="rId151" w:history="1">
        <w:r w:rsidRPr="00F45F2B">
          <w:rPr>
            <w:rStyle w:val="Hyperlink"/>
          </w:rPr>
          <w:t>http://www.planthealthaustralia.com.au/resources/australian-plant-pest-database/</w:t>
        </w:r>
      </w:hyperlink>
      <w:r w:rsidRPr="0015743B">
        <w:t>, accessed 2019.</w:t>
      </w:r>
      <w:bookmarkEnd w:id="346"/>
    </w:p>
    <w:p w:rsidR="00555918" w:rsidRPr="0015743B" w:rsidRDefault="00555918" w:rsidP="000B1771">
      <w:pPr>
        <w:pStyle w:val="EndNoteBibliography"/>
        <w:spacing w:after="0"/>
      </w:pPr>
      <w:bookmarkStart w:id="347" w:name="_ENREF_202"/>
      <w:r w:rsidRPr="0015743B">
        <w:t xml:space="preserve">Pont, AC 1992, ‘The world distribution, host range and abundance of </w:t>
      </w:r>
      <w:r w:rsidRPr="0015743B">
        <w:rPr>
          <w:i/>
        </w:rPr>
        <w:t xml:space="preserve">Atherigona orientalis </w:t>
      </w:r>
      <w:r w:rsidRPr="0015743B">
        <w:t xml:space="preserve">Schiner, 1868 (Insecta, Diptera, Muscidae)’, in </w:t>
      </w:r>
      <w:r w:rsidRPr="0015743B">
        <w:rPr>
          <w:i/>
        </w:rPr>
        <w:t>Eco-climatic assessment of Atherigona orientalis (Diptera) and its pest potential in New Zealand</w:t>
      </w:r>
      <w:r w:rsidRPr="0015743B">
        <w:t>, Cahill, M (ed), Bureau of Rural Resources, Canberra.</w:t>
      </w:r>
      <w:bookmarkEnd w:id="347"/>
    </w:p>
    <w:p w:rsidR="00555918" w:rsidRPr="0015743B" w:rsidRDefault="00555918" w:rsidP="000B1771">
      <w:pPr>
        <w:pStyle w:val="EndNoteBibliography"/>
        <w:spacing w:after="0"/>
      </w:pPr>
      <w:bookmarkStart w:id="348" w:name="_ENREF_203"/>
      <w:r w:rsidRPr="0015743B">
        <w:t xml:space="preserve">Poole, MC 2010, </w:t>
      </w:r>
      <w:r w:rsidRPr="0015743B">
        <w:rPr>
          <w:i/>
        </w:rPr>
        <w:t>An annotated catalogue of insects and allied species associated with Western Australian agriculture and related industries</w:t>
      </w:r>
      <w:r w:rsidRPr="0015743B">
        <w:t>, Perennial draft, July 2010, Department of Agriculture and Food, Western Australia.</w:t>
      </w:r>
      <w:bookmarkEnd w:id="348"/>
    </w:p>
    <w:p w:rsidR="00555918" w:rsidRPr="0015743B" w:rsidRDefault="00555918" w:rsidP="000B1771">
      <w:pPr>
        <w:pStyle w:val="EndNoteBibliography"/>
        <w:spacing w:after="0"/>
      </w:pPr>
      <w:bookmarkStart w:id="349" w:name="_ENREF_204"/>
      <w:r w:rsidRPr="0015743B">
        <w:t xml:space="preserve">Poole, MC &amp; Hammond, NE 2011, </w:t>
      </w:r>
      <w:r w:rsidRPr="0015743B">
        <w:rPr>
          <w:i/>
        </w:rPr>
        <w:t>A categorisation of invertebrate and pathogen species associated with the importation of fresh table grape bunches (Vitis spp.) into Western Australia</w:t>
      </w:r>
      <w:r w:rsidRPr="0015743B">
        <w:t>, Department of Agriculture and Food, Government of Western Australia.</w:t>
      </w:r>
      <w:bookmarkEnd w:id="349"/>
    </w:p>
    <w:p w:rsidR="00555918" w:rsidRPr="0015743B" w:rsidRDefault="00555918" w:rsidP="000B1771">
      <w:pPr>
        <w:pStyle w:val="EndNoteBibliography"/>
        <w:spacing w:after="0"/>
      </w:pPr>
      <w:bookmarkStart w:id="350" w:name="_ENREF_205"/>
      <w:r w:rsidRPr="0015743B">
        <w:t xml:space="preserve">Poole, MC, Wood, CE, Lanoiselet, V, Tuten, SJ &amp; Hammond, NE 2011, </w:t>
      </w:r>
      <w:r w:rsidRPr="0015743B">
        <w:rPr>
          <w:i/>
        </w:rPr>
        <w:t>Final pest risk analysis report for the importation of fresh summerfruit from South Australia, Tasmania, New South Wales and Victoria into Western Australia</w:t>
      </w:r>
      <w:r w:rsidRPr="0015743B">
        <w:t>, Department of Agriculture and Food, Western Australia.</w:t>
      </w:r>
      <w:bookmarkEnd w:id="350"/>
    </w:p>
    <w:p w:rsidR="00555918" w:rsidRPr="0015743B" w:rsidRDefault="00555918" w:rsidP="000B1771">
      <w:pPr>
        <w:pStyle w:val="EndNoteBibliography"/>
        <w:spacing w:after="0"/>
      </w:pPr>
      <w:bookmarkStart w:id="351" w:name="_ENREF_206"/>
      <w:r w:rsidRPr="0015743B">
        <w:t xml:space="preserve">QDAF 2019, </w:t>
      </w:r>
      <w:r w:rsidRPr="0015743B">
        <w:rPr>
          <w:i/>
        </w:rPr>
        <w:t>Queensland biosecurity manual version 11.0 current as at April 2019</w:t>
      </w:r>
      <w:r w:rsidRPr="0015743B">
        <w:t xml:space="preserve">, Queensland Department of Agriculture and Fisheries (QDAF), Queensland, available at </w:t>
      </w:r>
      <w:hyperlink r:id="rId152" w:history="1">
        <w:r w:rsidRPr="00F45F2B">
          <w:rPr>
            <w:rStyle w:val="Hyperlink"/>
          </w:rPr>
          <w:t>https://www.daf.qld.gov.au/__data/assets/pdf_file/0004/379138/qld-biosecurity-manual.pdf</w:t>
        </w:r>
      </w:hyperlink>
      <w:r w:rsidRPr="0015743B">
        <w:t xml:space="preserve"> (pdf 1,942 kb).</w:t>
      </w:r>
      <w:bookmarkEnd w:id="351"/>
    </w:p>
    <w:p w:rsidR="00555918" w:rsidRPr="0015743B" w:rsidRDefault="00555918" w:rsidP="000B1771">
      <w:pPr>
        <w:pStyle w:val="EndNoteBibliography"/>
        <w:spacing w:after="0"/>
      </w:pPr>
      <w:bookmarkStart w:id="352" w:name="_ENREF_207"/>
      <w:r w:rsidRPr="0015743B">
        <w:lastRenderedPageBreak/>
        <w:t xml:space="preserve">Qin, TK &amp; Gullan, PJ 1994, ‘Taxonomy of the wax scales (Hemiptera: Coccidae: </w:t>
      </w:r>
      <w:r w:rsidRPr="0015743B">
        <w:rPr>
          <w:i/>
        </w:rPr>
        <w:t>Ceroplastinae</w:t>
      </w:r>
      <w:r w:rsidRPr="0015743B">
        <w:t xml:space="preserve">) in Australia’, </w:t>
      </w:r>
      <w:r w:rsidRPr="0015743B">
        <w:rPr>
          <w:i/>
        </w:rPr>
        <w:t>Invertebrate Taxonomy</w:t>
      </w:r>
      <w:r w:rsidRPr="0015743B">
        <w:t>, vol. 8, no. 4, pp. 923-59.</w:t>
      </w:r>
      <w:bookmarkEnd w:id="352"/>
    </w:p>
    <w:p w:rsidR="00555918" w:rsidRPr="0015743B" w:rsidRDefault="00555918" w:rsidP="000B1771">
      <w:pPr>
        <w:pStyle w:val="EndNoteBibliography"/>
        <w:spacing w:after="0"/>
      </w:pPr>
      <w:bookmarkStart w:id="353" w:name="_ENREF_208"/>
      <w:r w:rsidRPr="0015743B">
        <w:t xml:space="preserve">Queensland Government 2018, </w:t>
      </w:r>
      <w:r w:rsidRPr="0015743B">
        <w:rPr>
          <w:i/>
        </w:rPr>
        <w:t>Biosecurity Act 2014: biosecurity regulation 2016 current as at 2 February 2018</w:t>
      </w:r>
      <w:r w:rsidRPr="0015743B">
        <w:t xml:space="preserve">, Queensland Government, available at </w:t>
      </w:r>
      <w:hyperlink r:id="rId153" w:history="1">
        <w:r w:rsidRPr="00F45F2B">
          <w:rPr>
            <w:rStyle w:val="Hyperlink"/>
          </w:rPr>
          <w:t>https://www.legislation.qld.gov.au/view/pdf/inforce/current/sl-2016-0075</w:t>
        </w:r>
      </w:hyperlink>
      <w:r w:rsidRPr="0015743B">
        <w:t xml:space="preserve"> (pdf 1.6 mb).</w:t>
      </w:r>
      <w:bookmarkEnd w:id="353"/>
    </w:p>
    <w:p w:rsidR="00555918" w:rsidRPr="0015743B" w:rsidRDefault="00555918" w:rsidP="000B1771">
      <w:pPr>
        <w:pStyle w:val="EndNoteBibliography"/>
        <w:spacing w:after="0"/>
      </w:pPr>
      <w:bookmarkStart w:id="354" w:name="_ENREF_209"/>
      <w:r w:rsidRPr="0015743B">
        <w:t>Quiros Manterola, SL 1998, ‘Comportamiento estacional de chanchito blanco (Hemiptera: Pseudococcidae) y de sus parasitoides en palto (</w:t>
      </w:r>
      <w:r w:rsidRPr="0015743B">
        <w:rPr>
          <w:i/>
        </w:rPr>
        <w:t>Persea americana</w:t>
      </w:r>
      <w:r w:rsidRPr="0015743B">
        <w:t xml:space="preserve"> Mill)’, MSc thesis, Universidad Catolica de Valparaiso.</w:t>
      </w:r>
      <w:bookmarkEnd w:id="354"/>
    </w:p>
    <w:p w:rsidR="00555918" w:rsidRPr="0015743B" w:rsidRDefault="00555918" w:rsidP="000B1771">
      <w:pPr>
        <w:pStyle w:val="EndNoteBibliography"/>
        <w:spacing w:after="0"/>
      </w:pPr>
      <w:bookmarkStart w:id="355" w:name="_ENREF_210"/>
      <w:r w:rsidRPr="0015743B">
        <w:t xml:space="preserve">Ramella, F, Besoain, X, Oyanedel, E &amp; Duran-Vila, N 2006, ‘Determination of </w:t>
      </w:r>
      <w:r w:rsidRPr="0015743B">
        <w:rPr>
          <w:i/>
        </w:rPr>
        <w:t>Avocado sunblotch viroid</w:t>
      </w:r>
      <w:r w:rsidRPr="0015743B">
        <w:t xml:space="preserve"> in plants of avocado in Chile’, in </w:t>
      </w:r>
      <w:r w:rsidRPr="0015743B">
        <w:rPr>
          <w:i/>
        </w:rPr>
        <w:t>16th Congress of Plant Pathology Abstracts</w:t>
      </w:r>
      <w:r w:rsidRPr="0015743B">
        <w:t>, Instituto de Investigaciones Agropecuarias, Chile.</w:t>
      </w:r>
      <w:bookmarkEnd w:id="355"/>
    </w:p>
    <w:p w:rsidR="00555918" w:rsidRPr="0015743B" w:rsidRDefault="00555918" w:rsidP="000B1771">
      <w:pPr>
        <w:pStyle w:val="EndNoteBibliography"/>
        <w:spacing w:after="0"/>
      </w:pPr>
      <w:bookmarkStart w:id="356" w:name="_ENREF_211"/>
      <w:r w:rsidRPr="0015743B">
        <w:t xml:space="preserve">Ramírez López, SM 2017, ‘Ciclo biológico y aspectos del comportamiento de </w:t>
      </w:r>
      <w:r w:rsidRPr="0015743B">
        <w:rPr>
          <w:i/>
        </w:rPr>
        <w:t>Oligonychus</w:t>
      </w:r>
      <w:r w:rsidRPr="0015743B">
        <w:t xml:space="preserve"> sp. (Acarina: Tetranychidae) en </w:t>
      </w:r>
      <w:r w:rsidRPr="0015743B">
        <w:rPr>
          <w:i/>
        </w:rPr>
        <w:t>Persea americana</w:t>
      </w:r>
      <w:r w:rsidRPr="0015743B">
        <w:t xml:space="preserve"> Mill., en laboratorio’, BSc. (Biólogo) Tesis, Universidad Nacional de Trujillo.</w:t>
      </w:r>
      <w:bookmarkEnd w:id="356"/>
    </w:p>
    <w:p w:rsidR="00555918" w:rsidRPr="0015743B" w:rsidRDefault="00555918" w:rsidP="000B1771">
      <w:pPr>
        <w:pStyle w:val="EndNoteBibliography"/>
        <w:spacing w:after="0"/>
      </w:pPr>
      <w:bookmarkStart w:id="357" w:name="_ENREF_212"/>
      <w:r w:rsidRPr="0015743B">
        <w:t>Rhainds, M &amp; Cabrera-La Rosa, JC 2010, ‘</w:t>
      </w:r>
      <w:r w:rsidRPr="0015743B">
        <w:rPr>
          <w:i/>
        </w:rPr>
        <w:t>Oiketicus kirbyi</w:t>
      </w:r>
      <w:r w:rsidRPr="0015743B">
        <w:t xml:space="preserve"> (Lepidoptera, Psychidae), a key pest in Peruvian orchards of avocado’, </w:t>
      </w:r>
      <w:r w:rsidRPr="0015743B">
        <w:rPr>
          <w:i/>
        </w:rPr>
        <w:t>International Journal of Pest Management</w:t>
      </w:r>
      <w:r w:rsidRPr="0015743B">
        <w:t>, vol. 56, pp. 103-7.</w:t>
      </w:r>
      <w:bookmarkEnd w:id="357"/>
    </w:p>
    <w:p w:rsidR="00555918" w:rsidRPr="0015743B" w:rsidRDefault="00555918" w:rsidP="000B1771">
      <w:pPr>
        <w:pStyle w:val="EndNoteBibliography"/>
        <w:spacing w:after="0"/>
      </w:pPr>
      <w:bookmarkStart w:id="358" w:name="_ENREF_213"/>
      <w:r w:rsidRPr="0015743B">
        <w:t xml:space="preserve">Ripa, R 2008a, ‘Silver butterfly: </w:t>
      </w:r>
      <w:r w:rsidRPr="0015743B">
        <w:rPr>
          <w:i/>
        </w:rPr>
        <w:t>Arctopoda maculosa</w:t>
      </w:r>
      <w:r w:rsidRPr="0015743B">
        <w:t xml:space="preserve"> Butler’, in </w:t>
      </w:r>
      <w:r w:rsidRPr="0015743B">
        <w:rPr>
          <w:i/>
        </w:rPr>
        <w:t>Manejo de Plagas en Paltos y Citricos</w:t>
      </w:r>
      <w:r w:rsidRPr="0015743B">
        <w:t>, Ripa, R &amp; Larral, P (eds), Institituto de Investigaciones Agropecuarias, La Cruz, Chile.</w:t>
      </w:r>
      <w:bookmarkEnd w:id="358"/>
    </w:p>
    <w:p w:rsidR="00555918" w:rsidRPr="0015743B" w:rsidRDefault="00555918" w:rsidP="000B1771">
      <w:pPr>
        <w:pStyle w:val="EndNoteBibliography"/>
        <w:spacing w:after="0"/>
      </w:pPr>
      <w:bookmarkStart w:id="359" w:name="_ENREF_214"/>
      <w:r w:rsidRPr="0015743B">
        <w:t xml:space="preserve">-- -- 2008b, ‘Western flower thrips: </w:t>
      </w:r>
      <w:r w:rsidRPr="0015743B">
        <w:rPr>
          <w:i/>
        </w:rPr>
        <w:t>Frankliniella occidentales</w:t>
      </w:r>
      <w:r w:rsidRPr="0015743B">
        <w:t xml:space="preserve"> (Pergande)’, in </w:t>
      </w:r>
      <w:r w:rsidRPr="0015743B">
        <w:rPr>
          <w:i/>
        </w:rPr>
        <w:t>Manejo de Plagas en Paltos y Cítricos</w:t>
      </w:r>
      <w:r w:rsidRPr="0015743B">
        <w:t>, Ripa, R &amp; Larral, P (eds), Instituto de Investigaciones Agropecuarias, La Cruz, Chile.</w:t>
      </w:r>
      <w:bookmarkEnd w:id="359"/>
    </w:p>
    <w:p w:rsidR="00555918" w:rsidRPr="0015743B" w:rsidRDefault="00555918" w:rsidP="000B1771">
      <w:pPr>
        <w:pStyle w:val="EndNoteBibliography"/>
        <w:spacing w:after="0"/>
      </w:pPr>
      <w:bookmarkStart w:id="360" w:name="_ENREF_215"/>
      <w:r w:rsidRPr="0015743B">
        <w:t xml:space="preserve">Ripa, R &amp; Larral, P 2008, </w:t>
      </w:r>
      <w:r w:rsidRPr="0015743B">
        <w:rPr>
          <w:i/>
        </w:rPr>
        <w:t>Manejo de plagas en paltos y citricos</w:t>
      </w:r>
      <w:r w:rsidRPr="0015743B">
        <w:t>, Institituto de Investigaciones Agropecuarias, La Cruz, Chile.</w:t>
      </w:r>
      <w:bookmarkEnd w:id="360"/>
    </w:p>
    <w:p w:rsidR="00555918" w:rsidRPr="0015743B" w:rsidRDefault="00555918" w:rsidP="000B1771">
      <w:pPr>
        <w:pStyle w:val="EndNoteBibliography"/>
        <w:spacing w:after="0"/>
      </w:pPr>
      <w:bookmarkStart w:id="361" w:name="_ENREF_216"/>
      <w:r w:rsidRPr="0015743B">
        <w:t xml:space="preserve">Ripa, RS 1986, ‘Contribution to the knowledge of the life history of the fruit tree weevil’, </w:t>
      </w:r>
      <w:r w:rsidRPr="0015743B">
        <w:rPr>
          <w:i/>
        </w:rPr>
        <w:t>Agricultura Tecnica</w:t>
      </w:r>
      <w:r w:rsidRPr="0015743B">
        <w:t>, vol. 46, no. 1, pp. 33-40.</w:t>
      </w:r>
      <w:bookmarkEnd w:id="361"/>
    </w:p>
    <w:p w:rsidR="00555918" w:rsidRPr="0015743B" w:rsidRDefault="00555918" w:rsidP="000B1771">
      <w:pPr>
        <w:pStyle w:val="EndNoteBibliography"/>
        <w:spacing w:after="0"/>
      </w:pPr>
      <w:bookmarkStart w:id="362" w:name="_ENREF_217"/>
      <w:r w:rsidRPr="0015743B">
        <w:t xml:space="preserve">Rodriguez-Saona, C &amp; Trumble, JT 2000, ‘Secretory avocado idioblast oil cells: evidence of their defensive role against a non-adapted insect herbivore’, </w:t>
      </w:r>
      <w:r w:rsidRPr="0015743B">
        <w:rPr>
          <w:i/>
        </w:rPr>
        <w:t>Entomologia Experimentalis et Applicata</w:t>
      </w:r>
      <w:r w:rsidRPr="0015743B">
        <w:t>, vol. 94, pp. 183-94.</w:t>
      </w:r>
      <w:bookmarkEnd w:id="362"/>
    </w:p>
    <w:p w:rsidR="00555918" w:rsidRPr="0015743B" w:rsidRDefault="00555918" w:rsidP="000B1771">
      <w:pPr>
        <w:pStyle w:val="EndNoteBibliography"/>
        <w:spacing w:after="0"/>
      </w:pPr>
      <w:bookmarkStart w:id="363" w:name="_ENREF_218"/>
      <w:r w:rsidRPr="0015743B">
        <w:t xml:space="preserve">Rogers, MA &amp; Stansly, PA 2016, ‘2016 Florida Citrus Pest Management Guide: Ch. 10 rust mites, spider mites, and other phytophagous mites’, University of Florida: Institute of Food and Agriculture, Florida, USA, available at </w:t>
      </w:r>
      <w:hyperlink r:id="rId154" w:history="1">
        <w:r w:rsidRPr="00F45F2B">
          <w:rPr>
            <w:rStyle w:val="Hyperlink"/>
          </w:rPr>
          <w:t>http://edis.ifas.ufl.edu/cg002</w:t>
        </w:r>
      </w:hyperlink>
      <w:r w:rsidRPr="0015743B">
        <w:t>.</w:t>
      </w:r>
      <w:bookmarkEnd w:id="363"/>
    </w:p>
    <w:p w:rsidR="00555918" w:rsidRPr="0015743B" w:rsidRDefault="00555918" w:rsidP="000B1771">
      <w:pPr>
        <w:pStyle w:val="EndNoteBibliography"/>
        <w:spacing w:after="0"/>
      </w:pPr>
      <w:bookmarkStart w:id="364" w:name="_ENREF_219"/>
      <w:r w:rsidRPr="0015743B">
        <w:t xml:space="preserve">Rolshausen, PE, Arpaia, ML &amp; Faber, B 2016, ‘High density planting for avocado production: a Chilean perspective’, University of California Cooperative Extension, available at </w:t>
      </w:r>
      <w:hyperlink r:id="rId155" w:history="1">
        <w:r w:rsidRPr="00F45F2B">
          <w:rPr>
            <w:rStyle w:val="Hyperlink"/>
          </w:rPr>
          <w:t>http://ucanr.edu/sites/Rolshausen/files/248917.pdf</w:t>
        </w:r>
      </w:hyperlink>
      <w:r w:rsidRPr="0015743B">
        <w:t xml:space="preserve"> (pdf 585 kb).</w:t>
      </w:r>
      <w:bookmarkEnd w:id="364"/>
    </w:p>
    <w:p w:rsidR="00555918" w:rsidRPr="0015743B" w:rsidRDefault="00555918" w:rsidP="000B1771">
      <w:pPr>
        <w:pStyle w:val="EndNoteBibliography"/>
        <w:spacing w:after="0"/>
      </w:pPr>
      <w:bookmarkStart w:id="365" w:name="_ENREF_220"/>
      <w:r w:rsidRPr="0015743B">
        <w:t>Sacdalan, AD 2015, ‘</w:t>
      </w:r>
      <w:r w:rsidRPr="0015743B">
        <w:rPr>
          <w:i/>
        </w:rPr>
        <w:t>Mimosa pigra</w:t>
      </w:r>
      <w:r w:rsidRPr="0015743B">
        <w:t xml:space="preserve"> dieback in the Northern Territory, Australia: investigation into possible causes’, Master of Science in Biology Thesis, University of Queensland.</w:t>
      </w:r>
      <w:bookmarkEnd w:id="365"/>
    </w:p>
    <w:p w:rsidR="00555918" w:rsidRPr="0015743B" w:rsidRDefault="00555918" w:rsidP="000B1771">
      <w:pPr>
        <w:pStyle w:val="EndNoteBibliography"/>
        <w:spacing w:after="0"/>
      </w:pPr>
      <w:bookmarkStart w:id="366" w:name="_ENREF_221"/>
      <w:r w:rsidRPr="0015743B">
        <w:t xml:space="preserve">SAG 2002, </w:t>
      </w:r>
      <w:r w:rsidRPr="0015743B">
        <w:rPr>
          <w:i/>
        </w:rPr>
        <w:t>Situación de plagas solicitadas como requisitos fitosanitarios para semilleros de exportación (Actualización Agosto 2002)</w:t>
      </w:r>
      <w:r w:rsidRPr="0015743B">
        <w:t xml:space="preserve">, Servicio Agricola y Ganadero, Departamento Proteccion Agricola, available at </w:t>
      </w:r>
      <w:hyperlink r:id="rId156" w:history="1">
        <w:r w:rsidRPr="00F45F2B">
          <w:rPr>
            <w:rStyle w:val="Hyperlink"/>
          </w:rPr>
          <w:t>http://www.anproschile.cl</w:t>
        </w:r>
      </w:hyperlink>
      <w:r w:rsidRPr="0015743B">
        <w:t>.</w:t>
      </w:r>
      <w:bookmarkEnd w:id="366"/>
    </w:p>
    <w:p w:rsidR="00555918" w:rsidRPr="0015743B" w:rsidRDefault="00555918" w:rsidP="000B1771">
      <w:pPr>
        <w:pStyle w:val="EndNoteBibliography"/>
        <w:spacing w:after="0"/>
      </w:pPr>
      <w:bookmarkStart w:id="367" w:name="_ENREF_222"/>
      <w:r w:rsidRPr="0015743B">
        <w:t xml:space="preserve">-- -- 2005a, </w:t>
      </w:r>
      <w:r w:rsidRPr="0015743B">
        <w:rPr>
          <w:i/>
        </w:rPr>
        <w:t>Declara el control oficial obligatorio, en Isla de Pascua, de las plagas que se indica establece medidas fitosanitarias y deroga resolución No 2.144 de 01 de Julio de 2004</w:t>
      </w:r>
      <w:r w:rsidRPr="0015743B">
        <w:t xml:space="preserve">, Servicio Agrícola y Ganadero, Dirección Nacional, available at </w:t>
      </w:r>
      <w:hyperlink r:id="rId157" w:history="1">
        <w:r w:rsidRPr="00F45F2B">
          <w:rPr>
            <w:rStyle w:val="Hyperlink"/>
          </w:rPr>
          <w:t>https://www.ippc.int/en/countries/chile/pestreports/2010/09/actualizacion-de-la-vigilancia-de-homalodisca-vitripennis/</w:t>
        </w:r>
      </w:hyperlink>
      <w:r w:rsidRPr="0015743B">
        <w:t xml:space="preserve"> </w:t>
      </w:r>
      <w:bookmarkEnd w:id="367"/>
    </w:p>
    <w:p w:rsidR="00555918" w:rsidRPr="0015743B" w:rsidRDefault="00555918" w:rsidP="000B1771">
      <w:pPr>
        <w:pStyle w:val="EndNoteBibliography"/>
        <w:spacing w:after="0"/>
      </w:pPr>
      <w:bookmarkStart w:id="368" w:name="_ENREF_223"/>
      <w:r w:rsidRPr="0015743B">
        <w:t xml:space="preserve">-- -- 2005b, </w:t>
      </w:r>
      <w:r w:rsidRPr="0015743B">
        <w:rPr>
          <w:i/>
        </w:rPr>
        <w:t>Guía de reconocimiento de plagas: Palto (Persea americana)</w:t>
      </w:r>
      <w:r w:rsidRPr="0015743B">
        <w:t xml:space="preserve">, Servicio Agrícola y Ganadero, Departamento Proteccion Agricola, available at </w:t>
      </w:r>
      <w:hyperlink r:id="rId158" w:history="1">
        <w:r w:rsidRPr="00F45F2B">
          <w:rPr>
            <w:rStyle w:val="Hyperlink"/>
          </w:rPr>
          <w:t>http://www.sag.gob.cl</w:t>
        </w:r>
      </w:hyperlink>
      <w:r w:rsidRPr="0015743B">
        <w:t>.</w:t>
      </w:r>
      <w:bookmarkEnd w:id="368"/>
    </w:p>
    <w:p w:rsidR="00555918" w:rsidRPr="0015743B" w:rsidRDefault="00555918" w:rsidP="000B1771">
      <w:pPr>
        <w:pStyle w:val="EndNoteBibliography"/>
        <w:spacing w:after="0"/>
      </w:pPr>
      <w:bookmarkStart w:id="369" w:name="_ENREF_224"/>
      <w:r w:rsidRPr="0015743B">
        <w:lastRenderedPageBreak/>
        <w:t xml:space="preserve">-- -- 2013, </w:t>
      </w:r>
      <w:r w:rsidRPr="0015743B">
        <w:rPr>
          <w:i/>
        </w:rPr>
        <w:t>Prohíbase el uso para propagación de semilla de palta (Persea americana), cuyo origen sea frutos frescos para consumo, importados de orígenes con presencia de Avocado sunblotch viroid (ASBVD)</w:t>
      </w:r>
      <w:r w:rsidRPr="0015743B">
        <w:t xml:space="preserve">, Resolucion Extenta No.8182/2013, Servicio Agricola y Ganadero (SAG), Santiago, Chile, available at </w:t>
      </w:r>
      <w:hyperlink r:id="rId159" w:history="1">
        <w:r w:rsidRPr="00F45F2B">
          <w:rPr>
            <w:rStyle w:val="Hyperlink"/>
          </w:rPr>
          <w:t>http://www.sag.cl/sites/default/files/res_8182-prohibe_propagacion_cuesco_palta-dic2013.pdf</w:t>
        </w:r>
      </w:hyperlink>
      <w:r w:rsidRPr="0015743B">
        <w:t>.</w:t>
      </w:r>
      <w:bookmarkEnd w:id="369"/>
    </w:p>
    <w:p w:rsidR="00555918" w:rsidRPr="0015743B" w:rsidRDefault="00555918" w:rsidP="000B1771">
      <w:pPr>
        <w:pStyle w:val="EndNoteBibliography"/>
        <w:spacing w:after="0"/>
      </w:pPr>
      <w:bookmarkStart w:id="370" w:name="_ENREF_225"/>
      <w:r w:rsidRPr="0015743B">
        <w:t xml:space="preserve">-- -- 2018, ‘Fruit Fly’, Servicio Agrícola y Gandero, Santiago, Chile, available at </w:t>
      </w:r>
      <w:hyperlink r:id="rId160" w:history="1">
        <w:r w:rsidRPr="00F45F2B">
          <w:rPr>
            <w:rStyle w:val="Hyperlink"/>
          </w:rPr>
          <w:t>http://www.sag.gob.cl/ambitos-de-accion/mosca-de-la-fruta</w:t>
        </w:r>
      </w:hyperlink>
      <w:r w:rsidRPr="0015743B">
        <w:t>.</w:t>
      </w:r>
      <w:bookmarkEnd w:id="370"/>
    </w:p>
    <w:p w:rsidR="00555918" w:rsidRPr="0015743B" w:rsidRDefault="00555918" w:rsidP="000B1771">
      <w:pPr>
        <w:pStyle w:val="EndNoteBibliography"/>
        <w:spacing w:after="0"/>
      </w:pPr>
      <w:bookmarkStart w:id="371" w:name="_ENREF_226"/>
      <w:r w:rsidRPr="0015743B">
        <w:t xml:space="preserve">Schoeman, PS 2013, ‘Phytophagous stink bugs (Hemiptera: Pentatomidae; Coreidae) associated with macadamia in South Africa’, </w:t>
      </w:r>
      <w:r w:rsidRPr="0015743B">
        <w:rPr>
          <w:i/>
        </w:rPr>
        <w:t>Open Journal of Animal Sciences</w:t>
      </w:r>
      <w:r w:rsidRPr="0015743B">
        <w:t>, vol. 3, no. 3, pp. 179-83.</w:t>
      </w:r>
      <w:bookmarkEnd w:id="371"/>
    </w:p>
    <w:p w:rsidR="00555918" w:rsidRPr="0015743B" w:rsidRDefault="00555918" w:rsidP="000B1771">
      <w:pPr>
        <w:pStyle w:val="EndNoteBibliography"/>
        <w:spacing w:after="0"/>
      </w:pPr>
      <w:bookmarkStart w:id="372" w:name="_ENREF_227"/>
      <w:r w:rsidRPr="0015743B">
        <w:t xml:space="preserve">Seeman, OD, Beard, JJ &amp; Zhang, L 2017, ‘A new Australian species of </w:t>
      </w:r>
      <w:r w:rsidRPr="0015743B">
        <w:rPr>
          <w:i/>
        </w:rPr>
        <w:t xml:space="preserve">Eotetranychus </w:t>
      </w:r>
      <w:r w:rsidRPr="0015743B">
        <w:t xml:space="preserve">(Acari: Tetranychidae) from buck spinifex </w:t>
      </w:r>
      <w:r w:rsidRPr="0015743B">
        <w:rPr>
          <w:i/>
        </w:rPr>
        <w:t>Triodia mitchelli</w:t>
      </w:r>
      <w:r w:rsidRPr="0015743B">
        <w:t xml:space="preserve"> (Poaceae), intraspecific variation in </w:t>
      </w:r>
      <w:r w:rsidRPr="0015743B">
        <w:rPr>
          <w:i/>
        </w:rPr>
        <w:t>Eotetranychus</w:t>
      </w:r>
      <w:r w:rsidRPr="0015743B">
        <w:t xml:space="preserve">, and the synonymy of </w:t>
      </w:r>
      <w:r w:rsidRPr="0015743B">
        <w:rPr>
          <w:i/>
        </w:rPr>
        <w:t>Platytetranychus</w:t>
      </w:r>
      <w:r w:rsidRPr="0015743B">
        <w:t xml:space="preserve"> with </w:t>
      </w:r>
      <w:r w:rsidRPr="0015743B">
        <w:rPr>
          <w:i/>
        </w:rPr>
        <w:t>Eotetranychus</w:t>
      </w:r>
      <w:r w:rsidRPr="0015743B">
        <w:t xml:space="preserve">’, </w:t>
      </w:r>
      <w:r w:rsidRPr="0015743B">
        <w:rPr>
          <w:i/>
        </w:rPr>
        <w:t>Zootaxa</w:t>
      </w:r>
      <w:r w:rsidRPr="0015743B">
        <w:t>, vol. 4324, no. 3, pp. 419-517.</w:t>
      </w:r>
      <w:bookmarkEnd w:id="372"/>
    </w:p>
    <w:p w:rsidR="00555918" w:rsidRPr="0015743B" w:rsidRDefault="00555918" w:rsidP="000B1771">
      <w:pPr>
        <w:pStyle w:val="EndNoteBibliography"/>
        <w:spacing w:after="0"/>
      </w:pPr>
      <w:bookmarkStart w:id="373" w:name="_ENREF_228"/>
      <w:r w:rsidRPr="0015743B">
        <w:t xml:space="preserve">Shamloul, AM, Hadidi, A, Zhu, SF, Singh, RP &amp; Sagredo, B 1997, ‘Sensitive detection of </w:t>
      </w:r>
      <w:r w:rsidRPr="0015743B">
        <w:rPr>
          <w:i/>
        </w:rPr>
        <w:t>Potato spindle tuber viroid</w:t>
      </w:r>
      <w:r w:rsidRPr="0015743B">
        <w:t xml:space="preserve"> using RT-PCR and identification of a viroid variant naturally infecting pepino plants’, </w:t>
      </w:r>
      <w:r w:rsidRPr="0015743B">
        <w:rPr>
          <w:i/>
        </w:rPr>
        <w:t>Canadian Journal of Plant Pathology</w:t>
      </w:r>
      <w:r w:rsidRPr="0015743B">
        <w:t>, vol. 19, pp. 89-96.</w:t>
      </w:r>
      <w:bookmarkEnd w:id="373"/>
    </w:p>
    <w:p w:rsidR="00555918" w:rsidRPr="0015743B" w:rsidRDefault="00555918" w:rsidP="000B1771">
      <w:pPr>
        <w:pStyle w:val="EndNoteBibliography"/>
        <w:spacing w:after="0"/>
      </w:pPr>
      <w:bookmarkStart w:id="374" w:name="_ENREF_229"/>
      <w:r w:rsidRPr="0015743B">
        <w:t xml:space="preserve">Shinkaji, N 1979, ‘Geographical distribution of the citrus red mite, </w:t>
      </w:r>
      <w:r w:rsidRPr="0015743B">
        <w:rPr>
          <w:i/>
        </w:rPr>
        <w:t>Panonychus citri</w:t>
      </w:r>
      <w:r w:rsidRPr="0015743B">
        <w:t xml:space="preserve"> and Europena red mite, </w:t>
      </w:r>
      <w:r w:rsidRPr="0015743B">
        <w:rPr>
          <w:i/>
        </w:rPr>
        <w:t>P. ulmi</w:t>
      </w:r>
      <w:r w:rsidRPr="0015743B">
        <w:t xml:space="preserve"> in Japan’, </w:t>
      </w:r>
      <w:r w:rsidRPr="0015743B">
        <w:rPr>
          <w:i/>
        </w:rPr>
        <w:t>Recent Advances in Acarology</w:t>
      </w:r>
      <w:r w:rsidRPr="0015743B">
        <w:t>, vol. 1, pp. 81-7.</w:t>
      </w:r>
      <w:bookmarkEnd w:id="374"/>
    </w:p>
    <w:p w:rsidR="00555918" w:rsidRPr="0015743B" w:rsidRDefault="00555918" w:rsidP="000B1771">
      <w:pPr>
        <w:pStyle w:val="EndNoteBibliography"/>
        <w:spacing w:after="0"/>
      </w:pPr>
      <w:bookmarkStart w:id="375" w:name="_ENREF_230"/>
      <w:r w:rsidRPr="0015743B">
        <w:t xml:space="preserve">Shivas, RG 1989, ‘Fungal and bacterial diseases of plants in Western Australia’, </w:t>
      </w:r>
      <w:r w:rsidRPr="0015743B">
        <w:rPr>
          <w:i/>
        </w:rPr>
        <w:t>Journal of the Royal Society of Western Australia</w:t>
      </w:r>
      <w:r w:rsidRPr="0015743B">
        <w:t>, vol. 72, no. 1-2, pp. 1-62.</w:t>
      </w:r>
      <w:bookmarkEnd w:id="375"/>
    </w:p>
    <w:p w:rsidR="00555918" w:rsidRPr="0015743B" w:rsidRDefault="00555918" w:rsidP="000B1771">
      <w:pPr>
        <w:pStyle w:val="EndNoteBibliography"/>
        <w:spacing w:after="0"/>
      </w:pPr>
      <w:bookmarkStart w:id="376" w:name="_ENREF_231"/>
      <w:r w:rsidRPr="0015743B">
        <w:t xml:space="preserve">Sparks, AN, Jnr &amp; Riley, DG 2008, </w:t>
      </w:r>
      <w:r w:rsidRPr="0015743B">
        <w:rPr>
          <w:i/>
        </w:rPr>
        <w:t>Helicoverpa zea</w:t>
      </w:r>
      <w:r w:rsidRPr="0015743B">
        <w:t xml:space="preserve">, BugwoodWiki, available at </w:t>
      </w:r>
      <w:hyperlink r:id="rId161" w:history="1">
        <w:r w:rsidRPr="00F45F2B">
          <w:rPr>
            <w:rStyle w:val="Hyperlink"/>
          </w:rPr>
          <w:t>http://wiki.bugwood.org/Helicoverpa_zea</w:t>
        </w:r>
      </w:hyperlink>
      <w:r w:rsidRPr="0015743B">
        <w:t>.</w:t>
      </w:r>
      <w:bookmarkEnd w:id="376"/>
    </w:p>
    <w:p w:rsidR="00555918" w:rsidRPr="0015743B" w:rsidRDefault="00555918" w:rsidP="000B1771">
      <w:pPr>
        <w:pStyle w:val="EndNoteBibliography"/>
        <w:spacing w:after="0"/>
      </w:pPr>
      <w:bookmarkStart w:id="377" w:name="_ENREF_232"/>
      <w:r w:rsidRPr="0015743B">
        <w:t xml:space="preserve">Steffen, K, Grousset, F, Schrader, G, Petter, F &amp; Suffert, M 2015, ‘Identification of pests and pathogens recorded in Europe with relation to fruit imports’, </w:t>
      </w:r>
      <w:r w:rsidRPr="0015743B">
        <w:rPr>
          <w:i/>
        </w:rPr>
        <w:t>OEPP/EPPO Bulletin</w:t>
      </w:r>
      <w:r w:rsidRPr="0015743B">
        <w:t>, vol. 45, no. 2, pp. 223-39.</w:t>
      </w:r>
      <w:bookmarkEnd w:id="377"/>
    </w:p>
    <w:p w:rsidR="00555918" w:rsidRPr="0015743B" w:rsidRDefault="00555918" w:rsidP="000B1771">
      <w:pPr>
        <w:pStyle w:val="EndNoteBibliography"/>
        <w:spacing w:after="0"/>
      </w:pPr>
      <w:bookmarkStart w:id="378" w:name="_ENREF_233"/>
      <w:r w:rsidRPr="0015743B">
        <w:t>Stephens, CS 1962, ‘</w:t>
      </w:r>
      <w:r w:rsidRPr="0015743B">
        <w:rPr>
          <w:i/>
        </w:rPr>
        <w:t>Oiketicus kirbyi</w:t>
      </w:r>
      <w:r w:rsidRPr="0015743B">
        <w:t xml:space="preserve"> (Lepidoptera: Psychidae) a pest of bananas in Costa Rica’, </w:t>
      </w:r>
      <w:r w:rsidRPr="0015743B">
        <w:rPr>
          <w:i/>
        </w:rPr>
        <w:t>Journal of Economic Entomology</w:t>
      </w:r>
      <w:r w:rsidRPr="0015743B">
        <w:t>, vol. 55, no. 3, pp. 381-6.</w:t>
      </w:r>
      <w:bookmarkEnd w:id="378"/>
    </w:p>
    <w:p w:rsidR="00555918" w:rsidRPr="0015743B" w:rsidRDefault="00555918" w:rsidP="000B1771">
      <w:pPr>
        <w:pStyle w:val="EndNoteBibliography"/>
        <w:spacing w:after="0"/>
      </w:pPr>
      <w:bookmarkStart w:id="379" w:name="_ENREF_234"/>
      <w:r w:rsidRPr="0015743B">
        <w:t xml:space="preserve">Steven, D, Valenzuela, L &amp; Gonzalez, RH 1997, ‘Kiwifruit pests in Chile’, </w:t>
      </w:r>
      <w:r w:rsidRPr="0015743B">
        <w:rPr>
          <w:i/>
        </w:rPr>
        <w:t>Acta Horticulturae</w:t>
      </w:r>
      <w:r w:rsidRPr="0015743B">
        <w:t>, vol. 444, no. 118, pp. 773-8.</w:t>
      </w:r>
      <w:bookmarkEnd w:id="379"/>
    </w:p>
    <w:p w:rsidR="00555918" w:rsidRPr="0015743B" w:rsidRDefault="00555918" w:rsidP="000B1771">
      <w:pPr>
        <w:pStyle w:val="EndNoteBibliography"/>
        <w:spacing w:after="0"/>
      </w:pPr>
      <w:bookmarkStart w:id="380" w:name="_ENREF_235"/>
      <w:r w:rsidRPr="0015743B">
        <w:t xml:space="preserve">Stevens, P 2001, </w:t>
      </w:r>
      <w:r w:rsidRPr="0015743B">
        <w:rPr>
          <w:i/>
        </w:rPr>
        <w:t>Development of an IPM programme for avocados in New Zealand</w:t>
      </w:r>
      <w:r w:rsidRPr="0015743B">
        <w:t xml:space="preserve">, available at </w:t>
      </w:r>
      <w:hyperlink r:id="rId162" w:history="1">
        <w:r w:rsidRPr="00F45F2B">
          <w:rPr>
            <w:rStyle w:val="Hyperlink"/>
          </w:rPr>
          <w:t>http://www.avocadosource.com/Journals/AUSNZ/AUSNZ_2001/1063p013.pdf</w:t>
        </w:r>
      </w:hyperlink>
      <w:r w:rsidRPr="0015743B">
        <w:t>.</w:t>
      </w:r>
      <w:bookmarkEnd w:id="380"/>
    </w:p>
    <w:p w:rsidR="00555918" w:rsidRPr="0015743B" w:rsidRDefault="00555918" w:rsidP="000B1771">
      <w:pPr>
        <w:pStyle w:val="EndNoteBibliography"/>
        <w:spacing w:after="0"/>
      </w:pPr>
      <w:bookmarkStart w:id="381" w:name="_ENREF_236"/>
      <w:r w:rsidRPr="0015743B">
        <w:t xml:space="preserve">Stocks, IC &amp; Evans, GA 2017, ‘Armored scales (Hemiptera: Diaspididae) infesting Hass avocado intercepted in Florida and a new parasitoid–host association for </w:t>
      </w:r>
      <w:r w:rsidRPr="0015743B">
        <w:rPr>
          <w:i/>
        </w:rPr>
        <w:t>Davidsonaspis aguacatae</w:t>
      </w:r>
      <w:r w:rsidRPr="0015743B">
        <w:t xml:space="preserve">’, </w:t>
      </w:r>
      <w:r w:rsidRPr="0015743B">
        <w:rPr>
          <w:i/>
        </w:rPr>
        <w:t>Florida Entomologist</w:t>
      </w:r>
      <w:r w:rsidRPr="0015743B">
        <w:t>, vol. 100, no. 2, pp. 491-4.</w:t>
      </w:r>
      <w:bookmarkEnd w:id="381"/>
    </w:p>
    <w:p w:rsidR="00555918" w:rsidRPr="0015743B" w:rsidRDefault="00555918" w:rsidP="000B1771">
      <w:pPr>
        <w:pStyle w:val="EndNoteBibliography"/>
        <w:spacing w:after="0"/>
      </w:pPr>
      <w:bookmarkStart w:id="382" w:name="_ENREF_237"/>
      <w:r w:rsidRPr="0015743B">
        <w:t xml:space="preserve">Suh, SJ 2016, ‘Armoured scale insects (Hemiptera: Diaspididae) intercepted at the ports of entry in the Republic of Korea over the last 20 years’, </w:t>
      </w:r>
      <w:r w:rsidRPr="0015743B">
        <w:rPr>
          <w:i/>
        </w:rPr>
        <w:t>Bulletin OEPP/EPPO Bulletin</w:t>
      </w:r>
      <w:r w:rsidRPr="0015743B">
        <w:t>, vol. 46, no. 2, pp. 313-31.</w:t>
      </w:r>
      <w:bookmarkEnd w:id="382"/>
    </w:p>
    <w:p w:rsidR="00555918" w:rsidRPr="0015743B" w:rsidRDefault="00555918" w:rsidP="000B1771">
      <w:pPr>
        <w:pStyle w:val="EndNoteBibliography"/>
        <w:spacing w:after="0"/>
      </w:pPr>
      <w:bookmarkStart w:id="383" w:name="_ENREF_238"/>
      <w:r w:rsidRPr="0015743B">
        <w:t xml:space="preserve">Szyniszewska, AM &amp; Tatem, AJ 2014, ‘Global assessment of seasonal potential distribution of Mediterranean fruit fly, </w:t>
      </w:r>
      <w:r w:rsidRPr="0015743B">
        <w:rPr>
          <w:i/>
        </w:rPr>
        <w:t>Ceratitis capitata</w:t>
      </w:r>
      <w:r w:rsidRPr="0015743B">
        <w:t xml:space="preserve"> (Diptera: Tephritidae)’, </w:t>
      </w:r>
      <w:r w:rsidRPr="0015743B">
        <w:rPr>
          <w:i/>
        </w:rPr>
        <w:t>PLoS ONE</w:t>
      </w:r>
      <w:r w:rsidRPr="0015743B">
        <w:t>, vol. 9, no. 11, e111582, available at DOI 10.1371/journal.pone.0111582.</w:t>
      </w:r>
      <w:bookmarkEnd w:id="383"/>
    </w:p>
    <w:p w:rsidR="00555918" w:rsidRPr="0015743B" w:rsidRDefault="00555918" w:rsidP="000B1771">
      <w:pPr>
        <w:pStyle w:val="EndNoteBibliography"/>
        <w:spacing w:after="0"/>
      </w:pPr>
      <w:bookmarkStart w:id="384" w:name="_ENREF_239"/>
      <w:r w:rsidRPr="0015743B">
        <w:t xml:space="preserve">Tenbrink, VL, Hara, AH &amp; Diez, JM 2007, </w:t>
      </w:r>
      <w:r w:rsidRPr="0015743B">
        <w:rPr>
          <w:i/>
        </w:rPr>
        <w:t>Pinnaspis strachani (Cooley)</w:t>
      </w:r>
      <w:r w:rsidRPr="0015743B">
        <w:t xml:space="preserve">, Crop Knowledge Master, available at </w:t>
      </w:r>
      <w:hyperlink r:id="rId163" w:history="1">
        <w:r w:rsidRPr="00F45F2B">
          <w:rPr>
            <w:rStyle w:val="Hyperlink"/>
          </w:rPr>
          <w:t>http://www.extento.hawaii.edu/kbase/Corp/Type/p_strach.htm</w:t>
        </w:r>
      </w:hyperlink>
      <w:r w:rsidRPr="0015743B">
        <w:t>.</w:t>
      </w:r>
      <w:bookmarkEnd w:id="384"/>
    </w:p>
    <w:p w:rsidR="00555918" w:rsidRPr="0015743B" w:rsidRDefault="00555918" w:rsidP="000B1771">
      <w:pPr>
        <w:pStyle w:val="EndNoteBibliography"/>
        <w:spacing w:after="0"/>
      </w:pPr>
      <w:bookmarkStart w:id="385" w:name="_ENREF_240"/>
      <w:r w:rsidRPr="0015743B">
        <w:t xml:space="preserve">Tomczyk, A &amp; Kropczynska, D 1985, ‘Effects on the host plant’, in </w:t>
      </w:r>
      <w:r w:rsidRPr="0015743B">
        <w:rPr>
          <w:i/>
        </w:rPr>
        <w:t>Spider mites: their biology, natural enemies and control Vol. 1A</w:t>
      </w:r>
      <w:r w:rsidRPr="0015743B">
        <w:t>, Helle, W &amp; Sabelis, MW (eds), Elsevier Science Publishers B.V., Amsterdam.</w:t>
      </w:r>
      <w:bookmarkEnd w:id="385"/>
    </w:p>
    <w:p w:rsidR="00555918" w:rsidRPr="0015743B" w:rsidRDefault="00555918" w:rsidP="000B1771">
      <w:pPr>
        <w:pStyle w:val="EndNoteBibliography"/>
        <w:spacing w:after="0"/>
      </w:pPr>
      <w:bookmarkStart w:id="386" w:name="_ENREF_241"/>
      <w:r w:rsidRPr="0015743B">
        <w:lastRenderedPageBreak/>
        <w:t xml:space="preserve">USDA-APHIS 2006, </w:t>
      </w:r>
      <w:r w:rsidRPr="0015743B">
        <w:rPr>
          <w:i/>
        </w:rPr>
        <w:t>Importation of 'Hass' avocado (Persea americana) fruit from Peru into the Continental United States</w:t>
      </w:r>
      <w:r w:rsidRPr="0015743B">
        <w:t>, Animal and Plant Health Inspection Service, United States Department of Agriculture, Riverdale.</w:t>
      </w:r>
      <w:bookmarkEnd w:id="386"/>
    </w:p>
    <w:p w:rsidR="00555918" w:rsidRPr="0015743B" w:rsidRDefault="00555918" w:rsidP="000B1771">
      <w:pPr>
        <w:pStyle w:val="EndNoteBibliography"/>
        <w:spacing w:after="0"/>
      </w:pPr>
      <w:bookmarkStart w:id="387" w:name="_ENREF_242"/>
      <w:r w:rsidRPr="0015743B">
        <w:t xml:space="preserve">USDA 2019, </w:t>
      </w:r>
      <w:r w:rsidRPr="0015743B">
        <w:rPr>
          <w:i/>
        </w:rPr>
        <w:t>USDA treatment manual</w:t>
      </w:r>
      <w:r w:rsidRPr="0015743B">
        <w:t xml:space="preserve">, 2nd Edition, United States Department of Agriculture, available at </w:t>
      </w:r>
      <w:hyperlink r:id="rId164" w:history="1">
        <w:r w:rsidRPr="00F45F2B">
          <w:rPr>
            <w:rStyle w:val="Hyperlink"/>
          </w:rPr>
          <w:t>https://www.aphis.usda.gov/import_export/plants/manuals/ports/downloads/treatment.pdf</w:t>
        </w:r>
      </w:hyperlink>
      <w:r w:rsidRPr="0015743B">
        <w:t>.</w:t>
      </w:r>
      <w:bookmarkEnd w:id="387"/>
    </w:p>
    <w:p w:rsidR="00555918" w:rsidRPr="0015743B" w:rsidRDefault="00555918" w:rsidP="000B1771">
      <w:pPr>
        <w:pStyle w:val="EndNoteBibliography"/>
        <w:spacing w:after="0"/>
      </w:pPr>
      <w:bookmarkStart w:id="388" w:name="_ENREF_243"/>
      <w:r w:rsidRPr="0015743B">
        <w:t xml:space="preserve">Vacante, V 2009, </w:t>
      </w:r>
      <w:r w:rsidRPr="0015743B">
        <w:rPr>
          <w:i/>
        </w:rPr>
        <w:t>Citrus mites - identification, bionomy and control</w:t>
      </w:r>
      <w:r w:rsidRPr="0015743B">
        <w:t>, Wallingford, Oxfordshire, UK.</w:t>
      </w:r>
      <w:bookmarkEnd w:id="388"/>
    </w:p>
    <w:p w:rsidR="00555918" w:rsidRPr="0015743B" w:rsidRDefault="00555918" w:rsidP="000B1771">
      <w:pPr>
        <w:pStyle w:val="EndNoteBibliography"/>
        <w:spacing w:after="0"/>
      </w:pPr>
      <w:bookmarkStart w:id="389" w:name="_ENREF_244"/>
      <w:r w:rsidRPr="0015743B">
        <w:t xml:space="preserve">-- -- 2016, </w:t>
      </w:r>
      <w:r w:rsidRPr="0015743B">
        <w:rPr>
          <w:i/>
        </w:rPr>
        <w:t>The handbook of mites of economic plants: identification, bio-ecology and control</w:t>
      </w:r>
      <w:r w:rsidRPr="0015743B">
        <w:t>, 1st edn, CABI, Croydon, UK.</w:t>
      </w:r>
      <w:bookmarkEnd w:id="389"/>
    </w:p>
    <w:p w:rsidR="00555918" w:rsidRPr="0015743B" w:rsidRDefault="00555918" w:rsidP="000B1771">
      <w:pPr>
        <w:pStyle w:val="EndNoteBibliography"/>
        <w:spacing w:after="0"/>
      </w:pPr>
      <w:bookmarkStart w:id="390" w:name="_ENREF_245"/>
      <w:r w:rsidRPr="0015743B">
        <w:t xml:space="preserve">Valencia, AL, Gil, PM, Latorre, BA &amp; Rosales, IM 2019, ‘Characterization and pathogenicity of Botryosphaeriaceae species obtained from avocado trees with branch canker and dieback and from avocado fruit with stem end rot in Chile’, </w:t>
      </w:r>
      <w:r w:rsidRPr="0015743B">
        <w:rPr>
          <w:i/>
        </w:rPr>
        <w:t>Plant Disease</w:t>
      </w:r>
      <w:r w:rsidRPr="0015743B">
        <w:t>, vol. 103, pp. 996-1005.</w:t>
      </w:r>
      <w:bookmarkEnd w:id="390"/>
    </w:p>
    <w:p w:rsidR="00555918" w:rsidRPr="0015743B" w:rsidRDefault="00555918" w:rsidP="000B1771">
      <w:pPr>
        <w:pStyle w:val="EndNoteBibliography"/>
        <w:spacing w:after="0"/>
      </w:pPr>
      <w:bookmarkStart w:id="391" w:name="_ENREF_246"/>
      <w:r w:rsidRPr="0015743B">
        <w:t xml:space="preserve">Valencia, AL, Torres, R &amp; Latorre, BA 2011, ‘First report of </w:t>
      </w:r>
      <w:r w:rsidRPr="0015743B">
        <w:rPr>
          <w:i/>
        </w:rPr>
        <w:t>Pestalotiopsis clavispora</w:t>
      </w:r>
      <w:r w:rsidRPr="0015743B">
        <w:t xml:space="preserve"> and</w:t>
      </w:r>
      <w:r w:rsidRPr="0015743B">
        <w:rPr>
          <w:i/>
        </w:rPr>
        <w:t xml:space="preserve"> Pestalotiopsis</w:t>
      </w:r>
      <w:r w:rsidRPr="0015743B">
        <w:t xml:space="preserve"> spp. causing postharvest stem end rot of avocado in Chile’, </w:t>
      </w:r>
      <w:r w:rsidRPr="0015743B">
        <w:rPr>
          <w:i/>
        </w:rPr>
        <w:t>Disease Notes</w:t>
      </w:r>
      <w:r w:rsidRPr="0015743B">
        <w:t>, vol. 95, no. 4, p. 492.</w:t>
      </w:r>
      <w:bookmarkEnd w:id="391"/>
    </w:p>
    <w:p w:rsidR="00555918" w:rsidRPr="0015743B" w:rsidRDefault="00555918" w:rsidP="000B1771">
      <w:pPr>
        <w:pStyle w:val="EndNoteBibliography"/>
        <w:spacing w:after="0"/>
      </w:pPr>
      <w:bookmarkStart w:id="392" w:name="_ENREF_247"/>
      <w:r w:rsidRPr="0015743B">
        <w:t xml:space="preserve">Valenzuela, E &amp; Peredo, HL 1989, ‘Nuevas determinaciones micolgicas de importancia forestal en Chile’ (New mycological determinations of forestry importance in Chile), </w:t>
      </w:r>
      <w:r w:rsidRPr="0015743B">
        <w:rPr>
          <w:i/>
        </w:rPr>
        <w:t>Boletin Micologico</w:t>
      </w:r>
      <w:r w:rsidRPr="0015743B">
        <w:t xml:space="preserve">, vol. 4, pp. 149-53. </w:t>
      </w:r>
      <w:bookmarkEnd w:id="392"/>
    </w:p>
    <w:p w:rsidR="00555918" w:rsidRPr="0015743B" w:rsidRDefault="00555918" w:rsidP="000B1771">
      <w:pPr>
        <w:pStyle w:val="EndNoteBibliography"/>
        <w:spacing w:after="0"/>
      </w:pPr>
      <w:bookmarkStart w:id="393" w:name="_ENREF_248"/>
      <w:r w:rsidRPr="0015743B">
        <w:t xml:space="preserve">Vargas, R &amp; Rodríguez, S 2008a, ‘Avocado red mite: </w:t>
      </w:r>
      <w:r w:rsidRPr="0015743B">
        <w:rPr>
          <w:i/>
        </w:rPr>
        <w:t>Oligonychus yothersi</w:t>
      </w:r>
      <w:r w:rsidRPr="0015743B">
        <w:t xml:space="preserve"> (McGregor)’, in </w:t>
      </w:r>
      <w:r w:rsidRPr="0015743B">
        <w:rPr>
          <w:i/>
        </w:rPr>
        <w:t>Manejo de Plagas en Paltos y Cítricos</w:t>
      </w:r>
      <w:r w:rsidRPr="0015743B">
        <w:t>, Ripa, R &amp; Larral, P (eds), Institituto de Investigaciones Agropecuarias, La Cruz, Chile.</w:t>
      </w:r>
      <w:bookmarkEnd w:id="393"/>
    </w:p>
    <w:p w:rsidR="00555918" w:rsidRPr="0015743B" w:rsidRDefault="00555918" w:rsidP="000B1771">
      <w:pPr>
        <w:pStyle w:val="EndNoteBibliography"/>
        <w:spacing w:after="0"/>
      </w:pPr>
      <w:bookmarkStart w:id="394" w:name="_ENREF_249"/>
      <w:r w:rsidRPr="0015743B">
        <w:t xml:space="preserve">-- -- 2008b, ‘Lataniae scale: </w:t>
      </w:r>
      <w:r w:rsidRPr="0015743B">
        <w:rPr>
          <w:i/>
        </w:rPr>
        <w:t>Hemiberlesia lataniae</w:t>
      </w:r>
      <w:r w:rsidRPr="0015743B">
        <w:t xml:space="preserve"> (Signoret)’, in </w:t>
      </w:r>
      <w:r w:rsidRPr="0015743B">
        <w:rPr>
          <w:i/>
        </w:rPr>
        <w:t>Manejo de Plagas en Paltos y Cítricos</w:t>
      </w:r>
      <w:r w:rsidRPr="0015743B">
        <w:t>, Ripa, R &amp; Larral, P (eds), Instituto de Investigaciones Agropecuarias, La Cruz, Chile.</w:t>
      </w:r>
      <w:bookmarkEnd w:id="394"/>
    </w:p>
    <w:p w:rsidR="00555918" w:rsidRPr="0015743B" w:rsidRDefault="00555918" w:rsidP="000B1771">
      <w:pPr>
        <w:pStyle w:val="EndNoteBibliography"/>
        <w:spacing w:after="0"/>
      </w:pPr>
      <w:bookmarkStart w:id="395" w:name="_ENREF_250"/>
      <w:r w:rsidRPr="0015743B">
        <w:t xml:space="preserve">Vasquez, C, Aponte, O, Morales, J, Sanabria, ME &amp; Garcia, G 2008, ‘Biological studies of </w:t>
      </w:r>
      <w:r w:rsidRPr="0015743B">
        <w:rPr>
          <w:i/>
        </w:rPr>
        <w:t>Oligonychus punicae</w:t>
      </w:r>
      <w:r w:rsidRPr="0015743B">
        <w:t xml:space="preserve"> (Acari: Tetranychidae) on grapevine cultivars’, </w:t>
      </w:r>
      <w:r w:rsidRPr="0015743B">
        <w:rPr>
          <w:i/>
        </w:rPr>
        <w:t>Experimental and Applied Acarology</w:t>
      </w:r>
      <w:r w:rsidRPr="0015743B">
        <w:t>, vol. 45, pp. 59-69.</w:t>
      </w:r>
      <w:bookmarkEnd w:id="395"/>
    </w:p>
    <w:p w:rsidR="00555918" w:rsidRPr="0015743B" w:rsidRDefault="00555918" w:rsidP="000B1771">
      <w:pPr>
        <w:pStyle w:val="EndNoteBibliography"/>
        <w:spacing w:after="0"/>
      </w:pPr>
      <w:bookmarkStart w:id="396" w:name="_ENREF_251"/>
      <w:r w:rsidRPr="0015743B">
        <w:t xml:space="preserve">Vásquez, C, Morales-Sánchez, J, da Silva, FR &amp; Sandoval, MF 2012, </w:t>
      </w:r>
      <w:r w:rsidRPr="0015743B">
        <w:rPr>
          <w:i/>
        </w:rPr>
        <w:t>Biological studies and pest management of phytophagous mites in South America</w:t>
      </w:r>
      <w:r w:rsidRPr="0015743B">
        <w:t xml:space="preserve">, Integrated Pest Management and Pest Control - Current and Future Tactics, InTech, available at </w:t>
      </w:r>
      <w:hyperlink r:id="rId165" w:history="1">
        <w:r w:rsidRPr="00F45F2B">
          <w:rPr>
            <w:rStyle w:val="Hyperlink"/>
          </w:rPr>
          <w:t>http://www.intechopen.com/books/integrated-pest-management-and-pestcontrol-current-and-future-tactics/biological-studies-and-pest-management-of-phytophagous-mites-in-southamerica</w:t>
        </w:r>
      </w:hyperlink>
      <w:r w:rsidRPr="0015743B">
        <w:t>.</w:t>
      </w:r>
      <w:bookmarkEnd w:id="396"/>
    </w:p>
    <w:p w:rsidR="00555918" w:rsidRPr="0015743B" w:rsidRDefault="00555918" w:rsidP="000B1771">
      <w:pPr>
        <w:pStyle w:val="EndNoteBibliography"/>
        <w:spacing w:after="0"/>
      </w:pPr>
      <w:bookmarkStart w:id="397" w:name="_ENREF_252"/>
      <w:r w:rsidRPr="0015743B">
        <w:t xml:space="preserve">Waite, GK &amp; Martinez Barrera, R 2002, ‘Insect and mite pests’, in </w:t>
      </w:r>
      <w:r w:rsidRPr="0015743B">
        <w:rPr>
          <w:i/>
        </w:rPr>
        <w:t>The avocado: botany, production and uses</w:t>
      </w:r>
      <w:r w:rsidRPr="0015743B">
        <w:t>, Whiley, AW, Schaffer, B &amp; Wolstenholme, BN (eds), CAB International, Wallingford.</w:t>
      </w:r>
      <w:bookmarkEnd w:id="397"/>
    </w:p>
    <w:p w:rsidR="00555918" w:rsidRPr="0015743B" w:rsidRDefault="00555918" w:rsidP="000B1771">
      <w:pPr>
        <w:pStyle w:val="EndNoteBibliography"/>
        <w:spacing w:after="0"/>
      </w:pPr>
      <w:bookmarkStart w:id="398" w:name="_ENREF_253"/>
      <w:r w:rsidRPr="0015743B">
        <w:t xml:space="preserve">Wallingford, AK, Fuchs, MF, Martinson, T, Hesler, S &amp; Loeb, GM 2015, ‘Slowing the spread of Grapevine leafroll-associated viruses in commercial vineyards with insecticide control of the vector, </w:t>
      </w:r>
      <w:r w:rsidRPr="0015743B">
        <w:rPr>
          <w:i/>
        </w:rPr>
        <w:t>Pseudococcus maritimus</w:t>
      </w:r>
      <w:r w:rsidRPr="0015743B">
        <w:t xml:space="preserve"> (Hemiptera: Pseudococcidae)’, </w:t>
      </w:r>
      <w:r w:rsidRPr="0015743B">
        <w:rPr>
          <w:i/>
        </w:rPr>
        <w:t>Journal of Insect Science</w:t>
      </w:r>
      <w:r w:rsidRPr="0015743B">
        <w:t>, vol. 15, no. 1, p. 112.</w:t>
      </w:r>
      <w:bookmarkEnd w:id="398"/>
    </w:p>
    <w:p w:rsidR="00555918" w:rsidRPr="0015743B" w:rsidRDefault="00555918" w:rsidP="000B1771">
      <w:pPr>
        <w:pStyle w:val="EndNoteBibliography"/>
        <w:spacing w:after="0"/>
      </w:pPr>
      <w:bookmarkStart w:id="399" w:name="_ENREF_254"/>
      <w:r w:rsidRPr="0015743B">
        <w:t xml:space="preserve">Wang, CL, Lin, FC, Chiu, YC &amp; Shih, HT 2010, ‘Species of </w:t>
      </w:r>
      <w:r w:rsidRPr="0015743B">
        <w:rPr>
          <w:i/>
        </w:rPr>
        <w:t xml:space="preserve">Frankliniella </w:t>
      </w:r>
      <w:r w:rsidRPr="0015743B">
        <w:t xml:space="preserve">Trybom (Thysanoptera: Thripidae) from the Asian-Pacific area’, </w:t>
      </w:r>
      <w:r w:rsidRPr="0015743B">
        <w:rPr>
          <w:i/>
        </w:rPr>
        <w:t>Zoological Studies</w:t>
      </w:r>
      <w:r w:rsidRPr="0015743B">
        <w:t>, vol. 49, no. 6, pp. 824-38.</w:t>
      </w:r>
      <w:bookmarkEnd w:id="399"/>
    </w:p>
    <w:p w:rsidR="00555918" w:rsidRPr="0015743B" w:rsidRDefault="00555918" w:rsidP="000B1771">
      <w:pPr>
        <w:pStyle w:val="EndNoteBibliography"/>
        <w:spacing w:after="0"/>
      </w:pPr>
      <w:bookmarkStart w:id="400" w:name="_ENREF_255"/>
      <w:r w:rsidRPr="0015743B">
        <w:t xml:space="preserve">Watson, GW 2016, ‘Arthropods of economic importance - Diaspididae of the world’, Universiteit van Amsterdam, The Netherlands, available at </w:t>
      </w:r>
      <w:hyperlink r:id="rId166" w:history="1">
        <w:r w:rsidRPr="00F45F2B">
          <w:rPr>
            <w:rStyle w:val="Hyperlink"/>
          </w:rPr>
          <w:t>http://diaspididae.linnaeus.naturalis.nl/linnaeus_ng/app/views/introduction/topic.php?id=3377&amp;epi=155</w:t>
        </w:r>
      </w:hyperlink>
      <w:r w:rsidRPr="0015743B">
        <w:t>, accessed 2019.</w:t>
      </w:r>
      <w:bookmarkEnd w:id="400"/>
    </w:p>
    <w:p w:rsidR="00555918" w:rsidRPr="0015743B" w:rsidRDefault="00555918" w:rsidP="000B1771">
      <w:pPr>
        <w:pStyle w:val="EndNoteBibliography"/>
        <w:spacing w:after="0"/>
      </w:pPr>
      <w:bookmarkStart w:id="401" w:name="_ENREF_256"/>
      <w:r w:rsidRPr="0015743B">
        <w:t xml:space="preserve">Watson, GW 2019, ‘Arthropods of economic importance - Diaspididae of the world’, Universiteit van Amsterdam, The Netherlands, available at </w:t>
      </w:r>
      <w:hyperlink r:id="rId167" w:history="1">
        <w:r w:rsidRPr="00F45F2B">
          <w:rPr>
            <w:rStyle w:val="Hyperlink"/>
          </w:rPr>
          <w:t>http://diaspididae.linnaeus.naturalis.nl/linnaeus_ng/app/views/introduction/topic.php?id=3377&amp;epi=155</w:t>
        </w:r>
      </w:hyperlink>
      <w:r w:rsidRPr="0015743B">
        <w:t>, accessed 2019.</w:t>
      </w:r>
      <w:bookmarkEnd w:id="401"/>
    </w:p>
    <w:p w:rsidR="00555918" w:rsidRPr="0015743B" w:rsidRDefault="00555918" w:rsidP="000B1771">
      <w:pPr>
        <w:pStyle w:val="EndNoteBibliography"/>
        <w:spacing w:after="0"/>
      </w:pPr>
      <w:bookmarkStart w:id="402" w:name="_ENREF_257"/>
      <w:r w:rsidRPr="0015743B">
        <w:t xml:space="preserve">Wearing, AH &amp; Burgess, LW 1977, ‘The relative frequency of isolation of fusaria from wheat soils in the eastern Australian wheat belt’, </w:t>
      </w:r>
      <w:r w:rsidRPr="0015743B">
        <w:rPr>
          <w:i/>
        </w:rPr>
        <w:t>Australian Plant Pathology Society Newsletter</w:t>
      </w:r>
      <w:r w:rsidRPr="0015743B">
        <w:t>, vol. 6, pp. 26-8.</w:t>
      </w:r>
      <w:bookmarkEnd w:id="402"/>
    </w:p>
    <w:p w:rsidR="00555918" w:rsidRPr="0015743B" w:rsidRDefault="00555918" w:rsidP="000B1771">
      <w:pPr>
        <w:pStyle w:val="EndNoteBibliography"/>
        <w:spacing w:after="0"/>
      </w:pPr>
      <w:bookmarkStart w:id="403" w:name="_ENREF_258"/>
      <w:r w:rsidRPr="0015743B">
        <w:t xml:space="preserve">Western Australian Herbarium 2019, ‘FloraBase: the Western Australian flora’, available at </w:t>
      </w:r>
      <w:hyperlink r:id="rId168" w:history="1">
        <w:r w:rsidRPr="00F45F2B">
          <w:rPr>
            <w:rStyle w:val="Hyperlink"/>
          </w:rPr>
          <w:t>https://florabase.dpaw.wa.gov.au/</w:t>
        </w:r>
      </w:hyperlink>
      <w:r w:rsidRPr="0015743B">
        <w:t>, accessed 2019.</w:t>
      </w:r>
      <w:bookmarkEnd w:id="403"/>
    </w:p>
    <w:p w:rsidR="00555918" w:rsidRPr="0015743B" w:rsidRDefault="00555918" w:rsidP="000B1771">
      <w:pPr>
        <w:pStyle w:val="EndNoteBibliography"/>
        <w:spacing w:after="0"/>
      </w:pPr>
      <w:bookmarkStart w:id="404" w:name="_ENREF_259"/>
      <w:r w:rsidRPr="0015743B">
        <w:t xml:space="preserve">Whiley, AW, Wolstenholme, BN &amp; Faber, BA 2013, ‘Crop management’, in </w:t>
      </w:r>
      <w:r w:rsidRPr="0015743B">
        <w:rPr>
          <w:i/>
        </w:rPr>
        <w:t>The avocado: botany, production and uses</w:t>
      </w:r>
      <w:r w:rsidRPr="0015743B">
        <w:t>, 2nd edn, Schaffer, B, Wolstenholme, BN &amp; Whiley, AW (eds), CPI Group (UK) Ltd, Croydon.</w:t>
      </w:r>
      <w:bookmarkEnd w:id="404"/>
    </w:p>
    <w:p w:rsidR="00555918" w:rsidRPr="0015743B" w:rsidRDefault="00555918" w:rsidP="000B1771">
      <w:pPr>
        <w:pStyle w:val="EndNoteBibliography"/>
        <w:spacing w:after="0"/>
      </w:pPr>
      <w:bookmarkStart w:id="405" w:name="_ENREF_260"/>
      <w:r w:rsidRPr="0015743B">
        <w:t xml:space="preserve">White, IM &amp; Elson-Harris, MM 1994, </w:t>
      </w:r>
      <w:r w:rsidRPr="0015743B">
        <w:rPr>
          <w:i/>
        </w:rPr>
        <w:t>Fruit flies of economic significance: their identification and bionomics</w:t>
      </w:r>
      <w:r w:rsidRPr="0015743B">
        <w:t>, CAB International and ACIAR, Wallingford, UK.</w:t>
      </w:r>
      <w:bookmarkEnd w:id="405"/>
    </w:p>
    <w:p w:rsidR="00555918" w:rsidRPr="0015743B" w:rsidRDefault="00555918" w:rsidP="000B1771">
      <w:pPr>
        <w:pStyle w:val="EndNoteBibliography"/>
        <w:spacing w:after="0"/>
      </w:pPr>
      <w:bookmarkStart w:id="406" w:name="_ENREF_261"/>
      <w:r w:rsidRPr="0015743B">
        <w:t xml:space="preserve">Williams, RE, Shaw, CG, Wargo, PM &amp; Sites, WH 1986, </w:t>
      </w:r>
      <w:r w:rsidRPr="0015743B">
        <w:rPr>
          <w:i/>
        </w:rPr>
        <w:t>Armillaria root disease</w:t>
      </w:r>
      <w:r w:rsidRPr="0015743B">
        <w:t xml:space="preserve">, Forest Insect &amp; Disease Leaflet 78.US Department of Agriculture Forest Service, available at </w:t>
      </w:r>
      <w:hyperlink r:id="rId169" w:history="1">
        <w:r w:rsidRPr="00F45F2B">
          <w:rPr>
            <w:rStyle w:val="Hyperlink"/>
          </w:rPr>
          <w:t>http://www.na.fs.fed.us/spfo/pubs/fidls/armillaria/armillaria.htm</w:t>
        </w:r>
      </w:hyperlink>
      <w:r w:rsidRPr="0015743B">
        <w:t>.</w:t>
      </w:r>
      <w:bookmarkEnd w:id="406"/>
    </w:p>
    <w:p w:rsidR="00555918" w:rsidRPr="0015743B" w:rsidRDefault="00555918" w:rsidP="000B1771">
      <w:pPr>
        <w:pStyle w:val="EndNoteBibliography"/>
        <w:spacing w:after="0"/>
      </w:pPr>
      <w:bookmarkStart w:id="407" w:name="_ENREF_262"/>
      <w:r w:rsidRPr="0015743B">
        <w:t xml:space="preserve">Wood, S 1982, ‘The bark and ambrosia beetles of North and Central America (Coleoptera: Scolytidae): a taxonomic monograph’, </w:t>
      </w:r>
      <w:r w:rsidRPr="0015743B">
        <w:rPr>
          <w:i/>
        </w:rPr>
        <w:t>Great Basin Naturalist Memoirs</w:t>
      </w:r>
      <w:r w:rsidRPr="0015743B">
        <w:t>, vol. 6, pp. 1-1359.</w:t>
      </w:r>
      <w:bookmarkEnd w:id="407"/>
    </w:p>
    <w:p w:rsidR="00555918" w:rsidRPr="0015743B" w:rsidRDefault="00555918" w:rsidP="000B1771">
      <w:pPr>
        <w:pStyle w:val="EndNoteBibliography"/>
        <w:spacing w:after="0"/>
      </w:pPr>
      <w:bookmarkStart w:id="408" w:name="_ENREF_263"/>
      <w:r w:rsidRPr="0015743B">
        <w:t xml:space="preserve">WTO 1995, </w:t>
      </w:r>
      <w:r w:rsidRPr="0015743B">
        <w:rPr>
          <w:i/>
        </w:rPr>
        <w:t>Agreement on the application of sanitary and phytosanitary measures</w:t>
      </w:r>
      <w:r w:rsidRPr="0015743B">
        <w:t xml:space="preserve">, World Trade Organization, Geneva, available at </w:t>
      </w:r>
      <w:hyperlink r:id="rId170" w:history="1">
        <w:r w:rsidRPr="00F45F2B">
          <w:rPr>
            <w:rStyle w:val="Hyperlink"/>
          </w:rPr>
          <w:t>https://www.wto.org/english/docs_e/legal_e/15-sps.pdf</w:t>
        </w:r>
      </w:hyperlink>
      <w:r w:rsidRPr="0015743B">
        <w:t xml:space="preserve"> (pdf 90.58 kb).</w:t>
      </w:r>
      <w:bookmarkEnd w:id="408"/>
    </w:p>
    <w:p w:rsidR="00555918" w:rsidRPr="0015743B" w:rsidRDefault="00555918" w:rsidP="000B1771">
      <w:pPr>
        <w:pStyle w:val="EndNoteBibliography"/>
        <w:spacing w:after="0"/>
      </w:pPr>
      <w:bookmarkStart w:id="409" w:name="_ENREF_264"/>
      <w:r w:rsidRPr="0015743B">
        <w:t xml:space="preserve">Wunderlich, N, Ash, GJ, Steel, CC, Raman, H &amp; Savocchia, S 2011, ‘Association of Botryosphaeriaceae grapevine trunk disease fungi with the reproductive structures of </w:t>
      </w:r>
      <w:r w:rsidRPr="0015743B">
        <w:rPr>
          <w:i/>
        </w:rPr>
        <w:t>Vitis vinifera</w:t>
      </w:r>
      <w:r w:rsidRPr="0015743B">
        <w:t xml:space="preserve">’, </w:t>
      </w:r>
      <w:r w:rsidRPr="0015743B">
        <w:rPr>
          <w:i/>
        </w:rPr>
        <w:t>Vitis</w:t>
      </w:r>
      <w:r w:rsidRPr="0015743B">
        <w:t>, vol. 50, no. 2, pp. 89-96.</w:t>
      </w:r>
      <w:bookmarkEnd w:id="409"/>
    </w:p>
    <w:p w:rsidR="00555918" w:rsidRPr="0015743B" w:rsidRDefault="00555918" w:rsidP="000B1771">
      <w:pPr>
        <w:pStyle w:val="EndNoteBibliography"/>
        <w:spacing w:after="0"/>
      </w:pPr>
      <w:bookmarkStart w:id="410" w:name="_ENREF_265"/>
      <w:r w:rsidRPr="0015743B">
        <w:t xml:space="preserve">Wysoki, M, Van den Berg, MA, Ish-Am, G, Gazit, S, Peña, JE &amp; Waite, GK 2002, ‘Pests and pollinators of avocado’, in </w:t>
      </w:r>
      <w:r w:rsidRPr="0015743B">
        <w:rPr>
          <w:i/>
        </w:rPr>
        <w:t>Tropical fruit pests and pollinators: biology, economic importance, natural enemies and control</w:t>
      </w:r>
      <w:r w:rsidRPr="0015743B">
        <w:t>, Peña, JE, Sharp, JL &amp; Wysoki, M (eds), CAB International, Wallingford.</w:t>
      </w:r>
      <w:bookmarkEnd w:id="410"/>
    </w:p>
    <w:p w:rsidR="00555918" w:rsidRPr="0015743B" w:rsidRDefault="00555918" w:rsidP="000B1771">
      <w:pPr>
        <w:pStyle w:val="EndNoteBibliography"/>
        <w:spacing w:after="0"/>
      </w:pPr>
      <w:bookmarkStart w:id="411" w:name="_ENREF_266"/>
      <w:r w:rsidRPr="0015743B">
        <w:t xml:space="preserve">Yasuda, M 1982, ‘Influence of temperature on some of the life cycle parameters of the citrus red mite </w:t>
      </w:r>
      <w:r w:rsidRPr="0015743B">
        <w:rPr>
          <w:i/>
        </w:rPr>
        <w:t>Panonychus citri</w:t>
      </w:r>
      <w:r w:rsidRPr="0015743B">
        <w:t xml:space="preserve"> (McGregor) (Acarina : Tetranychidae)’ (in Japanese), </w:t>
      </w:r>
      <w:r w:rsidRPr="0015743B">
        <w:rPr>
          <w:i/>
        </w:rPr>
        <w:t>Japanese Journal of Applied Entomology and Zoology</w:t>
      </w:r>
      <w:r w:rsidRPr="0015743B">
        <w:t>, vol. 26, pp. 52-7.</w:t>
      </w:r>
      <w:bookmarkEnd w:id="411"/>
    </w:p>
    <w:p w:rsidR="00555918" w:rsidRPr="0015743B" w:rsidRDefault="00555918" w:rsidP="000B1771">
      <w:pPr>
        <w:pStyle w:val="EndNoteBibliography"/>
        <w:spacing w:after="0"/>
      </w:pPr>
      <w:bookmarkStart w:id="412" w:name="_ENREF_267"/>
      <w:r w:rsidRPr="0015743B">
        <w:t xml:space="preserve">Zamudio, P &amp; Claps, LE 2005, ‘Diaspididae (Hemiptera: Coccoidea) associated with fruit in Argentina’ (Systematics, morphology and physiology: Diaspididae (Hemiptera: Coccoidea) asociadas a frutales en la Argentina), </w:t>
      </w:r>
      <w:r w:rsidRPr="0015743B">
        <w:rPr>
          <w:i/>
        </w:rPr>
        <w:t>Neotropical Entomology</w:t>
      </w:r>
      <w:r w:rsidRPr="0015743B">
        <w:t xml:space="preserve">, vol. 34, no. 2, pp. 255-72. </w:t>
      </w:r>
      <w:bookmarkEnd w:id="412"/>
    </w:p>
    <w:p w:rsidR="00555918" w:rsidRPr="0015743B" w:rsidRDefault="00555918" w:rsidP="000B1771">
      <w:pPr>
        <w:pStyle w:val="EndNoteBibliography"/>
        <w:spacing w:after="0"/>
      </w:pPr>
      <w:bookmarkStart w:id="413" w:name="_ENREF_268"/>
      <w:r w:rsidRPr="0015743B">
        <w:t xml:space="preserve">Zanardi, OZ, Bordini, GP, Franco, AA, de Morais, MR &amp; Yamamoto, PT 2015, ‘Development and reproduction of </w:t>
      </w:r>
      <w:r w:rsidRPr="0015743B">
        <w:rPr>
          <w:i/>
        </w:rPr>
        <w:t>Panonychus citri</w:t>
      </w:r>
      <w:r w:rsidRPr="0015743B">
        <w:t xml:space="preserve"> (Prostigmata: Tetranychidae) on different species and varieties of citrus plants’, </w:t>
      </w:r>
      <w:r w:rsidRPr="0015743B">
        <w:rPr>
          <w:i/>
        </w:rPr>
        <w:t>Experimental and Applied Acarology</w:t>
      </w:r>
      <w:r w:rsidRPr="0015743B">
        <w:t>, vol. 67, no. 4, pp. 565-81.</w:t>
      </w:r>
      <w:bookmarkEnd w:id="413"/>
    </w:p>
    <w:p w:rsidR="00555918" w:rsidRPr="0015743B" w:rsidRDefault="00555918" w:rsidP="000B1771">
      <w:pPr>
        <w:pStyle w:val="EndNoteBibliography"/>
        <w:spacing w:after="0"/>
      </w:pPr>
      <w:bookmarkStart w:id="414" w:name="_ENREF_269"/>
      <w:r w:rsidRPr="0015743B">
        <w:t xml:space="preserve">Zaviezo, T, Romero, A, Oyarzún, MS, Garrido, R, Cabrera, G &amp; Segovia, L 2015, (Biología de nuevas especies de chanchitos blancos), </w:t>
      </w:r>
      <w:r w:rsidRPr="0015743B">
        <w:rPr>
          <w:i/>
        </w:rPr>
        <w:t>Agronomía y Forestal</w:t>
      </w:r>
      <w:r w:rsidRPr="0015743B">
        <w:t xml:space="preserve">, vol. 52, pp. 28-32. </w:t>
      </w:r>
      <w:bookmarkEnd w:id="414"/>
    </w:p>
    <w:p w:rsidR="00555918" w:rsidRPr="0015743B" w:rsidRDefault="00555918" w:rsidP="000B1771">
      <w:pPr>
        <w:pStyle w:val="EndNoteBibliography"/>
      </w:pPr>
      <w:bookmarkStart w:id="415" w:name="_ENREF_270"/>
      <w:r w:rsidRPr="0015743B">
        <w:t xml:space="preserve">Zhang, LN 2008, ‘Biology and Pest Management of Spider Mites’, </w:t>
      </w:r>
      <w:r w:rsidRPr="0015743B">
        <w:rPr>
          <w:i/>
        </w:rPr>
        <w:t>Northern Territory Government Factsheet</w:t>
      </w:r>
      <w:r w:rsidRPr="0015743B">
        <w:t>, vol. ENT4, pp. 1-3.</w:t>
      </w:r>
      <w:bookmarkEnd w:id="415"/>
    </w:p>
    <w:sectPr w:rsidR="00555918" w:rsidRPr="0015743B">
      <w:headerReference w:type="default" r:id="rId171"/>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FA9" w:rsidRDefault="00216FA9" w:rsidP="0068792B">
      <w:pPr>
        <w:spacing w:after="0" w:line="240" w:lineRule="auto"/>
      </w:pPr>
      <w:r>
        <w:separator/>
      </w:r>
    </w:p>
  </w:endnote>
  <w:endnote w:type="continuationSeparator" w:id="0">
    <w:p w:rsidR="00216FA9" w:rsidRDefault="00216FA9" w:rsidP="00687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rsidP="000B1771">
    <w:pPr>
      <w:pStyle w:val="Footer"/>
      <w:tabs>
        <w:tab w:val="clear" w:pos="4536"/>
        <w:tab w:val="left" w:pos="6286"/>
        <w:tab w:val="left" w:pos="8789"/>
        <w:tab w:val="right" w:pos="13892"/>
      </w:tabs>
      <w:spacing w:before="12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rsidP="000B1771">
    <w:pPr>
      <w:pStyle w:val="Footer"/>
      <w:tabs>
        <w:tab w:val="clear" w:pos="4536"/>
        <w:tab w:val="left" w:pos="6286"/>
        <w:tab w:val="left" w:pos="8789"/>
        <w:tab w:val="right" w:pos="13892"/>
      </w:tabs>
      <w:spacing w:before="120"/>
      <w:jc w:val="left"/>
    </w:pPr>
    <w:r>
      <w:t>Department of Agriculture</w:t>
    </w:r>
    <w:r>
      <w:tab/>
    </w:r>
    <w:r>
      <w:tab/>
    </w:r>
    <w:r>
      <w:tab/>
    </w:r>
    <w:r>
      <w:fldChar w:fldCharType="begin"/>
    </w:r>
    <w:r>
      <w:instrText xml:space="preserve"> PAGE   \* MERGEFORMAT </w:instrText>
    </w:r>
    <w:r>
      <w:fldChar w:fldCharType="separate"/>
    </w:r>
    <w:r w:rsidR="006C029B">
      <w:rPr>
        <w:noProof/>
      </w:rPr>
      <w:t>viii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rsidP="000B1771">
    <w:pPr>
      <w:pStyle w:val="Footer"/>
      <w:tabs>
        <w:tab w:val="clear" w:pos="4536"/>
        <w:tab w:val="left" w:pos="8789"/>
        <w:tab w:val="right" w:pos="13892"/>
      </w:tabs>
      <w:spacing w:before="120"/>
      <w:jc w:val="left"/>
    </w:pPr>
    <w:r>
      <w:t>Department of Agriculture</w:t>
    </w:r>
    <w:r>
      <w:tab/>
    </w:r>
    <w:r>
      <w:ptab w:relativeTo="margin" w:alignment="right" w:leader="none"/>
    </w:r>
    <w:r>
      <w:fldChar w:fldCharType="begin"/>
    </w:r>
    <w:r>
      <w:instrText xml:space="preserve"> PAGE   \* MERGEFORMAT </w:instrText>
    </w:r>
    <w:r>
      <w:fldChar w:fldCharType="separate"/>
    </w:r>
    <w:r w:rsidR="006C029B">
      <w:rPr>
        <w:noProof/>
      </w:rPr>
      <w:t>71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rsidP="000B1771">
    <w:pPr>
      <w:pStyle w:val="Footer"/>
      <w:tabs>
        <w:tab w:val="clear" w:pos="4536"/>
        <w:tab w:val="left" w:pos="13608"/>
        <w:tab w:val="left" w:pos="14034"/>
      </w:tabs>
      <w:spacing w:before="120"/>
      <w:jc w:val="left"/>
    </w:pPr>
    <w:r>
      <w:t>Department of Agriculture</w:t>
    </w:r>
    <w:r>
      <w:ptab w:relativeTo="margin" w:alignment="right" w:leader="none"/>
    </w:r>
    <w:r>
      <w:fldChar w:fldCharType="begin"/>
    </w:r>
    <w:r>
      <w:instrText xml:space="preserve"> PAGE   \* MERGEFORMAT </w:instrText>
    </w:r>
    <w:r>
      <w:fldChar w:fldCharType="separate"/>
    </w:r>
    <w:r w:rsidR="006C029B">
      <w:rPr>
        <w:noProof/>
      </w:rPr>
      <w:t>72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rsidP="000B1771">
    <w:pPr>
      <w:pStyle w:val="Footer"/>
      <w:tabs>
        <w:tab w:val="clear" w:pos="4536"/>
        <w:tab w:val="left" w:pos="13608"/>
        <w:tab w:val="left" w:pos="14034"/>
      </w:tabs>
      <w:spacing w:before="120"/>
      <w:jc w:val="left"/>
    </w:pPr>
    <w:r>
      <w:t>Department of Agriculture</w:t>
    </w:r>
    <w:r>
      <w:ptab w:relativeTo="margin" w:alignment="right" w:leader="none"/>
    </w:r>
    <w:r>
      <w:fldChar w:fldCharType="begin"/>
    </w:r>
    <w:r>
      <w:instrText xml:space="preserve"> PAGE   \* MERGEFORMAT </w:instrText>
    </w:r>
    <w:r>
      <w:fldChar w:fldCharType="separate"/>
    </w:r>
    <w:r w:rsidR="006C029B">
      <w:rPr>
        <w:noProof/>
      </w:rPr>
      <w:t>157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FA9" w:rsidRDefault="00216FA9" w:rsidP="0068792B">
      <w:pPr>
        <w:spacing w:after="0" w:line="240" w:lineRule="auto"/>
      </w:pPr>
      <w:r>
        <w:separator/>
      </w:r>
    </w:p>
  </w:footnote>
  <w:footnote w:type="continuationSeparator" w:id="0">
    <w:p w:rsidR="00216FA9" w:rsidRDefault="00216FA9" w:rsidP="006879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rsidP="00A01856">
    <w:pPr>
      <w:pStyle w:val="Header"/>
      <w:jc w:val="left"/>
    </w:pPr>
    <w:r w:rsidRPr="00F326F8">
      <w:rPr>
        <w:noProof/>
        <w:lang w:eastAsia="en-AU"/>
      </w:rPr>
      <w:drawing>
        <wp:inline distT="0" distB="0" distL="0" distR="0" wp14:anchorId="3E8F1D65" wp14:editId="13677799">
          <wp:extent cx="2592047" cy="607325"/>
          <wp:effectExtent l="0" t="0" r="0" b="2540"/>
          <wp:docPr id="6" name="Picture 6" descr="Crest of the Australian Government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ylink.agdaff.gov.au/StaffServices/Comms/CreateContent/Branding/Logos/Departmental%20Logos/Dept%20of%20Agriculture/AG_Inline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5334" cy="629183"/>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rsidP="000B1771">
    <w:pPr>
      <w:pStyle w:val="Header"/>
      <w:tabs>
        <w:tab w:val="clear" w:pos="4820"/>
        <w:tab w:val="right" w:pos="13892"/>
      </w:tabs>
      <w:jc w:val="left"/>
    </w:pPr>
    <w:r>
      <w:t>Final</w:t>
    </w:r>
    <w:r w:rsidRPr="003A467A">
      <w:t xml:space="preserve"> report: avocados from Chile</w:t>
    </w:r>
    <w:r>
      <w:tab/>
      <w:t>Method for pest risk analysis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rsidP="000B1771">
    <w:pPr>
      <w:pStyle w:val="Header"/>
      <w:tabs>
        <w:tab w:val="clear" w:pos="4820"/>
        <w:tab w:val="right" w:pos="13892"/>
      </w:tabs>
      <w:jc w:val="left"/>
    </w:pPr>
    <w:r>
      <w:t>Final</w:t>
    </w:r>
    <w:r w:rsidRPr="003A467A">
      <w:t xml:space="preserve"> report: avocados from Chile</w:t>
    </w:r>
    <w:r>
      <w:tab/>
      <w:t>Commercial production practices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rsidP="000B1771">
    <w:pPr>
      <w:pStyle w:val="Header"/>
      <w:tabs>
        <w:tab w:val="clear" w:pos="4820"/>
        <w:tab w:val="right" w:pos="13892"/>
      </w:tabs>
      <w:jc w:val="left"/>
    </w:pPr>
    <w:r>
      <w:t>Final</w:t>
    </w:r>
    <w:r w:rsidRPr="003A467A">
      <w:t xml:space="preserve"> report: avocados from Chile</w:t>
    </w:r>
    <w:r>
      <w:tab/>
      <w:t>Pest risk assessment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pPr>
      <w:pStyle w:val="Header"/>
      <w:tabs>
        <w:tab w:val="clear" w:pos="4820"/>
        <w:tab w:val="center" w:pos="8505"/>
        <w:tab w:val="center" w:pos="13041"/>
      </w:tabs>
      <w:jc w:val="left"/>
    </w:pPr>
    <w:r>
      <w:t>Final</w:t>
    </w:r>
    <w:r w:rsidRPr="003A467A">
      <w:t xml:space="preserve"> report: avocados from Chile</w:t>
    </w:r>
    <w:r>
      <w:tab/>
      <w:t>Pest risk assessment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pPr>
      <w:pStyle w:val="Header"/>
      <w:tabs>
        <w:tab w:val="clear" w:pos="4820"/>
        <w:tab w:val="center" w:pos="8505"/>
        <w:tab w:val="center" w:pos="13041"/>
      </w:tabs>
      <w:jc w:val="left"/>
    </w:pPr>
    <w:r>
      <w:t>Final</w:t>
    </w:r>
    <w:r w:rsidRPr="003A467A">
      <w:t xml:space="preserve"> report: avocados from Chile</w:t>
    </w:r>
    <w:r>
      <w:tab/>
      <w:t>Pest risk management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pPr>
      <w:pStyle w:val="Header"/>
      <w:tabs>
        <w:tab w:val="clear" w:pos="4820"/>
        <w:tab w:val="center" w:pos="8505"/>
        <w:tab w:val="center" w:pos="13041"/>
      </w:tabs>
      <w:jc w:val="left"/>
    </w:pPr>
    <w:r>
      <w:t>Final</w:t>
    </w:r>
    <w:r w:rsidRPr="003A467A">
      <w:t xml:space="preserve"> report: avocados from Chile</w:t>
    </w:r>
    <w:r>
      <w:tab/>
      <w:t>Conclusion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pPr>
      <w:pStyle w:val="Header"/>
      <w:tabs>
        <w:tab w:val="clear" w:pos="4820"/>
        <w:tab w:val="center" w:pos="13041"/>
      </w:tabs>
      <w:jc w:val="left"/>
    </w:pPr>
    <w:r>
      <w:t>Final</w:t>
    </w:r>
    <w:r w:rsidRPr="003A467A">
      <w:t xml:space="preserve"> report: avocados from Chile</w:t>
    </w:r>
    <w:r>
      <w:tab/>
      <w:t>Appendix 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pPr>
      <w:pStyle w:val="Header"/>
      <w:tabs>
        <w:tab w:val="clear" w:pos="4820"/>
        <w:tab w:val="center" w:pos="13041"/>
      </w:tabs>
      <w:jc w:val="left"/>
    </w:pPr>
    <w:r>
      <w:t>Final</w:t>
    </w:r>
    <w:r w:rsidRPr="003A467A">
      <w:t xml:space="preserve"> report: avocados from Chile</w:t>
    </w:r>
    <w:r>
      <w:tab/>
      <w:t>Appendix 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pPr>
      <w:pStyle w:val="Header"/>
      <w:tabs>
        <w:tab w:val="clear" w:pos="4820"/>
        <w:tab w:val="center" w:pos="8505"/>
        <w:tab w:val="center" w:pos="13041"/>
      </w:tabs>
      <w:jc w:val="left"/>
    </w:pPr>
    <w:r>
      <w:t>Final</w:t>
    </w:r>
    <w:r w:rsidRPr="003A467A">
      <w:t xml:space="preserve"> report: avocados from Chile</w:t>
    </w:r>
    <w:r>
      <w:tab/>
      <w:t>Appendix B</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pPr>
      <w:pStyle w:val="Header"/>
      <w:tabs>
        <w:tab w:val="clear" w:pos="4820"/>
        <w:tab w:val="center" w:pos="8505"/>
        <w:tab w:val="center" w:pos="13041"/>
      </w:tabs>
      <w:jc w:val="left"/>
    </w:pPr>
    <w:r>
      <w:t>Final</w:t>
    </w:r>
    <w:r w:rsidRPr="003A467A">
      <w:t xml:space="preserve"> report: avocados from Chile</w:t>
    </w:r>
    <w:r>
      <w:tab/>
      <w:t>Glossary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rsidP="000B1771">
    <w:pPr>
      <w:pStyle w:val="Header"/>
      <w:jc w:val="left"/>
    </w:pPr>
    <w:r w:rsidRPr="00F326F8">
      <w:rPr>
        <w:noProof/>
        <w:lang w:eastAsia="en-AU"/>
      </w:rPr>
      <w:drawing>
        <wp:inline distT="0" distB="0" distL="0" distR="0" wp14:anchorId="0EC984C6" wp14:editId="0436B882">
          <wp:extent cx="2592047" cy="607325"/>
          <wp:effectExtent l="0" t="0" r="0" b="2540"/>
          <wp:docPr id="16" name="Picture 16" descr="http://mylink.agdaff.gov.au/StaffServices/Comms/CreateContent/Branding/Logos/Departmental%20Logos/Dept%20of%20Agriculture/AG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ylink.agdaff.gov.au/StaffServices/Comms/CreateContent/Branding/Logos/Departmental%20Logos/Dept%20of%20Agriculture/AG_Inline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5334" cy="629183"/>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pPr>
      <w:pStyle w:val="Header"/>
      <w:tabs>
        <w:tab w:val="clear" w:pos="4820"/>
        <w:tab w:val="center" w:pos="8505"/>
        <w:tab w:val="center" w:pos="13041"/>
      </w:tabs>
      <w:jc w:val="left"/>
    </w:pPr>
    <w:r>
      <w:t>Final</w:t>
    </w:r>
    <w:r w:rsidRPr="003A467A">
      <w:t xml:space="preserve"> report: avocados from Chile</w:t>
    </w:r>
    <w:r>
      <w:tab/>
      <w:t>References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Pr="003948B8" w:rsidRDefault="00216FA9" w:rsidP="000B1771">
    <w:pPr>
      <w:pStyle w:val="Header"/>
      <w:tabs>
        <w:tab w:val="clear" w:pos="4820"/>
        <w:tab w:val="right" w:pos="13892"/>
      </w:tabs>
      <w:jc w:val="left"/>
    </w:pPr>
    <w:r>
      <w:t>Final</w:t>
    </w:r>
    <w:r w:rsidRPr="003A467A">
      <w:t xml:space="preserve"> report: avocados from Chile</w:t>
    </w:r>
    <w:r w:rsidRPr="003A467A">
      <w:tab/>
      <w:t>Contents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Pr="003948B8" w:rsidRDefault="00216FA9" w:rsidP="000B1771">
    <w:pPr>
      <w:pStyle w:val="Header"/>
      <w:tabs>
        <w:tab w:val="clear" w:pos="4820"/>
        <w:tab w:val="right" w:pos="13892"/>
      </w:tabs>
      <w:jc w:val="left"/>
    </w:pPr>
    <w:r>
      <w:t>Final</w:t>
    </w:r>
    <w:r w:rsidRPr="003A467A">
      <w:t xml:space="preserve"> report: avocados from Chile</w:t>
    </w:r>
    <w:r>
      <w:tab/>
      <w:t>Maps of Australia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Pr="00E360A9" w:rsidRDefault="00216FA9" w:rsidP="000B1771">
    <w:pPr>
      <w:pStyle w:val="Header"/>
      <w:tabs>
        <w:tab w:val="clear" w:pos="4820"/>
        <w:tab w:val="right" w:pos="13892"/>
      </w:tabs>
      <w:jc w:val="left"/>
    </w:pPr>
    <w:r>
      <w:t>Final</w:t>
    </w:r>
    <w:r w:rsidRPr="003A467A">
      <w:t xml:space="preserve"> report: avocados from Chile</w:t>
    </w:r>
    <w:r>
      <w:tab/>
    </w:r>
    <w:r w:rsidRPr="00E360A9">
      <w:t>Diagram of avocado leaf, fruit and flower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rsidP="000B1771">
    <w:pPr>
      <w:pStyle w:val="Header"/>
      <w:tabs>
        <w:tab w:val="clear" w:pos="4820"/>
        <w:tab w:val="right" w:pos="13892"/>
      </w:tabs>
      <w:jc w:val="left"/>
    </w:pPr>
    <w:r>
      <w:t>Final</w:t>
    </w:r>
    <w:r w:rsidRPr="003A467A">
      <w:t xml:space="preserve"> report: avocados from Chile</w:t>
    </w:r>
    <w:r>
      <w:tab/>
      <w:t>Acronyms and abbreviations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rsidP="000B1771">
    <w:pPr>
      <w:pStyle w:val="Header"/>
      <w:tabs>
        <w:tab w:val="clear" w:pos="4820"/>
        <w:tab w:val="right" w:pos="13892"/>
      </w:tabs>
      <w:jc w:val="left"/>
    </w:pPr>
    <w:r>
      <w:t>Final</w:t>
    </w:r>
    <w:r w:rsidRPr="003A467A">
      <w:t xml:space="preserve"> report: avocados from Chile</w:t>
    </w:r>
    <w:r>
      <w:tab/>
      <w:t>Summary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A9" w:rsidRDefault="00216FA9" w:rsidP="000B1771">
    <w:pPr>
      <w:pStyle w:val="Header"/>
      <w:tabs>
        <w:tab w:val="clear" w:pos="4820"/>
        <w:tab w:val="right" w:pos="13892"/>
      </w:tabs>
      <w:jc w:val="left"/>
    </w:pPr>
    <w:r>
      <w:t>Final</w:t>
    </w:r>
    <w:r w:rsidRPr="003A467A">
      <w:t xml:space="preserve"> report: avocados from Chile</w:t>
    </w:r>
    <w:r>
      <w:tab/>
      <w:t>Introduction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FBE2D7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608485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860B9C"/>
    <w:multiLevelType w:val="hybridMultilevel"/>
    <w:tmpl w:val="1A3CBC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7ECA918A">
      <w:start w:val="1"/>
      <w:numFmt w:val="upperLetter"/>
      <w:lvlText w:val="%4."/>
      <w:lvlJc w:val="left"/>
      <w:pPr>
        <w:ind w:left="2940" w:hanging="4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FD112F"/>
    <w:multiLevelType w:val="hybridMultilevel"/>
    <w:tmpl w:val="EECA60D4"/>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4"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2453399E"/>
    <w:multiLevelType w:val="multilevel"/>
    <w:tmpl w:val="40A462FE"/>
    <w:numStyleLink w:val="heading"/>
  </w:abstractNum>
  <w:abstractNum w:abstractNumId="8"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2A913599"/>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0" w15:restartNumberingAfterBreak="0">
    <w:nsid w:val="2D595B46"/>
    <w:multiLevelType w:val="multilevel"/>
    <w:tmpl w:val="C32AB9AA"/>
    <w:numStyleLink w:val="ListNumber1"/>
  </w:abstractNum>
  <w:abstractNum w:abstractNumId="11" w15:restartNumberingAfterBreak="0">
    <w:nsid w:val="2EFD5605"/>
    <w:multiLevelType w:val="hybridMultilevel"/>
    <w:tmpl w:val="91981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3"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48DE2E4A"/>
    <w:multiLevelType w:val="hybridMultilevel"/>
    <w:tmpl w:val="B7086130"/>
    <w:lvl w:ilvl="0" w:tplc="AAB465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177CB0"/>
    <w:multiLevelType w:val="hybridMultilevel"/>
    <w:tmpl w:val="739EF912"/>
    <w:lvl w:ilvl="0" w:tplc="EC0E9E2E">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6" w15:restartNumberingAfterBreak="0">
    <w:nsid w:val="4B861DE6"/>
    <w:multiLevelType w:val="multilevel"/>
    <w:tmpl w:val="6346ED0E"/>
    <w:styleLink w:val="listbullets0"/>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7" w15:restartNumberingAfterBreak="0">
    <w:nsid w:val="4F5254FE"/>
    <w:multiLevelType w:val="hybridMultilevel"/>
    <w:tmpl w:val="C638C7D4"/>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18" w15:restartNumberingAfterBreak="0">
    <w:nsid w:val="573D0396"/>
    <w:multiLevelType w:val="hybridMultilevel"/>
    <w:tmpl w:val="AEE06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B1E8B"/>
    <w:multiLevelType w:val="hybridMultilevel"/>
    <w:tmpl w:val="0E6471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A677F0"/>
    <w:multiLevelType w:val="hybridMultilevel"/>
    <w:tmpl w:val="0744F41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30B48D9"/>
    <w:multiLevelType w:val="hybridMultilevel"/>
    <w:tmpl w:val="FA1A486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636387C"/>
    <w:multiLevelType w:val="multilevel"/>
    <w:tmpl w:val="6346ED0E"/>
    <w:numStyleLink w:val="listbullets0"/>
  </w:abstractNum>
  <w:abstractNum w:abstractNumId="25" w15:restartNumberingAfterBreak="0">
    <w:nsid w:val="77F07CB0"/>
    <w:multiLevelType w:val="hybridMultilevel"/>
    <w:tmpl w:val="1A3CBC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7ECA918A">
      <w:start w:val="1"/>
      <w:numFmt w:val="upperLetter"/>
      <w:lvlText w:val="%4."/>
      <w:lvlJc w:val="left"/>
      <w:pPr>
        <w:ind w:left="2940" w:hanging="4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C6C131E"/>
    <w:multiLevelType w:val="hybridMultilevel"/>
    <w:tmpl w:val="0E6471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21"/>
  </w:num>
  <w:num w:numId="4">
    <w:abstractNumId w:val="8"/>
  </w:num>
  <w:num w:numId="5">
    <w:abstractNumId w:val="12"/>
  </w:num>
  <w:num w:numId="6">
    <w:abstractNumId w:val="16"/>
  </w:num>
  <w:num w:numId="7">
    <w:abstractNumId w:val="24"/>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8">
    <w:abstractNumId w:val="13"/>
  </w:num>
  <w:num w:numId="9">
    <w:abstractNumId w:val="10"/>
  </w:num>
  <w:num w:numId="10">
    <w:abstractNumId w:val="4"/>
  </w:num>
  <w:num w:numId="11">
    <w:abstractNumId w:val="7"/>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2">
    <w:abstractNumId w:val="22"/>
  </w:num>
  <w:num w:numId="13">
    <w:abstractNumId w:val="24"/>
    <w:lvlOverride w:ilvl="0">
      <w:lvl w:ilvl="0">
        <w:start w:val="1"/>
        <w:numFmt w:val="bullet"/>
        <w:lvlText w:val=""/>
        <w:lvlJc w:val="left"/>
        <w:pPr>
          <w:tabs>
            <w:tab w:val="num" w:pos="567"/>
          </w:tabs>
          <w:ind w:left="397" w:hanging="397"/>
        </w:pPr>
        <w:rPr>
          <w:rFonts w:ascii="Symbol" w:hAnsi="Symbol" w:hint="default"/>
          <w:color w:val="auto"/>
        </w:rPr>
      </w:lvl>
    </w:lvlOverride>
  </w:num>
  <w:num w:numId="14">
    <w:abstractNumId w:val="7"/>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5">
    <w:abstractNumId w:val="24"/>
    <w:lvlOverride w:ilvl="0">
      <w:lvl w:ilvl="0">
        <w:start w:val="1"/>
        <w:numFmt w:val="bullet"/>
        <w:lvlText w:val=""/>
        <w:lvlJc w:val="left"/>
        <w:pPr>
          <w:tabs>
            <w:tab w:val="num" w:pos="567"/>
          </w:tabs>
          <w:ind w:left="397" w:hanging="397"/>
        </w:pPr>
        <w:rPr>
          <w:rFonts w:ascii="Symbol" w:hAnsi="Symbol" w:hint="default"/>
          <w:color w:val="auto"/>
        </w:rPr>
      </w:lvl>
    </w:lvlOverride>
  </w:num>
  <w:num w:numId="16">
    <w:abstractNumId w:val="1"/>
  </w:num>
  <w:num w:numId="17">
    <w:abstractNumId w:val="24"/>
    <w:lvlOverride w:ilvl="0">
      <w:lvl w:ilvl="0">
        <w:start w:val="1"/>
        <w:numFmt w:val="bullet"/>
        <w:lvlText w:val=""/>
        <w:lvlJc w:val="left"/>
        <w:pPr>
          <w:tabs>
            <w:tab w:val="num" w:pos="567"/>
          </w:tabs>
          <w:ind w:left="397" w:hanging="397"/>
        </w:pPr>
        <w:rPr>
          <w:rFonts w:ascii="Symbol" w:hAnsi="Symbol" w:hint="default"/>
          <w:color w:val="auto"/>
        </w:rPr>
      </w:lvl>
    </w:lvlOverride>
  </w:num>
  <w:num w:numId="18">
    <w:abstractNumId w:val="24"/>
    <w:lvlOverride w:ilvl="0">
      <w:lvl w:ilvl="0">
        <w:start w:val="1"/>
        <w:numFmt w:val="bullet"/>
        <w:lvlText w:val=""/>
        <w:lvlJc w:val="left"/>
        <w:pPr>
          <w:tabs>
            <w:tab w:val="num" w:pos="567"/>
          </w:tabs>
          <w:ind w:left="397" w:hanging="397"/>
        </w:pPr>
        <w:rPr>
          <w:rFonts w:ascii="Symbol" w:hAnsi="Symbol" w:hint="default"/>
          <w:color w:val="auto"/>
        </w:rPr>
      </w:lvl>
    </w:lvlOverride>
  </w:num>
  <w:num w:numId="19">
    <w:abstractNumId w:val="24"/>
    <w:lvlOverride w:ilvl="0">
      <w:lvl w:ilvl="0">
        <w:start w:val="1"/>
        <w:numFmt w:val="bullet"/>
        <w:lvlText w:val=""/>
        <w:lvlJc w:val="left"/>
        <w:pPr>
          <w:tabs>
            <w:tab w:val="num" w:pos="567"/>
          </w:tabs>
          <w:ind w:left="397" w:hanging="397"/>
        </w:pPr>
        <w:rPr>
          <w:rFonts w:ascii="Symbol" w:hAnsi="Symbol" w:hint="default"/>
          <w:color w:val="auto"/>
        </w:rPr>
      </w:lvl>
    </w:lvlOverride>
  </w:num>
  <w:num w:numId="20">
    <w:abstractNumId w:val="24"/>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21">
    <w:abstractNumId w:val="6"/>
  </w:num>
  <w:num w:numId="22">
    <w:abstractNumId w:val="9"/>
  </w:num>
  <w:num w:numId="23">
    <w:abstractNumId w:val="11"/>
  </w:num>
  <w:num w:numId="24">
    <w:abstractNumId w:val="18"/>
  </w:num>
  <w:num w:numId="25">
    <w:abstractNumId w:val="26"/>
  </w:num>
  <w:num w:numId="26">
    <w:abstractNumId w:val="20"/>
  </w:num>
  <w:num w:numId="27">
    <w:abstractNumId w:val="23"/>
  </w:num>
  <w:num w:numId="28">
    <w:abstractNumId w:val="19"/>
  </w:num>
  <w:num w:numId="29">
    <w:abstractNumId w:val="25"/>
  </w:num>
  <w:num w:numId="30">
    <w:abstractNumId w:val="2"/>
  </w:num>
  <w:num w:numId="31">
    <w:abstractNumId w:val="3"/>
  </w:num>
  <w:num w:numId="32">
    <w:abstractNumId w:val="17"/>
  </w:num>
  <w:num w:numId="33">
    <w:abstractNumId w:val="15"/>
  </w:num>
  <w:num w:numId="34">
    <w:abstractNumId w:val="24"/>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35">
    <w:abstractNumId w:val="24"/>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36">
    <w:abstractNumId w:val="24"/>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37">
    <w:abstractNumId w:val="24"/>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38">
    <w:abstractNumId w:val="0"/>
  </w:num>
  <w:num w:numId="39">
    <w:abstractNumId w:val="24"/>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18"/>
    <w:rsid w:val="00081C19"/>
    <w:rsid w:val="0008358C"/>
    <w:rsid w:val="000B1771"/>
    <w:rsid w:val="000E3168"/>
    <w:rsid w:val="001E1AFA"/>
    <w:rsid w:val="001F37FC"/>
    <w:rsid w:val="00216FA9"/>
    <w:rsid w:val="00330A3B"/>
    <w:rsid w:val="004B6F43"/>
    <w:rsid w:val="0052655A"/>
    <w:rsid w:val="00555918"/>
    <w:rsid w:val="00581B46"/>
    <w:rsid w:val="005C1B5C"/>
    <w:rsid w:val="00632900"/>
    <w:rsid w:val="0068792B"/>
    <w:rsid w:val="006C029B"/>
    <w:rsid w:val="008B2B44"/>
    <w:rsid w:val="00916139"/>
    <w:rsid w:val="0093623C"/>
    <w:rsid w:val="00962A05"/>
    <w:rsid w:val="00964429"/>
    <w:rsid w:val="00964F1D"/>
    <w:rsid w:val="009C204A"/>
    <w:rsid w:val="009E79B2"/>
    <w:rsid w:val="00A01856"/>
    <w:rsid w:val="00A119E5"/>
    <w:rsid w:val="00A32207"/>
    <w:rsid w:val="00A637BE"/>
    <w:rsid w:val="00A77B21"/>
    <w:rsid w:val="00B37A68"/>
    <w:rsid w:val="00B451C4"/>
    <w:rsid w:val="00CF24D5"/>
    <w:rsid w:val="00D833DC"/>
    <w:rsid w:val="00DD6A2F"/>
    <w:rsid w:val="00F053AD"/>
    <w:rsid w:val="00F45F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918"/>
    <w:pPr>
      <w:spacing w:after="200" w:line="276" w:lineRule="auto"/>
    </w:pPr>
    <w:rPr>
      <w:rFonts w:ascii="Cambria" w:hAnsi="Cambria"/>
    </w:rPr>
  </w:style>
  <w:style w:type="paragraph" w:styleId="Heading1">
    <w:name w:val="heading 1"/>
    <w:next w:val="Normal"/>
    <w:link w:val="Heading1Char"/>
    <w:uiPriority w:val="1"/>
    <w:qFormat/>
    <w:rsid w:val="00555918"/>
    <w:pPr>
      <w:keepNext/>
      <w:keepLines/>
      <w:pBdr>
        <w:bottom w:val="single" w:sz="4" w:space="1" w:color="auto"/>
      </w:pBdr>
      <w:spacing w:before="480" w:after="120" w:line="240" w:lineRule="auto"/>
      <w:outlineLvl w:val="0"/>
    </w:pPr>
    <w:rPr>
      <w:rFonts w:ascii="Calibri" w:eastAsiaTheme="majorEastAsia" w:hAnsi="Calibri" w:cstheme="majorBidi"/>
      <w:b/>
      <w:bCs/>
      <w:sz w:val="72"/>
      <w:szCs w:val="28"/>
    </w:rPr>
  </w:style>
  <w:style w:type="paragraph" w:styleId="Heading2">
    <w:name w:val="heading 2"/>
    <w:next w:val="Normal"/>
    <w:link w:val="Heading2Char"/>
    <w:uiPriority w:val="3"/>
    <w:qFormat/>
    <w:rsid w:val="00555918"/>
    <w:pPr>
      <w:keepNext/>
      <w:keepLines/>
      <w:numPr>
        <w:numId w:val="11"/>
      </w:numPr>
      <w:spacing w:after="120" w:line="240" w:lineRule="auto"/>
      <w:outlineLvl w:val="1"/>
    </w:pPr>
    <w:rPr>
      <w:rFonts w:ascii="Calibri" w:eastAsiaTheme="majorEastAsia" w:hAnsi="Calibri" w:cstheme="majorBidi"/>
      <w:b/>
      <w:bCs/>
      <w:color w:val="D52B1E"/>
      <w:sz w:val="34"/>
      <w:szCs w:val="26"/>
    </w:rPr>
  </w:style>
  <w:style w:type="paragraph" w:styleId="Heading3">
    <w:name w:val="heading 3"/>
    <w:next w:val="Normal"/>
    <w:link w:val="Heading3Char"/>
    <w:uiPriority w:val="4"/>
    <w:qFormat/>
    <w:rsid w:val="00555918"/>
    <w:pPr>
      <w:keepNext/>
      <w:keepLines/>
      <w:numPr>
        <w:ilvl w:val="1"/>
        <w:numId w:val="11"/>
      </w:numPr>
      <w:spacing w:before="120" w:after="0" w:line="240" w:lineRule="auto"/>
      <w:outlineLvl w:val="2"/>
    </w:pPr>
    <w:rPr>
      <w:rFonts w:ascii="Calibri" w:hAnsi="Calibri"/>
      <w:b/>
      <w:bCs/>
      <w:color w:val="773141"/>
      <w:sz w:val="28"/>
    </w:rPr>
  </w:style>
  <w:style w:type="paragraph" w:styleId="Heading4">
    <w:name w:val="heading 4"/>
    <w:next w:val="Normal"/>
    <w:link w:val="Heading4Char"/>
    <w:uiPriority w:val="5"/>
    <w:qFormat/>
    <w:rsid w:val="00555918"/>
    <w:pPr>
      <w:keepNext/>
      <w:keepLines/>
      <w:numPr>
        <w:ilvl w:val="2"/>
        <w:numId w:val="11"/>
      </w:numPr>
      <w:spacing w:before="120" w:after="120" w:line="240" w:lineRule="auto"/>
      <w:outlineLvl w:val="3"/>
    </w:pPr>
    <w:rPr>
      <w:rFonts w:ascii="Calibri" w:hAnsi="Calibri"/>
      <w:b/>
      <w:bCs/>
      <w:iCs/>
      <w:sz w:val="24"/>
    </w:rPr>
  </w:style>
  <w:style w:type="paragraph" w:styleId="Heading5">
    <w:name w:val="heading 5"/>
    <w:next w:val="Normal"/>
    <w:link w:val="Heading5Char"/>
    <w:uiPriority w:val="6"/>
    <w:qFormat/>
    <w:rsid w:val="00555918"/>
    <w:pPr>
      <w:keepNext/>
      <w:keepLines/>
      <w:spacing w:before="120" w:after="120" w:line="240" w:lineRule="auto"/>
      <w:outlineLvl w:val="4"/>
    </w:pPr>
    <w:rPr>
      <w:rFonts w:ascii="Calibri" w:hAnsi="Calibri"/>
      <w:b/>
    </w:rPr>
  </w:style>
  <w:style w:type="paragraph" w:styleId="Heading6">
    <w:name w:val="heading 6"/>
    <w:next w:val="Normal"/>
    <w:link w:val="Heading6Char"/>
    <w:uiPriority w:val="9"/>
    <w:qFormat/>
    <w:rsid w:val="00555918"/>
    <w:pPr>
      <w:keepNext/>
      <w:keepLines/>
      <w:spacing w:before="120" w:after="120" w:line="240" w:lineRule="auto"/>
      <w:outlineLvl w:val="5"/>
    </w:pPr>
    <w:rPr>
      <w:rFonts w:ascii="Calibri" w:eastAsiaTheme="majorEastAsia" w:hAnsi="Calibri" w:cstheme="majorBidi"/>
      <w:i/>
    </w:rPr>
  </w:style>
  <w:style w:type="paragraph" w:styleId="Heading7">
    <w:name w:val="heading 7"/>
    <w:next w:val="Normal"/>
    <w:link w:val="Heading7Char"/>
    <w:uiPriority w:val="9"/>
    <w:semiHidden/>
    <w:rsid w:val="00555918"/>
    <w:pPr>
      <w:spacing w:after="0" w:line="240" w:lineRule="auto"/>
      <w:outlineLvl w:val="6"/>
    </w:pPr>
    <w:rPr>
      <w:rFonts w:asciiTheme="majorHAnsi" w:eastAsiaTheme="majorEastAsia" w:hAnsiTheme="majorHAnsi" w:cstheme="majorBidi"/>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55918"/>
    <w:rPr>
      <w:rFonts w:ascii="Calibri" w:eastAsiaTheme="majorEastAsia" w:hAnsi="Calibri" w:cstheme="majorBidi"/>
      <w:b/>
      <w:bCs/>
      <w:sz w:val="72"/>
      <w:szCs w:val="28"/>
    </w:rPr>
  </w:style>
  <w:style w:type="character" w:customStyle="1" w:styleId="Heading2Char">
    <w:name w:val="Heading 2 Char"/>
    <w:basedOn w:val="DefaultParagraphFont"/>
    <w:link w:val="Heading2"/>
    <w:uiPriority w:val="3"/>
    <w:rsid w:val="00555918"/>
    <w:rPr>
      <w:rFonts w:ascii="Calibri" w:eastAsiaTheme="majorEastAsia" w:hAnsi="Calibri" w:cstheme="majorBidi"/>
      <w:b/>
      <w:bCs/>
      <w:color w:val="D52B1E"/>
      <w:sz w:val="34"/>
      <w:szCs w:val="26"/>
    </w:rPr>
  </w:style>
  <w:style w:type="character" w:customStyle="1" w:styleId="Heading3Char">
    <w:name w:val="Heading 3 Char"/>
    <w:basedOn w:val="DefaultParagraphFont"/>
    <w:link w:val="Heading3"/>
    <w:uiPriority w:val="4"/>
    <w:rsid w:val="00555918"/>
    <w:rPr>
      <w:rFonts w:ascii="Calibri" w:hAnsi="Calibri"/>
      <w:b/>
      <w:bCs/>
      <w:color w:val="773141"/>
      <w:sz w:val="28"/>
    </w:rPr>
  </w:style>
  <w:style w:type="character" w:customStyle="1" w:styleId="Heading4Char">
    <w:name w:val="Heading 4 Char"/>
    <w:basedOn w:val="DefaultParagraphFont"/>
    <w:link w:val="Heading4"/>
    <w:uiPriority w:val="5"/>
    <w:rsid w:val="00555918"/>
    <w:rPr>
      <w:rFonts w:ascii="Calibri" w:hAnsi="Calibri"/>
      <w:b/>
      <w:bCs/>
      <w:iCs/>
      <w:sz w:val="24"/>
    </w:rPr>
  </w:style>
  <w:style w:type="character" w:customStyle="1" w:styleId="Heading5Char">
    <w:name w:val="Heading 5 Char"/>
    <w:basedOn w:val="DefaultParagraphFont"/>
    <w:link w:val="Heading5"/>
    <w:uiPriority w:val="6"/>
    <w:rsid w:val="00555918"/>
    <w:rPr>
      <w:rFonts w:ascii="Calibri" w:hAnsi="Calibri"/>
      <w:b/>
    </w:rPr>
  </w:style>
  <w:style w:type="character" w:customStyle="1" w:styleId="Heading6Char">
    <w:name w:val="Heading 6 Char"/>
    <w:basedOn w:val="DefaultParagraphFont"/>
    <w:link w:val="Heading6"/>
    <w:uiPriority w:val="9"/>
    <w:rsid w:val="00555918"/>
    <w:rPr>
      <w:rFonts w:ascii="Calibri" w:eastAsiaTheme="majorEastAsia" w:hAnsi="Calibri" w:cstheme="majorBidi"/>
      <w:i/>
    </w:rPr>
  </w:style>
  <w:style w:type="character" w:customStyle="1" w:styleId="Heading7Char">
    <w:name w:val="Heading 7 Char"/>
    <w:basedOn w:val="DefaultParagraphFont"/>
    <w:link w:val="Heading7"/>
    <w:uiPriority w:val="9"/>
    <w:semiHidden/>
    <w:rsid w:val="00555918"/>
    <w:rPr>
      <w:rFonts w:asciiTheme="majorHAnsi" w:eastAsiaTheme="majorEastAsia" w:hAnsiTheme="majorHAnsi" w:cstheme="majorBidi"/>
      <w:i/>
      <w:color w:val="1F4D78" w:themeColor="accent1" w:themeShade="7F"/>
    </w:rPr>
  </w:style>
  <w:style w:type="paragraph" w:styleId="CommentText">
    <w:name w:val="annotation text"/>
    <w:basedOn w:val="Normal"/>
    <w:link w:val="CommentTextChar"/>
    <w:uiPriority w:val="99"/>
    <w:semiHidden/>
    <w:unhideWhenUsed/>
    <w:rsid w:val="00555918"/>
    <w:rPr>
      <w:sz w:val="20"/>
      <w:szCs w:val="20"/>
    </w:rPr>
  </w:style>
  <w:style w:type="character" w:customStyle="1" w:styleId="CommentTextChar">
    <w:name w:val="Comment Text Char"/>
    <w:basedOn w:val="DefaultParagraphFont"/>
    <w:link w:val="CommentText"/>
    <w:uiPriority w:val="99"/>
    <w:semiHidden/>
    <w:rsid w:val="00555918"/>
    <w:rPr>
      <w:rFonts w:ascii="Cambria" w:hAnsi="Cambria"/>
      <w:sz w:val="20"/>
      <w:szCs w:val="20"/>
    </w:rPr>
  </w:style>
  <w:style w:type="paragraph" w:styleId="Header">
    <w:name w:val="header"/>
    <w:basedOn w:val="Normal"/>
    <w:link w:val="HeaderChar"/>
    <w:uiPriority w:val="26"/>
    <w:rsid w:val="00555918"/>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555918"/>
    <w:rPr>
      <w:rFonts w:ascii="Calibri" w:hAnsi="Calibri"/>
      <w:sz w:val="20"/>
    </w:rPr>
  </w:style>
  <w:style w:type="paragraph" w:styleId="Footer">
    <w:name w:val="footer"/>
    <w:basedOn w:val="Normal"/>
    <w:link w:val="FooterChar"/>
    <w:uiPriority w:val="99"/>
    <w:rsid w:val="00555918"/>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555918"/>
    <w:rPr>
      <w:rFonts w:ascii="Calibri" w:hAnsi="Calibri"/>
      <w:sz w:val="20"/>
    </w:rPr>
  </w:style>
  <w:style w:type="character" w:styleId="CommentReference">
    <w:name w:val="annotation reference"/>
    <w:basedOn w:val="DefaultParagraphFont"/>
    <w:uiPriority w:val="99"/>
    <w:semiHidden/>
    <w:unhideWhenUsed/>
    <w:rsid w:val="00555918"/>
    <w:rPr>
      <w:sz w:val="16"/>
      <w:szCs w:val="16"/>
    </w:rPr>
  </w:style>
  <w:style w:type="paragraph" w:styleId="CommentSubject">
    <w:name w:val="annotation subject"/>
    <w:basedOn w:val="CommentText"/>
    <w:next w:val="CommentText"/>
    <w:link w:val="CommentSubjectChar"/>
    <w:uiPriority w:val="99"/>
    <w:semiHidden/>
    <w:unhideWhenUsed/>
    <w:rsid w:val="00555918"/>
    <w:rPr>
      <w:b/>
      <w:bCs/>
    </w:rPr>
  </w:style>
  <w:style w:type="character" w:customStyle="1" w:styleId="CommentSubjectChar">
    <w:name w:val="Comment Subject Char"/>
    <w:basedOn w:val="CommentTextChar"/>
    <w:link w:val="CommentSubject"/>
    <w:uiPriority w:val="99"/>
    <w:semiHidden/>
    <w:rsid w:val="00555918"/>
    <w:rPr>
      <w:rFonts w:ascii="Cambria" w:hAnsi="Cambria"/>
      <w:b/>
      <w:bCs/>
      <w:sz w:val="20"/>
      <w:szCs w:val="20"/>
    </w:rPr>
  </w:style>
  <w:style w:type="paragraph" w:styleId="BalloonText">
    <w:name w:val="Balloon Text"/>
    <w:basedOn w:val="Normal"/>
    <w:link w:val="BalloonTextChar"/>
    <w:uiPriority w:val="99"/>
    <w:semiHidden/>
    <w:unhideWhenUsed/>
    <w:rsid w:val="00555918"/>
    <w:rPr>
      <w:rFonts w:ascii="Calibri" w:hAnsi="Calibri"/>
      <w:sz w:val="18"/>
      <w:szCs w:val="18"/>
    </w:rPr>
  </w:style>
  <w:style w:type="character" w:customStyle="1" w:styleId="BalloonTextChar">
    <w:name w:val="Balloon Text Char"/>
    <w:basedOn w:val="DefaultParagraphFont"/>
    <w:link w:val="BalloonText"/>
    <w:uiPriority w:val="99"/>
    <w:semiHidden/>
    <w:rsid w:val="00555918"/>
    <w:rPr>
      <w:rFonts w:ascii="Calibri" w:hAnsi="Calibri"/>
      <w:sz w:val="18"/>
      <w:szCs w:val="18"/>
    </w:rPr>
  </w:style>
  <w:style w:type="table" w:styleId="TableGrid">
    <w:name w:val="Table Grid"/>
    <w:basedOn w:val="TableNormal"/>
    <w:uiPriority w:val="59"/>
    <w:rsid w:val="00555918"/>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555918"/>
    <w:rPr>
      <w:sz w:val="16"/>
    </w:rPr>
  </w:style>
  <w:style w:type="numbering" w:customStyle="1" w:styleId="Headings">
    <w:name w:val="Headings"/>
    <w:uiPriority w:val="99"/>
    <w:rsid w:val="00555918"/>
    <w:pPr>
      <w:numPr>
        <w:numId w:val="4"/>
      </w:numPr>
    </w:pPr>
  </w:style>
  <w:style w:type="paragraph" w:styleId="ListParagraph">
    <w:name w:val="List Paragraph"/>
    <w:basedOn w:val="Normal"/>
    <w:uiPriority w:val="99"/>
    <w:qFormat/>
    <w:rsid w:val="00555918"/>
    <w:pPr>
      <w:ind w:left="720"/>
    </w:pPr>
  </w:style>
  <w:style w:type="paragraph" w:styleId="Quote">
    <w:name w:val="Quote"/>
    <w:basedOn w:val="Normal"/>
    <w:next w:val="Normal"/>
    <w:link w:val="QuoteChar"/>
    <w:uiPriority w:val="18"/>
    <w:qFormat/>
    <w:rsid w:val="00555918"/>
    <w:pPr>
      <w:ind w:left="709" w:right="567"/>
    </w:pPr>
    <w:rPr>
      <w:iCs/>
      <w:color w:val="000000"/>
    </w:rPr>
  </w:style>
  <w:style w:type="character" w:customStyle="1" w:styleId="QuoteChar">
    <w:name w:val="Quote Char"/>
    <w:basedOn w:val="DefaultParagraphFont"/>
    <w:link w:val="Quote"/>
    <w:uiPriority w:val="18"/>
    <w:rsid w:val="00555918"/>
    <w:rPr>
      <w:rFonts w:ascii="Cambria" w:hAnsi="Cambria"/>
      <w:iCs/>
      <w:color w:val="000000"/>
    </w:rPr>
  </w:style>
  <w:style w:type="paragraph" w:customStyle="1" w:styleId="BoxText">
    <w:name w:val="Box Text"/>
    <w:basedOn w:val="Normal"/>
    <w:uiPriority w:val="19"/>
    <w:qFormat/>
    <w:rsid w:val="00555918"/>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555918"/>
    <w:pPr>
      <w:keepNext/>
      <w:spacing w:after="120" w:line="240" w:lineRule="auto"/>
    </w:pPr>
    <w:rPr>
      <w:rFonts w:ascii="Cambria" w:eastAsiaTheme="majorEastAsia" w:hAnsi="Cambria" w:cstheme="majorBidi"/>
      <w:b/>
      <w:bCs/>
      <w:color w:val="595959" w:themeColor="text1" w:themeTint="A6"/>
      <w:sz w:val="20"/>
      <w:szCs w:val="18"/>
    </w:rPr>
  </w:style>
  <w:style w:type="paragraph" w:customStyle="1" w:styleId="FigureTableNoteSource">
    <w:name w:val="Figure/Table Note/Source"/>
    <w:basedOn w:val="Normal"/>
    <w:next w:val="Normal"/>
    <w:uiPriority w:val="16"/>
    <w:qFormat/>
    <w:rsid w:val="00555918"/>
    <w:pPr>
      <w:spacing w:before="120" w:line="264" w:lineRule="auto"/>
      <w:contextualSpacing/>
    </w:pPr>
    <w:rPr>
      <w:rFonts w:ascii="Calibri" w:hAnsi="Calibri"/>
      <w:sz w:val="18"/>
    </w:rPr>
  </w:style>
  <w:style w:type="paragraph" w:styleId="TOCHeading">
    <w:name w:val="TOC Heading"/>
    <w:next w:val="Normal"/>
    <w:uiPriority w:val="39"/>
    <w:qFormat/>
    <w:rsid w:val="00555918"/>
    <w:pPr>
      <w:spacing w:after="0" w:line="240" w:lineRule="auto"/>
    </w:pPr>
    <w:rPr>
      <w:rFonts w:ascii="Calibri" w:eastAsiaTheme="majorEastAsia" w:hAnsi="Calibri" w:cstheme="majorBidi"/>
      <w:b/>
      <w:bCs/>
      <w:color w:val="D52B1E"/>
      <w:sz w:val="34"/>
      <w:szCs w:val="28"/>
      <w:lang w:val="en-US"/>
    </w:rPr>
  </w:style>
  <w:style w:type="paragraph" w:styleId="TOC1">
    <w:name w:val="toc 1"/>
    <w:next w:val="Normal"/>
    <w:uiPriority w:val="39"/>
    <w:unhideWhenUsed/>
    <w:rsid w:val="00555918"/>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rsid w:val="00555918"/>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rsid w:val="00555918"/>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555918"/>
    <w:rPr>
      <w:color w:val="165788"/>
      <w:u w:val="single"/>
    </w:rPr>
  </w:style>
  <w:style w:type="paragraph" w:styleId="ListBullet">
    <w:name w:val="List Bullet"/>
    <w:uiPriority w:val="7"/>
    <w:qFormat/>
    <w:rsid w:val="00555918"/>
    <w:pPr>
      <w:tabs>
        <w:tab w:val="num" w:pos="567"/>
      </w:tabs>
      <w:spacing w:before="120" w:after="120" w:line="240" w:lineRule="auto"/>
      <w:ind w:left="397" w:hanging="397"/>
    </w:pPr>
    <w:rPr>
      <w:rFonts w:ascii="Cambria" w:hAnsi="Cambria"/>
    </w:rPr>
  </w:style>
  <w:style w:type="paragraph" w:styleId="TableofFigures">
    <w:name w:val="table of figures"/>
    <w:basedOn w:val="Normal"/>
    <w:next w:val="Normal"/>
    <w:uiPriority w:val="99"/>
    <w:rsid w:val="00555918"/>
    <w:pPr>
      <w:spacing w:before="120" w:after="120" w:line="240" w:lineRule="auto"/>
    </w:pPr>
    <w:rPr>
      <w:rFonts w:asciiTheme="minorHAnsi" w:hAnsiTheme="minorHAnsi"/>
    </w:rPr>
  </w:style>
  <w:style w:type="paragraph" w:styleId="ListBullet2">
    <w:name w:val="List Bullet 2"/>
    <w:uiPriority w:val="8"/>
    <w:qFormat/>
    <w:rsid w:val="00555918"/>
    <w:pPr>
      <w:tabs>
        <w:tab w:val="num" w:pos="794"/>
      </w:tabs>
      <w:spacing w:before="120" w:after="120" w:line="240" w:lineRule="auto"/>
      <w:ind w:left="397"/>
      <w:contextualSpacing/>
    </w:pPr>
    <w:rPr>
      <w:rFonts w:ascii="Cambria" w:hAnsi="Cambria"/>
    </w:rPr>
  </w:style>
  <w:style w:type="paragraph" w:styleId="ListNumber">
    <w:name w:val="List Number"/>
    <w:basedOn w:val="Normal"/>
    <w:uiPriority w:val="9"/>
    <w:qFormat/>
    <w:rsid w:val="00555918"/>
    <w:pPr>
      <w:numPr>
        <w:numId w:val="9"/>
      </w:numPr>
      <w:spacing w:before="120" w:after="120" w:line="280" w:lineRule="atLeast"/>
    </w:pPr>
    <w:rPr>
      <w:szCs w:val="20"/>
    </w:rPr>
  </w:style>
  <w:style w:type="paragraph" w:styleId="ListNumber2">
    <w:name w:val="List Number 2"/>
    <w:uiPriority w:val="10"/>
    <w:qFormat/>
    <w:rsid w:val="00555918"/>
    <w:pPr>
      <w:numPr>
        <w:ilvl w:val="1"/>
        <w:numId w:val="9"/>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555918"/>
    <w:pPr>
      <w:numPr>
        <w:ilvl w:val="2"/>
        <w:numId w:val="9"/>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555918"/>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555918"/>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555918"/>
    <w:pPr>
      <w:spacing w:before="60" w:after="60" w:line="240" w:lineRule="auto"/>
    </w:pPr>
    <w:rPr>
      <w:rFonts w:ascii="Cambria" w:hAnsi="Cambria"/>
      <w:sz w:val="18"/>
    </w:rPr>
  </w:style>
  <w:style w:type="table" w:styleId="TableGrid1">
    <w:name w:val="Table Grid 1"/>
    <w:basedOn w:val="TableNormal"/>
    <w:uiPriority w:val="99"/>
    <w:semiHidden/>
    <w:unhideWhenUsed/>
    <w:rsid w:val="00555918"/>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555918"/>
    <w:pPr>
      <w:keepNext/>
    </w:pPr>
    <w:rPr>
      <w:b/>
    </w:rPr>
  </w:style>
  <w:style w:type="character" w:styleId="PlaceholderText">
    <w:name w:val="Placeholder Text"/>
    <w:basedOn w:val="DefaultParagraphFont"/>
    <w:uiPriority w:val="99"/>
    <w:semiHidden/>
    <w:rsid w:val="00555918"/>
    <w:rPr>
      <w:color w:val="808080"/>
    </w:rPr>
  </w:style>
  <w:style w:type="paragraph" w:customStyle="1" w:styleId="Author">
    <w:name w:val="Author"/>
    <w:basedOn w:val="Normal"/>
    <w:next w:val="Normal"/>
    <w:uiPriority w:val="24"/>
    <w:qFormat/>
    <w:rsid w:val="00555918"/>
    <w:pPr>
      <w:spacing w:after="60"/>
    </w:pPr>
    <w:rPr>
      <w:b/>
      <w:sz w:val="28"/>
      <w:szCs w:val="28"/>
    </w:rPr>
  </w:style>
  <w:style w:type="paragraph" w:customStyle="1" w:styleId="AuthorOrganisationAffiliation">
    <w:name w:val="Author Organisation/Affiliation"/>
    <w:basedOn w:val="Normal"/>
    <w:next w:val="Normal"/>
    <w:uiPriority w:val="25"/>
    <w:qFormat/>
    <w:rsid w:val="00555918"/>
    <w:pPr>
      <w:spacing w:after="720"/>
    </w:pPr>
  </w:style>
  <w:style w:type="character" w:styleId="Strong">
    <w:name w:val="Strong"/>
    <w:uiPriority w:val="99"/>
    <w:qFormat/>
    <w:rsid w:val="00555918"/>
    <w:rPr>
      <w:b/>
      <w:bCs/>
    </w:rPr>
  </w:style>
  <w:style w:type="character" w:styleId="Emphasis">
    <w:name w:val="Emphasis"/>
    <w:basedOn w:val="DefaultParagraphFont"/>
    <w:uiPriority w:val="99"/>
    <w:qFormat/>
    <w:rsid w:val="00555918"/>
    <w:rPr>
      <w:i/>
      <w:iCs/>
    </w:rPr>
  </w:style>
  <w:style w:type="paragraph" w:styleId="TOAHeading">
    <w:name w:val="toa heading"/>
    <w:basedOn w:val="Heading1"/>
    <w:next w:val="Normal"/>
    <w:uiPriority w:val="99"/>
    <w:semiHidden/>
    <w:unhideWhenUsed/>
    <w:rsid w:val="00555918"/>
    <w:pPr>
      <w:spacing w:before="120"/>
    </w:pPr>
    <w:rPr>
      <w:bCs w:val="0"/>
      <w:sz w:val="24"/>
    </w:rPr>
  </w:style>
  <w:style w:type="paragraph" w:styleId="NormalWeb">
    <w:name w:val="Normal (Web)"/>
    <w:basedOn w:val="Normal"/>
    <w:uiPriority w:val="99"/>
    <w:semiHidden/>
    <w:unhideWhenUsed/>
    <w:rsid w:val="00555918"/>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555918"/>
    <w:pPr>
      <w:ind w:left="357" w:hanging="357"/>
    </w:pPr>
  </w:style>
  <w:style w:type="paragraph" w:customStyle="1" w:styleId="TableBullet">
    <w:name w:val="Table Bullet"/>
    <w:basedOn w:val="TableText"/>
    <w:uiPriority w:val="15"/>
    <w:qFormat/>
    <w:rsid w:val="00555918"/>
    <w:pPr>
      <w:numPr>
        <w:numId w:val="2"/>
      </w:numPr>
      <w:ind w:left="284" w:hanging="284"/>
    </w:pPr>
  </w:style>
  <w:style w:type="paragraph" w:styleId="DocumentMap">
    <w:name w:val="Document Map"/>
    <w:basedOn w:val="Normal"/>
    <w:link w:val="DocumentMapChar"/>
    <w:uiPriority w:val="99"/>
    <w:semiHidden/>
    <w:unhideWhenUsed/>
    <w:rsid w:val="0055591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55918"/>
    <w:rPr>
      <w:rFonts w:ascii="Tahoma" w:hAnsi="Tahoma" w:cs="Tahoma"/>
      <w:sz w:val="16"/>
      <w:szCs w:val="16"/>
    </w:rPr>
  </w:style>
  <w:style w:type="paragraph" w:customStyle="1" w:styleId="TOCHeadingsamepage">
    <w:name w:val="TOC Heading (same page)"/>
    <w:basedOn w:val="TOCHeading"/>
    <w:next w:val="Normal"/>
    <w:uiPriority w:val="39"/>
    <w:rsid w:val="00555918"/>
  </w:style>
  <w:style w:type="paragraph" w:customStyle="1" w:styleId="BoxHeading">
    <w:name w:val="Box Heading"/>
    <w:basedOn w:val="BoxText"/>
    <w:uiPriority w:val="20"/>
    <w:qFormat/>
    <w:rsid w:val="00555918"/>
    <w:pPr>
      <w:spacing w:line="240" w:lineRule="auto"/>
    </w:pPr>
    <w:rPr>
      <w:b/>
    </w:rPr>
  </w:style>
  <w:style w:type="paragraph" w:customStyle="1" w:styleId="Picture">
    <w:name w:val="Picture"/>
    <w:basedOn w:val="Normal"/>
    <w:uiPriority w:val="17"/>
    <w:qFormat/>
    <w:rsid w:val="00555918"/>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555918"/>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555918"/>
    <w:pPr>
      <w:spacing w:after="0"/>
    </w:pPr>
    <w:rPr>
      <w:b/>
      <w:color w:val="FF0000"/>
      <w:sz w:val="36"/>
      <w:szCs w:val="36"/>
    </w:rPr>
  </w:style>
  <w:style w:type="paragraph" w:styleId="FootnoteText">
    <w:name w:val="footnote text"/>
    <w:basedOn w:val="Normal"/>
    <w:link w:val="FootnoteTextChar"/>
    <w:uiPriority w:val="99"/>
    <w:unhideWhenUsed/>
    <w:rsid w:val="00555918"/>
    <w:pPr>
      <w:spacing w:after="60" w:line="264" w:lineRule="auto"/>
    </w:pPr>
    <w:rPr>
      <w:sz w:val="20"/>
      <w:szCs w:val="20"/>
    </w:rPr>
  </w:style>
  <w:style w:type="character" w:customStyle="1" w:styleId="FootnoteTextChar">
    <w:name w:val="Footnote Text Char"/>
    <w:basedOn w:val="DefaultParagraphFont"/>
    <w:link w:val="FootnoteText"/>
    <w:uiPriority w:val="99"/>
    <w:rsid w:val="00555918"/>
    <w:rPr>
      <w:rFonts w:ascii="Cambria" w:hAnsi="Cambria"/>
      <w:sz w:val="20"/>
      <w:szCs w:val="20"/>
    </w:rPr>
  </w:style>
  <w:style w:type="character" w:styleId="FootnoteReference">
    <w:name w:val="footnote reference"/>
    <w:basedOn w:val="DefaultParagraphFont"/>
    <w:uiPriority w:val="99"/>
    <w:semiHidden/>
    <w:unhideWhenUsed/>
    <w:rsid w:val="00555918"/>
    <w:rPr>
      <w:vertAlign w:val="superscript"/>
    </w:rPr>
  </w:style>
  <w:style w:type="paragraph" w:styleId="EndnoteText">
    <w:name w:val="endnote text"/>
    <w:basedOn w:val="Normal"/>
    <w:link w:val="EndnoteTextChar"/>
    <w:uiPriority w:val="99"/>
    <w:unhideWhenUsed/>
    <w:rsid w:val="00555918"/>
    <w:pPr>
      <w:spacing w:before="120" w:after="240" w:line="240" w:lineRule="auto"/>
    </w:pPr>
    <w:rPr>
      <w:szCs w:val="20"/>
    </w:rPr>
  </w:style>
  <w:style w:type="character" w:customStyle="1" w:styleId="EndnoteTextChar">
    <w:name w:val="Endnote Text Char"/>
    <w:basedOn w:val="DefaultParagraphFont"/>
    <w:link w:val="EndnoteText"/>
    <w:uiPriority w:val="99"/>
    <w:rsid w:val="00555918"/>
    <w:rPr>
      <w:rFonts w:ascii="Cambria" w:hAnsi="Cambria"/>
      <w:szCs w:val="20"/>
    </w:rPr>
  </w:style>
  <w:style w:type="character" w:styleId="EndnoteReference">
    <w:name w:val="endnote reference"/>
    <w:basedOn w:val="DefaultParagraphFont"/>
    <w:uiPriority w:val="99"/>
    <w:semiHidden/>
    <w:unhideWhenUsed/>
    <w:rsid w:val="00555918"/>
    <w:rPr>
      <w:vertAlign w:val="superscript"/>
    </w:rPr>
  </w:style>
  <w:style w:type="character" w:styleId="FollowedHyperlink">
    <w:name w:val="FollowedHyperlink"/>
    <w:basedOn w:val="DefaultParagraphFont"/>
    <w:uiPriority w:val="99"/>
    <w:semiHidden/>
    <w:unhideWhenUsed/>
    <w:rsid w:val="00555918"/>
    <w:rPr>
      <w:color w:val="800080"/>
      <w:u w:val="single"/>
    </w:rPr>
  </w:style>
  <w:style w:type="paragraph" w:customStyle="1" w:styleId="BoxSource">
    <w:name w:val="Box Source"/>
    <w:basedOn w:val="FigureTableNoteSource"/>
    <w:uiPriority w:val="22"/>
    <w:qFormat/>
    <w:rsid w:val="00555918"/>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555918"/>
    <w:pPr>
      <w:numPr>
        <w:numId w:val="10"/>
      </w:numPr>
    </w:pPr>
  </w:style>
  <w:style w:type="numbering" w:customStyle="1" w:styleId="captions">
    <w:name w:val="captions"/>
    <w:uiPriority w:val="99"/>
    <w:rsid w:val="00555918"/>
    <w:pPr>
      <w:numPr>
        <w:numId w:val="5"/>
      </w:numPr>
    </w:pPr>
  </w:style>
  <w:style w:type="paragraph" w:customStyle="1" w:styleId="TableNotes">
    <w:name w:val="TableNotes"/>
    <w:basedOn w:val="Normal"/>
    <w:link w:val="TableNotesChar"/>
    <w:rsid w:val="00555918"/>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555918"/>
    <w:rPr>
      <w:rFonts w:ascii="Arial Narrow" w:hAnsi="Arial Narrow"/>
      <w:color w:val="000000"/>
      <w:sz w:val="16"/>
    </w:rPr>
  </w:style>
  <w:style w:type="character" w:customStyle="1" w:styleId="TableTextChar">
    <w:name w:val="Table Text Char"/>
    <w:basedOn w:val="DefaultParagraphFont"/>
    <w:link w:val="TableText"/>
    <w:rsid w:val="00555918"/>
    <w:rPr>
      <w:rFonts w:ascii="Cambria" w:hAnsi="Cambria"/>
      <w:sz w:val="18"/>
    </w:rPr>
  </w:style>
  <w:style w:type="numbering" w:customStyle="1" w:styleId="List1">
    <w:name w:val="List1"/>
    <w:basedOn w:val="NoList"/>
    <w:uiPriority w:val="99"/>
    <w:rsid w:val="00555918"/>
    <w:pPr>
      <w:numPr>
        <w:numId w:val="3"/>
      </w:numPr>
    </w:pPr>
  </w:style>
  <w:style w:type="character" w:customStyle="1" w:styleId="CaptionChar">
    <w:name w:val="Caption Char"/>
    <w:basedOn w:val="Heading1Char"/>
    <w:link w:val="Caption"/>
    <w:uiPriority w:val="12"/>
    <w:rsid w:val="00555918"/>
    <w:rPr>
      <w:rFonts w:ascii="Cambria" w:eastAsiaTheme="majorEastAsia" w:hAnsi="Cambria" w:cstheme="majorBidi"/>
      <w:b/>
      <w:bCs/>
      <w:color w:val="595959" w:themeColor="text1" w:themeTint="A6"/>
      <w:sz w:val="20"/>
      <w:szCs w:val="18"/>
    </w:rPr>
  </w:style>
  <w:style w:type="numbering" w:customStyle="1" w:styleId="listbullets0">
    <w:name w:val="list bullets"/>
    <w:uiPriority w:val="99"/>
    <w:rsid w:val="00555918"/>
    <w:pPr>
      <w:numPr>
        <w:numId w:val="6"/>
      </w:numPr>
    </w:pPr>
  </w:style>
  <w:style w:type="numbering" w:customStyle="1" w:styleId="ListNumber1">
    <w:name w:val="List Number1"/>
    <w:uiPriority w:val="99"/>
    <w:rsid w:val="00555918"/>
    <w:pPr>
      <w:numPr>
        <w:numId w:val="8"/>
      </w:numPr>
    </w:pPr>
  </w:style>
  <w:style w:type="paragraph" w:customStyle="1" w:styleId="EndNoteBibliographyTitle">
    <w:name w:val="EndNote Bibliography Title"/>
    <w:basedOn w:val="Normal"/>
    <w:link w:val="EndNoteBibliographyTitleChar"/>
    <w:semiHidden/>
    <w:rsid w:val="00555918"/>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555918"/>
    <w:rPr>
      <w:rFonts w:ascii="Cambria" w:hAnsi="Cambria"/>
      <w:noProof/>
      <w:lang w:val="en-US"/>
    </w:rPr>
  </w:style>
  <w:style w:type="paragraph" w:customStyle="1" w:styleId="EndNoteBibliography">
    <w:name w:val="EndNote Bibliography"/>
    <w:basedOn w:val="Normal"/>
    <w:link w:val="EndNoteBibliographyChar"/>
    <w:rsid w:val="00555918"/>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555918"/>
    <w:rPr>
      <w:rFonts w:ascii="Cambria" w:hAnsi="Cambria"/>
      <w:noProof/>
      <w:lang w:val="en-US"/>
    </w:rPr>
  </w:style>
  <w:style w:type="paragraph" w:styleId="Revision">
    <w:name w:val="Revision"/>
    <w:hidden/>
    <w:uiPriority w:val="99"/>
    <w:semiHidden/>
    <w:rsid w:val="00555918"/>
    <w:pPr>
      <w:spacing w:after="0" w:line="240" w:lineRule="auto"/>
    </w:pPr>
    <w:rPr>
      <w:rFonts w:ascii="Cambria" w:hAnsi="Cambria"/>
    </w:rPr>
  </w:style>
  <w:style w:type="numbering" w:customStyle="1" w:styleId="ListBullets">
    <w:name w:val="ListBullets"/>
    <w:uiPriority w:val="99"/>
    <w:rsid w:val="00555918"/>
    <w:pPr>
      <w:numPr>
        <w:numId w:val="21"/>
      </w:numPr>
    </w:pPr>
  </w:style>
  <w:style w:type="paragraph" w:styleId="ListBullet3">
    <w:name w:val="List Bullet 3"/>
    <w:basedOn w:val="Normal"/>
    <w:uiPriority w:val="99"/>
    <w:unhideWhenUsed/>
    <w:rsid w:val="00555918"/>
    <w:pPr>
      <w:tabs>
        <w:tab w:val="num" w:pos="794"/>
      </w:tabs>
      <w:spacing w:before="120" w:after="0" w:line="240" w:lineRule="auto"/>
      <w:ind w:left="1219" w:hanging="425"/>
      <w:contextualSpacing/>
    </w:pPr>
    <w:rPr>
      <w:rFonts w:eastAsia="Calibri" w:cs="Times New Roman"/>
    </w:rPr>
  </w:style>
  <w:style w:type="table" w:customStyle="1" w:styleId="TableGrid10">
    <w:name w:val="Table Grid1"/>
    <w:basedOn w:val="TableNormal"/>
    <w:next w:val="TableGrid"/>
    <w:uiPriority w:val="59"/>
    <w:rsid w:val="00555918"/>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con.agriculture.gov.au/BiconWeb4.0" TargetMode="External"/><Relationship Id="rId117" Type="http://schemas.openxmlformats.org/officeDocument/2006/relationships/hyperlink" Target="https://www.ippc.int/en/core-activities/standards-setting/ispms/" TargetMode="External"/><Relationship Id="rId21" Type="http://schemas.openxmlformats.org/officeDocument/2006/relationships/image" Target="media/image5.jpeg"/><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hyperlink" Target="http://www.legislation.gov.au/" TargetMode="External"/><Relationship Id="rId68" Type="http://schemas.openxmlformats.org/officeDocument/2006/relationships/header" Target="header16.xml"/><Relationship Id="rId84" Type="http://schemas.openxmlformats.org/officeDocument/2006/relationships/hyperlink" Target="http://www.agriculture.gov.au/biosecurity/risk-analysis/plant/stonefruit-usa" TargetMode="External"/><Relationship Id="rId89" Type="http://schemas.openxmlformats.org/officeDocument/2006/relationships/hyperlink" Target="http://www.cabi.org/isc" TargetMode="External"/><Relationship Id="rId112" Type="http://schemas.openxmlformats.org/officeDocument/2006/relationships/hyperlink" Target="http://ipm.ucanr.edu/PMG/r8400311.html" TargetMode="External"/><Relationship Id="rId133" Type="http://schemas.openxmlformats.org/officeDocument/2006/relationships/hyperlink" Target="http://www.trademap.org/Index.aspx" TargetMode="External"/><Relationship Id="rId138" Type="http://schemas.openxmlformats.org/officeDocument/2006/relationships/hyperlink" Target="http://www.extento.hawaii.edu/Kbase/Crop/crop.htm" TargetMode="External"/><Relationship Id="rId154" Type="http://schemas.openxmlformats.org/officeDocument/2006/relationships/hyperlink" Target="http://edis.ifas.ufl.edu/cg002" TargetMode="External"/><Relationship Id="rId159" Type="http://schemas.openxmlformats.org/officeDocument/2006/relationships/hyperlink" Target="http://www.sag.cl/sites/default/files/res_8182-prohibe_propagacion_cuesco_palta-dic2013.pdf" TargetMode="External"/><Relationship Id="rId170" Type="http://schemas.openxmlformats.org/officeDocument/2006/relationships/hyperlink" Target="https://www.wto.org/english/docs_e/legal_e/15-sps.pdf" TargetMode="External"/><Relationship Id="rId16" Type="http://schemas.openxmlformats.org/officeDocument/2006/relationships/hyperlink" Target="mailto:plant@agriculture.gov.au" TargetMode="External"/><Relationship Id="rId107" Type="http://schemas.openxmlformats.org/officeDocument/2006/relationships/hyperlink" Target="https://www.agric.wa.gov.au/qtine/default.asp" TargetMode="External"/><Relationship Id="rId11" Type="http://schemas.openxmlformats.org/officeDocument/2006/relationships/image" Target="media/image3.png"/><Relationship Id="rId32" Type="http://schemas.openxmlformats.org/officeDocument/2006/relationships/header" Target="header10.xml"/><Relationship Id="rId37" Type="http://schemas.openxmlformats.org/officeDocument/2006/relationships/chart" Target="charts/chart2.xml"/><Relationship Id="rId53" Type="http://schemas.openxmlformats.org/officeDocument/2006/relationships/image" Target="media/image22.emf"/><Relationship Id="rId58" Type="http://schemas.openxmlformats.org/officeDocument/2006/relationships/header" Target="header13.xml"/><Relationship Id="rId74" Type="http://schemas.openxmlformats.org/officeDocument/2006/relationships/hyperlink" Target="https://biodiversity.org.au/afd/home" TargetMode="External"/><Relationship Id="rId79" Type="http://schemas.openxmlformats.org/officeDocument/2006/relationships/hyperlink" Target="http://www.agriculture.gov.au/biosecurity/risk-analysis/plant/mangoes-taiwan" TargetMode="External"/><Relationship Id="rId102" Type="http://schemas.openxmlformats.org/officeDocument/2006/relationships/hyperlink" Target="http://www.agriculture.gov.au/biosecurity/risk-analysis/plant/mangosteens-indonesia/ba2012-12-final-mangosteens" TargetMode="External"/><Relationship Id="rId123" Type="http://schemas.openxmlformats.org/officeDocument/2006/relationships/hyperlink" Target="https://nt.ars-grin.gov/fungaldatabases/" TargetMode="External"/><Relationship Id="rId128" Type="http://schemas.openxmlformats.org/officeDocument/2006/relationships/hyperlink" Target="https://www.agric.wa.gov.au/bam/western-australian-organism-list-waol" TargetMode="External"/><Relationship Id="rId144" Type="http://schemas.openxmlformats.org/officeDocument/2006/relationships/hyperlink" Target="http://www.cybertruffle.org.uk/chilfung" TargetMode="External"/><Relationship Id="rId149" Type="http://schemas.openxmlformats.org/officeDocument/2006/relationships/hyperlink" Target="http://www.avocadosource.com/WAC6/en/Resumen/4a-178.pdf" TargetMode="External"/><Relationship Id="rId5" Type="http://schemas.openxmlformats.org/officeDocument/2006/relationships/footnotes" Target="footnotes.xml"/><Relationship Id="rId90" Type="http://schemas.openxmlformats.org/officeDocument/2006/relationships/hyperlink" Target="https://www.eppo.int/QUARANTINE/data_sheets/insects/PRODER_ds.pdf" TargetMode="External"/><Relationship Id="rId95" Type="http://schemas.openxmlformats.org/officeDocument/2006/relationships/hyperlink" Target="https://en.climate-data.org/" TargetMode="External"/><Relationship Id="rId160" Type="http://schemas.openxmlformats.org/officeDocument/2006/relationships/hyperlink" Target="http://www.sag.gob.cl/ambitos-de-accion/mosca-de-la-fruta" TargetMode="External"/><Relationship Id="rId165" Type="http://schemas.openxmlformats.org/officeDocument/2006/relationships/hyperlink" Target="http://www.intechopen.com/books/integrated-pest-management-and-pestcontrol-current-and-future-tactics/biological-studies-and-pest-management-of-phytophagous-mites-in-southamerica" TargetMode="Externa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image" Target="media/image12.jpeg"/><Relationship Id="rId48" Type="http://schemas.openxmlformats.org/officeDocument/2006/relationships/image" Target="media/image17.jpeg"/><Relationship Id="rId64" Type="http://schemas.openxmlformats.org/officeDocument/2006/relationships/hyperlink" Target="http://www.foodstandards.gov.au/code/Pages/default.aspx" TargetMode="External"/><Relationship Id="rId69" Type="http://schemas.openxmlformats.org/officeDocument/2006/relationships/footer" Target="footer4.xml"/><Relationship Id="rId113" Type="http://schemas.openxmlformats.org/officeDocument/2006/relationships/hyperlink" Target="https://www.ippc.int/en/core-activities/standards-setting/ispms/" TargetMode="External"/><Relationship Id="rId118" Type="http://schemas.openxmlformats.org/officeDocument/2006/relationships/hyperlink" Target="https://www.ippc.int/en/publications/592/" TargetMode="External"/><Relationship Id="rId134" Type="http://schemas.openxmlformats.org/officeDocument/2006/relationships/hyperlink" Target="https://www.ippc.int/en/countries/australia/pestreports/2017/05/detection-of-protopulvinaria-pyriformis-pyriform-scale-in-western-australia/" TargetMode="External"/><Relationship Id="rId139" Type="http://schemas.openxmlformats.org/officeDocument/2006/relationships/hyperlink" Target="http://www.extento.hawaii.edu/kbase/crop/Type/ceratiti.htm" TargetMode="External"/><Relationship Id="rId80" Type="http://schemas.openxmlformats.org/officeDocument/2006/relationships/hyperlink" Target="http://www.agriculture.gov.au/biosecurity/risk-analysis/plant/mangoes-from-india" TargetMode="External"/><Relationship Id="rId85" Type="http://schemas.openxmlformats.org/officeDocument/2006/relationships/hyperlink" Target="http://www.agriculture.gov.au/biosecurity/risk-analysis/plant/table-grapes-china" TargetMode="External"/><Relationship Id="rId150" Type="http://schemas.openxmlformats.org/officeDocument/2006/relationships/hyperlink" Target="http://www.pir.sa.gov.au/biosecurity/plant_health" TargetMode="External"/><Relationship Id="rId155" Type="http://schemas.openxmlformats.org/officeDocument/2006/relationships/hyperlink" Target="http://ucanr.edu/sites/Rolshausen/files/248917.pdf" TargetMode="External"/><Relationship Id="rId171" Type="http://schemas.openxmlformats.org/officeDocument/2006/relationships/header" Target="header20.xml"/><Relationship Id="rId12" Type="http://schemas.openxmlformats.org/officeDocument/2006/relationships/hyperlink" Target="https://creativecommons.org/licenses/by/3.0/au/deed.en" TargetMode="External"/><Relationship Id="rId17" Type="http://schemas.openxmlformats.org/officeDocument/2006/relationships/header" Target="header3.xml"/><Relationship Id="rId33" Type="http://schemas.openxmlformats.org/officeDocument/2006/relationships/image" Target="media/image7.png"/><Relationship Id="rId38" Type="http://schemas.openxmlformats.org/officeDocument/2006/relationships/chart" Target="charts/chart3.xml"/><Relationship Id="rId59" Type="http://schemas.openxmlformats.org/officeDocument/2006/relationships/hyperlink" Target="http://www.agriculture.gov.au/SiteCollectionDocuments/biosecurity/export/plants-plant-products/plant-exports-manual/resources/australian-phytosanitary-treatment-cold.pdf" TargetMode="External"/><Relationship Id="rId103" Type="http://schemas.openxmlformats.org/officeDocument/2006/relationships/hyperlink" Target="https://www.agric.wa.gov.au/plant-biosecurity/table-grapes-final-policy-review" TargetMode="External"/><Relationship Id="rId108" Type="http://schemas.openxmlformats.org/officeDocument/2006/relationships/hyperlink" Target="https://gd.eppo.int/reporting/article-6221" TargetMode="External"/><Relationship Id="rId124" Type="http://schemas.openxmlformats.org/officeDocument/2006/relationships/hyperlink" Target="http://edis.ifas.ufl.edu/ch179" TargetMode="External"/><Relationship Id="rId129" Type="http://schemas.openxmlformats.org/officeDocument/2006/relationships/hyperlink" Target="http://entomology.ifas.ufl.edu/creatures" TargetMode="External"/><Relationship Id="rId54" Type="http://schemas.openxmlformats.org/officeDocument/2006/relationships/image" Target="media/image23.jpg"/><Relationship Id="rId70" Type="http://schemas.openxmlformats.org/officeDocument/2006/relationships/header" Target="header17.xml"/><Relationship Id="rId75" Type="http://schemas.openxmlformats.org/officeDocument/2006/relationships/hyperlink" Target="http://www.inta.gov.ar/yuto/info/documentos/entomologia/trips.pdf" TargetMode="External"/><Relationship Id="rId91" Type="http://schemas.openxmlformats.org/officeDocument/2006/relationships/hyperlink" Target="http://www.cababstractsplus.org/DMPD/Index.asp" TargetMode="External"/><Relationship Id="rId96" Type="http://schemas.openxmlformats.org/officeDocument/2006/relationships/hyperlink" Target="http://ipm.illinois.edu/fieldcrops/insects/corn_earworm/index.html" TargetMode="External"/><Relationship Id="rId140" Type="http://schemas.openxmlformats.org/officeDocument/2006/relationships/hyperlink" Target="http://www.extento.hawaii.edu/kbase/crop/Type/peridrom.htm" TargetMode="External"/><Relationship Id="rId145" Type="http://schemas.openxmlformats.org/officeDocument/2006/relationships/hyperlink" Target="http://www.nappo.org/files/3714/3782/0943/DP_03_Tetranychidae-e.pdf" TargetMode="External"/><Relationship Id="rId161" Type="http://schemas.openxmlformats.org/officeDocument/2006/relationships/hyperlink" Target="http://wiki.bugwood.org/Helicoverpa_zea" TargetMode="External"/><Relationship Id="rId166" Type="http://schemas.openxmlformats.org/officeDocument/2006/relationships/hyperlink" Target="http://diaspididae.linnaeus.naturalis.nl/linnaeus_ng/app/views/introduction/topic.php?id=3377&amp;epi=15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griculture.gov.au/" TargetMode="External"/><Relationship Id="rId23" Type="http://schemas.openxmlformats.org/officeDocument/2006/relationships/image" Target="media/image6.png"/><Relationship Id="rId28" Type="http://schemas.openxmlformats.org/officeDocument/2006/relationships/footer" Target="footer3.xml"/><Relationship Id="rId36" Type="http://schemas.openxmlformats.org/officeDocument/2006/relationships/chart" Target="charts/chart1.xml"/><Relationship Id="rId49" Type="http://schemas.openxmlformats.org/officeDocument/2006/relationships/image" Target="media/image18.jpeg"/><Relationship Id="rId57" Type="http://schemas.openxmlformats.org/officeDocument/2006/relationships/image" Target="media/image24.emf"/><Relationship Id="rId106" Type="http://schemas.openxmlformats.org/officeDocument/2006/relationships/hyperlink" Target="http://keys.lucidcentral.org/keys/v3/whitefly/Old/Homepage.htm" TargetMode="External"/><Relationship Id="rId114" Type="http://schemas.openxmlformats.org/officeDocument/2006/relationships/hyperlink" Target="https://www.ippc.int/en/core-activities/standards-setting/ispms/" TargetMode="External"/><Relationship Id="rId119" Type="http://schemas.openxmlformats.org/officeDocument/2006/relationships/hyperlink" Target="https://www.ippc.int/en/core-activities/standards-setting/ispms/" TargetMode="External"/><Relationship Id="rId127" Type="http://schemas.openxmlformats.org/officeDocument/2006/relationships/hyperlink" Target="http://industry.avocado.org.au/documents/ANZAGC09/Thurs/MR2/Andrew%20Geering.pdf" TargetMode="External"/><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hyperlink" Target="http://agriculture.gov.au/import/goods/food/inspection-compliance/inspection-scheme" TargetMode="External"/><Relationship Id="rId65" Type="http://schemas.openxmlformats.org/officeDocument/2006/relationships/hyperlink" Target="http://www.foodstandards.gov.au/code/Pages/default.aspx" TargetMode="External"/><Relationship Id="rId73" Type="http://schemas.openxmlformats.org/officeDocument/2006/relationships/header" Target="header19.xml"/><Relationship Id="rId78" Type="http://schemas.openxmlformats.org/officeDocument/2006/relationships/hyperlink" Target="http://www.agriculture.gov.au/biosecurity/risk-analysis/plant/limes-newcaledonia" TargetMode="External"/><Relationship Id="rId81" Type="http://schemas.openxmlformats.org/officeDocument/2006/relationships/hyperlink" Target="http://www.agriculture.gov.au/biosecurity/risk-analysis/plant/banana-philippines" TargetMode="External"/><Relationship Id="rId86" Type="http://schemas.openxmlformats.org/officeDocument/2006/relationships/hyperlink" Target="http://entnemdept.ufl.edu/creatures/orn/scales/citrus_snow_scale.htm" TargetMode="External"/><Relationship Id="rId94" Type="http://schemas.openxmlformats.org/officeDocument/2006/relationships/hyperlink" Target="http://www.paltahass.cl/ing/palta-hass" TargetMode="External"/><Relationship Id="rId99" Type="http://schemas.openxmlformats.org/officeDocument/2006/relationships/hyperlink" Target="http://www.agriculture.gov.au/SiteCollectionDocuments/ba/plant/ungroupeddocs/fin_neth_tomato.pdf" TargetMode="External"/><Relationship Id="rId101" Type="http://schemas.openxmlformats.org/officeDocument/2006/relationships/hyperlink" Target="http://www.agriculture.gov.au/biosecurity/risk-analysis/plant/pineapples-from-malaysia/ba2012-27-final-malaysian-pineapples" TargetMode="External"/><Relationship Id="rId122" Type="http://schemas.openxmlformats.org/officeDocument/2006/relationships/hyperlink" Target="https://www.ippc.int/en/core-activities/standards-setting/ispms/" TargetMode="External"/><Relationship Id="rId130" Type="http://schemas.openxmlformats.org/officeDocument/2006/relationships/hyperlink" Target="http://biocontrol.ucr.edu/hoddle/avocadothrips.html" TargetMode="External"/><Relationship Id="rId135" Type="http://schemas.openxmlformats.org/officeDocument/2006/relationships/hyperlink" Target="http://dx.doi.org/10.1603/IPM12006" TargetMode="External"/><Relationship Id="rId143" Type="http://schemas.openxmlformats.org/officeDocument/2006/relationships/hyperlink" Target="http://www.sel.barc.usda.gov/ScaleKeys/ScaleInsectsHome/ScaleInsectsMealybugs.html" TargetMode="External"/><Relationship Id="rId148" Type="http://schemas.openxmlformats.org/officeDocument/2006/relationships/hyperlink" Target="https://www.dpi.nsw.gov.au/components/module/accordion/agriculture/horticulture/content/insects-diseases-disorders-and-biosecurity/inect-pest-factsheets/citrus-red-mite" TargetMode="External"/><Relationship Id="rId151" Type="http://schemas.openxmlformats.org/officeDocument/2006/relationships/hyperlink" Target="http://www.planthealthaustralia.com.au/resources/australian-plant-pest-database/" TargetMode="External"/><Relationship Id="rId156" Type="http://schemas.openxmlformats.org/officeDocument/2006/relationships/hyperlink" Target="http://www.anproschile.cl" TargetMode="External"/><Relationship Id="rId164" Type="http://schemas.openxmlformats.org/officeDocument/2006/relationships/hyperlink" Target="https://www.aphis.usda.gov/import_export/plants/manuals/ports/downloads/treatment.pdf" TargetMode="External"/><Relationship Id="rId169" Type="http://schemas.openxmlformats.org/officeDocument/2006/relationships/hyperlink" Target="http://www.na.fs.fed.us/spfo/pubs/fidls/armillaria/armillaria.htm" TargetMode="Externa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fontTable" Target="fontTable.xml"/><Relationship Id="rId13" Type="http://schemas.openxmlformats.org/officeDocument/2006/relationships/hyperlink" Target="https://creativecommons.org/licenses/by/3.0/au/legalcode" TargetMode="External"/><Relationship Id="rId18" Type="http://schemas.openxmlformats.org/officeDocument/2006/relationships/header" Target="header4.xml"/><Relationship Id="rId39" Type="http://schemas.openxmlformats.org/officeDocument/2006/relationships/chart" Target="charts/chart4.xml"/><Relationship Id="rId109" Type="http://schemas.openxmlformats.org/officeDocument/2006/relationships/hyperlink" Target="https://gd.eppo.int/" TargetMode="External"/><Relationship Id="rId34" Type="http://schemas.openxmlformats.org/officeDocument/2006/relationships/hyperlink" Target="http://www.wpclipart.com" TargetMode="External"/><Relationship Id="rId50" Type="http://schemas.openxmlformats.org/officeDocument/2006/relationships/image" Target="media/image19.jpeg"/><Relationship Id="rId55" Type="http://schemas.openxmlformats.org/officeDocument/2006/relationships/header" Target="header11.xml"/><Relationship Id="rId76" Type="http://schemas.openxmlformats.org/officeDocument/2006/relationships/hyperlink" Target="http://www.agriculture.gov.au/biosecurity/risk-analysis/group-pest-risk-analyses/group-pra-thrips-orthotospoviruses/final-report" TargetMode="External"/><Relationship Id="rId97" Type="http://schemas.openxmlformats.org/officeDocument/2006/relationships/hyperlink" Target="http://www.worldavocadocongress2011.com/userfiles" TargetMode="External"/><Relationship Id="rId104" Type="http://schemas.openxmlformats.org/officeDocument/2006/relationships/hyperlink" Target="http://www.agriculture.gov.au/biosecurity/risk-analysis/memos/ba2015-20" TargetMode="External"/><Relationship Id="rId120" Type="http://schemas.openxmlformats.org/officeDocument/2006/relationships/hyperlink" Target="https://www.ippc.int/en/publications/639/" TargetMode="External"/><Relationship Id="rId125" Type="http://schemas.openxmlformats.org/officeDocument/2006/relationships/hyperlink" Target="http://scalenet.info" TargetMode="External"/><Relationship Id="rId141" Type="http://schemas.openxmlformats.org/officeDocument/2006/relationships/hyperlink" Target="http://www.montpellier.inra.fr/CBGP/spmweb" TargetMode="External"/><Relationship Id="rId146" Type="http://schemas.openxmlformats.org/officeDocument/2006/relationships/hyperlink" Target="https://www.legislation.nsw.gov.au/regulations/2017-232.pdf" TargetMode="External"/><Relationship Id="rId167" Type="http://schemas.openxmlformats.org/officeDocument/2006/relationships/hyperlink" Target="http://diaspididae.linnaeus.naturalis.nl/linnaeus_ng/app/views/introduction/topic.php?id=3377&amp;epi=155" TargetMode="External"/><Relationship Id="rId7" Type="http://schemas.openxmlformats.org/officeDocument/2006/relationships/image" Target="media/image1.jpeg"/><Relationship Id="rId71" Type="http://schemas.openxmlformats.org/officeDocument/2006/relationships/footer" Target="footer5.xml"/><Relationship Id="rId92" Type="http://schemas.openxmlformats.org/officeDocument/2006/relationships/hyperlink" Target="http://entnemdept.ufl.edu/creatures/veg/corn_earworm.htm" TargetMode="External"/><Relationship Id="rId162" Type="http://schemas.openxmlformats.org/officeDocument/2006/relationships/hyperlink" Target="http://www.avocadosource.com/Journals/AUSNZ/AUSNZ_2001/1063p013.pdf" TargetMode="External"/><Relationship Id="rId2" Type="http://schemas.openxmlformats.org/officeDocument/2006/relationships/styles" Target="styles.xml"/><Relationship Id="rId29" Type="http://schemas.openxmlformats.org/officeDocument/2006/relationships/hyperlink" Target="http://www.agriculture.gov.au/biosecurity/risk-analysis/guidelines" TargetMode="External"/><Relationship Id="rId24" Type="http://schemas.openxmlformats.org/officeDocument/2006/relationships/header" Target="header6.xml"/><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header" Target="header14.xml"/><Relationship Id="rId87" Type="http://schemas.openxmlformats.org/officeDocument/2006/relationships/hyperlink" Target="http://www.cabi.org/publishing-products/compendia" TargetMode="External"/><Relationship Id="rId110" Type="http://schemas.openxmlformats.org/officeDocument/2006/relationships/hyperlink" Target="http://www.sel.barc.usda.gov:8080/1WF/WhiteflyHost.pdf" TargetMode="External"/><Relationship Id="rId115" Type="http://schemas.openxmlformats.org/officeDocument/2006/relationships/hyperlink" Target="https://www.ippc.int/en/core-activities/standards-setting/ispms/" TargetMode="External"/><Relationship Id="rId131" Type="http://schemas.openxmlformats.org/officeDocument/2006/relationships/hyperlink" Target="https://firstdetector.org/pdf/chili_thrips_deck.pdf" TargetMode="External"/><Relationship Id="rId136" Type="http://schemas.openxmlformats.org/officeDocument/2006/relationships/hyperlink" Target="https://www.landcareresearch.co.nz/science/portfolios/defining-land-biota/invertebrates/systematics/scale-insects/species-information-sheets/parthenolacanium-corni" TargetMode="External"/><Relationship Id="rId157" Type="http://schemas.openxmlformats.org/officeDocument/2006/relationships/hyperlink" Target="https://www.ippc.int/en/countries/chile/pestreports/2010/09/actualizacion-de-la-vigilancia-de-homalodisca-vitripennis/" TargetMode="External"/><Relationship Id="rId61" Type="http://schemas.openxmlformats.org/officeDocument/2006/relationships/hyperlink" Target="http://agriculture.gov.au/import/goods/food/inspection-compliance/inspection-scheme" TargetMode="External"/><Relationship Id="rId82" Type="http://schemas.openxmlformats.org/officeDocument/2006/relationships/hyperlink" Target="http://www.agriculture.gov.au/biosecurity/risk-analysis/plant/unshu-mandarin-from-japan" TargetMode="External"/><Relationship Id="rId152" Type="http://schemas.openxmlformats.org/officeDocument/2006/relationships/hyperlink" Target="https://www.daf.qld.gov.au/__data/assets/pdf_file/0004/379138/qld-biosecurity-manual.pdf" TargetMode="External"/><Relationship Id="rId173"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hyperlink" Target="mailto:copyright@agriculture.gov.au" TargetMode="External"/><Relationship Id="rId30" Type="http://schemas.openxmlformats.org/officeDocument/2006/relationships/hyperlink" Target="https://bicon.agriculture.gov.au/BiconWeb4.0" TargetMode="External"/><Relationship Id="rId35" Type="http://schemas.openxmlformats.org/officeDocument/2006/relationships/image" Target="media/image8.jpeg"/><Relationship Id="rId56" Type="http://schemas.openxmlformats.org/officeDocument/2006/relationships/header" Target="header12.xml"/><Relationship Id="rId77" Type="http://schemas.openxmlformats.org/officeDocument/2006/relationships/hyperlink" Target="http://www.dpi.nsw.gov.au/__data/assets/pdf_file/0006/138705/mite-pests-citrus.pdf" TargetMode="External"/><Relationship Id="rId100" Type="http://schemas.openxmlformats.org/officeDocument/2006/relationships/hyperlink" Target="http://www.agriculture.gov.au/biosecurity/risk-analysis/plant/persimmons-japankoreaisreal" TargetMode="External"/><Relationship Id="rId105" Type="http://schemas.openxmlformats.org/officeDocument/2006/relationships/hyperlink" Target="http://agriculture.vic.gov.au/__data/assets/pdf_file/0016/305152/Plant_Quarantine_Manual.pdf" TargetMode="External"/><Relationship Id="rId126" Type="http://schemas.openxmlformats.org/officeDocument/2006/relationships/hyperlink" Target="http://www.gbif.org/" TargetMode="External"/><Relationship Id="rId147" Type="http://schemas.openxmlformats.org/officeDocument/2006/relationships/hyperlink" Target="https://industry.nzavocado.co.nz/six-spotted-mite/" TargetMode="External"/><Relationship Id="rId168" Type="http://schemas.openxmlformats.org/officeDocument/2006/relationships/hyperlink" Target="https://florabase.dpaw.wa.gov.au/" TargetMode="External"/><Relationship Id="rId8" Type="http://schemas.openxmlformats.org/officeDocument/2006/relationships/header" Target="header1.xml"/><Relationship Id="rId51" Type="http://schemas.openxmlformats.org/officeDocument/2006/relationships/image" Target="media/image20.jpeg"/><Relationship Id="rId72" Type="http://schemas.openxmlformats.org/officeDocument/2006/relationships/header" Target="header18.xml"/><Relationship Id="rId93" Type="http://schemas.openxmlformats.org/officeDocument/2006/relationships/hyperlink" Target="https://www.cdfa.ca.gov/plant/pestratings/docs/insects-and-mites/Scolytid-Weevil-Pest-Rating-B.pdf" TargetMode="External"/><Relationship Id="rId98" Type="http://schemas.openxmlformats.org/officeDocument/2006/relationships/hyperlink" Target="http://www.ces.csiro.au/aicn/name_s/b_1.htm" TargetMode="External"/><Relationship Id="rId121" Type="http://schemas.openxmlformats.org/officeDocument/2006/relationships/hyperlink" Target="https://www.ippc.int/en/core-activities/standards-setting/ispms/" TargetMode="External"/><Relationship Id="rId142" Type="http://schemas.openxmlformats.org/officeDocument/2006/relationships/hyperlink" Target="http://www.idtools.org/id/scales/about_index.php" TargetMode="External"/><Relationship Id="rId163" Type="http://schemas.openxmlformats.org/officeDocument/2006/relationships/hyperlink" Target="http://www.extento.hawaii.edu/kbase/Corp/Type/p_strach.htm" TargetMode="External"/><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image" Target="media/image15.jpeg"/><Relationship Id="rId67" Type="http://schemas.openxmlformats.org/officeDocument/2006/relationships/header" Target="header15.xml"/><Relationship Id="rId116" Type="http://schemas.openxmlformats.org/officeDocument/2006/relationships/hyperlink" Target="https://www.ippc.int/en/core-activities/standards-setting/ispms/" TargetMode="External"/><Relationship Id="rId137" Type="http://schemas.openxmlformats.org/officeDocument/2006/relationships/hyperlink" Target="http://www.avocadosource.com/wac7/Section_03/LiquidoNicanor2011.pdf" TargetMode="External"/><Relationship Id="rId158" Type="http://schemas.openxmlformats.org/officeDocument/2006/relationships/hyperlink" Target="http://www.sag.gob.cl" TargetMode="External"/><Relationship Id="rId20" Type="http://schemas.openxmlformats.org/officeDocument/2006/relationships/image" Target="media/image4.png"/><Relationship Id="rId41" Type="http://schemas.openxmlformats.org/officeDocument/2006/relationships/image" Target="media/image10.jpeg"/><Relationship Id="rId62" Type="http://schemas.openxmlformats.org/officeDocument/2006/relationships/hyperlink" Target="https://www.legislation.gov.au/" TargetMode="External"/><Relationship Id="rId83" Type="http://schemas.openxmlformats.org/officeDocument/2006/relationships/hyperlink" Target="http://www.agriculture.gov.au/biosecurity/risk-analysis/plant/apples-china" TargetMode="External"/><Relationship Id="rId88" Type="http://schemas.openxmlformats.org/officeDocument/2006/relationships/hyperlink" Target="http://www.cabi.org/cpc/" TargetMode="External"/><Relationship Id="rId111" Type="http://schemas.openxmlformats.org/officeDocument/2006/relationships/hyperlink" Target="http://www.usda.gov/" TargetMode="External"/><Relationship Id="rId132" Type="http://schemas.openxmlformats.org/officeDocument/2006/relationships/hyperlink" Target="http://www.freshfromflorida.com/content/download/68146/1612588/Pest_Alert_-_Cerococcus_deklei,_grenade_scale.pdf" TargetMode="External"/><Relationship Id="rId153" Type="http://schemas.openxmlformats.org/officeDocument/2006/relationships/hyperlink" Target="https://www.legislation.qld.gov.au/view/pdf/inforce/current/sl-2016-00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4FS07\BIOSECURITYDATA$\Plant%20Horticulture\Imports\Chile\Avocado\Risk%20analysis\Production%20practices\Climate\Climate%20data%20with%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CT001CL04FS07\BIOSECURITYDATA$\Plant%20Horticulture\Imports\Chile\Avocado\Risk%20analysis\Production%20practices\Climate\Climate%20data%20with%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T001CL04FS07\BIOSECURITYDATA$\Plant%20Horticulture\Imports\Chile\Avocado\Risk%20analysis\Production%20practices\Climate\Climate%20data%20with%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T001CL04FS07\BIOSECURITYDATA$\Plant%20Horticulture\Imports\Chile\Avocado\Risk%20analysis\Production%20practices\Climate\Climate%20data%20with%20graph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chemeClr val="tx1"/>
                </a:solidFill>
              </a:rPr>
              <a:t>Cabildo</a:t>
            </a:r>
            <a:br>
              <a:rPr lang="en-AU" b="1">
                <a:solidFill>
                  <a:schemeClr val="tx1"/>
                </a:solidFill>
              </a:rPr>
            </a:br>
            <a:r>
              <a:rPr lang="en-AU" sz="1000" b="1">
                <a:solidFill>
                  <a:schemeClr val="tx1"/>
                </a:solidFill>
              </a:rPr>
              <a:t>(Valparaiso region, inland)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Sheet1!$P$30</c:f>
              <c:strCache>
                <c:ptCount val="1"/>
                <c:pt idx="0">
                  <c:v>Mean maximum temperature</c:v>
                </c:pt>
              </c:strCache>
            </c:strRef>
          </c:tx>
          <c:spPr>
            <a:ln w="15875" cap="rnd">
              <a:solidFill>
                <a:srgbClr val="C00000"/>
              </a:solidFill>
              <a:round/>
            </a:ln>
            <a:effectLst/>
          </c:spPr>
          <c:marker>
            <c:symbol val="diamond"/>
            <c:size val="7"/>
            <c:spPr>
              <a:solidFill>
                <a:srgbClr val="C00000"/>
              </a:solidFill>
              <a:ln w="9525">
                <a:noFill/>
              </a:ln>
              <a:effectLst/>
            </c:spPr>
          </c:marker>
          <c:cat>
            <c:strRef>
              <c:f>Sheet1!$A$2:$A$13</c:f>
              <c:strCache>
                <c:ptCount val="11"/>
                <c:pt idx="0">
                  <c:v>Jan</c:v>
                </c:pt>
                <c:pt idx="2">
                  <c:v>Mar</c:v>
                </c:pt>
                <c:pt idx="4">
                  <c:v>May</c:v>
                </c:pt>
                <c:pt idx="6">
                  <c:v>Jul</c:v>
                </c:pt>
                <c:pt idx="8">
                  <c:v>Sep</c:v>
                </c:pt>
                <c:pt idx="10">
                  <c:v>Nov</c:v>
                </c:pt>
              </c:strCache>
            </c:strRef>
          </c:cat>
          <c:val>
            <c:numRef>
              <c:f>Sheet1!$P$31:$P$42</c:f>
              <c:numCache>
                <c:formatCode>General</c:formatCode>
                <c:ptCount val="12"/>
                <c:pt idx="0">
                  <c:v>29.7</c:v>
                </c:pt>
                <c:pt idx="1">
                  <c:v>29.6</c:v>
                </c:pt>
                <c:pt idx="2">
                  <c:v>28</c:v>
                </c:pt>
                <c:pt idx="3">
                  <c:v>24.7</c:v>
                </c:pt>
                <c:pt idx="4">
                  <c:v>21</c:v>
                </c:pt>
                <c:pt idx="5">
                  <c:v>18.3</c:v>
                </c:pt>
                <c:pt idx="6">
                  <c:v>18.600000000000001</c:v>
                </c:pt>
                <c:pt idx="7">
                  <c:v>19.5</c:v>
                </c:pt>
                <c:pt idx="8">
                  <c:v>21.4</c:v>
                </c:pt>
                <c:pt idx="9">
                  <c:v>24</c:v>
                </c:pt>
                <c:pt idx="10">
                  <c:v>27</c:v>
                </c:pt>
                <c:pt idx="11">
                  <c:v>28.7</c:v>
                </c:pt>
              </c:numCache>
            </c:numRef>
          </c:val>
          <c:smooth val="0"/>
        </c:ser>
        <c:ser>
          <c:idx val="1"/>
          <c:order val="1"/>
          <c:tx>
            <c:strRef>
              <c:f>Sheet1!$Q$30</c:f>
              <c:strCache>
                <c:ptCount val="1"/>
                <c:pt idx="0">
                  <c:v>Mean minimum temperature</c:v>
                </c:pt>
              </c:strCache>
            </c:strRef>
          </c:tx>
          <c:spPr>
            <a:ln w="15875" cap="rnd">
              <a:solidFill>
                <a:srgbClr val="0070C0"/>
              </a:solidFill>
              <a:round/>
            </a:ln>
            <a:effectLst/>
          </c:spPr>
          <c:marker>
            <c:symbol val="square"/>
            <c:size val="4"/>
            <c:spPr>
              <a:solidFill>
                <a:srgbClr val="0070C0"/>
              </a:solidFill>
              <a:ln w="9525">
                <a:noFill/>
                <a:bevel/>
              </a:ln>
              <a:effectLst/>
            </c:spPr>
          </c:marker>
          <c:cat>
            <c:strRef>
              <c:f>Sheet1!$A$2:$A$13</c:f>
              <c:strCache>
                <c:ptCount val="11"/>
                <c:pt idx="0">
                  <c:v>Jan</c:v>
                </c:pt>
                <c:pt idx="2">
                  <c:v>Mar</c:v>
                </c:pt>
                <c:pt idx="4">
                  <c:v>May</c:v>
                </c:pt>
                <c:pt idx="6">
                  <c:v>Jul</c:v>
                </c:pt>
                <c:pt idx="8">
                  <c:v>Sep</c:v>
                </c:pt>
                <c:pt idx="10">
                  <c:v>Nov</c:v>
                </c:pt>
              </c:strCache>
            </c:strRef>
          </c:cat>
          <c:val>
            <c:numRef>
              <c:f>Sheet1!$Q$31:$Q$42</c:f>
              <c:numCache>
                <c:formatCode>General</c:formatCode>
                <c:ptCount val="12"/>
                <c:pt idx="0">
                  <c:v>15.2</c:v>
                </c:pt>
                <c:pt idx="1">
                  <c:v>14.9</c:v>
                </c:pt>
                <c:pt idx="2">
                  <c:v>13</c:v>
                </c:pt>
                <c:pt idx="3">
                  <c:v>10.6</c:v>
                </c:pt>
                <c:pt idx="4">
                  <c:v>9</c:v>
                </c:pt>
                <c:pt idx="5">
                  <c:v>7.3</c:v>
                </c:pt>
                <c:pt idx="6">
                  <c:v>6.9</c:v>
                </c:pt>
                <c:pt idx="7">
                  <c:v>7.3</c:v>
                </c:pt>
                <c:pt idx="8">
                  <c:v>9</c:v>
                </c:pt>
                <c:pt idx="9">
                  <c:v>10.6</c:v>
                </c:pt>
                <c:pt idx="10">
                  <c:v>12.3</c:v>
                </c:pt>
                <c:pt idx="11">
                  <c:v>14.2</c:v>
                </c:pt>
              </c:numCache>
            </c:numRef>
          </c:val>
          <c:smooth val="0"/>
        </c:ser>
        <c:dLbls>
          <c:showLegendKey val="0"/>
          <c:showVal val="0"/>
          <c:showCatName val="0"/>
          <c:showSerName val="0"/>
          <c:showPercent val="0"/>
          <c:showBubbleSize val="0"/>
        </c:dLbls>
        <c:marker val="1"/>
        <c:smooth val="0"/>
        <c:axId val="360730544"/>
        <c:axId val="360736032"/>
      </c:lineChart>
      <c:lineChart>
        <c:grouping val="standard"/>
        <c:varyColors val="0"/>
        <c:ser>
          <c:idx val="2"/>
          <c:order val="2"/>
          <c:tx>
            <c:strRef>
              <c:f>Sheet1!$R$30</c:f>
              <c:strCache>
                <c:ptCount val="1"/>
                <c:pt idx="0">
                  <c:v>Mean precipitation</c:v>
                </c:pt>
              </c:strCache>
            </c:strRef>
          </c:tx>
          <c:spPr>
            <a:ln w="15875" cap="rnd">
              <a:solidFill>
                <a:srgbClr val="92D050"/>
              </a:solidFill>
              <a:round/>
            </a:ln>
            <a:effectLst/>
          </c:spPr>
          <c:marker>
            <c:symbol val="triangle"/>
            <c:size val="7"/>
            <c:spPr>
              <a:solidFill>
                <a:srgbClr val="92D050"/>
              </a:solidFill>
              <a:ln w="9525" cap="sq">
                <a:solidFill>
                  <a:srgbClr val="92D050"/>
                </a:solidFill>
                <a:prstDash val="solid"/>
                <a:bevel/>
                <a:headEnd type="none"/>
              </a:ln>
              <a:effectLst/>
            </c:spPr>
          </c:marker>
          <c:cat>
            <c:strRef>
              <c:f>Sheet1!$A$2:$A$13</c:f>
              <c:strCache>
                <c:ptCount val="11"/>
                <c:pt idx="0">
                  <c:v>Jan</c:v>
                </c:pt>
                <c:pt idx="2">
                  <c:v>Mar</c:v>
                </c:pt>
                <c:pt idx="4">
                  <c:v>May</c:v>
                </c:pt>
                <c:pt idx="6">
                  <c:v>Jul</c:v>
                </c:pt>
                <c:pt idx="8">
                  <c:v>Sep</c:v>
                </c:pt>
                <c:pt idx="10">
                  <c:v>Nov</c:v>
                </c:pt>
              </c:strCache>
            </c:strRef>
          </c:cat>
          <c:val>
            <c:numRef>
              <c:f>Sheet1!$R$31:$R$42</c:f>
              <c:numCache>
                <c:formatCode>General</c:formatCode>
                <c:ptCount val="12"/>
                <c:pt idx="0">
                  <c:v>0</c:v>
                </c:pt>
                <c:pt idx="1">
                  <c:v>0</c:v>
                </c:pt>
                <c:pt idx="2">
                  <c:v>1</c:v>
                </c:pt>
                <c:pt idx="3">
                  <c:v>15</c:v>
                </c:pt>
                <c:pt idx="4">
                  <c:v>47</c:v>
                </c:pt>
                <c:pt idx="5">
                  <c:v>66</c:v>
                </c:pt>
                <c:pt idx="6">
                  <c:v>66</c:v>
                </c:pt>
                <c:pt idx="7">
                  <c:v>37</c:v>
                </c:pt>
                <c:pt idx="8">
                  <c:v>21</c:v>
                </c:pt>
                <c:pt idx="9">
                  <c:v>9</c:v>
                </c:pt>
                <c:pt idx="10">
                  <c:v>7</c:v>
                </c:pt>
                <c:pt idx="11">
                  <c:v>1</c:v>
                </c:pt>
              </c:numCache>
            </c:numRef>
          </c:val>
          <c:smooth val="0"/>
        </c:ser>
        <c:dLbls>
          <c:showLegendKey val="0"/>
          <c:showVal val="0"/>
          <c:showCatName val="0"/>
          <c:showSerName val="0"/>
          <c:showPercent val="0"/>
          <c:showBubbleSize val="0"/>
        </c:dLbls>
        <c:marker val="1"/>
        <c:smooth val="0"/>
        <c:axId val="360736424"/>
        <c:axId val="360730936"/>
      </c:lineChart>
      <c:catAx>
        <c:axId val="360730544"/>
        <c:scaling>
          <c:orientation val="minMax"/>
        </c:scaling>
        <c:delete val="0"/>
        <c:axPos val="b"/>
        <c:title>
          <c:tx>
            <c:rich>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chemeClr val="tx1"/>
                    </a:solidFill>
                  </a:rPr>
                  <a:t>Month</a:t>
                </a:r>
              </a:p>
            </c:rich>
          </c:tx>
          <c:layout/>
          <c:overlay val="0"/>
          <c:spPr>
            <a:noFill/>
            <a:ln>
              <a:noFill/>
            </a:ln>
            <a:effectLst/>
          </c:spPr>
          <c:txPr>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b" anchorCtr="0"/>
          <a:lstStyle/>
          <a:p>
            <a:pPr>
              <a:defRPr sz="900" b="0" i="0" u="none" strike="noStrike" kern="1200" baseline="0">
                <a:solidFill>
                  <a:schemeClr val="tx1"/>
                </a:solidFill>
                <a:latin typeface="+mn-lt"/>
                <a:ea typeface="+mn-ea"/>
                <a:cs typeface="+mn-cs"/>
              </a:defRPr>
            </a:pPr>
            <a:endParaRPr lang="en-US"/>
          </a:p>
        </c:txPr>
        <c:crossAx val="360736032"/>
        <c:crosses val="autoZero"/>
        <c:auto val="1"/>
        <c:lblAlgn val="ctr"/>
        <c:lblOffset val="100"/>
        <c:noMultiLvlLbl val="0"/>
      </c:catAx>
      <c:valAx>
        <c:axId val="360736032"/>
        <c:scaling>
          <c:orientation val="minMax"/>
        </c:scaling>
        <c:delete val="0"/>
        <c:axPos val="l"/>
        <c:majorGridlines>
          <c:spPr>
            <a:ln w="6350" cap="flat" cmpd="sng" algn="ctr">
              <a:solidFill>
                <a:schemeClr val="bg2">
                  <a:lumMod val="7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r>
                  <a:rPr lang="en-AU" sz="1000" b="1" i="0" baseline="0">
                    <a:solidFill>
                      <a:schemeClr val="tx1"/>
                    </a:solidFill>
                    <a:effectLst/>
                  </a:rPr>
                  <a:t>Mean Temperature (°C)</a:t>
                </a:r>
                <a:endParaRPr lang="en-AU" sz="1000">
                  <a:solidFill>
                    <a:schemeClr val="tx1"/>
                  </a:solidFill>
                  <a:effectLst/>
                </a:endParaRPr>
              </a:p>
            </c:rich>
          </c:tx>
          <c:layout>
            <c:manualLayout>
              <c:xMode val="edge"/>
              <c:yMode val="edge"/>
              <c:x val="4.8812019566736545E-2"/>
              <c:y val="0.14213395224321904"/>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730544"/>
        <c:crosses val="autoZero"/>
        <c:crossBetween val="between"/>
      </c:valAx>
      <c:valAx>
        <c:axId val="360730936"/>
        <c:scaling>
          <c:orientation val="minMax"/>
          <c:max val="140"/>
        </c:scaling>
        <c:delete val="0"/>
        <c:axPos val="r"/>
        <c:title>
          <c:tx>
            <c:rich>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Mean Rainfall </a:t>
                </a:r>
                <a:r>
                  <a:rPr lang="en-AU" b="1" baseline="0">
                    <a:solidFill>
                      <a:sysClr val="windowText" lastClr="000000"/>
                    </a:solidFill>
                  </a:rPr>
                  <a:t>(mm)</a:t>
                </a:r>
                <a:endParaRPr lang="en-AU" b="1">
                  <a:solidFill>
                    <a:sysClr val="windowText" lastClr="000000"/>
                  </a:solidFill>
                </a:endParaRPr>
              </a:p>
            </c:rich>
          </c:tx>
          <c:layout>
            <c:manualLayout>
              <c:xMode val="edge"/>
              <c:yMode val="edge"/>
              <c:x val="0.88371628232005606"/>
              <c:y val="0.16143688826538552"/>
            </c:manualLayout>
          </c:layout>
          <c:overlay val="0"/>
          <c:spPr>
            <a:noFill/>
            <a:ln>
              <a:noFill/>
            </a:ln>
            <a:effectLst/>
          </c:spPr>
          <c:txPr>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60736424"/>
        <c:crosses val="max"/>
        <c:crossBetween val="between"/>
      </c:valAx>
      <c:catAx>
        <c:axId val="360736424"/>
        <c:scaling>
          <c:orientation val="minMax"/>
        </c:scaling>
        <c:delete val="1"/>
        <c:axPos val="b"/>
        <c:numFmt formatCode="General" sourceLinked="1"/>
        <c:majorTickMark val="out"/>
        <c:minorTickMark val="none"/>
        <c:tickLblPos val="nextTo"/>
        <c:crossAx val="36073093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chemeClr val="tx1"/>
                </a:solidFill>
              </a:rPr>
              <a:t>Rocas de Santo Domingo</a:t>
            </a:r>
          </a:p>
          <a:p>
            <a:pPr>
              <a:defRPr/>
            </a:pPr>
            <a:r>
              <a:rPr lang="en-AU" sz="1000" b="1">
                <a:solidFill>
                  <a:schemeClr val="tx1"/>
                </a:solidFill>
              </a:rPr>
              <a:t>(Valparaiso</a:t>
            </a:r>
            <a:r>
              <a:rPr lang="en-AU" sz="1000" b="1" baseline="0">
                <a:solidFill>
                  <a:schemeClr val="tx1"/>
                </a:solidFill>
              </a:rPr>
              <a:t> region, coastal)</a:t>
            </a:r>
            <a:endParaRPr lang="en-AU" sz="1000" b="1">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Mean maximum temperature</c:v>
                </c:pt>
              </c:strCache>
            </c:strRef>
          </c:tx>
          <c:spPr>
            <a:ln w="15875" cap="rnd">
              <a:solidFill>
                <a:srgbClr val="C00000"/>
              </a:solidFill>
              <a:round/>
            </a:ln>
            <a:effectLst/>
          </c:spPr>
          <c:marker>
            <c:symbol val="diamond"/>
            <c:size val="7"/>
            <c:spPr>
              <a:solidFill>
                <a:srgbClr val="C00000"/>
              </a:solidFill>
              <a:ln w="9525">
                <a:noFill/>
              </a:ln>
              <a:effectLst/>
            </c:spPr>
          </c:marker>
          <c:cat>
            <c:strRef>
              <c:f>Sheet1!$A$2:$A$13</c:f>
              <c:strCache>
                <c:ptCount val="11"/>
                <c:pt idx="0">
                  <c:v>Jan</c:v>
                </c:pt>
                <c:pt idx="2">
                  <c:v>Mar</c:v>
                </c:pt>
                <c:pt idx="4">
                  <c:v>May</c:v>
                </c:pt>
                <c:pt idx="6">
                  <c:v>Jul</c:v>
                </c:pt>
                <c:pt idx="8">
                  <c:v>Sep</c:v>
                </c:pt>
                <c:pt idx="10">
                  <c:v>Nov</c:v>
                </c:pt>
              </c:strCache>
            </c:strRef>
          </c:cat>
          <c:val>
            <c:numRef>
              <c:f>Sheet1!$P$55:$P$66</c:f>
              <c:numCache>
                <c:formatCode>General</c:formatCode>
                <c:ptCount val="12"/>
                <c:pt idx="0">
                  <c:v>28.7</c:v>
                </c:pt>
                <c:pt idx="1">
                  <c:v>28</c:v>
                </c:pt>
                <c:pt idx="2">
                  <c:v>25.9</c:v>
                </c:pt>
                <c:pt idx="3">
                  <c:v>22.6</c:v>
                </c:pt>
                <c:pt idx="4">
                  <c:v>19.100000000000001</c:v>
                </c:pt>
                <c:pt idx="5">
                  <c:v>16.399999999999999</c:v>
                </c:pt>
                <c:pt idx="6">
                  <c:v>16.399999999999999</c:v>
                </c:pt>
                <c:pt idx="7">
                  <c:v>17.5</c:v>
                </c:pt>
                <c:pt idx="8">
                  <c:v>19.600000000000001</c:v>
                </c:pt>
                <c:pt idx="9">
                  <c:v>22.1</c:v>
                </c:pt>
                <c:pt idx="10">
                  <c:v>25</c:v>
                </c:pt>
                <c:pt idx="11">
                  <c:v>27.6</c:v>
                </c:pt>
              </c:numCache>
            </c:numRef>
          </c:val>
          <c:smooth val="0"/>
        </c:ser>
        <c:ser>
          <c:idx val="1"/>
          <c:order val="1"/>
          <c:tx>
            <c:strRef>
              <c:f>Sheet1!$C$1</c:f>
              <c:strCache>
                <c:ptCount val="1"/>
                <c:pt idx="0">
                  <c:v>Mean minimum temperature</c:v>
                </c:pt>
              </c:strCache>
            </c:strRef>
          </c:tx>
          <c:spPr>
            <a:ln w="15875" cap="rnd">
              <a:solidFill>
                <a:srgbClr val="0070C0"/>
              </a:solidFill>
              <a:round/>
            </a:ln>
            <a:effectLst/>
          </c:spPr>
          <c:marker>
            <c:symbol val="square"/>
            <c:size val="4"/>
            <c:spPr>
              <a:solidFill>
                <a:srgbClr val="0070C0"/>
              </a:solidFill>
              <a:ln w="9525">
                <a:noFill/>
                <a:bevel/>
              </a:ln>
              <a:effectLst/>
            </c:spPr>
          </c:marker>
          <c:cat>
            <c:strRef>
              <c:f>Sheet1!$A$2:$A$13</c:f>
              <c:strCache>
                <c:ptCount val="11"/>
                <c:pt idx="0">
                  <c:v>Jan</c:v>
                </c:pt>
                <c:pt idx="2">
                  <c:v>Mar</c:v>
                </c:pt>
                <c:pt idx="4">
                  <c:v>May</c:v>
                </c:pt>
                <c:pt idx="6">
                  <c:v>Jul</c:v>
                </c:pt>
                <c:pt idx="8">
                  <c:v>Sep</c:v>
                </c:pt>
                <c:pt idx="10">
                  <c:v>Nov</c:v>
                </c:pt>
              </c:strCache>
            </c:strRef>
          </c:cat>
          <c:val>
            <c:numRef>
              <c:f>Sheet1!$Q$55:$Q$66</c:f>
              <c:numCache>
                <c:formatCode>General</c:formatCode>
                <c:ptCount val="12"/>
                <c:pt idx="0">
                  <c:v>16.100000000000001</c:v>
                </c:pt>
                <c:pt idx="1">
                  <c:v>15.7</c:v>
                </c:pt>
                <c:pt idx="2">
                  <c:v>13.8</c:v>
                </c:pt>
                <c:pt idx="3">
                  <c:v>11.5</c:v>
                </c:pt>
                <c:pt idx="4">
                  <c:v>10.199999999999999</c:v>
                </c:pt>
                <c:pt idx="5">
                  <c:v>8.8000000000000007</c:v>
                </c:pt>
                <c:pt idx="6">
                  <c:v>8.1</c:v>
                </c:pt>
                <c:pt idx="7">
                  <c:v>8.4</c:v>
                </c:pt>
                <c:pt idx="8">
                  <c:v>9.8000000000000007</c:v>
                </c:pt>
                <c:pt idx="9">
                  <c:v>11.7</c:v>
                </c:pt>
                <c:pt idx="10">
                  <c:v>13.5</c:v>
                </c:pt>
                <c:pt idx="11">
                  <c:v>15</c:v>
                </c:pt>
              </c:numCache>
            </c:numRef>
          </c:val>
          <c:smooth val="0"/>
        </c:ser>
        <c:dLbls>
          <c:showLegendKey val="0"/>
          <c:showVal val="0"/>
          <c:showCatName val="0"/>
          <c:showSerName val="0"/>
          <c:showPercent val="0"/>
          <c:showBubbleSize val="0"/>
        </c:dLbls>
        <c:marker val="1"/>
        <c:smooth val="0"/>
        <c:axId val="360731328"/>
        <c:axId val="360729368"/>
      </c:lineChart>
      <c:lineChart>
        <c:grouping val="standard"/>
        <c:varyColors val="0"/>
        <c:ser>
          <c:idx val="2"/>
          <c:order val="2"/>
          <c:tx>
            <c:strRef>
              <c:f>Sheet1!$D$1</c:f>
              <c:strCache>
                <c:ptCount val="1"/>
                <c:pt idx="0">
                  <c:v>Mean precipitation</c:v>
                </c:pt>
              </c:strCache>
            </c:strRef>
          </c:tx>
          <c:spPr>
            <a:ln w="15875" cap="rnd">
              <a:solidFill>
                <a:srgbClr val="92D050"/>
              </a:solidFill>
              <a:round/>
            </a:ln>
            <a:effectLst/>
          </c:spPr>
          <c:marker>
            <c:symbol val="triangle"/>
            <c:size val="7"/>
            <c:spPr>
              <a:solidFill>
                <a:srgbClr val="92D050"/>
              </a:solidFill>
              <a:ln w="9525" cap="sq">
                <a:solidFill>
                  <a:srgbClr val="92D050"/>
                </a:solidFill>
                <a:prstDash val="solid"/>
                <a:bevel/>
                <a:headEnd type="none"/>
              </a:ln>
              <a:effectLst/>
            </c:spPr>
          </c:marker>
          <c:cat>
            <c:strRef>
              <c:f>Sheet1!$A$2:$A$13</c:f>
              <c:strCache>
                <c:ptCount val="11"/>
                <c:pt idx="0">
                  <c:v>Jan</c:v>
                </c:pt>
                <c:pt idx="2">
                  <c:v>Mar</c:v>
                </c:pt>
                <c:pt idx="4">
                  <c:v>May</c:v>
                </c:pt>
                <c:pt idx="6">
                  <c:v>Jul</c:v>
                </c:pt>
                <c:pt idx="8">
                  <c:v>Sep</c:v>
                </c:pt>
                <c:pt idx="10">
                  <c:v>Nov</c:v>
                </c:pt>
              </c:strCache>
            </c:strRef>
          </c:cat>
          <c:val>
            <c:numRef>
              <c:f>Sheet1!$R$55:$R$66</c:f>
              <c:numCache>
                <c:formatCode>General</c:formatCode>
                <c:ptCount val="12"/>
                <c:pt idx="0">
                  <c:v>2</c:v>
                </c:pt>
                <c:pt idx="1">
                  <c:v>1</c:v>
                </c:pt>
                <c:pt idx="2">
                  <c:v>5</c:v>
                </c:pt>
                <c:pt idx="3">
                  <c:v>24</c:v>
                </c:pt>
                <c:pt idx="4">
                  <c:v>80</c:v>
                </c:pt>
                <c:pt idx="5">
                  <c:v>114</c:v>
                </c:pt>
                <c:pt idx="6">
                  <c:v>111</c:v>
                </c:pt>
                <c:pt idx="7">
                  <c:v>64</c:v>
                </c:pt>
                <c:pt idx="8">
                  <c:v>32</c:v>
                </c:pt>
                <c:pt idx="9">
                  <c:v>16</c:v>
                </c:pt>
                <c:pt idx="10">
                  <c:v>9</c:v>
                </c:pt>
                <c:pt idx="11">
                  <c:v>4</c:v>
                </c:pt>
              </c:numCache>
            </c:numRef>
          </c:val>
          <c:smooth val="0"/>
        </c:ser>
        <c:dLbls>
          <c:showLegendKey val="0"/>
          <c:showVal val="0"/>
          <c:showCatName val="0"/>
          <c:showSerName val="0"/>
          <c:showPercent val="0"/>
          <c:showBubbleSize val="0"/>
        </c:dLbls>
        <c:marker val="1"/>
        <c:smooth val="0"/>
        <c:axId val="360731720"/>
        <c:axId val="360732504"/>
      </c:lineChart>
      <c:catAx>
        <c:axId val="360731328"/>
        <c:scaling>
          <c:orientation val="minMax"/>
        </c:scaling>
        <c:delete val="0"/>
        <c:axPos val="b"/>
        <c:title>
          <c:tx>
            <c:rich>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chemeClr val="tx1"/>
                    </a:solidFill>
                  </a:rPr>
                  <a:t>Month</a:t>
                </a:r>
              </a:p>
            </c:rich>
          </c:tx>
          <c:layout/>
          <c:overlay val="0"/>
          <c:spPr>
            <a:noFill/>
            <a:ln>
              <a:noFill/>
            </a:ln>
            <a:effectLst/>
          </c:spPr>
          <c:txPr>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b" anchorCtr="0"/>
          <a:lstStyle/>
          <a:p>
            <a:pPr>
              <a:defRPr sz="900" b="0" i="0" u="none" strike="noStrike" kern="1200" baseline="0">
                <a:solidFill>
                  <a:schemeClr val="tx1"/>
                </a:solidFill>
                <a:latin typeface="+mn-lt"/>
                <a:ea typeface="+mn-ea"/>
                <a:cs typeface="+mn-cs"/>
              </a:defRPr>
            </a:pPr>
            <a:endParaRPr lang="en-US"/>
          </a:p>
        </c:txPr>
        <c:crossAx val="360729368"/>
        <c:crosses val="autoZero"/>
        <c:auto val="1"/>
        <c:lblAlgn val="ctr"/>
        <c:lblOffset val="100"/>
        <c:noMultiLvlLbl val="0"/>
      </c:catAx>
      <c:valAx>
        <c:axId val="360729368"/>
        <c:scaling>
          <c:orientation val="minMax"/>
        </c:scaling>
        <c:delete val="0"/>
        <c:axPos val="l"/>
        <c:majorGridlines>
          <c:spPr>
            <a:ln w="6350" cap="flat" cmpd="sng" algn="ctr">
              <a:solidFill>
                <a:schemeClr val="bg2">
                  <a:lumMod val="7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r>
                  <a:rPr lang="en-AU" sz="1000" b="1" i="0" baseline="0">
                    <a:solidFill>
                      <a:schemeClr val="tx1"/>
                    </a:solidFill>
                    <a:effectLst/>
                  </a:rPr>
                  <a:t>Mean Temperature (°C)</a:t>
                </a:r>
                <a:endParaRPr lang="en-AU" sz="1000">
                  <a:solidFill>
                    <a:schemeClr val="tx1"/>
                  </a:solidFill>
                  <a:effectLst/>
                </a:endParaRPr>
              </a:p>
            </c:rich>
          </c:tx>
          <c:layout>
            <c:manualLayout>
              <c:xMode val="edge"/>
              <c:yMode val="edge"/>
              <c:x val="4.8812019566736545E-2"/>
              <c:y val="0.14213395224321904"/>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731328"/>
        <c:crosses val="autoZero"/>
        <c:crossBetween val="between"/>
      </c:valAx>
      <c:valAx>
        <c:axId val="360732504"/>
        <c:scaling>
          <c:orientation val="minMax"/>
          <c:max val="140"/>
        </c:scaling>
        <c:delete val="0"/>
        <c:axPos val="r"/>
        <c:title>
          <c:tx>
            <c:rich>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Mean Rainfall </a:t>
                </a:r>
                <a:r>
                  <a:rPr lang="en-AU" b="1" baseline="0">
                    <a:solidFill>
                      <a:sysClr val="windowText" lastClr="000000"/>
                    </a:solidFill>
                  </a:rPr>
                  <a:t>(mm)</a:t>
                </a:r>
                <a:endParaRPr lang="en-AU" b="1">
                  <a:solidFill>
                    <a:sysClr val="windowText" lastClr="000000"/>
                  </a:solidFill>
                </a:endParaRPr>
              </a:p>
            </c:rich>
          </c:tx>
          <c:layout>
            <c:manualLayout>
              <c:xMode val="edge"/>
              <c:yMode val="edge"/>
              <c:x val="0.88371628232005606"/>
              <c:y val="0.16143688826538552"/>
            </c:manualLayout>
          </c:layout>
          <c:overlay val="0"/>
          <c:spPr>
            <a:noFill/>
            <a:ln>
              <a:noFill/>
            </a:ln>
            <a:effectLst/>
          </c:spPr>
          <c:txPr>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60731720"/>
        <c:crosses val="max"/>
        <c:crossBetween val="between"/>
      </c:valAx>
      <c:catAx>
        <c:axId val="360731720"/>
        <c:scaling>
          <c:orientation val="minMax"/>
        </c:scaling>
        <c:delete val="1"/>
        <c:axPos val="b"/>
        <c:numFmt formatCode="General" sourceLinked="1"/>
        <c:majorTickMark val="out"/>
        <c:minorTickMark val="none"/>
        <c:tickLblPos val="nextTo"/>
        <c:crossAx val="3607325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chemeClr val="tx1"/>
                </a:solidFill>
              </a:rPr>
              <a:t>Melipilla</a:t>
            </a:r>
            <a:br>
              <a:rPr lang="en-AU" b="1">
                <a:solidFill>
                  <a:schemeClr val="tx1"/>
                </a:solidFill>
              </a:rPr>
            </a:br>
            <a:r>
              <a:rPr lang="en-AU" sz="1000" b="1">
                <a:solidFill>
                  <a:schemeClr val="tx1"/>
                </a:solidFill>
              </a:rPr>
              <a:t>(Metropolitan region, inland)</a:t>
            </a:r>
            <a:endParaRPr lang="en-AU" b="1">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Sheet1!$B$75</c:f>
              <c:strCache>
                <c:ptCount val="1"/>
              </c:strCache>
            </c:strRef>
          </c:tx>
          <c:spPr>
            <a:ln w="15875" cap="rnd">
              <a:solidFill>
                <a:srgbClr val="C00000"/>
              </a:solidFill>
              <a:round/>
            </a:ln>
            <a:effectLst/>
          </c:spPr>
          <c:marker>
            <c:symbol val="diamond"/>
            <c:size val="7"/>
            <c:spPr>
              <a:solidFill>
                <a:srgbClr val="C00000"/>
              </a:solidFill>
              <a:ln w="9525">
                <a:noFill/>
              </a:ln>
              <a:effectLst/>
            </c:spPr>
          </c:marker>
          <c:cat>
            <c:strRef>
              <c:f>Sheet1!$A$2:$A$13</c:f>
              <c:strCache>
                <c:ptCount val="11"/>
                <c:pt idx="0">
                  <c:v>Jan</c:v>
                </c:pt>
                <c:pt idx="2">
                  <c:v>Mar</c:v>
                </c:pt>
                <c:pt idx="4">
                  <c:v>May</c:v>
                </c:pt>
                <c:pt idx="6">
                  <c:v>Jul</c:v>
                </c:pt>
                <c:pt idx="8">
                  <c:v>Sep</c:v>
                </c:pt>
                <c:pt idx="10">
                  <c:v>Nov</c:v>
                </c:pt>
              </c:strCache>
            </c:strRef>
          </c:cat>
          <c:val>
            <c:numRef>
              <c:f>Sheet1!$O$76:$O$87</c:f>
              <c:numCache>
                <c:formatCode>General</c:formatCode>
                <c:ptCount val="12"/>
                <c:pt idx="0">
                  <c:v>30.2</c:v>
                </c:pt>
                <c:pt idx="1">
                  <c:v>29.4</c:v>
                </c:pt>
                <c:pt idx="2">
                  <c:v>27.1</c:v>
                </c:pt>
                <c:pt idx="3">
                  <c:v>23.5</c:v>
                </c:pt>
                <c:pt idx="4">
                  <c:v>19.3</c:v>
                </c:pt>
                <c:pt idx="5">
                  <c:v>16.2</c:v>
                </c:pt>
                <c:pt idx="6">
                  <c:v>16.2</c:v>
                </c:pt>
                <c:pt idx="7">
                  <c:v>17.5</c:v>
                </c:pt>
                <c:pt idx="8">
                  <c:v>19.899999999999999</c:v>
                </c:pt>
                <c:pt idx="9">
                  <c:v>22.7</c:v>
                </c:pt>
                <c:pt idx="10">
                  <c:v>26.2</c:v>
                </c:pt>
                <c:pt idx="11">
                  <c:v>28.9</c:v>
                </c:pt>
              </c:numCache>
            </c:numRef>
          </c:val>
          <c:smooth val="0"/>
        </c:ser>
        <c:ser>
          <c:idx val="1"/>
          <c:order val="1"/>
          <c:tx>
            <c:strRef>
              <c:f>Sheet1!$C$75</c:f>
              <c:strCache>
                <c:ptCount val="1"/>
              </c:strCache>
            </c:strRef>
          </c:tx>
          <c:spPr>
            <a:ln w="15875" cap="rnd">
              <a:solidFill>
                <a:srgbClr val="0070C0"/>
              </a:solidFill>
              <a:round/>
            </a:ln>
            <a:effectLst/>
          </c:spPr>
          <c:marker>
            <c:symbol val="square"/>
            <c:size val="4"/>
            <c:spPr>
              <a:solidFill>
                <a:srgbClr val="0070C0"/>
              </a:solidFill>
              <a:ln w="9525">
                <a:noFill/>
                <a:bevel/>
              </a:ln>
              <a:effectLst/>
            </c:spPr>
          </c:marker>
          <c:cat>
            <c:strRef>
              <c:f>Sheet1!$A$2:$A$13</c:f>
              <c:strCache>
                <c:ptCount val="11"/>
                <c:pt idx="0">
                  <c:v>Jan</c:v>
                </c:pt>
                <c:pt idx="2">
                  <c:v>Mar</c:v>
                </c:pt>
                <c:pt idx="4">
                  <c:v>May</c:v>
                </c:pt>
                <c:pt idx="6">
                  <c:v>Jul</c:v>
                </c:pt>
                <c:pt idx="8">
                  <c:v>Sep</c:v>
                </c:pt>
                <c:pt idx="10">
                  <c:v>Nov</c:v>
                </c:pt>
              </c:strCache>
            </c:strRef>
          </c:cat>
          <c:val>
            <c:numRef>
              <c:f>Sheet1!$P$76:$P$87</c:f>
              <c:numCache>
                <c:formatCode>General</c:formatCode>
                <c:ptCount val="12"/>
                <c:pt idx="0">
                  <c:v>15.6</c:v>
                </c:pt>
                <c:pt idx="1">
                  <c:v>15</c:v>
                </c:pt>
                <c:pt idx="2">
                  <c:v>13.1</c:v>
                </c:pt>
                <c:pt idx="3">
                  <c:v>10.5</c:v>
                </c:pt>
                <c:pt idx="4">
                  <c:v>9</c:v>
                </c:pt>
                <c:pt idx="5">
                  <c:v>7.4</c:v>
                </c:pt>
                <c:pt idx="6">
                  <c:v>6.7</c:v>
                </c:pt>
                <c:pt idx="7">
                  <c:v>7.2</c:v>
                </c:pt>
                <c:pt idx="8">
                  <c:v>8.8000000000000007</c:v>
                </c:pt>
                <c:pt idx="9">
                  <c:v>10.8</c:v>
                </c:pt>
                <c:pt idx="10">
                  <c:v>12.9</c:v>
                </c:pt>
                <c:pt idx="11">
                  <c:v>14.5</c:v>
                </c:pt>
              </c:numCache>
            </c:numRef>
          </c:val>
          <c:smooth val="0"/>
        </c:ser>
        <c:dLbls>
          <c:showLegendKey val="0"/>
          <c:showVal val="0"/>
          <c:showCatName val="0"/>
          <c:showSerName val="0"/>
          <c:showPercent val="0"/>
          <c:showBubbleSize val="0"/>
        </c:dLbls>
        <c:marker val="1"/>
        <c:smooth val="0"/>
        <c:axId val="360729760"/>
        <c:axId val="359617912"/>
      </c:lineChart>
      <c:lineChart>
        <c:grouping val="standard"/>
        <c:varyColors val="0"/>
        <c:ser>
          <c:idx val="2"/>
          <c:order val="2"/>
          <c:tx>
            <c:strRef>
              <c:f>Sheet1!$D$75</c:f>
              <c:strCache>
                <c:ptCount val="1"/>
              </c:strCache>
            </c:strRef>
          </c:tx>
          <c:spPr>
            <a:ln w="15875" cap="rnd">
              <a:solidFill>
                <a:srgbClr val="92D050"/>
              </a:solidFill>
              <a:round/>
            </a:ln>
            <a:effectLst/>
          </c:spPr>
          <c:marker>
            <c:symbol val="triangle"/>
            <c:size val="7"/>
            <c:spPr>
              <a:solidFill>
                <a:srgbClr val="92D050"/>
              </a:solidFill>
              <a:ln w="9525" cap="sq">
                <a:solidFill>
                  <a:srgbClr val="92D050"/>
                </a:solidFill>
                <a:prstDash val="solid"/>
                <a:bevel/>
                <a:headEnd type="none"/>
              </a:ln>
              <a:effectLst/>
            </c:spPr>
          </c:marker>
          <c:cat>
            <c:strRef>
              <c:f>Sheet1!$A$2:$A$13</c:f>
              <c:strCache>
                <c:ptCount val="11"/>
                <c:pt idx="0">
                  <c:v>Jan</c:v>
                </c:pt>
                <c:pt idx="2">
                  <c:v>Mar</c:v>
                </c:pt>
                <c:pt idx="4">
                  <c:v>May</c:v>
                </c:pt>
                <c:pt idx="6">
                  <c:v>Jul</c:v>
                </c:pt>
                <c:pt idx="8">
                  <c:v>Sep</c:v>
                </c:pt>
                <c:pt idx="10">
                  <c:v>Nov</c:v>
                </c:pt>
              </c:strCache>
            </c:strRef>
          </c:cat>
          <c:val>
            <c:numRef>
              <c:f>Sheet1!$Q$76:$Q$87</c:f>
              <c:numCache>
                <c:formatCode>General</c:formatCode>
                <c:ptCount val="12"/>
                <c:pt idx="0">
                  <c:v>2</c:v>
                </c:pt>
                <c:pt idx="1">
                  <c:v>4</c:v>
                </c:pt>
                <c:pt idx="2">
                  <c:v>4</c:v>
                </c:pt>
                <c:pt idx="3">
                  <c:v>17</c:v>
                </c:pt>
                <c:pt idx="4">
                  <c:v>80</c:v>
                </c:pt>
                <c:pt idx="5">
                  <c:v>127</c:v>
                </c:pt>
                <c:pt idx="6">
                  <c:v>100</c:v>
                </c:pt>
                <c:pt idx="7">
                  <c:v>65</c:v>
                </c:pt>
                <c:pt idx="8">
                  <c:v>27</c:v>
                </c:pt>
                <c:pt idx="9">
                  <c:v>16</c:v>
                </c:pt>
                <c:pt idx="10">
                  <c:v>8</c:v>
                </c:pt>
                <c:pt idx="11">
                  <c:v>3</c:v>
                </c:pt>
              </c:numCache>
            </c:numRef>
          </c:val>
          <c:smooth val="0"/>
        </c:ser>
        <c:dLbls>
          <c:showLegendKey val="0"/>
          <c:showVal val="0"/>
          <c:showCatName val="0"/>
          <c:showSerName val="0"/>
          <c:showPercent val="0"/>
          <c:showBubbleSize val="0"/>
        </c:dLbls>
        <c:marker val="1"/>
        <c:smooth val="0"/>
        <c:axId val="461916096"/>
        <c:axId val="461919232"/>
      </c:lineChart>
      <c:catAx>
        <c:axId val="360729760"/>
        <c:scaling>
          <c:orientation val="minMax"/>
        </c:scaling>
        <c:delete val="0"/>
        <c:axPos val="b"/>
        <c:title>
          <c:tx>
            <c:rich>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chemeClr val="tx1"/>
                    </a:solidFill>
                  </a:rPr>
                  <a:t>Month</a:t>
                </a:r>
              </a:p>
            </c:rich>
          </c:tx>
          <c:layout/>
          <c:overlay val="0"/>
          <c:spPr>
            <a:noFill/>
            <a:ln>
              <a:noFill/>
            </a:ln>
            <a:effectLst/>
          </c:spPr>
          <c:txPr>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b" anchorCtr="0"/>
          <a:lstStyle/>
          <a:p>
            <a:pPr>
              <a:defRPr sz="900" b="0" i="0" u="none" strike="noStrike" kern="1200" baseline="0">
                <a:solidFill>
                  <a:schemeClr val="tx1"/>
                </a:solidFill>
                <a:latin typeface="+mn-lt"/>
                <a:ea typeface="+mn-ea"/>
                <a:cs typeface="+mn-cs"/>
              </a:defRPr>
            </a:pPr>
            <a:endParaRPr lang="en-US"/>
          </a:p>
        </c:txPr>
        <c:crossAx val="359617912"/>
        <c:crosses val="autoZero"/>
        <c:auto val="1"/>
        <c:lblAlgn val="ctr"/>
        <c:lblOffset val="100"/>
        <c:noMultiLvlLbl val="0"/>
      </c:catAx>
      <c:valAx>
        <c:axId val="359617912"/>
        <c:scaling>
          <c:orientation val="minMax"/>
        </c:scaling>
        <c:delete val="0"/>
        <c:axPos val="l"/>
        <c:majorGridlines>
          <c:spPr>
            <a:ln w="6350" cap="flat" cmpd="sng" algn="ctr">
              <a:solidFill>
                <a:schemeClr val="bg2">
                  <a:lumMod val="7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r>
                  <a:rPr lang="en-AU" sz="1000" b="1" i="0" baseline="0">
                    <a:solidFill>
                      <a:schemeClr val="tx1"/>
                    </a:solidFill>
                    <a:effectLst/>
                  </a:rPr>
                  <a:t>Mean Temperature (°C)</a:t>
                </a:r>
                <a:endParaRPr lang="en-AU" sz="1000">
                  <a:solidFill>
                    <a:schemeClr val="tx1"/>
                  </a:solidFill>
                  <a:effectLst/>
                </a:endParaRPr>
              </a:p>
            </c:rich>
          </c:tx>
          <c:layout>
            <c:manualLayout>
              <c:xMode val="edge"/>
              <c:yMode val="edge"/>
              <c:x val="4.8812019566736545E-2"/>
              <c:y val="0.14213395224321904"/>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729760"/>
        <c:crosses val="autoZero"/>
        <c:crossBetween val="between"/>
        <c:majorUnit val="5"/>
      </c:valAx>
      <c:valAx>
        <c:axId val="461919232"/>
        <c:scaling>
          <c:orientation val="minMax"/>
          <c:max val="140"/>
          <c:min val="0"/>
        </c:scaling>
        <c:delete val="0"/>
        <c:axPos val="r"/>
        <c:title>
          <c:tx>
            <c:rich>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Mean Rainfall </a:t>
                </a:r>
                <a:r>
                  <a:rPr lang="en-AU" b="1" baseline="0">
                    <a:solidFill>
                      <a:sysClr val="windowText" lastClr="000000"/>
                    </a:solidFill>
                  </a:rPr>
                  <a:t>(mm)</a:t>
                </a:r>
                <a:endParaRPr lang="en-AU" b="1">
                  <a:solidFill>
                    <a:sysClr val="windowText" lastClr="000000"/>
                  </a:solidFill>
                </a:endParaRPr>
              </a:p>
            </c:rich>
          </c:tx>
          <c:layout>
            <c:manualLayout>
              <c:xMode val="edge"/>
              <c:yMode val="edge"/>
              <c:x val="0.88371628232005606"/>
              <c:y val="0.16143688826538552"/>
            </c:manualLayout>
          </c:layout>
          <c:overlay val="0"/>
          <c:spPr>
            <a:noFill/>
            <a:ln>
              <a:noFill/>
            </a:ln>
            <a:effectLst/>
          </c:spPr>
          <c:txPr>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1916096"/>
        <c:crosses val="max"/>
        <c:crossBetween val="between"/>
        <c:majorUnit val="20"/>
      </c:valAx>
      <c:catAx>
        <c:axId val="461916096"/>
        <c:scaling>
          <c:orientation val="minMax"/>
        </c:scaling>
        <c:delete val="1"/>
        <c:axPos val="b"/>
        <c:numFmt formatCode="General" sourceLinked="1"/>
        <c:majorTickMark val="out"/>
        <c:minorTickMark val="none"/>
        <c:tickLblPos val="nextTo"/>
        <c:crossAx val="46191923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chemeClr val="tx1"/>
                </a:solidFill>
              </a:rPr>
              <a:t>Ovalle</a:t>
            </a:r>
            <a:br>
              <a:rPr lang="en-AU" b="1">
                <a:solidFill>
                  <a:schemeClr val="tx1"/>
                </a:solidFill>
              </a:rPr>
            </a:br>
            <a:r>
              <a:rPr lang="en-AU" sz="1000" b="1">
                <a:solidFill>
                  <a:schemeClr val="tx1"/>
                </a:solidFill>
              </a:rPr>
              <a:t>(Coquimbo region, inland)</a:t>
            </a:r>
            <a:endParaRPr lang="en-AU" b="1">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Sheet1!$B$91</c:f>
              <c:strCache>
                <c:ptCount val="1"/>
              </c:strCache>
            </c:strRef>
          </c:tx>
          <c:spPr>
            <a:ln w="15875" cap="rnd">
              <a:solidFill>
                <a:srgbClr val="C00000"/>
              </a:solidFill>
              <a:round/>
            </a:ln>
            <a:effectLst/>
          </c:spPr>
          <c:marker>
            <c:symbol val="diamond"/>
            <c:size val="7"/>
            <c:spPr>
              <a:solidFill>
                <a:srgbClr val="C00000"/>
              </a:solidFill>
              <a:ln w="9525">
                <a:noFill/>
              </a:ln>
              <a:effectLst/>
            </c:spPr>
          </c:marker>
          <c:cat>
            <c:strRef>
              <c:f>Sheet1!$A$2:$A$13</c:f>
              <c:strCache>
                <c:ptCount val="11"/>
                <c:pt idx="0">
                  <c:v>Jan</c:v>
                </c:pt>
                <c:pt idx="2">
                  <c:v>Mar</c:v>
                </c:pt>
                <c:pt idx="4">
                  <c:v>May</c:v>
                </c:pt>
                <c:pt idx="6">
                  <c:v>Jul</c:v>
                </c:pt>
                <c:pt idx="8">
                  <c:v>Sep</c:v>
                </c:pt>
                <c:pt idx="10">
                  <c:v>Nov</c:v>
                </c:pt>
              </c:strCache>
            </c:strRef>
          </c:cat>
          <c:val>
            <c:numRef>
              <c:f>Sheet1!$O$93:$O$104</c:f>
              <c:numCache>
                <c:formatCode>General</c:formatCode>
                <c:ptCount val="12"/>
                <c:pt idx="0">
                  <c:v>24.9</c:v>
                </c:pt>
                <c:pt idx="1">
                  <c:v>25</c:v>
                </c:pt>
                <c:pt idx="2">
                  <c:v>23.2</c:v>
                </c:pt>
                <c:pt idx="3">
                  <c:v>20.399999999999999</c:v>
                </c:pt>
                <c:pt idx="4">
                  <c:v>18</c:v>
                </c:pt>
                <c:pt idx="5">
                  <c:v>16.8</c:v>
                </c:pt>
                <c:pt idx="6">
                  <c:v>16.5</c:v>
                </c:pt>
                <c:pt idx="7">
                  <c:v>17.2</c:v>
                </c:pt>
                <c:pt idx="8">
                  <c:v>18.399999999999999</c:v>
                </c:pt>
                <c:pt idx="9">
                  <c:v>20.100000000000001</c:v>
                </c:pt>
                <c:pt idx="10">
                  <c:v>22.3</c:v>
                </c:pt>
                <c:pt idx="11">
                  <c:v>23.8</c:v>
                </c:pt>
              </c:numCache>
            </c:numRef>
          </c:val>
          <c:smooth val="0"/>
        </c:ser>
        <c:ser>
          <c:idx val="1"/>
          <c:order val="1"/>
          <c:tx>
            <c:strRef>
              <c:f>Sheet1!$C$91</c:f>
              <c:strCache>
                <c:ptCount val="1"/>
              </c:strCache>
            </c:strRef>
          </c:tx>
          <c:spPr>
            <a:ln w="15875" cap="rnd">
              <a:solidFill>
                <a:srgbClr val="0070C0"/>
              </a:solidFill>
              <a:round/>
            </a:ln>
            <a:effectLst/>
          </c:spPr>
          <c:marker>
            <c:symbol val="square"/>
            <c:size val="4"/>
            <c:spPr>
              <a:solidFill>
                <a:srgbClr val="0070C0"/>
              </a:solidFill>
              <a:ln w="9525">
                <a:noFill/>
                <a:bevel/>
              </a:ln>
              <a:effectLst/>
            </c:spPr>
          </c:marker>
          <c:cat>
            <c:strRef>
              <c:f>Sheet1!$A$2:$A$13</c:f>
              <c:strCache>
                <c:ptCount val="11"/>
                <c:pt idx="0">
                  <c:v>Jan</c:v>
                </c:pt>
                <c:pt idx="2">
                  <c:v>Mar</c:v>
                </c:pt>
                <c:pt idx="4">
                  <c:v>May</c:v>
                </c:pt>
                <c:pt idx="6">
                  <c:v>Jul</c:v>
                </c:pt>
                <c:pt idx="8">
                  <c:v>Sep</c:v>
                </c:pt>
                <c:pt idx="10">
                  <c:v>Nov</c:v>
                </c:pt>
              </c:strCache>
            </c:strRef>
          </c:cat>
          <c:val>
            <c:numRef>
              <c:f>Sheet1!$P$93:$P$104</c:f>
              <c:numCache>
                <c:formatCode>General</c:formatCode>
                <c:ptCount val="12"/>
                <c:pt idx="0">
                  <c:v>15.2</c:v>
                </c:pt>
                <c:pt idx="1">
                  <c:v>15.2</c:v>
                </c:pt>
                <c:pt idx="2">
                  <c:v>13.1</c:v>
                </c:pt>
                <c:pt idx="3">
                  <c:v>10.8</c:v>
                </c:pt>
                <c:pt idx="4">
                  <c:v>9</c:v>
                </c:pt>
                <c:pt idx="5">
                  <c:v>7.6</c:v>
                </c:pt>
                <c:pt idx="6">
                  <c:v>6.9</c:v>
                </c:pt>
                <c:pt idx="7">
                  <c:v>7.7</c:v>
                </c:pt>
                <c:pt idx="8">
                  <c:v>8.9</c:v>
                </c:pt>
                <c:pt idx="9">
                  <c:v>10.6</c:v>
                </c:pt>
                <c:pt idx="10">
                  <c:v>12.3</c:v>
                </c:pt>
                <c:pt idx="11">
                  <c:v>13.9</c:v>
                </c:pt>
              </c:numCache>
            </c:numRef>
          </c:val>
          <c:smooth val="0"/>
        </c:ser>
        <c:dLbls>
          <c:showLegendKey val="0"/>
          <c:showVal val="0"/>
          <c:showCatName val="0"/>
          <c:showSerName val="0"/>
          <c:showPercent val="0"/>
          <c:showBubbleSize val="0"/>
        </c:dLbls>
        <c:marker val="1"/>
        <c:smooth val="0"/>
        <c:axId val="461920408"/>
        <c:axId val="461914920"/>
      </c:lineChart>
      <c:lineChart>
        <c:grouping val="standard"/>
        <c:varyColors val="0"/>
        <c:ser>
          <c:idx val="2"/>
          <c:order val="2"/>
          <c:tx>
            <c:strRef>
              <c:f>Sheet1!$D$91</c:f>
              <c:strCache>
                <c:ptCount val="1"/>
              </c:strCache>
            </c:strRef>
          </c:tx>
          <c:spPr>
            <a:ln w="15875" cap="rnd">
              <a:solidFill>
                <a:srgbClr val="92D050"/>
              </a:solidFill>
              <a:round/>
            </a:ln>
            <a:effectLst/>
          </c:spPr>
          <c:marker>
            <c:symbol val="triangle"/>
            <c:size val="7"/>
            <c:spPr>
              <a:solidFill>
                <a:srgbClr val="92D050"/>
              </a:solidFill>
              <a:ln w="9525" cap="sq">
                <a:solidFill>
                  <a:srgbClr val="92D050"/>
                </a:solidFill>
                <a:prstDash val="solid"/>
                <a:bevel/>
                <a:headEnd type="none"/>
              </a:ln>
              <a:effectLst/>
            </c:spPr>
          </c:marker>
          <c:cat>
            <c:strRef>
              <c:f>Sheet1!$A$2:$A$13</c:f>
              <c:strCache>
                <c:ptCount val="11"/>
                <c:pt idx="0">
                  <c:v>Jan</c:v>
                </c:pt>
                <c:pt idx="2">
                  <c:v>Mar</c:v>
                </c:pt>
                <c:pt idx="4">
                  <c:v>May</c:v>
                </c:pt>
                <c:pt idx="6">
                  <c:v>Jul</c:v>
                </c:pt>
                <c:pt idx="8">
                  <c:v>Sep</c:v>
                </c:pt>
                <c:pt idx="10">
                  <c:v>Nov</c:v>
                </c:pt>
              </c:strCache>
            </c:strRef>
          </c:cat>
          <c:val>
            <c:numRef>
              <c:f>Sheet1!$Q$93:$Q$104</c:f>
              <c:numCache>
                <c:formatCode>General</c:formatCode>
                <c:ptCount val="12"/>
                <c:pt idx="0">
                  <c:v>0</c:v>
                </c:pt>
                <c:pt idx="1">
                  <c:v>0</c:v>
                </c:pt>
                <c:pt idx="2">
                  <c:v>2</c:v>
                </c:pt>
                <c:pt idx="3">
                  <c:v>4</c:v>
                </c:pt>
                <c:pt idx="4">
                  <c:v>33</c:v>
                </c:pt>
                <c:pt idx="5">
                  <c:v>35</c:v>
                </c:pt>
                <c:pt idx="6">
                  <c:v>23</c:v>
                </c:pt>
                <c:pt idx="7">
                  <c:v>20</c:v>
                </c:pt>
                <c:pt idx="8">
                  <c:v>6</c:v>
                </c:pt>
                <c:pt idx="9">
                  <c:v>2</c:v>
                </c:pt>
                <c:pt idx="10">
                  <c:v>1</c:v>
                </c:pt>
                <c:pt idx="11">
                  <c:v>1</c:v>
                </c:pt>
              </c:numCache>
            </c:numRef>
          </c:val>
          <c:smooth val="0"/>
        </c:ser>
        <c:dLbls>
          <c:showLegendKey val="0"/>
          <c:showVal val="0"/>
          <c:showCatName val="0"/>
          <c:showSerName val="0"/>
          <c:showPercent val="0"/>
          <c:showBubbleSize val="0"/>
        </c:dLbls>
        <c:marker val="1"/>
        <c:smooth val="0"/>
        <c:axId val="461918840"/>
        <c:axId val="461919624"/>
      </c:lineChart>
      <c:catAx>
        <c:axId val="461920408"/>
        <c:scaling>
          <c:orientation val="minMax"/>
        </c:scaling>
        <c:delete val="0"/>
        <c:axPos val="b"/>
        <c:title>
          <c:tx>
            <c:rich>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chemeClr val="tx1"/>
                    </a:solidFill>
                  </a:rPr>
                  <a:t>Month</a:t>
                </a:r>
              </a:p>
            </c:rich>
          </c:tx>
          <c:layout/>
          <c:overlay val="0"/>
          <c:spPr>
            <a:noFill/>
            <a:ln>
              <a:noFill/>
            </a:ln>
            <a:effectLst/>
          </c:spPr>
          <c:txPr>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b" anchorCtr="0"/>
          <a:lstStyle/>
          <a:p>
            <a:pPr>
              <a:defRPr sz="900" b="0" i="0" u="none" strike="noStrike" kern="1200" baseline="0">
                <a:solidFill>
                  <a:schemeClr val="tx1"/>
                </a:solidFill>
                <a:latin typeface="+mn-lt"/>
                <a:ea typeface="+mn-ea"/>
                <a:cs typeface="+mn-cs"/>
              </a:defRPr>
            </a:pPr>
            <a:endParaRPr lang="en-US"/>
          </a:p>
        </c:txPr>
        <c:crossAx val="461914920"/>
        <c:crosses val="autoZero"/>
        <c:auto val="1"/>
        <c:lblAlgn val="ctr"/>
        <c:lblOffset val="100"/>
        <c:noMultiLvlLbl val="0"/>
      </c:catAx>
      <c:valAx>
        <c:axId val="461914920"/>
        <c:scaling>
          <c:orientation val="minMax"/>
          <c:max val="35"/>
        </c:scaling>
        <c:delete val="0"/>
        <c:axPos val="l"/>
        <c:majorGridlines>
          <c:spPr>
            <a:ln w="6350" cap="flat" cmpd="sng" algn="ctr">
              <a:solidFill>
                <a:schemeClr val="bg2">
                  <a:lumMod val="7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r>
                  <a:rPr lang="en-AU" sz="1000" b="1" i="0" baseline="0">
                    <a:solidFill>
                      <a:schemeClr val="tx1"/>
                    </a:solidFill>
                    <a:effectLst/>
                  </a:rPr>
                  <a:t>Mean Temperature (°C)</a:t>
                </a:r>
                <a:endParaRPr lang="en-AU" sz="1000">
                  <a:solidFill>
                    <a:schemeClr val="tx1"/>
                  </a:solidFill>
                  <a:effectLst/>
                </a:endParaRPr>
              </a:p>
            </c:rich>
          </c:tx>
          <c:layout>
            <c:manualLayout>
              <c:xMode val="edge"/>
              <c:yMode val="edge"/>
              <c:x val="4.8812019566736545E-2"/>
              <c:y val="0.14213395224321904"/>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920408"/>
        <c:crosses val="autoZero"/>
        <c:crossBetween val="between"/>
      </c:valAx>
      <c:valAx>
        <c:axId val="461919624"/>
        <c:scaling>
          <c:orientation val="minMax"/>
          <c:max val="140"/>
        </c:scaling>
        <c:delete val="0"/>
        <c:axPos val="r"/>
        <c:title>
          <c:tx>
            <c:rich>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Mean Rainfall </a:t>
                </a:r>
                <a:r>
                  <a:rPr lang="en-AU" b="1" baseline="0">
                    <a:solidFill>
                      <a:sysClr val="windowText" lastClr="000000"/>
                    </a:solidFill>
                  </a:rPr>
                  <a:t>(mm)</a:t>
                </a:r>
                <a:endParaRPr lang="en-AU" b="1">
                  <a:solidFill>
                    <a:sysClr val="windowText" lastClr="000000"/>
                  </a:solidFill>
                </a:endParaRPr>
              </a:p>
            </c:rich>
          </c:tx>
          <c:layout>
            <c:manualLayout>
              <c:xMode val="edge"/>
              <c:yMode val="edge"/>
              <c:x val="0.88371628232005606"/>
              <c:y val="0.16143688826538552"/>
            </c:manualLayout>
          </c:layout>
          <c:overlay val="0"/>
          <c:spPr>
            <a:noFill/>
            <a:ln>
              <a:noFill/>
            </a:ln>
            <a:effectLst/>
          </c:spPr>
          <c:txPr>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1918840"/>
        <c:crosses val="max"/>
        <c:crossBetween val="between"/>
      </c:valAx>
      <c:catAx>
        <c:axId val="461918840"/>
        <c:scaling>
          <c:orientation val="minMax"/>
        </c:scaling>
        <c:delete val="1"/>
        <c:axPos val="b"/>
        <c:numFmt formatCode="General" sourceLinked="1"/>
        <c:majorTickMark val="out"/>
        <c:minorTickMark val="none"/>
        <c:tickLblPos val="nextTo"/>
        <c:crossAx val="46191962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165</Pages>
  <Words>48022</Words>
  <Characters>277216</Characters>
  <Application>Microsoft Office Word</Application>
  <DocSecurity>0</DocSecurity>
  <Lines>8361</Lines>
  <Paragraphs>3313</Paragraphs>
  <ScaleCrop>false</ScaleCrop>
  <HeadingPairs>
    <vt:vector size="2" baseType="variant">
      <vt:variant>
        <vt:lpstr>Title</vt:lpstr>
      </vt:variant>
      <vt:variant>
        <vt:i4>1</vt:i4>
      </vt:variant>
    </vt:vector>
  </HeadingPairs>
  <TitlesOfParts>
    <vt:vector size="1" baseType="lpstr">
      <vt:lpstr>Final report for the review of biosecurity import requirements for fresh avocados from Chile</vt:lpstr>
    </vt:vector>
  </TitlesOfParts>
  <Manager/>
  <Company/>
  <LinksUpToDate>false</LinksUpToDate>
  <CharactersWithSpaces>322137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review of biosecurity import requirements for fresh avocados from Chile</dc:title>
  <dc:subject>
  </dc:subject>
  <dc:creator/>
  <cp:keywords>
  </cp:keywords>
  <dc:description>
  </dc:description>
  <cp:lastModifiedBy/>
  <cp:revision>1</cp:revision>
  <dcterms:created xsi:type="dcterms:W3CDTF">2019-12-12T04:06:00Z</dcterms:created>
  <dcterms:modified xsi:type="dcterms:W3CDTF">2019-12-12T04:06:00Z</dcterms:modified>
</cp:coreProperties>
</file>