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oter0.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3" Type="http://schemas.openxmlformats.org/package/2006/relationships/metadata/core-properties" Target="/docProps/core.xml"/><Relationship Id="rId2" Type="http://schemas.openxmlformats.org/officeDocument/2006/relationships/officeDocument" Target="/word/document.xml"/><Relationship Id="rId1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5625"/>
        <w:gridCol w:w="3942"/>
        <w:gridCol w:w="57"/>
      </w:tblGrid>
      <w:tr>
        <w:trPr>
          <w:trHeight w:val="1868" w:hRule="atLeast"/>
        </w:trPr>
        <w:tc>
          <w:tcPr>
            <w:tcW w:w="5625"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3571877" cy="1096833"/>
                  <wp:docPr id="0" name="img3.jpg"/>
                  <a:graphic>
                    <a:graphicData uri="http://schemas.openxmlformats.org/drawingml/2006/picture">
                      <pic:pic>
                        <pic:nvPicPr>
                          <pic:cNvPr id="1" name="img3.jpg"/>
                          <pic:cNvPicPr/>
                        </pic:nvPicPr>
                        <pic:blipFill>
                          <a:blip r:embed="rId6" cstate="print"/>
                          <a:stretch>
                            <a:fillRect r="0" b="0"/>
                          </a:stretch>
                        </pic:blipFill>
                        <pic:spPr>
                          <a:xfrm>
                            <a:off x="0" y="0"/>
                            <a:ext cx="3571877" cy="1096833"/>
                          </a:xfrm>
                          <a:prstGeom prst="rect">
                            <a:avLst/>
                          </a:prstGeom>
                        </pic:spPr>
                      </pic:pic>
                    </a:graphicData>
                  </a:graphic>
                </wp:inline>
              </w:drawing>
            </w:r>
          </w:p>
        </w:tc>
        <w:tc>
          <w:tcPr>
            <w:tcW w:w="3942" w:type="dxa"/>
          </w:tcPr>
          <w:p>
            <w:pPr>
              <w:pStyle w:val="EmptyCellLayoutStyle"/>
              <w:spacing w:after="0" w:line="240" w:lineRule="auto"/>
            </w:pPr>
          </w:p>
        </w:tc>
        <w:tc>
          <w:tcPr>
            <w:tcW w:w="57" w:type="dxa"/>
          </w:tcPr>
          <w:p>
            <w:pPr>
              <w:pStyle w:val="EmptyCellLayoutStyle"/>
              <w:spacing w:after="0" w:line="240" w:lineRule="auto"/>
            </w:pPr>
          </w:p>
        </w:tc>
      </w:tr>
      <w:tr>
        <w:trPr>
          <w:trHeight w:val="80" w:hRule="atLeast"/>
        </w:trPr>
        <w:tc>
          <w:tcPr>
            <w:tcW w:w="5625" w:type="dxa"/>
          </w:tcPr>
          <w:p>
            <w:pPr>
              <w:pStyle w:val="EmptyCellLayoutStyle"/>
              <w:spacing w:after="0" w:line="240" w:lineRule="auto"/>
            </w:pPr>
          </w:p>
        </w:tc>
        <w:tc>
          <w:tcPr>
            <w:tcW w:w="3942" w:type="dxa"/>
          </w:tcPr>
          <w:p>
            <w:pPr>
              <w:pStyle w:val="EmptyCellLayoutStyle"/>
              <w:spacing w:after="0" w:line="240" w:lineRule="auto"/>
            </w:pPr>
          </w:p>
        </w:tc>
        <w:tc>
          <w:tcPr>
            <w:tcW w:w="57" w:type="dxa"/>
          </w:tcPr>
          <w:p>
            <w:pPr>
              <w:pStyle w:val="EmptyCellLayoutStyle"/>
              <w:spacing w:after="0" w:line="240" w:lineRule="auto"/>
            </w:pPr>
          </w:p>
        </w:tc>
      </w:tr>
      <w:tr>
        <w:trPr>
          <w:trHeight w:val="705" w:hRule="atLeast"/>
        </w:trPr>
        <w:tc>
          <w:tcPr>
            <w:tcW w:w="5625" w:type="dxa"/>
            <w:hMerge w:val="restart"/>
          </w:tcPr>
          <w:tbl>
            <w:tblPr>
              <w:tblCellMar>
                <w:top w:w="0" w:type="dxa"/>
                <w:left w:w="0" w:type="dxa"/>
                <w:bottom w:w="0" w:type="dxa"/>
                <w:right w:w="0" w:type="dxa"/>
              </w:tblCellMar>
            </w:tblPr>
            <w:tblGrid>
              <w:gridCol w:w="9624"/>
            </w:tblGrid>
            <w:tr>
              <w:trPr>
                <w:trHeight w:val="666" w:hRule="atLeast"/>
              </w:trPr>
              <w:tc>
                <w:tcPr>
                  <w:tcW w:w="9624" w:type="dxa"/>
                  <w:tcBorders>
                    <w:top w:val="nil" w:color="000000" w:sz="7"/>
                    <w:left w:val="nil" w:color="000000" w:sz="7"/>
                    <w:bottom w:val="nil" w:color="000000" w:sz="7"/>
                    <w:right w:val="nil" w:color="000000" w:sz="7"/>
                  </w:tcBorders>
                  <w:tcMar>
                    <w:top w:w="39" w:type="dxa"/>
                    <w:left w:w="39" w:type="dxa"/>
                    <w:bottom w:w="0" w:type="dxa"/>
                    <w:right w:w="39" w:type="dxa"/>
                  </w:tcMar>
                </w:tcPr>
                <w:p>
                  <w:pPr>
                    <w:spacing w:after="0" w:line="240" w:lineRule="auto"/>
                    <w:jc w:val="left"/>
                  </w:pPr>
                  <w:r>
                    <w:rPr>
                      <w:rFonts w:ascii="Calibri" w:hAnsi="Calibri" w:eastAsia="Calibri"/>
                      <w:b/>
                      <w:color w:val="000000"/>
                      <w:sz w:val="52"/>
                    </w:rPr>
                    <w:t xml:space="preserve">Field pea residue testing annual datasets 2023-24</w:t>
                  </w:r>
                </w:p>
              </w:tc>
            </w:tr>
          </w:tbl>
          <w:p>
            <w:pPr>
              <w:spacing w:after="0" w:line="240" w:lineRule="auto"/>
            </w:pPr>
          </w:p>
        </w:tc>
        <w:tc>
          <w:tcPr>
            <w:tcW w:w="3942" w:type="dxa"/>
            <w:hMerge w:val="continue"/>
          </w:tcPr>
          <w:p>
            <w:pPr>
              <w:pStyle w:val="EmptyCellLayoutStyle"/>
              <w:spacing w:after="0" w:line="240" w:lineRule="auto"/>
            </w:pPr>
          </w:p>
        </w:tc>
        <w:tc>
          <w:tcPr>
            <w:tcW w:w="57" w:type="dxa"/>
            <w:hMerge w:val="continue"/>
          </w:tcPr>
          <w:p>
            <w:pPr>
              <w:pStyle w:val="EmptyCellLayoutStyle"/>
              <w:spacing w:after="0" w:line="240" w:lineRule="auto"/>
            </w:pPr>
          </w:p>
        </w:tc>
      </w:tr>
      <w:tr>
        <w:trPr>
          <w:trHeight w:val="59" w:hRule="atLeast"/>
        </w:trPr>
        <w:tc>
          <w:tcPr>
            <w:tcW w:w="5625" w:type="dxa"/>
          </w:tcPr>
          <w:p>
            <w:pPr>
              <w:pStyle w:val="EmptyCellLayoutStyle"/>
              <w:spacing w:after="0" w:line="240" w:lineRule="auto"/>
            </w:pPr>
          </w:p>
        </w:tc>
        <w:tc>
          <w:tcPr>
            <w:tcW w:w="3942" w:type="dxa"/>
          </w:tcPr>
          <w:p>
            <w:pPr>
              <w:pStyle w:val="EmptyCellLayoutStyle"/>
              <w:spacing w:after="0" w:line="240" w:lineRule="auto"/>
            </w:pPr>
          </w:p>
        </w:tc>
        <w:tc>
          <w:tcPr>
            <w:tcW w:w="57" w:type="dxa"/>
          </w:tcPr>
          <w:p>
            <w:pPr>
              <w:pStyle w:val="EmptyCellLayoutStyle"/>
              <w:spacing w:after="0" w:line="240" w:lineRule="auto"/>
            </w:pPr>
          </w:p>
        </w:tc>
      </w:tr>
      <w:tr>
        <w:trPr>
          <w:trHeight w:val="2417" w:hRule="atLeast"/>
        </w:trPr>
        <w:tc>
          <w:tcPr>
            <w:tcW w:w="5625" w:type="dxa"/>
            <w:hMerge w:val="restart"/>
          </w:tcPr>
          <w:tbl>
            <w:tblPr>
              <w:tblCellMar>
                <w:top w:w="0" w:type="dxa"/>
                <w:left w:w="0" w:type="dxa"/>
                <w:bottom w:w="0" w:type="dxa"/>
                <w:right w:w="0" w:type="dxa"/>
              </w:tblCellMar>
            </w:tblPr>
            <w:tblGrid>
              <w:gridCol w:w="9624"/>
            </w:tblGrid>
            <w:tr>
              <w:trPr>
                <w:trHeight w:val="2378" w:hRule="atLeast"/>
              </w:trPr>
              <w:tc>
                <w:tcPr>
                  <w:tcW w:w="9624" w:type="dxa"/>
                  <w:tcBorders>
                    <w:top w:val="nil" w:color="000000" w:sz="7"/>
                    <w:left w:val="nil" w:color="000000" w:sz="7"/>
                    <w:bottom w:val="nil" w:color="000000" w:sz="7"/>
                    <w:right w:val="nil" w:color="000000" w:sz="7"/>
                  </w:tcBorders>
                  <w:tcMar>
                    <w:top w:w="0" w:type="dxa"/>
                    <w:left w:w="39" w:type="dxa"/>
                    <w:bottom w:w="39" w:type="dxa"/>
                    <w:right w:w="39" w:type="dxa"/>
                  </w:tcMar>
                </w:tcPr>
                <w:p>
                  <w:pPr>
                    <w:spacing w:after="0" w:line="240" w:lineRule="auto"/>
                    <w:jc w:val="left"/>
                  </w:pPr>
                  <w:r>
                    <w:rPr>
                      <w:rFonts w:ascii="Calibri" w:hAnsi="Calibri" w:eastAsia="Calibri"/>
                      <w:color w:val="000000"/>
                      <w:sz w:val="28"/>
                    </w:rPr>
                    <w:t xml:space="preserve">National Residue Survey (NRS), Department of Agriculture, Fisheries and Forestry</w:t>
                  </w:r>
                </w:p>
                <w:p>
                  <w:pPr>
                    <w:spacing w:after="0" w:line="240" w:lineRule="auto"/>
                    <w:jc w:val="left"/>
                  </w:pPr>
                </w:p>
                <w:p>
                  <w:pPr>
                    <w:spacing w:after="0" w:line="240" w:lineRule="auto"/>
                    <w:jc w:val="left"/>
                  </w:pPr>
                  <w:r>
                    <w:rPr>
                      <w:rFonts w:ascii="Calibri" w:hAnsi="Calibri" w:eastAsia="Calibri"/>
                      <w:b/>
                      <w:color w:val="000000"/>
                      <w:sz w:val="28"/>
                    </w:rPr>
                    <w:t xml:space="preserve">Dataset abbreviations</w:t>
                  </w:r>
                  <w:r>
                    <w:rPr>
                      <w:rFonts w:ascii="Calibri" w:hAnsi="Calibri" w:eastAsia="Calibri"/>
                      <w:color w:val="000000"/>
                      <w:sz w:val="28"/>
                    </w:rPr>
                    <w:t xml:space="preserve"> </w:t>
                  </w:r>
                </w:p>
                <w:p>
                  <w:pPr>
                    <w:spacing w:after="0" w:line="240" w:lineRule="auto"/>
                    <w:jc w:val="left"/>
                  </w:pPr>
                </w:p>
                <w:p>
                  <w:pPr>
                    <w:spacing w:after="0" w:line="240" w:lineRule="auto"/>
                    <w:jc w:val="left"/>
                  </w:pPr>
                  <w:r>
                    <w:rPr>
                      <w:rFonts w:ascii="Cambria" w:hAnsi="Cambria" w:eastAsia="Cambria"/>
                      <w:b/>
                      <w:color w:val="000000"/>
                      <w:sz w:val="22"/>
                    </w:rPr>
                    <w:t xml:space="preserve">LOR </w:t>
                  </w:r>
                  <w:r>
                    <w:rPr>
                      <w:rFonts w:ascii="Cambria" w:hAnsi="Cambria" w:eastAsia="Cambria"/>
                      <w:color w:val="000000"/>
                      <w:sz w:val="22"/>
                    </w:rPr>
                    <w:t xml:space="preserve">Limit of reporting. </w:t>
                  </w:r>
                </w:p>
                <w:p>
                  <w:pPr>
                    <w:spacing w:after="0" w:line="240" w:lineRule="auto"/>
                    <w:jc w:val="left"/>
                  </w:pPr>
                  <w:r>
                    <w:rPr>
                      <w:rFonts w:ascii="Cambria" w:hAnsi="Cambria" w:eastAsia="Cambria"/>
                      <w:b/>
                      <w:color w:val="000000"/>
                      <w:sz w:val="22"/>
                    </w:rPr>
                    <w:t xml:space="preserve">MRL </w:t>
                  </w:r>
                  <w:r>
                    <w:rPr>
                      <w:rFonts w:ascii="Cambria" w:hAnsi="Cambria" w:eastAsia="Cambria"/>
                      <w:color w:val="000000"/>
                      <w:sz w:val="22"/>
                    </w:rPr>
                    <w:t xml:space="preserve">Maximum Residue Limit. </w:t>
                  </w:r>
                </w:p>
                <w:p>
                  <w:pPr>
                    <w:spacing w:after="0" w:line="240" w:lineRule="auto"/>
                    <w:jc w:val="left"/>
                  </w:pPr>
                  <w:r>
                    <w:rPr>
                      <w:rFonts w:ascii="Cambria" w:hAnsi="Cambria" w:eastAsia="Cambria"/>
                      <w:b/>
                      <w:color w:val="000000"/>
                      <w:sz w:val="22"/>
                    </w:rPr>
                    <w:t xml:space="preserve">no limit</w:t>
                  </w:r>
                  <w:r>
                    <w:rPr>
                      <w:rFonts w:ascii="Cambria" w:hAnsi="Cambria" w:eastAsia="Cambria"/>
                      <w:color w:val="000000"/>
                      <w:sz w:val="22"/>
                    </w:rPr>
                    <w:t xml:space="preserve"> No Australian standard applicable for the contaminant. The ‘as low as reasonably achievable’ principle applies. Detections at low levels are allowable. </w:t>
                  </w:r>
                </w:p>
                <w:p>
                  <w:pPr>
                    <w:spacing w:after="0" w:line="240" w:lineRule="auto"/>
                    <w:jc w:val="left"/>
                  </w:pPr>
                  <w:r>
                    <w:rPr>
                      <w:rFonts w:ascii="Cambria" w:hAnsi="Cambria" w:eastAsia="Cambria"/>
                      <w:b/>
                      <w:color w:val="000000"/>
                      <w:sz w:val="22"/>
                    </w:rPr>
                    <w:t xml:space="preserve">not defined</w:t>
                  </w:r>
                  <w:r>
                    <w:rPr>
                      <w:rFonts w:ascii="Cambria" w:hAnsi="Cambria" w:eastAsia="Cambria"/>
                      <w:color w:val="000000"/>
                      <w:sz w:val="22"/>
                    </w:rPr>
                    <w:t xml:space="preserve"> Standards are not defined in inedible matrixes (urine, retina and faeces). </w:t>
                  </w:r>
                </w:p>
                <w:p>
                  <w:pPr>
                    <w:spacing w:after="0" w:line="240" w:lineRule="auto"/>
                    <w:jc w:val="left"/>
                  </w:pPr>
                  <w:r>
                    <w:rPr>
                      <w:rFonts w:ascii="Cambria" w:hAnsi="Cambria" w:eastAsia="Cambria"/>
                      <w:b/>
                      <w:color w:val="000000"/>
                      <w:sz w:val="22"/>
                    </w:rPr>
                    <w:t xml:space="preserve">not set</w:t>
                  </w:r>
                  <w:r>
                    <w:rPr>
                      <w:rFonts w:ascii="Cambria" w:hAnsi="Cambria" w:eastAsia="Cambria"/>
                      <w:color w:val="000000"/>
                      <w:sz w:val="22"/>
                    </w:rPr>
                    <w:t xml:space="preserve"> No Australian standard has been set for the chemical in the edible matrix and any detection is a contravention of the Australia New Zealand Food Standards Code. </w:t>
                  </w:r>
                </w:p>
                <w:p>
                  <w:pPr>
                    <w:spacing w:after="0" w:line="240" w:lineRule="auto"/>
                    <w:jc w:val="left"/>
                  </w:pPr>
                </w:p>
                <w:p>
                  <w:pPr>
                    <w:spacing w:after="0" w:line="240" w:lineRule="auto"/>
                    <w:jc w:val="left"/>
                  </w:pPr>
                  <w:r>
                    <w:rPr>
                      <w:rFonts w:ascii="Calibri" w:hAnsi="Calibri" w:eastAsia="Calibri"/>
                      <w:b/>
                      <w:color w:val="000000"/>
                      <w:sz w:val="24"/>
                    </w:rPr>
                    <w:t xml:space="preserve">Disclaimer </w:t>
                  </w:r>
                </w:p>
                <w:p>
                  <w:pPr>
                    <w:spacing w:after="0" w:line="240" w:lineRule="auto"/>
                    <w:jc w:val="left"/>
                  </w:pPr>
                </w:p>
                <w:p>
                  <w:pPr>
                    <w:spacing w:after="0" w:line="240" w:lineRule="auto"/>
                    <w:jc w:val="left"/>
                  </w:pPr>
                  <w:r>
                    <w:rPr>
                      <w:rFonts w:ascii="Cambria" w:hAnsi="Cambria" w:eastAsia="Cambria"/>
                      <w:color w:val="000000"/>
                      <w:sz w:val="22"/>
                    </w:rPr>
                    <w:t xml:space="preserve">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pPr>
                    <w:spacing w:after="0" w:line="240" w:lineRule="auto"/>
                    <w:jc w:val="left"/>
                  </w:pPr>
                </w:p>
              </w:tc>
            </w:tr>
          </w:tbl>
          <w:p>
            <w:pPr>
              <w:spacing w:after="0" w:line="240" w:lineRule="auto"/>
            </w:pPr>
          </w:p>
        </w:tc>
        <w:tc>
          <w:tcPr>
            <w:tcW w:w="3942" w:type="dxa"/>
            <w:hMerge w:val="continue"/>
          </w:tcPr>
          <w:p>
            <w:pPr>
              <w:pStyle w:val="EmptyCellLayoutStyle"/>
              <w:spacing w:after="0" w:line="240" w:lineRule="auto"/>
            </w:pPr>
          </w:p>
        </w:tc>
        <w:tc>
          <w:tcPr>
            <w:tcW w:w="57" w:type="dxa"/>
            <w:hMerge w:val="continue"/>
          </w:tcPr>
          <w:p>
            <w:pPr>
              <w:pStyle w:val="EmptyCellLayoutStyle"/>
              <w:spacing w:after="0" w:line="240" w:lineRule="auto"/>
            </w:pPr>
          </w:p>
        </w:tc>
      </w:tr>
      <w:tr>
        <w:trPr/>
        <w:tc>
          <w:tcPr>
            <w:tcW w:w="562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921"/>
              <w:gridCol w:w="767"/>
              <w:gridCol w:w="1078"/>
              <w:gridCol w:w="1040"/>
              <w:gridCol w:w="1265"/>
              <w:gridCol w:w="1247"/>
              <w:gridCol w:w="1247"/>
            </w:tblGrid>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1: CONTAMINANTS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aldrin and dieldrin (HHDN+HEOD)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chlordane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DDT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endosulfan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endrin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HCB (hexachlorobenzene)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HCH (BHC)</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heptachlor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lindane (gamma-HCH)</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mirex</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2" name="img4.png"/>
                        <a:graphic>
                          <a:graphicData uri="http://schemas.openxmlformats.org/drawingml/2006/picture">
                            <pic:pic>
                              <pic:nvPicPr>
                                <pic:cNvPr id="3"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4" name="img5.png"/>
                        <a:graphic>
                          <a:graphicData uri="http://schemas.openxmlformats.org/drawingml/2006/picture">
                            <pic:pic>
                              <pic:nvPicPr>
                                <pic:cNvPr id="5"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6" name="img6.png"/>
                        <a:graphic>
                          <a:graphicData uri="http://schemas.openxmlformats.org/drawingml/2006/picture">
                            <pic:pic>
                              <pic:nvPicPr>
                                <pic:cNvPr id="7"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8" name="img7.png"/>
                        <a:graphic>
                          <a:graphicData uri="http://schemas.openxmlformats.org/drawingml/2006/picture">
                            <pic:pic>
                              <pic:nvPicPr>
                                <pic:cNvPr id="9"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10" name="img8.png"/>
                        <a:graphic>
                          <a:graphicData uri="http://schemas.openxmlformats.org/drawingml/2006/picture">
                            <pic:pic>
                              <pic:nvPicPr>
                                <pic:cNvPr id="11"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12" name="img9.png"/>
                        <a:graphic>
                          <a:graphicData uri="http://schemas.openxmlformats.org/drawingml/2006/picture">
                            <pic:pic>
                              <pic:nvPicPr>
                                <pic:cNvPr id="13"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14" name="img9.png"/>
                        <a:graphic>
                          <a:graphicData uri="http://schemas.openxmlformats.org/drawingml/2006/picture">
                            <pic:pic>
                              <pic:nvPicPr>
                                <pic:cNvPr id="15"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2: FUNGICIDES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azoxystrobin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benalaxyl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benzovindiflupyr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bitertanol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bixafen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boscalid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bupirimate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captafol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captan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carbendazim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carboxin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carboxin sulfoxide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chlorothalonil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cyproconazole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cyprodinil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difenoconazole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dimethomorph</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dithianon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dodine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epoxiconazole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etridiazole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fenarimol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fenbuconazole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fenhexamid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florylpicoxamid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fluazinam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fludioxonil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fluopicolide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fluopyram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fluquinconazole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flusilazole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flutriafol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fluxapyroxad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hexaconazole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imazalil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ipconazole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iprodione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isoprothiolane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isopyrazam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kresoxim-methyl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metalaxyl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myclobutanil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oxadixyl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penconazole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penflufen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prochloraz</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procymidone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propiconazole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prothioconazole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pydiflumetofen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0.4</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pyraclostrobin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pyrimethanil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quinoxyfen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quintozene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sedaxane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spiroxamine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tebuconazole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thiabendazole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tolclofos 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triadimefon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triadimenol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trifloxystrobin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triticonazole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uniconazole-P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vinclozolin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16" name="img4.png"/>
                        <a:graphic>
                          <a:graphicData uri="http://schemas.openxmlformats.org/drawingml/2006/picture">
                            <pic:pic>
                              <pic:nvPicPr>
                                <pic:cNvPr id="17"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18" name="img5.png"/>
                        <a:graphic>
                          <a:graphicData uri="http://schemas.openxmlformats.org/drawingml/2006/picture">
                            <pic:pic>
                              <pic:nvPicPr>
                                <pic:cNvPr id="19"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20" name="img6.png"/>
                        <a:graphic>
                          <a:graphicData uri="http://schemas.openxmlformats.org/drawingml/2006/picture">
                            <pic:pic>
                              <pic:nvPicPr>
                                <pic:cNvPr id="21"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22" name="img7.png"/>
                        <a:graphic>
                          <a:graphicData uri="http://schemas.openxmlformats.org/drawingml/2006/picture">
                            <pic:pic>
                              <pic:nvPicPr>
                                <pic:cNvPr id="23"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24" name="img8.png"/>
                        <a:graphic>
                          <a:graphicData uri="http://schemas.openxmlformats.org/drawingml/2006/picture">
                            <pic:pic>
                              <pic:nvPicPr>
                                <pic:cNvPr id="25"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26" name="img9.png"/>
                        <a:graphic>
                          <a:graphicData uri="http://schemas.openxmlformats.org/drawingml/2006/picture">
                            <pic:pic>
                              <pic:nvPicPr>
                                <pic:cNvPr id="27"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28" name="img9.png"/>
                        <a:graphic>
                          <a:graphicData uri="http://schemas.openxmlformats.org/drawingml/2006/picture">
                            <pic:pic>
                              <pic:nvPicPr>
                                <pic:cNvPr id="29"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3: HERBICIDES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2,2-DPA (2,2-dichloropropionic acid)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2,4-D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2,4-DB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acifluorfen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aclonifen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ametryn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aminopyralid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amitrole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atrazine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bentazone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bicyclopyrone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bixlozone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bromacil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bromoxynil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butafenacil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butroxydim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carfentrazone-ethyl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chlormequat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chlorpropham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chlorsulfuron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chlorthal-dimethyl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cinmethylin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clethodim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clodinafop acid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clodinafop-propargyl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clomazone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clopyralid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cloquintocet-mexyl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cyanazine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dicamba</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dichlobenil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dichlorprop-P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diclofop-methyl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diflufenican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dimethenamid-P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diquat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EPTC</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0.04</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ethofumesate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fenoxaprop-ethyl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flamprop-M-methyl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florasulam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florpyrauxifen-benzyl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pP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fluazifop-p-butyl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flumetsulam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flumioxazin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fluroxypyr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fomesafen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glufosinate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glyphosate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halauxifen-methyl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halosulfuron-methyl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haloxyfop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iodosulfuron-methyl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ioxynil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isoxaben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isoxaflutole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linuron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MCPA</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MCPB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mefenpyr-diethyl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mesotrione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metamitron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metazachlor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methabenzthiazuron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metolachlor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metosulam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metribuzin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metsulfuron-methyl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napropamide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norflurazon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oryzalin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oxyfluorfen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paraquat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pendimethalin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picloram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picolinafen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pinoxaden (parent)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prometryn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propachlor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propaquizafop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propyzamide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prosulfocarb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pyraflufen-ethyl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pyrasulfotole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pyroxasulfone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pyroxsulam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quizalofop-ethyl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quizalofop-P-tefuryl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saflufenacil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sethoxydim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simazine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sulfosulfuron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terbuthylazine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terbutryn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tiafenacil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topramezone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tralkoxydim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triallate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triasulfuron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tribenuron-methyl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triclopyr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trifludimoxazin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trifluralin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30" name="img4.png"/>
                        <a:graphic>
                          <a:graphicData uri="http://schemas.openxmlformats.org/drawingml/2006/picture">
                            <pic:pic>
                              <pic:nvPicPr>
                                <pic:cNvPr id="31"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32" name="img5.png"/>
                        <a:graphic>
                          <a:graphicData uri="http://schemas.openxmlformats.org/drawingml/2006/picture">
                            <pic:pic>
                              <pic:nvPicPr>
                                <pic:cNvPr id="33"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34" name="img6.png"/>
                        <a:graphic>
                          <a:graphicData uri="http://schemas.openxmlformats.org/drawingml/2006/picture">
                            <pic:pic>
                              <pic:nvPicPr>
                                <pic:cNvPr id="35"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36" name="img7.png"/>
                        <a:graphic>
                          <a:graphicData uri="http://schemas.openxmlformats.org/drawingml/2006/picture">
                            <pic:pic>
                              <pic:nvPicPr>
                                <pic:cNvPr id="37"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38" name="img8.png"/>
                        <a:graphic>
                          <a:graphicData uri="http://schemas.openxmlformats.org/drawingml/2006/picture">
                            <pic:pic>
                              <pic:nvPicPr>
                                <pic:cNvPr id="39"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40" name="img9.png"/>
                        <a:graphic>
                          <a:graphicData uri="http://schemas.openxmlformats.org/drawingml/2006/picture">
                            <pic:pic>
                              <pic:nvPicPr>
                                <pic:cNvPr id="41"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42" name="img9.png"/>
                        <a:graphic>
                          <a:graphicData uri="http://schemas.openxmlformats.org/drawingml/2006/picture">
                            <pic:pic>
                              <pic:nvPicPr>
                                <pic:cNvPr id="43"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4: INSECTICIDES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abamectin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acephate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acetamiprid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aldicarb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amitraz</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azamethiphos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azinphos-methyl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bifenazate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bifenthrin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bioresmethrin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buprofezin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cadusafos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carbaryl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carbofuran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chlorantraniliprole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0.07</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chlorfenapyr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chlorfenvinphos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chlorpyrifos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chlorpyrifos-methyl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clofentezine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clothianidin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cyantraniliprole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cyfluthrin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cyhalothrin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cypermethrin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deltamethrin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diafenthiuron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diazinon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0.7</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dichlorvos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dicofol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diflubenzuron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dimethoate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0.7</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dinotefuran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disulfoton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emamectin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ethoprophos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etoxazole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fenamiphos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fenbutatin oxide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fenitrothion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fenoxycarb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fenpyroximate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fenvalerate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fipronil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0.002</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flonicamid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fluensulfone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flupyradifurone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hexythiazox</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imidacloprid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indoxacarb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malathion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methacrifos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methamidophos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methidathion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methiocarb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methomyl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methoprene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methoxychlor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methoxyfenozide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mevinphos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monocrotophos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omethoate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parathion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parathion-methyl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permethrin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phenothrin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phorate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phosmet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piperonyl butoxide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pirimicarb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pirimiphos-methyl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profenofos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propargite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prothiofos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pymetrozine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pyrethrins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pyriproxyfen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spinetoram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spinosad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spirotetramat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sulfoxaflor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tau-fluvalinate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tebufenozide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tebufenpyrad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terbufos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tetradifon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tetraniliprole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thiacloprid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thiamethoxam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thiodicarb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triazofos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trichlorfon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triflumuron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44" name="img4.png"/>
                        <a:graphic>
                          <a:graphicData uri="http://schemas.openxmlformats.org/drawingml/2006/picture">
                            <pic:pic>
                              <pic:nvPicPr>
                                <pic:cNvPr id="45"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46" name="img5.png"/>
                        <a:graphic>
                          <a:graphicData uri="http://schemas.openxmlformats.org/drawingml/2006/picture">
                            <pic:pic>
                              <pic:nvPicPr>
                                <pic:cNvPr id="47"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48" name="img6.png"/>
                        <a:graphic>
                          <a:graphicData uri="http://schemas.openxmlformats.org/drawingml/2006/picture">
                            <pic:pic>
                              <pic:nvPicPr>
                                <pic:cNvPr id="49"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50" name="img7.png"/>
                        <a:graphic>
                          <a:graphicData uri="http://schemas.openxmlformats.org/drawingml/2006/picture">
                            <pic:pic>
                              <pic:nvPicPr>
                                <pic:cNvPr id="51"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52" name="img8.png"/>
                        <a:graphic>
                          <a:graphicData uri="http://schemas.openxmlformats.org/drawingml/2006/picture">
                            <pic:pic>
                              <pic:nvPicPr>
                                <pic:cNvPr id="53"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54" name="img9.png"/>
                        <a:graphic>
                          <a:graphicData uri="http://schemas.openxmlformats.org/drawingml/2006/picture">
                            <pic:pic>
                              <pic:nvPicPr>
                                <pic:cNvPr id="55"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56" name="img9.png"/>
                        <a:graphic>
                          <a:graphicData uri="http://schemas.openxmlformats.org/drawingml/2006/picture">
                            <pic:pic>
                              <pic:nvPicPr>
                                <pic:cNvPr id="57"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5: PHYSIOLOGICAL MODIFIER</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forchlorfenuron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prohexadione-calcium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trinexapac-ethyl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58" name="img4.png"/>
                        <a:graphic>
                          <a:graphicData uri="http://schemas.openxmlformats.org/drawingml/2006/picture">
                            <pic:pic>
                              <pic:nvPicPr>
                                <pic:cNvPr id="59"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60" name="img5.png"/>
                        <a:graphic>
                          <a:graphicData uri="http://schemas.openxmlformats.org/drawingml/2006/picture">
                            <pic:pic>
                              <pic:nvPicPr>
                                <pic:cNvPr id="61"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62" name="img6.png"/>
                        <a:graphic>
                          <a:graphicData uri="http://schemas.openxmlformats.org/drawingml/2006/picture">
                            <pic:pic>
                              <pic:nvPicPr>
                                <pic:cNvPr id="63"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64" name="img7.png"/>
                        <a:graphic>
                          <a:graphicData uri="http://schemas.openxmlformats.org/drawingml/2006/picture">
                            <pic:pic>
                              <pic:nvPicPr>
                                <pic:cNvPr id="65"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66" name="img8.png"/>
                        <a:graphic>
                          <a:graphicData uri="http://schemas.openxmlformats.org/drawingml/2006/picture">
                            <pic:pic>
                              <pic:nvPicPr>
                                <pic:cNvPr id="67"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68" name="img9.png"/>
                        <a:graphic>
                          <a:graphicData uri="http://schemas.openxmlformats.org/drawingml/2006/picture">
                            <pic:pic>
                              <pic:nvPicPr>
                                <pic:cNvPr id="69"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70" name="img9.png"/>
                        <a:graphic>
                          <a:graphicData uri="http://schemas.openxmlformats.org/drawingml/2006/picture">
                            <pic:pic>
                              <pic:nvPicPr>
                                <pic:cNvPr id="71"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bl>
          <w:p>
            <w:pPr>
              <w:spacing w:after="0" w:line="240" w:lineRule="auto"/>
            </w:pPr>
          </w:p>
        </w:tc>
        <w:tc>
          <w:tcPr>
            <w:tcW w:w="3942" w:type="dxa"/>
            <w:hMerge w:val="continue"/>
          </w:tcPr>
          <w:p>
            <w:pPr>
              <w:pStyle w:val="EmptyCellLayoutStyle"/>
              <w:spacing w:after="0" w:line="240" w:lineRule="auto"/>
            </w:pPr>
          </w:p>
        </w:tc>
        <w:tc>
          <w:tcPr>
            <w:tcW w:w="57" w:type="dxa"/>
          </w:tcPr>
          <w:p>
            <w:pPr>
              <w:pStyle w:val="EmptyCellLayoutStyle"/>
              <w:spacing w:after="0" w:line="240" w:lineRule="auto"/>
            </w:pPr>
          </w:p>
        </w:tc>
      </w:tr>
      <w:tr>
        <w:trPr>
          <w:trHeight w:val="770" w:hRule="atLeast"/>
        </w:trPr>
        <w:tc>
          <w:tcPr>
            <w:tcW w:w="5625" w:type="dxa"/>
          </w:tcPr>
          <w:p>
            <w:pPr>
              <w:pStyle w:val="EmptyCellLayoutStyle"/>
              <w:spacing w:after="0" w:line="240" w:lineRule="auto"/>
            </w:pPr>
          </w:p>
        </w:tc>
        <w:tc>
          <w:tcPr>
            <w:tcW w:w="3942" w:type="dxa"/>
          </w:tcPr>
          <w:p>
            <w:pPr>
              <w:pStyle w:val="EmptyCellLayoutStyle"/>
              <w:spacing w:after="0" w:line="240" w:lineRule="auto"/>
            </w:pPr>
          </w:p>
        </w:tc>
        <w:tc>
          <w:tcPr>
            <w:tcW w:w="57" w:type="dxa"/>
          </w:tcPr>
          <w:p>
            <w:pPr>
              <w:pStyle w:val="EmptyCellLayoutStyle"/>
              <w:spacing w:after="0" w:line="240" w:lineRule="auto"/>
            </w:pPr>
          </w:p>
        </w:tc>
      </w:tr>
    </w:tbl>
    <w:p>
      <w:pPr>
        <w:spacing w:after="0" w:line="240" w:lineRule="auto"/>
      </w:pPr>
    </w:p>
    <w:sectPr w:rsidRPr="" w:rsidDel="" w:rsidR="" w:rsidSect="">
      <w:footerReference r:id="rId5" w:type="default"/>
      <w:pgSz w:w="11905" w:h="16837"/>
      <w:pgMar w:top="612" w:right="1133" w:bottom="1296" w:left="1133" w:header="566" w:footer="566" w:gutter=""/>
    </w:sectPr>
  </w:body>
</w:document>
</file>

<file path=word/footer0.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1072"/>
      <w:gridCol w:w="11"/>
      <w:gridCol w:w="7443"/>
      <w:gridCol w:w="11"/>
      <w:gridCol w:w="1084"/>
    </w:tblGrid>
    <w:tr>
      <w:trPr/>
      <w:tc>
        <w:tcPr>
          <w:tcW w:w="1072" w:type="dxa"/>
        </w:tcPr>
        <w:p>
          <w:pPr>
            <w:pStyle w:val="EmptyCellLayoutStyle"/>
            <w:spacing w:after="0" w:line="240" w:lineRule="auto"/>
          </w:pPr>
        </w:p>
      </w:tc>
      <w:tc>
        <w:tcPr>
          <w:tcW w:w="11" w:type="dxa"/>
        </w:tcPr>
        <w:p>
          <w:pPr>
            <w:pStyle w:val="EmptyCellLayoutStyle"/>
            <w:spacing w:after="0" w:line="240" w:lineRule="auto"/>
          </w:pPr>
        </w:p>
      </w:tc>
      <w:tc>
        <w:tcPr>
          <w:tcW w:w="7443" w:type="dxa"/>
          <w:hMerge w:val="restart"/>
        </w:tcPr>
        <w:tbl>
          <w:tblPr>
            <w:tblCellMar>
              <w:top w:w="0" w:type="dxa"/>
              <w:left w:w="0" w:type="dxa"/>
              <w:bottom w:w="0" w:type="dxa"/>
              <w:right w:w="0" w:type="dxa"/>
            </w:tblCellMar>
          </w:tblPr>
          <w:tblGrid>
            <w:gridCol w:w="7455"/>
          </w:tblGrid>
          <w:tr>
            <w:trPr>
              <w:trHeight w:val="257" w:hRule="atLeast"/>
            </w:trPr>
            <w:tc>
              <w:tcPr>
                <w:tcW w:w="7455"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20"/>
                  </w:rPr>
                  <w:t xml:space="preserve">National Residue Survey | Department of Agriculture, Fisheries and Forestry</w:t>
                </w:r>
              </w:p>
            </w:tc>
          </w:tr>
        </w:tbl>
        <w:p>
          <w:pPr>
            <w:spacing w:after="0" w:line="240" w:lineRule="auto"/>
          </w:pPr>
        </w:p>
      </w:tc>
      <w:tc>
        <w:tcPr>
          <w:tcW w:w="11" w:type="dxa"/>
          <w:hMerge w:val="continue"/>
        </w:tcPr>
        <w:p>
          <w:pPr>
            <w:pStyle w:val="EmptyCellLayoutStyle"/>
            <w:spacing w:after="0" w:line="240" w:lineRule="auto"/>
          </w:pPr>
        </w:p>
      </w:tc>
      <w:tc>
        <w:tcPr>
          <w:tcW w:w="1084" w:type="dxa"/>
        </w:tcPr>
        <w:p>
          <w:pPr>
            <w:pStyle w:val="EmptyCellLayoutStyle"/>
            <w:spacing w:after="0" w:line="240" w:lineRule="auto"/>
          </w:pPr>
        </w:p>
      </w:tc>
    </w:tr>
    <w:tr>
      <w:trPr/>
      <w:tc>
        <w:tcPr>
          <w:tcW w:w="1072" w:type="dxa"/>
        </w:tcPr>
        <w:p>
          <w:pPr>
            <w:pStyle w:val="EmptyCellLayoutStyle"/>
            <w:spacing w:after="0" w:line="240" w:lineRule="auto"/>
          </w:pPr>
        </w:p>
      </w:tc>
      <w:tc>
        <w:tcPr>
          <w:tcW w:w="11" w:type="dxa"/>
        </w:tcPr>
        <w:p>
          <w:pPr>
            <w:pStyle w:val="EmptyCellLayoutStyle"/>
            <w:spacing w:after="0" w:line="240" w:lineRule="auto"/>
          </w:pPr>
        </w:p>
      </w:tc>
      <w:tc>
        <w:tcPr>
          <w:tcW w:w="7443" w:type="dxa"/>
        </w:tcPr>
        <w:p>
          <w:pPr>
            <w:pStyle w:val="EmptyCellLayoutStyle"/>
            <w:spacing w:after="0" w:line="240" w:lineRule="auto"/>
          </w:pPr>
        </w:p>
      </w:tc>
      <w:tc>
        <w:tcPr>
          <w:tcW w:w="11" w:type="dxa"/>
        </w:tcPr>
        <w:p>
          <w:pPr>
            <w:pStyle w:val="EmptyCellLayoutStyle"/>
            <w:spacing w:after="0" w:line="240" w:lineRule="auto"/>
          </w:pPr>
        </w:p>
      </w:tc>
      <w:tc>
        <w:tcPr>
          <w:tcW w:w="1084" w:type="dxa"/>
        </w:tcPr>
        <w:p>
          <w:pPr>
            <w:pStyle w:val="EmptyCellLayoutStyle"/>
            <w:spacing w:after="0" w:line="240" w:lineRule="auto"/>
          </w:pPr>
        </w:p>
      </w:tc>
    </w:tr>
    <w:tr>
      <w:trPr/>
      <w:tc>
        <w:tcPr>
          <w:tcW w:w="1072" w:type="dxa"/>
        </w:tcPr>
        <w:p>
          <w:pPr>
            <w:pStyle w:val="EmptyCellLayoutStyle"/>
            <w:spacing w:after="0" w:line="240" w:lineRule="auto"/>
          </w:pPr>
        </w:p>
      </w:tc>
      <w:tc>
        <w:tcPr>
          <w:tcW w:w="11" w:type="dxa"/>
          <w:hMerge w:val="restart"/>
        </w:tcPr>
        <w:tbl>
          <w:tblPr>
            <w:tblCellMar>
              <w:top w:w="0" w:type="dxa"/>
              <w:left w:w="0" w:type="dxa"/>
              <w:bottom w:w="0" w:type="dxa"/>
              <w:right w:w="0" w:type="dxa"/>
            </w:tblCellMar>
          </w:tblPr>
          <w:tblGrid>
            <w:gridCol w:w="7455"/>
          </w:tblGrid>
          <w:tr>
            <w:trPr>
              <w:trHeight w:val="257" w:hRule="atLeast"/>
            </w:trPr>
            <w:tc>
              <w:tcPr>
                <w:tcW w:w="745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0"/>
                  </w:rPr>
                  <w:fldChar w:fldCharType="begin" w:fldLock="0" w:dirty="0"/>
                </w:r>
                <w:r>
                  <w:rPr>
                    <w:rFonts w:ascii="Calibri" w:hAnsi="Calibri" w:eastAsia="Calibri"/>
                    <w:noProof/>
                    <w:color w:val="000000"/>
                    <w:sz w:val="20"/>
                  </w:rPr>
                  <w:instrText xml:space="preserve"> PAGE </w:instrText>
                </w:r>
                <w:r>
                  <w:rPr>
                    <w:rFonts w:ascii="Calibri" w:hAnsi="Calibri" w:eastAsia="Calibri"/>
                    <w:color w:val="000000"/>
                    <w:sz w:val="20"/>
                  </w:rPr>
                  <w:fldChar w:fldCharType="separate" w:fldLock="0" w:dirty="0"/>
                </w:r>
                <w:r>
                  <w:rPr>
                    <w:rFonts w:ascii="Calibri" w:hAnsi="Calibri" w:eastAsia="Calibri"/>
                    <w:color w:val="000000"/>
                    <w:sz w:val="20"/>
                  </w:rPr>
                  <w:t xml:space="preserve">1</w:t>
                </w:r>
                <w:r>
                  <w:rPr>
                    <w:rFonts w:ascii="Calibri" w:hAnsi="Calibri" w:eastAsia="Calibri"/>
                    <w:color w:val="000000"/>
                    <w:sz w:val="20"/>
                  </w:rPr>
                  <w:fldChar w:fldCharType="end" w:fldLock="0" w:dirty="0"/>
                </w:r>
              </w:p>
            </w:tc>
          </w:tr>
        </w:tbl>
        <w:p>
          <w:pPr>
            <w:spacing w:after="0" w:line="240" w:lineRule="auto"/>
          </w:pPr>
        </w:p>
      </w:tc>
      <w:tc>
        <w:tcPr>
          <w:tcW w:w="7443" w:type="dxa"/>
          <w:hMerge w:val="continue"/>
        </w:tcPr>
        <w:p>
          <w:pPr>
            <w:pStyle w:val="EmptyCellLayoutStyle"/>
            <w:spacing w:after="0" w:line="240" w:lineRule="auto"/>
          </w:pPr>
        </w:p>
      </w:tc>
      <w:tc>
        <w:tcPr>
          <w:tcW w:w="11" w:type="dxa"/>
        </w:tcPr>
        <w:p>
          <w:pPr>
            <w:pStyle w:val="EmptyCellLayoutStyle"/>
            <w:spacing w:after="0" w:line="240" w:lineRule="auto"/>
          </w:pPr>
        </w:p>
      </w:tc>
      <w:tc>
        <w:tcPr>
          <w:tcW w:w="1084" w:type="dxa"/>
        </w:tcPr>
        <w:p>
          <w:pPr>
            <w:pStyle w:val="EmptyCellLayoutStyle"/>
            <w:spacing w:after="0" w:line="240" w:lineRule="auto"/>
          </w:pPr>
        </w:p>
      </w:tc>
    </w:tr>
  </w:tbl>
</w:ft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xml version="1.0" encoding="UTF-8" standalone="yes"?>
<Relationships xmlns="http://schemas.openxmlformats.org/package/2006/relationships"><Relationship Id="rId8" Type="http://schemas.openxmlformats.org/officeDocument/2006/relationships/image" Target="/word/media/img5.png"/><Relationship Id="rId3" Type="http://schemas.openxmlformats.org/officeDocument/2006/relationships/styles" Target="/word/styles.xml"/><Relationship Id="rId7" Type="http://schemas.openxmlformats.org/officeDocument/2006/relationships/image" Target="/word/media/img4.png"/><Relationship Id="rId12" Type="http://schemas.openxmlformats.org/officeDocument/2006/relationships/image" Target="/word/media/img9.png"/><Relationship Id="rId17" Type="http://schemas.openxmlformats.org/officeDocument/2006/relationships/customXml" Target="../customXml/item3.xml"/><Relationship Id="rId16" Type="http://schemas.openxmlformats.org/officeDocument/2006/relationships/customXml" Target="../customXml/item2.xml"/><Relationship Id="rId6" Type="http://schemas.openxmlformats.org/officeDocument/2006/relationships/image" Target="/word/media/img3.jpg"/><Relationship Id="rId11" Type="http://schemas.openxmlformats.org/officeDocument/2006/relationships/image" Target="/word/media/img8.png"/><Relationship Id="rId5" Type="http://schemas.openxmlformats.org/officeDocument/2006/relationships/footer" Target="/word/footer0.xml"/><Relationship Id="rId15" Type="http://schemas.openxmlformats.org/officeDocument/2006/relationships/customXml" Target="../customXml/item1.xml"/><Relationship Id="rId10" Type="http://schemas.openxmlformats.org/officeDocument/2006/relationships/image" Target="/word/media/img7.png"/><Relationship Id="rId4" Type="http://schemas.openxmlformats.org/officeDocument/2006/relationships/settings" Target="/word/settings.xml"/><Relationship Id="rId9" Type="http://schemas.openxmlformats.org/officeDocument/2006/relationships/image" Target="/word/media/img6.png"/><Relationship Id="rId14" Type="http://schemas.openxmlformats.org/officeDocument/2006/relationships/numbering" Target="/word/numbering.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9C863D38-0291-4D72-9BF3-C63EED19E306}"/>
</file>

<file path=customXml/itemProps2.xml><?xml version="1.0" encoding="utf-8"?>
<ds:datastoreItem xmlns:ds="http://schemas.openxmlformats.org/officeDocument/2006/customXml" ds:itemID="{593C7BB3-9830-4B76-A3C1-D19AA853B4E4}"/>
</file>

<file path=customXml/itemProps3.xml><?xml version="1.0" encoding="utf-8"?>
<ds:datastoreItem xmlns:ds="http://schemas.openxmlformats.org/officeDocument/2006/customXml" ds:itemID="{D7F8FB08-F882-4281-AB24-97DB2DD7BFC2}"/>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creator/>
  <dc:descript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ies>
</file>