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672D" w14:textId="44DCDE5B" w:rsidR="00B84AE9" w:rsidRDefault="009438D4" w:rsidP="00AB53EE">
      <w:pPr>
        <w:pStyle w:val="Heading1"/>
      </w:pPr>
      <w:r>
        <w:t xml:space="preserve">Australian seafood export outlook 2022 </w:t>
      </w:r>
      <w:r w:rsidR="00AB53EE">
        <w:t xml:space="preserve">– </w:t>
      </w:r>
      <w:r w:rsidR="003B0171">
        <w:t>February</w:t>
      </w:r>
      <w:r w:rsidR="00B84AE9" w:rsidRPr="00B84AE9">
        <w:t xml:space="preserve"> 202</w:t>
      </w:r>
      <w:r w:rsidR="00E508BE">
        <w:t>2</w:t>
      </w:r>
    </w:p>
    <w:p w14:paraId="1833FFB6" w14:textId="49F92BCD" w:rsidR="009438D4" w:rsidRDefault="009438D4" w:rsidP="00BA7B9C">
      <w:r w:rsidRPr="009438D4">
        <w:t>Australia</w:t>
      </w:r>
      <w:r>
        <w:t xml:space="preserve"> </w:t>
      </w:r>
      <w:r w:rsidRPr="009438D4">
        <w:t xml:space="preserve">exports premium </w:t>
      </w:r>
      <w:r>
        <w:t xml:space="preserve">seafood </w:t>
      </w:r>
      <w:r w:rsidRPr="009438D4">
        <w:t>products</w:t>
      </w:r>
      <w:r w:rsidR="00A27D3B">
        <w:t>,</w:t>
      </w:r>
      <w:r w:rsidRPr="009438D4">
        <w:t xml:space="preserve"> </w:t>
      </w:r>
      <w:r>
        <w:t xml:space="preserve">primarily </w:t>
      </w:r>
      <w:r w:rsidR="00A27D3B">
        <w:t>to</w:t>
      </w:r>
      <w:r w:rsidRPr="009438D4">
        <w:t xml:space="preserve"> Asia. </w:t>
      </w:r>
      <w:r w:rsidR="00DD7D81">
        <w:t xml:space="preserve">The </w:t>
      </w:r>
      <w:r w:rsidR="00A27D3B">
        <w:t xml:space="preserve">export </w:t>
      </w:r>
      <w:r w:rsidR="00DD7D81">
        <w:t xml:space="preserve">outlook for </w:t>
      </w:r>
      <w:r w:rsidR="00DA112C">
        <w:t>Australia Atlantic S</w:t>
      </w:r>
      <w:r w:rsidR="00DD7D81">
        <w:t>almon</w:t>
      </w:r>
      <w:r w:rsidR="00481C9C">
        <w:t xml:space="preserve"> is strong</w:t>
      </w:r>
      <w:r w:rsidR="00DD7D81">
        <w:t xml:space="preserve">. </w:t>
      </w:r>
      <w:r w:rsidR="0038783C">
        <w:t>O</w:t>
      </w:r>
      <w:r w:rsidRPr="009438D4">
        <w:t xml:space="preserve">ngoing COVID-19 outbreaks and </w:t>
      </w:r>
      <w:r>
        <w:t xml:space="preserve">reduced exports to China </w:t>
      </w:r>
      <w:r w:rsidR="00DD7D81">
        <w:t xml:space="preserve">are </w:t>
      </w:r>
      <w:r>
        <w:t xml:space="preserve">expected </w:t>
      </w:r>
      <w:r w:rsidR="00DD7D81">
        <w:t xml:space="preserve">keep rock lobster exports below previous highs. </w:t>
      </w:r>
    </w:p>
    <w:p w14:paraId="7697F9F7" w14:textId="09371FF6" w:rsidR="00B84AE9" w:rsidRPr="00B84AE9" w:rsidRDefault="009438D4" w:rsidP="00B84AE9">
      <w:pPr>
        <w:pStyle w:val="Heading2"/>
        <w:numPr>
          <w:ilvl w:val="0"/>
          <w:numId w:val="0"/>
        </w:numPr>
        <w:ind w:left="720" w:hanging="720"/>
      </w:pPr>
      <w:r>
        <w:t xml:space="preserve">Australian seafood export </w:t>
      </w:r>
      <w:r w:rsidR="00045981" w:rsidRPr="00045981">
        <w:t>overview</w:t>
      </w:r>
    </w:p>
    <w:p w14:paraId="6EC0A9CB" w14:textId="4A1892D4" w:rsidR="009438D4" w:rsidRDefault="009438D4" w:rsidP="009438D4">
      <w:pPr>
        <w:pStyle w:val="ListBullet"/>
      </w:pPr>
      <w:r>
        <w:t>Between 2018–19 and 2020–21</w:t>
      </w:r>
      <w:r w:rsidR="00EE14A6">
        <w:t>,</w:t>
      </w:r>
      <w:r>
        <w:t xml:space="preserve"> Australia exported an average of $1.4 billion of seafood each year.</w:t>
      </w:r>
    </w:p>
    <w:p w14:paraId="703EC64F" w14:textId="77777777" w:rsidR="009438D4" w:rsidRDefault="009438D4" w:rsidP="009438D4">
      <w:pPr>
        <w:pStyle w:val="ListBullet"/>
      </w:pPr>
      <w:r>
        <w:t xml:space="preserve">Australian seafood exports are usually high value, transported by air freight and consumed in Asian markets (approximately 90%). </w:t>
      </w:r>
    </w:p>
    <w:p w14:paraId="334AB551" w14:textId="77777777" w:rsidR="009438D4" w:rsidRDefault="009438D4" w:rsidP="009438D4">
      <w:pPr>
        <w:pStyle w:val="ListBullet"/>
      </w:pPr>
      <w:r>
        <w:t xml:space="preserve">Australia’s largest seafood exports by value are rock lobster, salmon, </w:t>
      </w:r>
      <w:proofErr w:type="gramStart"/>
      <w:r>
        <w:t>abalone</w:t>
      </w:r>
      <w:proofErr w:type="gramEnd"/>
      <w:r>
        <w:t xml:space="preserve"> and tuna. </w:t>
      </w:r>
    </w:p>
    <w:p w14:paraId="541ABE90" w14:textId="28196768" w:rsidR="009438D4" w:rsidRDefault="009438D4" w:rsidP="009438D4">
      <w:pPr>
        <w:pStyle w:val="ListBullet"/>
      </w:pPr>
      <w:r>
        <w:t>Since 2017–18, China has been the largest market for Australian seafood. Trade disruptions with China have shifted some products to Hong Kong, Japan, the United States, Taiwan</w:t>
      </w:r>
      <w:r w:rsidR="00795EEB">
        <w:t xml:space="preserve">, </w:t>
      </w:r>
      <w:proofErr w:type="gramStart"/>
      <w:r>
        <w:t>Vietnam</w:t>
      </w:r>
      <w:proofErr w:type="gramEnd"/>
      <w:r w:rsidR="00795EEB">
        <w:t xml:space="preserve"> and Thailand</w:t>
      </w:r>
      <w:r>
        <w:t>.</w:t>
      </w:r>
    </w:p>
    <w:p w14:paraId="210D87DC" w14:textId="77777777" w:rsidR="009438D4" w:rsidRDefault="009438D4" w:rsidP="009438D4">
      <w:pPr>
        <w:pStyle w:val="ListBullet"/>
      </w:pPr>
      <w:r>
        <w:t>The COVID-19 pandemic has negatively affected Australian seafood exports.</w:t>
      </w:r>
    </w:p>
    <w:p w14:paraId="1F21CBD4" w14:textId="703822F2" w:rsidR="009438D4" w:rsidRDefault="009438D4" w:rsidP="009438D4">
      <w:pPr>
        <w:pStyle w:val="ListBullet2"/>
      </w:pPr>
      <w:r>
        <w:t>Movement restrictions reduced demand for seafood through restaurant closures and a shift to home cooking, where high-end seafood is less likely to be used.</w:t>
      </w:r>
    </w:p>
    <w:p w14:paraId="6CAB5AA1" w14:textId="71A0C869" w:rsidR="009D30DE" w:rsidRDefault="009438D4" w:rsidP="009D30DE">
      <w:pPr>
        <w:pStyle w:val="ListBullet2"/>
      </w:pPr>
      <w:r>
        <w:t xml:space="preserve">Supply chain disruptions caused by the pandemic continue to impact the ability for seafood products to reach overseas markets. </w:t>
      </w:r>
    </w:p>
    <w:p w14:paraId="403556DC" w14:textId="77777777" w:rsidR="00795EEB" w:rsidRDefault="00795EEB" w:rsidP="00795EEB">
      <w:pPr>
        <w:pStyle w:val="ListBullet2"/>
        <w:numPr>
          <w:ilvl w:val="0"/>
          <w:numId w:val="0"/>
        </w:numPr>
        <w:ind w:left="851" w:hanging="426"/>
      </w:pPr>
    </w:p>
    <w:p w14:paraId="5DB3E6DD" w14:textId="304D3117" w:rsidR="009D30DE" w:rsidRPr="009D30DE" w:rsidRDefault="009D30DE" w:rsidP="009D30DE">
      <w:pPr>
        <w:pStyle w:val="ListBullet2"/>
        <w:numPr>
          <w:ilvl w:val="0"/>
          <w:numId w:val="0"/>
        </w:numPr>
        <w:rPr>
          <w:b/>
          <w:bCs/>
        </w:rPr>
      </w:pPr>
      <w:r w:rsidRPr="009D30DE">
        <w:rPr>
          <w:b/>
          <w:bCs/>
        </w:rPr>
        <w:t xml:space="preserve">Figure </w:t>
      </w:r>
      <w:r w:rsidRPr="009D30DE">
        <w:rPr>
          <w:b/>
          <w:bCs/>
        </w:rPr>
        <w:fldChar w:fldCharType="begin"/>
      </w:r>
      <w:r w:rsidRPr="009D30DE">
        <w:rPr>
          <w:b/>
          <w:bCs/>
        </w:rPr>
        <w:instrText xml:space="preserve"> SEQ Figure \* ARABIC </w:instrText>
      </w:r>
      <w:r w:rsidRPr="009D30DE">
        <w:rPr>
          <w:b/>
          <w:bCs/>
        </w:rPr>
        <w:fldChar w:fldCharType="separate"/>
      </w:r>
      <w:r w:rsidRPr="009D30DE">
        <w:rPr>
          <w:b/>
          <w:bCs/>
          <w:noProof/>
        </w:rPr>
        <w:t>1</w:t>
      </w:r>
      <w:r w:rsidRPr="009D30DE">
        <w:rPr>
          <w:b/>
          <w:bCs/>
          <w:noProof/>
        </w:rPr>
        <w:fldChar w:fldCharType="end"/>
      </w:r>
      <w:r w:rsidRPr="009D30DE">
        <w:rPr>
          <w:b/>
          <w:bCs/>
        </w:rPr>
        <w:t xml:space="preserve"> Australian </w:t>
      </w:r>
      <w:r>
        <w:rPr>
          <w:b/>
          <w:bCs/>
        </w:rPr>
        <w:t>seafood exports by commodity (2018</w:t>
      </w:r>
      <w:r w:rsidRPr="009D30DE">
        <w:rPr>
          <w:b/>
          <w:bCs/>
        </w:rPr>
        <w:t>–</w:t>
      </w:r>
      <w:r>
        <w:rPr>
          <w:b/>
          <w:bCs/>
        </w:rPr>
        <w:t>19 to 2020</w:t>
      </w:r>
      <w:r w:rsidRPr="009D30DE">
        <w:rPr>
          <w:b/>
          <w:bCs/>
        </w:rPr>
        <w:t>–</w:t>
      </w:r>
      <w:r>
        <w:rPr>
          <w:b/>
          <w:bCs/>
        </w:rPr>
        <w:t>21)</w:t>
      </w:r>
    </w:p>
    <w:p w14:paraId="2AC02BB4" w14:textId="76851FC4" w:rsidR="009D30DE" w:rsidRDefault="009D30DE" w:rsidP="009D30DE">
      <w:pPr>
        <w:pStyle w:val="ListBullet"/>
        <w:numPr>
          <w:ilvl w:val="0"/>
          <w:numId w:val="0"/>
        </w:numPr>
        <w:ind w:left="425" w:hanging="425"/>
        <w:jc w:val="center"/>
      </w:pPr>
      <w:r>
        <w:rPr>
          <w:noProof/>
        </w:rPr>
        <w:drawing>
          <wp:inline distT="0" distB="0" distL="0" distR="0" wp14:anchorId="041F7F3B" wp14:editId="2A0AAC6A">
            <wp:extent cx="4974590" cy="173164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4590" cy="1731645"/>
                    </a:xfrm>
                    <a:prstGeom prst="rect">
                      <a:avLst/>
                    </a:prstGeom>
                    <a:noFill/>
                  </pic:spPr>
                </pic:pic>
              </a:graphicData>
            </a:graphic>
          </wp:inline>
        </w:drawing>
      </w:r>
    </w:p>
    <w:p w14:paraId="55C15677" w14:textId="597EA638" w:rsidR="00045981" w:rsidRPr="00B84AE9" w:rsidRDefault="009438D4" w:rsidP="00045981">
      <w:pPr>
        <w:pStyle w:val="Heading2"/>
        <w:numPr>
          <w:ilvl w:val="0"/>
          <w:numId w:val="0"/>
        </w:numPr>
        <w:ind w:left="720" w:hanging="720"/>
      </w:pPr>
      <w:r>
        <w:t xml:space="preserve">Outlook for seafood exports in 2022 </w:t>
      </w:r>
    </w:p>
    <w:p w14:paraId="79D3C12E" w14:textId="286D5A1F" w:rsidR="009438D4" w:rsidRDefault="009438D4" w:rsidP="009438D4">
      <w:pPr>
        <w:pStyle w:val="ListBullet"/>
      </w:pPr>
      <w:r>
        <w:t xml:space="preserve">Ongoing COVID-19 outbreaks and movement restrictions, and uncertainty in the China market have hampered the recovery of rock lobster exports. Exports are unlikely to return to the 2018–19 highs until these issues are resolved. </w:t>
      </w:r>
    </w:p>
    <w:p w14:paraId="4BA6ECDC" w14:textId="4622C4AA" w:rsidR="009438D4" w:rsidRDefault="009438D4">
      <w:pPr>
        <w:pStyle w:val="ListBullet2"/>
      </w:pPr>
      <w:r>
        <w:t>Rock lobster is being diverted to new markets, sold domestically or production is being postponed. Building new markets takes time and may be associated with lower prices.</w:t>
      </w:r>
    </w:p>
    <w:p w14:paraId="5DD9842B" w14:textId="0BF52564" w:rsidR="009438D4" w:rsidRDefault="009438D4" w:rsidP="009438D4">
      <w:pPr>
        <w:pStyle w:val="ListBullet"/>
      </w:pPr>
      <w:r>
        <w:lastRenderedPageBreak/>
        <w:t xml:space="preserve"> </w:t>
      </w:r>
      <w:r w:rsidR="00DA112C">
        <w:t>Australian Atlantic Salmon p</w:t>
      </w:r>
      <w:r>
        <w:t xml:space="preserve">roduction and exports </w:t>
      </w:r>
      <w:r w:rsidR="00DA112C">
        <w:t>are</w:t>
      </w:r>
      <w:r>
        <w:t xml:space="preserve"> expected to increase</w:t>
      </w:r>
      <w:r w:rsidR="00591522">
        <w:t>.</w:t>
      </w:r>
    </w:p>
    <w:p w14:paraId="03D0EDAA" w14:textId="3280700F" w:rsidR="00081754" w:rsidRPr="00081754" w:rsidRDefault="00081754" w:rsidP="00081754">
      <w:pPr>
        <w:pStyle w:val="ListBullet2"/>
      </w:pPr>
      <w:r>
        <w:t>Historically, o</w:t>
      </w:r>
      <w:r w:rsidRPr="00081754">
        <w:t>nly a relatively small percentage of salmon production has been exported</w:t>
      </w:r>
      <w:r w:rsidR="00273389">
        <w:t>.</w:t>
      </w:r>
    </w:p>
    <w:p w14:paraId="00197E07" w14:textId="5952135B" w:rsidR="00273389" w:rsidRDefault="007019AB" w:rsidP="00F21196">
      <w:pPr>
        <w:pStyle w:val="ListBullet2"/>
      </w:pPr>
      <w:r>
        <w:t>In recent years, i</w:t>
      </w:r>
      <w:r w:rsidR="00273389">
        <w:t>ncreased production and rising global demand have seen Australian salmon exports increase sharply, from $137 million in 2017–18 to $252 million in 2020–21. Export values are expected to increase further in 2021–22.</w:t>
      </w:r>
    </w:p>
    <w:p w14:paraId="3CBD774E" w14:textId="77777777" w:rsidR="00795EEB" w:rsidRDefault="00795EEB" w:rsidP="00795EEB">
      <w:pPr>
        <w:pStyle w:val="ListBullet2"/>
        <w:numPr>
          <w:ilvl w:val="0"/>
          <w:numId w:val="0"/>
        </w:numPr>
        <w:ind w:left="851" w:hanging="426"/>
      </w:pPr>
    </w:p>
    <w:p w14:paraId="61CB9398" w14:textId="7E465FF2" w:rsidR="009D30DE" w:rsidRPr="009D30DE" w:rsidRDefault="009D30DE" w:rsidP="009D30DE">
      <w:pPr>
        <w:pStyle w:val="ListBullet"/>
        <w:numPr>
          <w:ilvl w:val="0"/>
          <w:numId w:val="0"/>
        </w:numPr>
        <w:ind w:left="425" w:hanging="425"/>
        <w:rPr>
          <w:b/>
          <w:bCs/>
        </w:rPr>
      </w:pPr>
      <w:r w:rsidRPr="009D30DE">
        <w:rPr>
          <w:b/>
          <w:bCs/>
        </w:rPr>
        <w:t xml:space="preserve">Figure </w:t>
      </w:r>
      <w:r w:rsidRPr="009D30DE">
        <w:rPr>
          <w:b/>
          <w:bCs/>
        </w:rPr>
        <w:fldChar w:fldCharType="begin"/>
      </w:r>
      <w:r w:rsidRPr="009D30DE">
        <w:rPr>
          <w:b/>
          <w:bCs/>
        </w:rPr>
        <w:instrText xml:space="preserve"> SEQ Figure \* ARABIC </w:instrText>
      </w:r>
      <w:r w:rsidRPr="009D30DE">
        <w:rPr>
          <w:b/>
          <w:bCs/>
        </w:rPr>
        <w:fldChar w:fldCharType="separate"/>
      </w:r>
      <w:r w:rsidRPr="009D30DE">
        <w:rPr>
          <w:b/>
          <w:bCs/>
          <w:noProof/>
        </w:rPr>
        <w:t>2</w:t>
      </w:r>
      <w:r w:rsidRPr="009D30DE">
        <w:rPr>
          <w:b/>
          <w:bCs/>
          <w:noProof/>
        </w:rPr>
        <w:fldChar w:fldCharType="end"/>
      </w:r>
      <w:r w:rsidRPr="009D30DE">
        <w:rPr>
          <w:b/>
          <w:bCs/>
        </w:rPr>
        <w:t xml:space="preserve"> </w:t>
      </w:r>
      <w:r>
        <w:rPr>
          <w:b/>
          <w:bCs/>
        </w:rPr>
        <w:t>Australian seafood exports by country (</w:t>
      </w:r>
      <w:r w:rsidRPr="009D30DE">
        <w:rPr>
          <w:b/>
          <w:bCs/>
        </w:rPr>
        <w:t>20</w:t>
      </w:r>
      <w:r>
        <w:rPr>
          <w:b/>
          <w:bCs/>
        </w:rPr>
        <w:t>17</w:t>
      </w:r>
      <w:r w:rsidRPr="009D30DE">
        <w:rPr>
          <w:b/>
          <w:bCs/>
        </w:rPr>
        <w:t>–1</w:t>
      </w:r>
      <w:r>
        <w:rPr>
          <w:b/>
          <w:bCs/>
        </w:rPr>
        <w:t>8</w:t>
      </w:r>
      <w:r w:rsidRPr="009D30DE">
        <w:rPr>
          <w:b/>
          <w:bCs/>
        </w:rPr>
        <w:t xml:space="preserve"> to 2020–21</w:t>
      </w:r>
      <w:r>
        <w:rPr>
          <w:b/>
          <w:bCs/>
        </w:rPr>
        <w:t>)</w:t>
      </w:r>
    </w:p>
    <w:p w14:paraId="7F19D493" w14:textId="48B4E889" w:rsidR="000B589C" w:rsidRPr="00BA4D93" w:rsidRDefault="009D30DE" w:rsidP="009D30DE">
      <w:pPr>
        <w:pStyle w:val="ListBullet2"/>
        <w:numPr>
          <w:ilvl w:val="0"/>
          <w:numId w:val="0"/>
        </w:numPr>
        <w:jc w:val="center"/>
      </w:pPr>
      <w:r>
        <w:rPr>
          <w:noProof/>
        </w:rPr>
        <w:drawing>
          <wp:inline distT="0" distB="0" distL="0" distR="0" wp14:anchorId="1F722A4F" wp14:editId="36DFF488">
            <wp:extent cx="4980940" cy="22193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940" cy="2219325"/>
                    </a:xfrm>
                    <a:prstGeom prst="rect">
                      <a:avLst/>
                    </a:prstGeom>
                    <a:noFill/>
                  </pic:spPr>
                </pic:pic>
              </a:graphicData>
            </a:graphic>
          </wp:inline>
        </w:drawing>
      </w:r>
    </w:p>
    <w:sectPr w:rsidR="000B589C" w:rsidRPr="00BA4D93">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754B" w14:textId="77777777" w:rsidR="002C2D73" w:rsidRDefault="002C2D73">
      <w:r>
        <w:separator/>
      </w:r>
    </w:p>
    <w:p w14:paraId="04A2C113" w14:textId="77777777" w:rsidR="002C2D73" w:rsidRDefault="002C2D73"/>
    <w:p w14:paraId="72D5AF12" w14:textId="77777777" w:rsidR="002C2D73" w:rsidRDefault="002C2D73"/>
  </w:endnote>
  <w:endnote w:type="continuationSeparator" w:id="0">
    <w:p w14:paraId="3EE996E0" w14:textId="77777777" w:rsidR="002C2D73" w:rsidRDefault="002C2D73">
      <w:r>
        <w:continuationSeparator/>
      </w:r>
    </w:p>
    <w:p w14:paraId="224DE1A6" w14:textId="77777777" w:rsidR="002C2D73" w:rsidRDefault="002C2D73"/>
    <w:p w14:paraId="20D661B7" w14:textId="77777777" w:rsidR="002C2D73" w:rsidRDefault="002C2D73"/>
  </w:endnote>
  <w:endnote w:type="continuationNotice" w:id="1">
    <w:p w14:paraId="5F1F1D32" w14:textId="77777777" w:rsidR="002C2D73" w:rsidRDefault="002C2D73">
      <w:pPr>
        <w:pStyle w:val="Footer"/>
      </w:pPr>
    </w:p>
    <w:p w14:paraId="47AFDD55" w14:textId="77777777" w:rsidR="002C2D73" w:rsidRDefault="002C2D73"/>
    <w:p w14:paraId="40CADB5F" w14:textId="77777777" w:rsidR="002C2D73" w:rsidRDefault="002C2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4FEE5583" w:rsidR="002A193C" w:rsidRDefault="002A193C">
    <w:pPr>
      <w:pStyle w:val="Footer"/>
    </w:pPr>
    <w:r>
      <w:t xml:space="preserve">Department of Agriculture, </w:t>
    </w:r>
    <w:proofErr w:type="gramStart"/>
    <w:r>
      <w:t>Water</w:t>
    </w:r>
    <w:proofErr w:type="gramEnd"/>
    <w:r>
      <w:t xml:space="preserve"> and the Environment</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DA5" w14:textId="7D5A5EAC" w:rsidR="002A193C" w:rsidRDefault="002A193C">
    <w:pPr>
      <w:pStyle w:val="Footer"/>
    </w:pPr>
    <w:r>
      <w:t xml:space="preserve">Department of Agriculture, </w:t>
    </w:r>
    <w:proofErr w:type="gramStart"/>
    <w:r>
      <w:t>Water</w:t>
    </w:r>
    <w:proofErr w:type="gramEnd"/>
    <w:r>
      <w:t xml:space="preserve"> and the Environment</w:t>
    </w:r>
  </w:p>
  <w:p w14:paraId="48B5E446"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48C2" w14:textId="77777777" w:rsidR="002C2D73" w:rsidRDefault="002C2D73">
      <w:r>
        <w:separator/>
      </w:r>
    </w:p>
    <w:p w14:paraId="657024A6" w14:textId="77777777" w:rsidR="002C2D73" w:rsidRDefault="002C2D73"/>
    <w:p w14:paraId="1A3ADCE8" w14:textId="77777777" w:rsidR="002C2D73" w:rsidRDefault="002C2D73"/>
  </w:footnote>
  <w:footnote w:type="continuationSeparator" w:id="0">
    <w:p w14:paraId="3AFC3563" w14:textId="77777777" w:rsidR="002C2D73" w:rsidRDefault="002C2D73">
      <w:r>
        <w:continuationSeparator/>
      </w:r>
    </w:p>
    <w:p w14:paraId="7898E244" w14:textId="77777777" w:rsidR="002C2D73" w:rsidRDefault="002C2D73"/>
    <w:p w14:paraId="1C2D3999" w14:textId="77777777" w:rsidR="002C2D73" w:rsidRDefault="002C2D73"/>
  </w:footnote>
  <w:footnote w:type="continuationNotice" w:id="1">
    <w:p w14:paraId="4F401849" w14:textId="77777777" w:rsidR="002C2D73" w:rsidRDefault="002C2D73">
      <w:pPr>
        <w:pStyle w:val="Footer"/>
      </w:pPr>
    </w:p>
    <w:p w14:paraId="68F0934A" w14:textId="77777777" w:rsidR="002C2D73" w:rsidRDefault="002C2D73"/>
    <w:p w14:paraId="704F77DD" w14:textId="77777777" w:rsidR="002C2D73" w:rsidRDefault="002C2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3A4A90F9" w:rsidR="00AB53EE" w:rsidRDefault="00AB53EE">
    <w:pPr>
      <w:pStyle w:val="Header"/>
    </w:pPr>
    <w:r w:rsidRPr="00AB53EE">
      <w:t>Saudi Arabia food and agriculture market snapshot – January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CA29C24" w:rsidR="002A193C" w:rsidRDefault="002A193C">
    <w:pPr>
      <w:pStyle w:val="Header"/>
      <w:jc w:val="left"/>
    </w:pPr>
    <w:r>
      <w:rPr>
        <w:noProof/>
        <w:lang w:eastAsia="en-AU"/>
      </w:rPr>
      <w:drawing>
        <wp:inline distT="0" distB="0" distL="0" distR="0" wp14:anchorId="5BBE5CE1" wp14:editId="2B9A98F8">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5B508BD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ADEE02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45C6A52"/>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45981"/>
    <w:rsid w:val="00081754"/>
    <w:rsid w:val="000B589C"/>
    <w:rsid w:val="001567E9"/>
    <w:rsid w:val="001D77BC"/>
    <w:rsid w:val="00262394"/>
    <w:rsid w:val="00273389"/>
    <w:rsid w:val="002A193C"/>
    <w:rsid w:val="002B3AC7"/>
    <w:rsid w:val="002C2D73"/>
    <w:rsid w:val="002C3BB0"/>
    <w:rsid w:val="003014DB"/>
    <w:rsid w:val="0038783C"/>
    <w:rsid w:val="00396339"/>
    <w:rsid w:val="003A4B4A"/>
    <w:rsid w:val="003B0171"/>
    <w:rsid w:val="00466EC1"/>
    <w:rsid w:val="00481C9C"/>
    <w:rsid w:val="00486C20"/>
    <w:rsid w:val="004E31E9"/>
    <w:rsid w:val="004F468F"/>
    <w:rsid w:val="00591522"/>
    <w:rsid w:val="005C403A"/>
    <w:rsid w:val="005F0E4D"/>
    <w:rsid w:val="00623CFB"/>
    <w:rsid w:val="00663EF4"/>
    <w:rsid w:val="006F284E"/>
    <w:rsid w:val="007019AB"/>
    <w:rsid w:val="0072129C"/>
    <w:rsid w:val="007405CB"/>
    <w:rsid w:val="00795EEB"/>
    <w:rsid w:val="007C5B94"/>
    <w:rsid w:val="0082249A"/>
    <w:rsid w:val="00833933"/>
    <w:rsid w:val="008A3190"/>
    <w:rsid w:val="008A58E2"/>
    <w:rsid w:val="008D12DC"/>
    <w:rsid w:val="009438D4"/>
    <w:rsid w:val="0098223B"/>
    <w:rsid w:val="009B427A"/>
    <w:rsid w:val="009D30DE"/>
    <w:rsid w:val="009E1B7F"/>
    <w:rsid w:val="00A27D3B"/>
    <w:rsid w:val="00A87236"/>
    <w:rsid w:val="00AA6DA3"/>
    <w:rsid w:val="00AA70E3"/>
    <w:rsid w:val="00AB0FBE"/>
    <w:rsid w:val="00AB53EE"/>
    <w:rsid w:val="00AF5211"/>
    <w:rsid w:val="00B01FB8"/>
    <w:rsid w:val="00B84AE9"/>
    <w:rsid w:val="00BA4D93"/>
    <w:rsid w:val="00BA7B9C"/>
    <w:rsid w:val="00BC421A"/>
    <w:rsid w:val="00BF4900"/>
    <w:rsid w:val="00D06356"/>
    <w:rsid w:val="00D45274"/>
    <w:rsid w:val="00D45E0E"/>
    <w:rsid w:val="00D666DC"/>
    <w:rsid w:val="00DA112C"/>
    <w:rsid w:val="00DD7D81"/>
    <w:rsid w:val="00E31E13"/>
    <w:rsid w:val="00E362EF"/>
    <w:rsid w:val="00E508BE"/>
    <w:rsid w:val="00E51D6E"/>
    <w:rsid w:val="00E732BE"/>
    <w:rsid w:val="00E907BF"/>
    <w:rsid w:val="00EE14A6"/>
    <w:rsid w:val="00F21196"/>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081754"/>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D0977D9A-FE4C-4FBF-A8E0-11BB67A53E43}"/>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Cotton Placemat</vt:lpstr>
    </vt:vector>
  </TitlesOfParts>
  <Company/>
  <LinksUpToDate>false</LinksUpToDate>
  <CharactersWithSpaces>2231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Placemat</dc:title>
  <dc:creator>Department of Agriculture, Water and the Environment</dc:creator>
  <cp:lastModifiedBy>Eddy, Mitchell</cp:lastModifiedBy>
  <cp:revision>16</cp:revision>
  <cp:lastPrinted>2019-02-13T02:42:00Z</cp:lastPrinted>
  <dcterms:created xsi:type="dcterms:W3CDTF">2022-01-19T05:08:00Z</dcterms:created>
  <dcterms:modified xsi:type="dcterms:W3CDTF">2022-03-24T04:52:00Z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