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F9F4ED5" w14:textId="77777777" w:rsidR="00C55B4B" w:rsidRDefault="00C55B4B" w:rsidP="00C55B4B">
      <w:pPr>
        <w:pStyle w:val="Heading1"/>
      </w:pPr>
      <w:r>
        <w:t>Harmonised regulation for plant exports and interstate trade</w:t>
      </w:r>
    </w:p>
    <w:p w14:paraId="0DA014ED" w14:textId="77777777" w:rsidR="00C55B4B" w:rsidRDefault="00C55B4B" w:rsidP="00C55B4B">
      <w:pPr>
        <w:rPr>
          <w:lang w:eastAsia="ja-JP"/>
        </w:rPr>
      </w:pPr>
      <w:r>
        <w:rPr>
          <w:lang w:eastAsia="ja-JP"/>
        </w:rPr>
        <w:t>The department wants to streamline regulatory activities across the domestic and export plant agriculture sector.</w:t>
      </w:r>
    </w:p>
    <w:p w14:paraId="514F8FE1" w14:textId="77777777" w:rsidR="00C55B4B" w:rsidRDefault="00C55B4B" w:rsidP="00C55B4B">
      <w:pPr>
        <w:rPr>
          <w:lang w:eastAsia="ja-JP"/>
        </w:rPr>
      </w:pPr>
      <w:r>
        <w:rPr>
          <w:lang w:eastAsia="ja-JP"/>
        </w:rPr>
        <w:t>We are working with states and territories to find opportunities to standardise, harmonise and recognise – to better ‘line up’ our regulations.</w:t>
      </w:r>
    </w:p>
    <w:p w14:paraId="744F8506" w14:textId="77777777" w:rsidR="00C55B4B" w:rsidRDefault="00C55B4B" w:rsidP="00C55B4B">
      <w:pPr>
        <w:pStyle w:val="Heading2"/>
        <w:pageBreakBefore w:val="0"/>
      </w:pPr>
      <w:r>
        <w:t xml:space="preserve">Areas for improvement </w:t>
      </w:r>
    </w:p>
    <w:p w14:paraId="29AF32AA" w14:textId="77777777" w:rsidR="00C55B4B" w:rsidRDefault="00C55B4B" w:rsidP="00C55B4B">
      <w:pPr>
        <w:rPr>
          <w:lang w:eastAsia="ja-JP"/>
        </w:rPr>
      </w:pPr>
      <w:r>
        <w:rPr>
          <w:lang w:eastAsia="ja-JP"/>
        </w:rPr>
        <w:t xml:space="preserve">We know </w:t>
      </w:r>
      <w:proofErr w:type="gramStart"/>
      <w:r>
        <w:rPr>
          <w:lang w:eastAsia="ja-JP"/>
        </w:rPr>
        <w:t>there’s</w:t>
      </w:r>
      <w:proofErr w:type="gramEnd"/>
      <w:r>
        <w:rPr>
          <w:lang w:eastAsia="ja-JP"/>
        </w:rPr>
        <w:t xml:space="preserve"> a lot of overlap in plant health regulations across the states, territories and the Commonwealth. All the jurisdictions are achieving similar outcomes using similar activities. </w:t>
      </w:r>
    </w:p>
    <w:p w14:paraId="4137646C" w14:textId="77777777" w:rsidR="00C55B4B" w:rsidRDefault="00C55B4B" w:rsidP="00C55B4B">
      <w:pPr>
        <w:rPr>
          <w:lang w:eastAsia="ja-JP"/>
        </w:rPr>
      </w:pPr>
      <w:r>
        <w:rPr>
          <w:lang w:eastAsia="ja-JP"/>
        </w:rPr>
        <w:t xml:space="preserve">So, </w:t>
      </w:r>
      <w:proofErr w:type="gramStart"/>
      <w:r>
        <w:rPr>
          <w:lang w:eastAsia="ja-JP"/>
        </w:rPr>
        <w:t>we’re</w:t>
      </w:r>
      <w:proofErr w:type="gramEnd"/>
      <w:r>
        <w:rPr>
          <w:lang w:eastAsia="ja-JP"/>
        </w:rPr>
        <w:t xml:space="preserve"> looking for opportunities for mutual recognition and data sharing with state and territory governments. </w:t>
      </w:r>
    </w:p>
    <w:p w14:paraId="051453B6" w14:textId="77777777" w:rsidR="00C55B4B" w:rsidRDefault="00C55B4B" w:rsidP="00C55B4B">
      <w:pPr>
        <w:rPr>
          <w:lang w:eastAsia="ja-JP"/>
        </w:rPr>
      </w:pPr>
      <w:r>
        <w:rPr>
          <w:lang w:eastAsia="ja-JP"/>
        </w:rPr>
        <w:t>Some opportunities to harmonise, standardise or recognise requirements are:</w:t>
      </w:r>
    </w:p>
    <w:p w14:paraId="77DC23BD" w14:textId="114F446B" w:rsidR="00C55B4B" w:rsidRDefault="00C55B4B" w:rsidP="00C55B4B">
      <w:pPr>
        <w:pStyle w:val="ListBullet"/>
        <w:rPr>
          <w:lang w:eastAsia="ja-JP"/>
        </w:rPr>
      </w:pPr>
      <w:r>
        <w:rPr>
          <w:lang w:eastAsia="ja-JP"/>
        </w:rPr>
        <w:t>developing national treatment standards</w:t>
      </w:r>
    </w:p>
    <w:p w14:paraId="5353F375" w14:textId="1280C562" w:rsidR="00C55B4B" w:rsidRDefault="00C55B4B" w:rsidP="00C55B4B">
      <w:pPr>
        <w:pStyle w:val="ListBullet"/>
        <w:rPr>
          <w:lang w:eastAsia="ja-JP"/>
        </w:rPr>
      </w:pPr>
      <w:r>
        <w:rPr>
          <w:lang w:eastAsia="ja-JP"/>
        </w:rPr>
        <w:t>a treatment regulation framework</w:t>
      </w:r>
    </w:p>
    <w:p w14:paraId="56AFBBA0" w14:textId="1B3D128A" w:rsidR="00C55B4B" w:rsidRDefault="00C55B4B" w:rsidP="00C55B4B">
      <w:pPr>
        <w:pStyle w:val="ListBullet"/>
        <w:rPr>
          <w:lang w:eastAsia="ja-JP"/>
        </w:rPr>
      </w:pPr>
      <w:r>
        <w:rPr>
          <w:lang w:eastAsia="ja-JP"/>
        </w:rPr>
        <w:t>automated area freedom certificates</w:t>
      </w:r>
    </w:p>
    <w:p w14:paraId="2EBDC716" w14:textId="5448F5ED" w:rsidR="00C55B4B" w:rsidRDefault="00C55B4B" w:rsidP="00C55B4B">
      <w:pPr>
        <w:pStyle w:val="ListBullet"/>
        <w:rPr>
          <w:lang w:eastAsia="ja-JP"/>
        </w:rPr>
      </w:pPr>
      <w:r>
        <w:rPr>
          <w:lang w:eastAsia="ja-JP"/>
        </w:rPr>
        <w:t>mutual recognition of inspection and/or audit</w:t>
      </w:r>
    </w:p>
    <w:p w14:paraId="418B684A" w14:textId="7FF620A1" w:rsidR="00C55B4B" w:rsidRDefault="00C55B4B" w:rsidP="00C55B4B">
      <w:pPr>
        <w:pStyle w:val="ListBullet"/>
        <w:rPr>
          <w:lang w:eastAsia="ja-JP"/>
        </w:rPr>
      </w:pPr>
      <w:r>
        <w:rPr>
          <w:lang w:eastAsia="ja-JP"/>
        </w:rPr>
        <w:t>shared use of IT systems for inspection results and audit management.</w:t>
      </w:r>
    </w:p>
    <w:p w14:paraId="1C2CBBCC" w14:textId="77777777" w:rsidR="00C55B4B" w:rsidRDefault="00C55B4B" w:rsidP="00C55B4B">
      <w:pPr>
        <w:pStyle w:val="Heading2"/>
        <w:pageBreakBefore w:val="0"/>
      </w:pPr>
      <w:r>
        <w:t>Priorities for reform</w:t>
      </w:r>
    </w:p>
    <w:p w14:paraId="7B2D3D93" w14:textId="77777777" w:rsidR="00C55B4B" w:rsidRDefault="00C55B4B" w:rsidP="00C55B4B">
      <w:pPr>
        <w:rPr>
          <w:lang w:eastAsia="ja-JP"/>
        </w:rPr>
      </w:pPr>
      <w:r>
        <w:rPr>
          <w:lang w:eastAsia="ja-JP"/>
        </w:rPr>
        <w:t>In August 2021, we consulted with state and territory representatives in the plant sector to:</w:t>
      </w:r>
    </w:p>
    <w:p w14:paraId="11A020A6" w14:textId="460C9EC8" w:rsidR="00C55B4B" w:rsidRDefault="00C55B4B" w:rsidP="00C55B4B">
      <w:pPr>
        <w:pStyle w:val="ListBullet"/>
        <w:rPr>
          <w:lang w:eastAsia="ja-JP"/>
        </w:rPr>
      </w:pPr>
      <w:r>
        <w:rPr>
          <w:lang w:eastAsia="ja-JP"/>
        </w:rPr>
        <w:t xml:space="preserve">identify areas where regulations overlap </w:t>
      </w:r>
    </w:p>
    <w:p w14:paraId="471137AD" w14:textId="080EEA50" w:rsidR="00C55B4B" w:rsidRDefault="00C55B4B" w:rsidP="00C55B4B">
      <w:pPr>
        <w:pStyle w:val="ListBullet"/>
        <w:rPr>
          <w:lang w:eastAsia="ja-JP"/>
        </w:rPr>
      </w:pPr>
      <w:r>
        <w:rPr>
          <w:lang w:eastAsia="ja-JP"/>
        </w:rPr>
        <w:t>decide which areas to start working on first.</w:t>
      </w:r>
    </w:p>
    <w:p w14:paraId="7A91CA9A" w14:textId="77777777" w:rsidR="00C55B4B" w:rsidRDefault="00C55B4B" w:rsidP="00C55B4B">
      <w:pPr>
        <w:rPr>
          <w:lang w:eastAsia="ja-JP"/>
        </w:rPr>
      </w:pPr>
      <w:r>
        <w:rPr>
          <w:lang w:eastAsia="ja-JP"/>
        </w:rPr>
        <w:t>We agreed on 2 aspects of plant regulation that could be harmonised across exports and domestic trade. These are:</w:t>
      </w:r>
    </w:p>
    <w:p w14:paraId="46165F38" w14:textId="09A94EA6" w:rsidR="00C55B4B" w:rsidRDefault="00C55B4B" w:rsidP="00C55B4B">
      <w:pPr>
        <w:pStyle w:val="ListBullet"/>
        <w:rPr>
          <w:lang w:eastAsia="ja-JP"/>
        </w:rPr>
      </w:pPr>
      <w:r>
        <w:rPr>
          <w:lang w:eastAsia="ja-JP"/>
        </w:rPr>
        <w:t>automating state-issued area freedom certificates for exports</w:t>
      </w:r>
    </w:p>
    <w:p w14:paraId="634FC920" w14:textId="515598C5" w:rsidR="00C55B4B" w:rsidRDefault="00C55B4B" w:rsidP="00C55B4B">
      <w:pPr>
        <w:pStyle w:val="ListBullet"/>
        <w:rPr>
          <w:lang w:eastAsia="ja-JP"/>
        </w:rPr>
      </w:pPr>
      <w:r>
        <w:rPr>
          <w:lang w:eastAsia="ja-JP"/>
        </w:rPr>
        <w:t xml:space="preserve">standardising treatment regulation. </w:t>
      </w:r>
    </w:p>
    <w:p w14:paraId="06E3AC0B" w14:textId="77777777" w:rsidR="00C55B4B" w:rsidRDefault="00C55B4B" w:rsidP="00C55B4B">
      <w:pPr>
        <w:pStyle w:val="Heading2"/>
        <w:pageBreakBefore w:val="0"/>
      </w:pPr>
      <w:r>
        <w:t xml:space="preserve">Progress so far </w:t>
      </w:r>
    </w:p>
    <w:p w14:paraId="674BC62F" w14:textId="77777777" w:rsidR="00C55B4B" w:rsidRDefault="00C55B4B" w:rsidP="00C55B4B">
      <w:pPr>
        <w:rPr>
          <w:lang w:eastAsia="ja-JP"/>
        </w:rPr>
      </w:pPr>
      <w:r>
        <w:rPr>
          <w:lang w:eastAsia="ja-JP"/>
        </w:rPr>
        <w:t>We are now partnering with 2 state governments to develop a proof of concept for these project ideas:</w:t>
      </w:r>
    </w:p>
    <w:p w14:paraId="60FEEF02" w14:textId="1853C797" w:rsidR="00C55B4B" w:rsidRDefault="00C55B4B" w:rsidP="00C55B4B">
      <w:pPr>
        <w:pStyle w:val="ListBullet"/>
        <w:rPr>
          <w:lang w:eastAsia="ja-JP"/>
        </w:rPr>
      </w:pPr>
      <w:r>
        <w:rPr>
          <w:lang w:eastAsia="ja-JP"/>
        </w:rPr>
        <w:t>with Tasmania on the automation of area freedom certification</w:t>
      </w:r>
    </w:p>
    <w:p w14:paraId="2F241C2F" w14:textId="24CE1263" w:rsidR="00C55B4B" w:rsidRDefault="00C55B4B" w:rsidP="00C55B4B">
      <w:pPr>
        <w:pStyle w:val="ListBullet"/>
        <w:rPr>
          <w:lang w:eastAsia="ja-JP"/>
        </w:rPr>
      </w:pPr>
      <w:r>
        <w:rPr>
          <w:lang w:eastAsia="ja-JP"/>
        </w:rPr>
        <w:t>with Victoria on standardising treatments.</w:t>
      </w:r>
    </w:p>
    <w:p w14:paraId="175A059A" w14:textId="77777777" w:rsidR="00C55B4B" w:rsidRDefault="00C55B4B" w:rsidP="00C55B4B">
      <w:pPr>
        <w:rPr>
          <w:lang w:eastAsia="ja-JP"/>
        </w:rPr>
      </w:pPr>
      <w:r>
        <w:rPr>
          <w:lang w:eastAsia="ja-JP"/>
        </w:rPr>
        <w:t>If a project is successful in one state, we can scale it up to other jurisdictions.</w:t>
      </w:r>
    </w:p>
    <w:p w14:paraId="7395A634" w14:textId="77777777" w:rsidR="00C55B4B" w:rsidRDefault="00C55B4B" w:rsidP="00C55B4B">
      <w:pPr>
        <w:rPr>
          <w:lang w:eastAsia="ja-JP"/>
        </w:rPr>
      </w:pPr>
      <w:proofErr w:type="gramStart"/>
      <w:r>
        <w:rPr>
          <w:lang w:eastAsia="ja-JP"/>
        </w:rPr>
        <w:lastRenderedPageBreak/>
        <w:t>We’ll</w:t>
      </w:r>
      <w:proofErr w:type="gramEnd"/>
      <w:r>
        <w:rPr>
          <w:lang w:eastAsia="ja-JP"/>
        </w:rPr>
        <w:t xml:space="preserve"> update the horticulture industry through industry associations and our consultative committees. </w:t>
      </w:r>
    </w:p>
    <w:p w14:paraId="4F16211C" w14:textId="77777777" w:rsidR="00C55B4B" w:rsidRDefault="00C55B4B" w:rsidP="00C55B4B">
      <w:pPr>
        <w:pStyle w:val="Heading2"/>
        <w:pageBreakBefore w:val="0"/>
      </w:pPr>
      <w:r>
        <w:t xml:space="preserve">Potential benefits </w:t>
      </w:r>
    </w:p>
    <w:p w14:paraId="1F0111B4" w14:textId="77777777" w:rsidR="00C55B4B" w:rsidRDefault="00C55B4B" w:rsidP="00C55B4B">
      <w:pPr>
        <w:rPr>
          <w:lang w:eastAsia="ja-JP"/>
        </w:rPr>
      </w:pPr>
      <w:r>
        <w:rPr>
          <w:lang w:eastAsia="ja-JP"/>
        </w:rPr>
        <w:t>These projects could benefit businesses that export and move plant products interstate. Standardised controls will make it easier for them to understand and meet requirements.</w:t>
      </w:r>
    </w:p>
    <w:p w14:paraId="0710FAC4" w14:textId="77777777" w:rsidR="00C55B4B" w:rsidRDefault="00C55B4B" w:rsidP="00C55B4B">
      <w:pPr>
        <w:rPr>
          <w:lang w:eastAsia="ja-JP"/>
        </w:rPr>
      </w:pPr>
      <w:r>
        <w:rPr>
          <w:lang w:eastAsia="ja-JP"/>
        </w:rPr>
        <w:t xml:space="preserve">It will also reduce administrative processes. </w:t>
      </w:r>
    </w:p>
    <w:p w14:paraId="3170D28C" w14:textId="77777777" w:rsidR="00C55B4B" w:rsidRDefault="00C55B4B" w:rsidP="00C55B4B">
      <w:pPr>
        <w:pStyle w:val="Heading2"/>
        <w:pageBreakBefore w:val="0"/>
      </w:pPr>
      <w:r>
        <w:t xml:space="preserve">Contact us </w:t>
      </w:r>
    </w:p>
    <w:p w14:paraId="504A182E" w14:textId="77777777" w:rsidR="00C55B4B" w:rsidRDefault="00C55B4B" w:rsidP="00C55B4B">
      <w:pPr>
        <w:rPr>
          <w:lang w:eastAsia="ja-JP"/>
        </w:rPr>
      </w:pPr>
      <w:r>
        <w:rPr>
          <w:lang w:eastAsia="ja-JP"/>
        </w:rPr>
        <w:t>If you have questions about the projects email us at congestionbustingplant@agriculture.gov.au.</w:t>
      </w:r>
    </w:p>
    <w:p w14:paraId="054FD1EF" w14:textId="77777777" w:rsidR="00C55B4B" w:rsidRDefault="00C55B4B" w:rsidP="00C55B4B">
      <w:pPr>
        <w:pStyle w:val="Heading2"/>
        <w:pageBreakBefore w:val="0"/>
      </w:pPr>
      <w:r>
        <w:t xml:space="preserve">Reforms in agricultural export trade </w:t>
      </w:r>
    </w:p>
    <w:p w14:paraId="62356B74" w14:textId="77777777" w:rsidR="00C55B4B" w:rsidRDefault="00C55B4B" w:rsidP="00C55B4B">
      <w:pPr>
        <w:rPr>
          <w:lang w:eastAsia="ja-JP"/>
        </w:rPr>
      </w:pPr>
      <w:r>
        <w:rPr>
          <w:lang w:eastAsia="ja-JP"/>
        </w:rPr>
        <w:t xml:space="preserve">We are transforming Australia’s agricultural trade export services, making more services available online, streamlining processes for producers to export and safeguarding Australia’s reputation as a reliable, high-quality exporter.  </w:t>
      </w:r>
    </w:p>
    <w:p w14:paraId="366832BC" w14:textId="77777777" w:rsidR="00C55B4B" w:rsidRDefault="00C55B4B" w:rsidP="00C55B4B">
      <w:pPr>
        <w:rPr>
          <w:lang w:eastAsia="ja-JP"/>
        </w:rPr>
      </w:pPr>
      <w:r>
        <w:rPr>
          <w:lang w:eastAsia="ja-JP"/>
        </w:rPr>
        <w:t xml:space="preserve">More than half a billion dollars is being invested in trade reform initiatives to benefit all exported commodities. This includes $328.4 million for the Busting Congestion for Agricultural Exporters package to grow and strengthen the agricultural export sector. </w:t>
      </w:r>
    </w:p>
    <w:p w14:paraId="566F17DC" w14:textId="77777777" w:rsidR="00C55B4B" w:rsidRDefault="00C55B4B" w:rsidP="00C55B4B">
      <w:pPr>
        <w:rPr>
          <w:lang w:eastAsia="ja-JP"/>
        </w:rPr>
      </w:pPr>
      <w:r>
        <w:rPr>
          <w:lang w:eastAsia="ja-JP"/>
        </w:rPr>
        <w:t xml:space="preserve">When fully implemented the reforms will ease the cost and the compliance burden on exporters. </w:t>
      </w:r>
    </w:p>
    <w:p w14:paraId="7EF32A49" w14:textId="77777777" w:rsidR="00C55B4B" w:rsidRDefault="00C55B4B" w:rsidP="00C55B4B">
      <w:pPr>
        <w:rPr>
          <w:lang w:eastAsia="ja-JP"/>
        </w:rPr>
      </w:pPr>
      <w:r>
        <w:rPr>
          <w:lang w:eastAsia="ja-JP"/>
        </w:rPr>
        <w:t>The reforms will also ensure Australian products are of the highest standard and meet our trading partners’ requirements.</w:t>
      </w:r>
    </w:p>
    <w:p w14:paraId="6A99A00A" w14:textId="684A6442" w:rsidR="00905F94" w:rsidRDefault="00C55B4B" w:rsidP="00C55B4B">
      <w:pPr>
        <w:rPr>
          <w:lang w:eastAsia="ja-JP"/>
        </w:rPr>
      </w:pPr>
      <w:r>
        <w:rPr>
          <w:lang w:eastAsia="ja-JP"/>
        </w:rPr>
        <w:t xml:space="preserve">Visit our website to learn more: </w:t>
      </w:r>
      <w:hyperlink r:id="rId11" w:history="1">
        <w:r w:rsidRPr="00C55B4B">
          <w:rPr>
            <w:rStyle w:val="Hyperlink"/>
            <w:lang w:eastAsia="ja-JP"/>
          </w:rPr>
          <w:t>awe.gov.au/transforming-export-services</w:t>
        </w:r>
      </w:hyperlink>
    </w:p>
    <w:sectPr w:rsidR="00905F94" w:rsidSect="00EB552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40CD" w14:textId="77777777" w:rsidR="00D031D4" w:rsidRDefault="00D031D4">
      <w:r>
        <w:separator/>
      </w:r>
    </w:p>
  </w:endnote>
  <w:endnote w:type="continuationSeparator" w:id="0">
    <w:p w14:paraId="7DFE804E" w14:textId="77777777" w:rsidR="00D031D4" w:rsidRDefault="00D0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D9BC" w14:textId="45D6AB38" w:rsidR="00C6669A" w:rsidRPr="00C55B4B" w:rsidRDefault="00C55B4B" w:rsidP="00C55B4B">
    <w:pPr>
      <w:pStyle w:val="Footer"/>
    </w:pPr>
    <w:r w:rsidRPr="00C55B4B">
      <w:t xml:space="preserve">Department of Agriculture, </w:t>
    </w:r>
    <w:proofErr w:type="gramStart"/>
    <w:r w:rsidRPr="00C55B4B">
      <w:t>Water</w:t>
    </w:r>
    <w:proofErr w:type="gramEnd"/>
    <w:r w:rsidRPr="00C55B4B">
      <w:t xml:space="preserve"> and the Environment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BAD4" w14:textId="77777777" w:rsidR="00D031D4" w:rsidRDefault="00D031D4">
      <w:r>
        <w:separator/>
      </w:r>
    </w:p>
  </w:footnote>
  <w:footnote w:type="continuationSeparator" w:id="0">
    <w:p w14:paraId="5CD31647" w14:textId="77777777" w:rsidR="00D031D4" w:rsidRDefault="00D03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F930" w14:textId="4A97D116" w:rsidR="00626E31" w:rsidRPr="00D031D4" w:rsidRDefault="00D031D4" w:rsidP="00D031D4">
    <w:pPr>
      <w:pStyle w:val="Header"/>
    </w:pPr>
    <w:r w:rsidRPr="00D031D4">
      <w:t>Factsheet - Harmonised Regulation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84334092">
    <w:abstractNumId w:val="12"/>
  </w:num>
  <w:num w:numId="2" w16cid:durableId="607470188">
    <w:abstractNumId w:val="11"/>
  </w:num>
  <w:num w:numId="3" w16cid:durableId="2124110196">
    <w:abstractNumId w:val="5"/>
  </w:num>
  <w:num w:numId="4" w16cid:durableId="1363362141">
    <w:abstractNumId w:val="6"/>
  </w:num>
  <w:num w:numId="5" w16cid:durableId="18362837">
    <w:abstractNumId w:val="3"/>
  </w:num>
  <w:num w:numId="6" w16cid:durableId="1280185980">
    <w:abstractNumId w:val="8"/>
  </w:num>
  <w:num w:numId="7" w16cid:durableId="8722352">
    <w:abstractNumId w:val="15"/>
  </w:num>
  <w:num w:numId="8" w16cid:durableId="2001352251">
    <w:abstractNumId w:val="9"/>
  </w:num>
  <w:num w:numId="9" w16cid:durableId="818770924">
    <w:abstractNumId w:val="13"/>
  </w:num>
  <w:num w:numId="10" w16cid:durableId="1350791081">
    <w:abstractNumId w:val="7"/>
  </w:num>
  <w:num w:numId="11" w16cid:durableId="6895745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8846921">
    <w:abstractNumId w:val="10"/>
  </w:num>
  <w:num w:numId="13" w16cid:durableId="1160001106">
    <w:abstractNumId w:val="14"/>
  </w:num>
  <w:num w:numId="14" w16cid:durableId="108361448">
    <w:abstractNumId w:val="2"/>
  </w:num>
  <w:num w:numId="15" w16cid:durableId="511720565">
    <w:abstractNumId w:val="1"/>
  </w:num>
  <w:num w:numId="16" w16cid:durableId="1460610748">
    <w:abstractNumId w:val="0"/>
  </w:num>
  <w:num w:numId="17" w16cid:durableId="1365325123">
    <w:abstractNumId w:val="4"/>
  </w:num>
  <w:num w:numId="18" w16cid:durableId="1070470162">
    <w:abstractNumId w:val="13"/>
  </w:num>
  <w:num w:numId="19" w16cid:durableId="482742895">
    <w:abstractNumId w:val="13"/>
  </w:num>
  <w:num w:numId="20" w16cid:durableId="905264897">
    <w:abstractNumId w:val="13"/>
  </w:num>
  <w:num w:numId="21" w16cid:durableId="1078862865">
    <w:abstractNumId w:val="13"/>
  </w:num>
  <w:num w:numId="22" w16cid:durableId="187927533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D4"/>
    <w:rsid w:val="000A7C1A"/>
    <w:rsid w:val="00387658"/>
    <w:rsid w:val="00487B13"/>
    <w:rsid w:val="00596111"/>
    <w:rsid w:val="005F0A16"/>
    <w:rsid w:val="00612229"/>
    <w:rsid w:val="00626E31"/>
    <w:rsid w:val="006D6E8A"/>
    <w:rsid w:val="0080251A"/>
    <w:rsid w:val="008D0708"/>
    <w:rsid w:val="00905F94"/>
    <w:rsid w:val="00AA4B88"/>
    <w:rsid w:val="00B230FF"/>
    <w:rsid w:val="00B57188"/>
    <w:rsid w:val="00B75616"/>
    <w:rsid w:val="00C55B4B"/>
    <w:rsid w:val="00C6669A"/>
    <w:rsid w:val="00D031D4"/>
    <w:rsid w:val="00DE402A"/>
    <w:rsid w:val="00E3214D"/>
    <w:rsid w:val="00EB5521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FB075"/>
  <w15:docId w15:val="{921AD33F-4DF7-4E2A-81C1-42188DD4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521"/>
    <w:pPr>
      <w:spacing w:before="120"/>
    </w:pPr>
    <w:rPr>
      <w:rFonts w:eastAsia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EB5521"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rsid w:val="00EB5521"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EB5521"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6D6E8A"/>
    <w:pPr>
      <w:spacing w:before="120"/>
      <w:outlineLvl w:val="3"/>
    </w:pPr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paragraph" w:styleId="Heading5">
    <w:name w:val="heading 5"/>
    <w:next w:val="Normal"/>
    <w:link w:val="Heading5Char"/>
    <w:uiPriority w:val="9"/>
    <w:unhideWhenUsed/>
    <w:rsid w:val="006D6E8A"/>
    <w:pPr>
      <w:keepNext/>
      <w:keepLines/>
      <w:spacing w:before="200"/>
      <w:outlineLvl w:val="4"/>
    </w:pPr>
    <w:rPr>
      <w:rFonts w:eastAsiaTheme="majorEastAsia" w:cstheme="majorBidi"/>
      <w:b/>
      <w:i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EB552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EB552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EB5521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EB5521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6D6E8A"/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6D6E8A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EB5521"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EB5521"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EB5521"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rsid w:val="00EB5521"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rsid w:val="00EB5521"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rsid w:val="00EB5521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EB5521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rsid w:val="00EB5521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EB5521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rsid w:val="00EB5521"/>
    <w:pPr>
      <w:tabs>
        <w:tab w:val="center" w:pos="4820"/>
      </w:tabs>
      <w:jc w:val="center"/>
    </w:pPr>
    <w:rPr>
      <w:rFonts w:ascii="Calibri" w:eastAsia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sid w:val="00EB5521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EB5521"/>
    <w:rPr>
      <w:b/>
      <w:bCs/>
    </w:rPr>
  </w:style>
  <w:style w:type="character" w:styleId="Emphasis">
    <w:name w:val="Emphasis"/>
    <w:basedOn w:val="DefaultParagraphFont"/>
    <w:uiPriority w:val="99"/>
    <w:qFormat/>
    <w:rsid w:val="00EB5521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EB5521"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EB5521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rsid w:val="00EB5521"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rsid w:val="00EB5521"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EB5521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EB5521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rsid w:val="00EB5521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rsid w:val="00EB5521"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rsid w:val="00EB5521"/>
    <w:pPr>
      <w:keepNext/>
    </w:pPr>
    <w:rPr>
      <w:b/>
    </w:rPr>
  </w:style>
  <w:style w:type="numbering" w:customStyle="1" w:styleId="Headings">
    <w:name w:val="Headings"/>
    <w:uiPriority w:val="99"/>
    <w:rsid w:val="00EB5521"/>
    <w:pPr>
      <w:numPr>
        <w:numId w:val="9"/>
      </w:numPr>
    </w:pPr>
  </w:style>
  <w:style w:type="paragraph" w:customStyle="1" w:styleId="BoxTextBullet">
    <w:name w:val="Box Text Bullet"/>
    <w:basedOn w:val="BoxText"/>
    <w:uiPriority w:val="21"/>
    <w:qFormat/>
    <w:rsid w:val="00EB5521"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rsid w:val="00EB5521"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sid w:val="00EB5521"/>
    <w:rPr>
      <w:b/>
    </w:rPr>
  </w:style>
  <w:style w:type="paragraph" w:customStyle="1" w:styleId="Securityclassification">
    <w:name w:val="Security classification"/>
    <w:basedOn w:val="Normal"/>
    <w:uiPriority w:val="26"/>
    <w:qFormat/>
    <w:rsid w:val="00EB5521"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EB5521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rsid w:val="00EB5521"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21"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EB5521"/>
  </w:style>
  <w:style w:type="numbering" w:customStyle="1" w:styleId="Appendix">
    <w:name w:val="Appendix"/>
    <w:uiPriority w:val="99"/>
    <w:rsid w:val="00EB5521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B5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521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521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B5521"/>
    <w:rPr>
      <w:color w:val="800080" w:themeColor="followedHyperlink"/>
      <w:u w:val="single"/>
    </w:rPr>
  </w:style>
  <w:style w:type="numbering" w:customStyle="1" w:styleId="ListBullets">
    <w:name w:val="ListBullets"/>
    <w:uiPriority w:val="99"/>
    <w:rsid w:val="00EB5521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rsid w:val="00EB552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EB5521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EB5521"/>
    <w:pPr>
      <w:numPr>
        <w:numId w:val="7"/>
      </w:numPr>
    </w:pPr>
  </w:style>
  <w:style w:type="paragraph" w:customStyle="1" w:styleId="Picture">
    <w:name w:val="Picture"/>
    <w:qFormat/>
    <w:rsid w:val="00EB5521"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rsid w:val="00EB5521"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sid w:val="00EB5521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EB5521"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EB5521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rsid w:val="00EB5521"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rsid w:val="00EB5521"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rsid w:val="00EB5521"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styleId="Revision">
    <w:name w:val="Revision"/>
    <w:hidden/>
    <w:uiPriority w:val="99"/>
    <w:semiHidden/>
    <w:rsid w:val="00EB5521"/>
    <w:rPr>
      <w:rFonts w:eastAsia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5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we.gov.au/transforming-export-servic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CT001CL08FS01\Home$\SS0097\Desktop\Templates\Word-document-template%20-%20Copy%20-%20Copy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65ABE-16D0-4809-8D37-386F325C8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C2663-4D88-40E8-A678-F76FE90CDC6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cf0e0db-f490-4122-abae-21917392c748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A0B0A1-B588-43A6-95C6-EDA54CEB7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F03CD-7490-4009-AFB4-740E2DC81A99}"/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 - Copy - Copy (2).dotx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- Harmonised Regulation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- Harmonised Regulation</dc:title>
  <dc:creator>Department of Agriculture, Water and the Environment</dc:creator>
  <cp:lastModifiedBy>Smith-Fleury, Steven</cp:lastModifiedBy>
  <cp:revision>2</cp:revision>
  <cp:lastPrinted>2015-08-14T05:36:00Z</cp:lastPrinted>
  <dcterms:created xsi:type="dcterms:W3CDTF">2022-05-26T11:01:00Z</dcterms:created>
  <dcterms:modified xsi:type="dcterms:W3CDTF">2022-05-26T11:04:00Z</dcterms:modified>
  <cp:contentStatus>Updated August 2016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Display as">
    <vt:lpwstr>;#Template;#</vt:lpwstr>
  </property>
</Properties>
</file>