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C2C062" w14:textId="673C67D0" w:rsidR="003609CB" w:rsidRDefault="000729B6" w:rsidP="003609CB">
      <w:pPr>
        <w:pStyle w:val="Heading1"/>
      </w:pPr>
      <w:r>
        <w:t xml:space="preserve">Changes to food safety recognition for horticulture exports </w:t>
      </w:r>
    </w:p>
    <w:p w14:paraId="13B4F39F" w14:textId="77777777" w:rsidR="00E05418" w:rsidRDefault="003609CB" w:rsidP="003609CB">
      <w:pPr>
        <w:rPr>
          <w:lang w:eastAsia="ja-JP"/>
        </w:rPr>
      </w:pPr>
      <w:r>
        <w:rPr>
          <w:lang w:eastAsia="ja-JP"/>
        </w:rPr>
        <w:t>The</w:t>
      </w:r>
      <w:r w:rsidR="00E05418" w:rsidRPr="00E05418">
        <w:rPr>
          <w:bCs/>
          <w:lang w:eastAsia="ja-JP"/>
        </w:rPr>
        <w:t xml:space="preserve"> department now recognises current food safety certification to a Global Food Safety Initiative (GFSI) approved scheme as evidence to </w:t>
      </w:r>
      <w:r w:rsidR="00E05418">
        <w:rPr>
          <w:bCs/>
          <w:lang w:eastAsia="ja-JP"/>
        </w:rPr>
        <w:t>meet some export regulatory requirements</w:t>
      </w:r>
      <w:r>
        <w:rPr>
          <w:lang w:eastAsia="ja-JP"/>
        </w:rPr>
        <w:t>.</w:t>
      </w:r>
    </w:p>
    <w:p w14:paraId="065B61F2" w14:textId="78CAB651" w:rsidR="003609CB" w:rsidRDefault="00E05418" w:rsidP="003609CB">
      <w:pPr>
        <w:rPr>
          <w:lang w:eastAsia="ja-JP"/>
        </w:rPr>
      </w:pPr>
      <w:r>
        <w:rPr>
          <w:lang w:eastAsia="ja-JP"/>
        </w:rPr>
        <w:t>Our instructional material for horticulture exports has been updated to include this change.</w:t>
      </w:r>
      <w:r w:rsidR="003609CB">
        <w:rPr>
          <w:lang w:eastAsia="ja-JP"/>
        </w:rPr>
        <w:t xml:space="preserve"> </w:t>
      </w:r>
    </w:p>
    <w:p w14:paraId="7AC93B94" w14:textId="7A3FA699" w:rsidR="003609CB" w:rsidRDefault="00E05418" w:rsidP="003609CB">
      <w:pPr>
        <w:rPr>
          <w:lang w:eastAsia="ja-JP"/>
        </w:rPr>
      </w:pPr>
      <w:r>
        <w:rPr>
          <w:lang w:eastAsia="ja-JP"/>
        </w:rPr>
        <w:t>Key points</w:t>
      </w:r>
      <w:r w:rsidR="003609CB">
        <w:rPr>
          <w:lang w:eastAsia="ja-JP"/>
        </w:rPr>
        <w:t>:</w:t>
      </w:r>
    </w:p>
    <w:p w14:paraId="14FFA596" w14:textId="21EFBEBC" w:rsidR="003609CB" w:rsidRDefault="00E05418" w:rsidP="003609CB">
      <w:pPr>
        <w:pStyle w:val="ListBullet"/>
        <w:rPr>
          <w:lang w:eastAsia="ja-JP"/>
        </w:rPr>
      </w:pPr>
      <w:r>
        <w:rPr>
          <w:lang w:eastAsia="ja-JP"/>
        </w:rPr>
        <w:t>The performance standards for accredited properties and horticulture</w:t>
      </w:r>
      <w:r w:rsidR="00E1174F">
        <w:rPr>
          <w:lang w:eastAsia="ja-JP"/>
        </w:rPr>
        <w:t xml:space="preserve"> registered establishments have changed.</w:t>
      </w:r>
      <w:r w:rsidR="003609CB">
        <w:rPr>
          <w:lang w:eastAsia="ja-JP"/>
        </w:rPr>
        <w:t xml:space="preserve"> </w:t>
      </w:r>
    </w:p>
    <w:p w14:paraId="1E4A8AA1" w14:textId="77777777" w:rsidR="00E1174F" w:rsidRDefault="00E1174F" w:rsidP="003609CB">
      <w:pPr>
        <w:pStyle w:val="ListBullet"/>
        <w:rPr>
          <w:lang w:eastAsia="ja-JP"/>
        </w:rPr>
      </w:pPr>
      <w:r>
        <w:rPr>
          <w:lang w:eastAsia="ja-JP"/>
        </w:rPr>
        <w:t xml:space="preserve">Export audits are now streamlined for businesses with current certification to an approved food safety scheme. </w:t>
      </w:r>
    </w:p>
    <w:p w14:paraId="3A753D05" w14:textId="77777777" w:rsidR="00E1174F" w:rsidRDefault="00E1174F" w:rsidP="003609CB">
      <w:pPr>
        <w:pStyle w:val="ListBullet"/>
        <w:rPr>
          <w:lang w:eastAsia="ja-JP"/>
        </w:rPr>
      </w:pPr>
      <w:r>
        <w:rPr>
          <w:lang w:eastAsia="ja-JP"/>
        </w:rPr>
        <w:t xml:space="preserve">Areas where recognition applies include pest control, hygiene and waste management activities. </w:t>
      </w:r>
    </w:p>
    <w:p w14:paraId="2E80390B" w14:textId="7988DAE9" w:rsidR="003609CB" w:rsidRDefault="00D744F5" w:rsidP="003609CB">
      <w:pPr>
        <w:pStyle w:val="ListBullet"/>
        <w:rPr>
          <w:lang w:eastAsia="ja-JP"/>
        </w:rPr>
      </w:pPr>
      <w:r>
        <w:rPr>
          <w:lang w:eastAsia="ja-JP"/>
        </w:rPr>
        <w:t>The amended performance standards came into effect on 1 October 2022.</w:t>
      </w:r>
    </w:p>
    <w:p w14:paraId="1243150F" w14:textId="77777777" w:rsidR="009473CA" w:rsidRDefault="009473CA" w:rsidP="009473CA">
      <w:pPr>
        <w:pStyle w:val="ListBullet"/>
        <w:numPr>
          <w:ilvl w:val="0"/>
          <w:numId w:val="0"/>
        </w:numPr>
        <w:ind w:left="425"/>
        <w:rPr>
          <w:lang w:eastAsia="ja-JP"/>
        </w:rPr>
      </w:pPr>
    </w:p>
    <w:p w14:paraId="081934C4" w14:textId="4BACADC5" w:rsidR="003609CB" w:rsidRDefault="00D744F5" w:rsidP="003609CB">
      <w:pPr>
        <w:pStyle w:val="Heading2"/>
        <w:pageBreakBefore w:val="0"/>
      </w:pPr>
      <w:r>
        <w:t>Cutting duplication while maintaining assurance</w:t>
      </w:r>
    </w:p>
    <w:p w14:paraId="3491EFFC" w14:textId="27B685A3" w:rsidR="003609CB" w:rsidRDefault="003609CB" w:rsidP="00D744F5">
      <w:pPr>
        <w:rPr>
          <w:lang w:eastAsia="ja-JP"/>
        </w:rPr>
      </w:pPr>
      <w:r>
        <w:rPr>
          <w:lang w:eastAsia="ja-JP"/>
        </w:rPr>
        <w:t>Horticulture businesses undergo audits</w:t>
      </w:r>
      <w:r w:rsidR="00D744F5">
        <w:rPr>
          <w:lang w:eastAsia="ja-JP"/>
        </w:rPr>
        <w:t xml:space="preserve"> with similar elements from different organisations. These include food safety certifying bodies and various levels of government.</w:t>
      </w:r>
    </w:p>
    <w:p w14:paraId="4C2849DF" w14:textId="77777777" w:rsidR="00D744F5" w:rsidRPr="00D744F5" w:rsidRDefault="00D744F5" w:rsidP="00D744F5">
      <w:pPr>
        <w:rPr>
          <w:lang w:eastAsia="ja-JP"/>
        </w:rPr>
      </w:pPr>
      <w:r>
        <w:rPr>
          <w:lang w:eastAsia="ja-JP"/>
        </w:rPr>
        <w:t xml:space="preserve">The department has identified </w:t>
      </w:r>
      <w:bookmarkStart w:id="0" w:name="_Hlk102138281"/>
      <w:r w:rsidRPr="00D744F5">
        <w:rPr>
          <w:lang w:eastAsia="ja-JP"/>
        </w:rPr>
        <w:t>areas of overlap in the packhouse between food safety and quality assurance schemes and plant export regulatory requirements</w:t>
      </w:r>
      <w:bookmarkEnd w:id="0"/>
      <w:r w:rsidRPr="00D744F5">
        <w:rPr>
          <w:lang w:eastAsia="ja-JP"/>
        </w:rPr>
        <w:t>. We can streamline horticulture export audits to remove this overlap while maintaining strong assurance systems.</w:t>
      </w:r>
    </w:p>
    <w:p w14:paraId="40A6C19C" w14:textId="77777777" w:rsidR="00D744F5" w:rsidRPr="00D744F5" w:rsidRDefault="00D744F5" w:rsidP="00D744F5">
      <w:pPr>
        <w:rPr>
          <w:lang w:val="en-US" w:eastAsia="ja-JP"/>
        </w:rPr>
      </w:pPr>
      <w:r w:rsidRPr="00D744F5">
        <w:rPr>
          <w:lang w:val="en-US" w:eastAsia="ja-JP"/>
        </w:rPr>
        <w:t>We will now recognise current food safety and quality certification to a GFSI approved scheme. This means we won’t need to audit some export audit requirements and we won't need as much evidence from businesses.</w:t>
      </w:r>
    </w:p>
    <w:p w14:paraId="20318420" w14:textId="585E5018" w:rsidR="00D744F5" w:rsidRDefault="00D744F5" w:rsidP="00D744F5">
      <w:pPr>
        <w:rPr>
          <w:lang w:eastAsia="ja-JP"/>
        </w:rPr>
      </w:pPr>
    </w:p>
    <w:p w14:paraId="5DB0545C" w14:textId="0EBED3B1" w:rsidR="003609CB" w:rsidRDefault="00D744F5" w:rsidP="003609CB">
      <w:pPr>
        <w:pStyle w:val="Heading2"/>
        <w:pageBreakBefore w:val="0"/>
      </w:pPr>
      <w:r>
        <w:t xml:space="preserve">Some performance standards have </w:t>
      </w:r>
      <w:proofErr w:type="gramStart"/>
      <w:r>
        <w:t>changed</w:t>
      </w:r>
      <w:proofErr w:type="gramEnd"/>
    </w:p>
    <w:p w14:paraId="768899B2" w14:textId="12CF343E" w:rsidR="003609CB" w:rsidRDefault="003609CB" w:rsidP="003609CB">
      <w:pPr>
        <w:rPr>
          <w:lang w:eastAsia="ja-JP"/>
        </w:rPr>
      </w:pPr>
      <w:r>
        <w:rPr>
          <w:lang w:eastAsia="ja-JP"/>
        </w:rPr>
        <w:t xml:space="preserve"> </w:t>
      </w:r>
      <w:r w:rsidR="00C527C2">
        <w:rPr>
          <w:lang w:eastAsia="ja-JP"/>
        </w:rPr>
        <w:t>What has</w:t>
      </w:r>
      <w:r w:rsidR="00D744F5">
        <w:rPr>
          <w:lang w:eastAsia="ja-JP"/>
        </w:rPr>
        <w:t xml:space="preserve"> changed:</w:t>
      </w:r>
    </w:p>
    <w:p w14:paraId="7BC1CBA7" w14:textId="2E339DD1" w:rsidR="00D744F5" w:rsidRDefault="00E01198" w:rsidP="001A01BB">
      <w:pPr>
        <w:pStyle w:val="ListBullet"/>
        <w:rPr>
          <w:lang w:eastAsia="ja-JP"/>
        </w:rPr>
      </w:pPr>
      <w:r>
        <w:rPr>
          <w:lang w:eastAsia="ja-JP"/>
        </w:rPr>
        <w:t>Performance standards for accredited properties packhouses</w:t>
      </w:r>
    </w:p>
    <w:p w14:paraId="1AB28F11" w14:textId="11443C3B" w:rsidR="00E01198" w:rsidRDefault="00E01198" w:rsidP="001A01BB">
      <w:pPr>
        <w:pStyle w:val="ListBullet"/>
        <w:rPr>
          <w:lang w:eastAsia="ja-JP"/>
        </w:rPr>
      </w:pPr>
      <w:r>
        <w:rPr>
          <w:lang w:eastAsia="ja-JP"/>
        </w:rPr>
        <w:t>Performance standards for plant export registered establishments registered for inspecting fresh fruit and/or vegetables</w:t>
      </w:r>
      <w:r w:rsidR="001A01BB">
        <w:rPr>
          <w:lang w:eastAsia="ja-JP"/>
        </w:rPr>
        <w:t>.</w:t>
      </w:r>
    </w:p>
    <w:p w14:paraId="7A182DB4" w14:textId="56BB0D3B" w:rsidR="00E01198" w:rsidRDefault="00E01198" w:rsidP="00E01198">
      <w:pPr>
        <w:rPr>
          <w:lang w:eastAsia="ja-JP"/>
        </w:rPr>
      </w:pPr>
      <w:r>
        <w:rPr>
          <w:lang w:eastAsia="ja-JP"/>
        </w:rPr>
        <w:t xml:space="preserve">Evidence that can now be used: </w:t>
      </w:r>
    </w:p>
    <w:p w14:paraId="60F76939" w14:textId="01C75989" w:rsidR="00E01198" w:rsidRDefault="00E01198" w:rsidP="001A01BB">
      <w:pPr>
        <w:pStyle w:val="ListParagraph"/>
        <w:numPr>
          <w:ilvl w:val="0"/>
          <w:numId w:val="26"/>
        </w:numPr>
        <w:rPr>
          <w:lang w:eastAsia="ja-JP"/>
        </w:rPr>
      </w:pPr>
      <w:r>
        <w:rPr>
          <w:lang w:eastAsia="ja-JP"/>
        </w:rPr>
        <w:lastRenderedPageBreak/>
        <w:t>Current food safety certification to a GFSI approved scheme</w:t>
      </w:r>
      <w:r w:rsidR="001A01BB">
        <w:rPr>
          <w:lang w:eastAsia="ja-JP"/>
        </w:rPr>
        <w:t>.</w:t>
      </w:r>
    </w:p>
    <w:p w14:paraId="38CCE21F" w14:textId="45C43E96" w:rsidR="00E01198" w:rsidRDefault="00E01198" w:rsidP="00E01198">
      <w:pPr>
        <w:rPr>
          <w:lang w:eastAsia="ja-JP"/>
        </w:rPr>
      </w:pPr>
      <w:r>
        <w:rPr>
          <w:lang w:eastAsia="ja-JP"/>
        </w:rPr>
        <w:t>Audit requirements it applies to:</w:t>
      </w:r>
    </w:p>
    <w:p w14:paraId="14A1E37A" w14:textId="7D60CC75" w:rsidR="00E01198" w:rsidRDefault="00E01198" w:rsidP="001A01BB">
      <w:pPr>
        <w:pStyle w:val="ListBullet"/>
        <w:rPr>
          <w:lang w:eastAsia="ja-JP"/>
        </w:rPr>
      </w:pPr>
      <w:r>
        <w:rPr>
          <w:lang w:eastAsia="ja-JP"/>
        </w:rPr>
        <w:t xml:space="preserve">Hygiene </w:t>
      </w:r>
    </w:p>
    <w:p w14:paraId="0590908E" w14:textId="57515604" w:rsidR="00E01198" w:rsidRDefault="00E01198" w:rsidP="001A01BB">
      <w:pPr>
        <w:pStyle w:val="ListBullet"/>
        <w:rPr>
          <w:lang w:eastAsia="ja-JP"/>
        </w:rPr>
      </w:pPr>
      <w:r>
        <w:rPr>
          <w:lang w:eastAsia="ja-JP"/>
        </w:rPr>
        <w:t>Waste Management</w:t>
      </w:r>
    </w:p>
    <w:p w14:paraId="122B653D" w14:textId="57C295CA" w:rsidR="00E01198" w:rsidRDefault="00E01198" w:rsidP="001A01BB">
      <w:pPr>
        <w:pStyle w:val="ListBullet"/>
        <w:rPr>
          <w:lang w:eastAsia="ja-JP"/>
        </w:rPr>
      </w:pPr>
      <w:r>
        <w:rPr>
          <w:lang w:eastAsia="ja-JP"/>
        </w:rPr>
        <w:t>Pest management relating to non-protocol pests</w:t>
      </w:r>
      <w:r w:rsidR="001A01BB">
        <w:rPr>
          <w:lang w:eastAsia="ja-JP"/>
        </w:rPr>
        <w:t>.</w:t>
      </w:r>
    </w:p>
    <w:p w14:paraId="717D4084" w14:textId="771943FF" w:rsidR="003609CB" w:rsidRDefault="00E01198" w:rsidP="003609CB">
      <w:pPr>
        <w:pStyle w:val="Heading2"/>
        <w:pageBreakBefore w:val="0"/>
      </w:pPr>
      <w:r>
        <w:t>Food safety</w:t>
      </w:r>
      <w:r w:rsidR="003609CB">
        <w:t xml:space="preserve"> </w:t>
      </w:r>
      <w:r>
        <w:t>and quality schemes</w:t>
      </w:r>
    </w:p>
    <w:p w14:paraId="247F9818" w14:textId="6AE8E642" w:rsidR="003609CB" w:rsidRDefault="00E01198" w:rsidP="003609CB">
      <w:pPr>
        <w:rPr>
          <w:lang w:eastAsia="ja-JP"/>
        </w:rPr>
      </w:pPr>
      <w:r>
        <w:rPr>
          <w:lang w:eastAsia="ja-JP"/>
        </w:rPr>
        <w:t>The department now recognises GFSI approved schemes. These include:</w:t>
      </w:r>
      <w:r w:rsidR="003609CB">
        <w:rPr>
          <w:lang w:eastAsia="ja-JP"/>
        </w:rPr>
        <w:t xml:space="preserve"> </w:t>
      </w:r>
    </w:p>
    <w:p w14:paraId="4DFA9B1F" w14:textId="7CD1BF12" w:rsidR="003609CB" w:rsidRDefault="00E01198" w:rsidP="003609CB">
      <w:pPr>
        <w:pStyle w:val="ListBullet"/>
        <w:rPr>
          <w:lang w:eastAsia="ja-JP"/>
        </w:rPr>
      </w:pPr>
      <w:r>
        <w:rPr>
          <w:lang w:eastAsia="ja-JP"/>
        </w:rPr>
        <w:t>GLOBAL G.A.P</w:t>
      </w:r>
    </w:p>
    <w:p w14:paraId="221DDC44" w14:textId="1561E26E" w:rsidR="003609CB" w:rsidRDefault="00E01198" w:rsidP="003609CB">
      <w:pPr>
        <w:pStyle w:val="ListBullet"/>
        <w:rPr>
          <w:lang w:eastAsia="ja-JP"/>
        </w:rPr>
      </w:pPr>
      <w:r>
        <w:rPr>
          <w:lang w:eastAsia="ja-JP"/>
        </w:rPr>
        <w:t>Freshcare</w:t>
      </w:r>
    </w:p>
    <w:p w14:paraId="613D583C" w14:textId="5D5A2A13" w:rsidR="00E01198" w:rsidRDefault="00E01198" w:rsidP="003609CB">
      <w:pPr>
        <w:pStyle w:val="ListBullet"/>
        <w:rPr>
          <w:lang w:eastAsia="ja-JP"/>
        </w:rPr>
      </w:pPr>
      <w:r>
        <w:rPr>
          <w:lang w:eastAsia="ja-JP"/>
        </w:rPr>
        <w:t>British Retail Consortium (BRC) Global Standard for Food Safety</w:t>
      </w:r>
    </w:p>
    <w:p w14:paraId="15C3F6E5" w14:textId="7F97DBAC" w:rsidR="001A01BB" w:rsidRDefault="00E01198" w:rsidP="001A01BB">
      <w:pPr>
        <w:pStyle w:val="ListBullet"/>
        <w:rPr>
          <w:lang w:eastAsia="ja-JP"/>
        </w:rPr>
      </w:pPr>
      <w:r>
        <w:rPr>
          <w:lang w:eastAsia="ja-JP"/>
        </w:rPr>
        <w:t>Safe Quality Food (SQF)</w:t>
      </w:r>
      <w:r w:rsidR="001A01BB">
        <w:rPr>
          <w:lang w:eastAsia="ja-JP"/>
        </w:rPr>
        <w:t>.</w:t>
      </w:r>
      <w:r w:rsidR="003609CB">
        <w:rPr>
          <w:lang w:eastAsia="ja-JP"/>
        </w:rPr>
        <w:t xml:space="preserve"> </w:t>
      </w:r>
    </w:p>
    <w:p w14:paraId="77524BFA" w14:textId="72C1F43F" w:rsidR="00E01198" w:rsidRDefault="00E01198" w:rsidP="001A01BB">
      <w:pPr>
        <w:rPr>
          <w:lang w:eastAsia="ja-JP"/>
        </w:rPr>
      </w:pPr>
      <w:r>
        <w:rPr>
          <w:lang w:eastAsia="ja-JP"/>
        </w:rPr>
        <w:t>If an audited business cannot show evidence of a current food safety certification, we will</w:t>
      </w:r>
      <w:r w:rsidR="002019DD">
        <w:rPr>
          <w:lang w:eastAsia="ja-JP"/>
        </w:rPr>
        <w:t xml:space="preserve"> </w:t>
      </w:r>
      <w:r>
        <w:rPr>
          <w:lang w:eastAsia="ja-JP"/>
        </w:rPr>
        <w:t>conduct</w:t>
      </w:r>
      <w:r w:rsidR="001A01BB">
        <w:rPr>
          <w:lang w:eastAsia="ja-JP"/>
        </w:rPr>
        <w:t xml:space="preserve"> </w:t>
      </w:r>
      <w:r>
        <w:rPr>
          <w:lang w:eastAsia="ja-JP"/>
        </w:rPr>
        <w:t>a full export audit.</w:t>
      </w:r>
    </w:p>
    <w:p w14:paraId="33BC94DA" w14:textId="77777777" w:rsidR="009473CA" w:rsidRDefault="009473CA" w:rsidP="002019DD">
      <w:pPr>
        <w:pStyle w:val="ListBullet"/>
        <w:numPr>
          <w:ilvl w:val="0"/>
          <w:numId w:val="0"/>
        </w:numPr>
        <w:ind w:left="425" w:hanging="425"/>
        <w:jc w:val="both"/>
        <w:rPr>
          <w:lang w:eastAsia="ja-JP"/>
        </w:rPr>
      </w:pPr>
    </w:p>
    <w:p w14:paraId="51C6BE9F" w14:textId="736EE471" w:rsidR="003609CB" w:rsidRDefault="002019DD" w:rsidP="003609CB">
      <w:pPr>
        <w:pStyle w:val="Heading2"/>
        <w:pageBreakBefore w:val="0"/>
      </w:pPr>
      <w:r>
        <w:t xml:space="preserve">Certification evidence required to obtain </w:t>
      </w:r>
      <w:proofErr w:type="gramStart"/>
      <w:r>
        <w:t>recognition</w:t>
      </w:r>
      <w:proofErr w:type="gramEnd"/>
      <w:r>
        <w:t xml:space="preserve"> </w:t>
      </w:r>
    </w:p>
    <w:p w14:paraId="508BC894" w14:textId="24168506" w:rsidR="003609CB" w:rsidRDefault="002019DD" w:rsidP="003609CB">
      <w:pPr>
        <w:rPr>
          <w:lang w:eastAsia="ja-JP"/>
        </w:rPr>
      </w:pPr>
      <w:r>
        <w:rPr>
          <w:lang w:eastAsia="ja-JP"/>
        </w:rPr>
        <w:t>Managers of horticulture registered establishments and/or accredited properties packhouses can provide the following as evidence of current food safety certification at plant export audits:</w:t>
      </w:r>
    </w:p>
    <w:p w14:paraId="1D9AC869" w14:textId="34734C36" w:rsidR="003609CB" w:rsidRDefault="002019DD" w:rsidP="003609CB">
      <w:pPr>
        <w:pStyle w:val="ListBullet"/>
        <w:rPr>
          <w:lang w:eastAsia="ja-JP"/>
        </w:rPr>
      </w:pPr>
      <w:r>
        <w:rPr>
          <w:lang w:eastAsia="ja-JP"/>
        </w:rPr>
        <w:t xml:space="preserve">A food safety certificate showing certification to one of the GFSI approved schemes </w:t>
      </w:r>
      <w:proofErr w:type="gramStart"/>
      <w:r>
        <w:rPr>
          <w:lang w:eastAsia="ja-JP"/>
        </w:rPr>
        <w:t>that</w:t>
      </w:r>
      <w:proofErr w:type="gramEnd"/>
    </w:p>
    <w:p w14:paraId="463F95C6" w14:textId="1B92DD64" w:rsidR="002019DD" w:rsidRDefault="002019DD" w:rsidP="002019DD">
      <w:pPr>
        <w:pStyle w:val="ListBullet2"/>
        <w:rPr>
          <w:lang w:eastAsia="ja-JP"/>
        </w:rPr>
      </w:pPr>
      <w:r>
        <w:rPr>
          <w:lang w:eastAsia="ja-JP"/>
        </w:rPr>
        <w:t>is issued by a third-party food safety audit certification body accredited by JAS-ANZ; and</w:t>
      </w:r>
    </w:p>
    <w:p w14:paraId="7F9745D9" w14:textId="4AA7A02A" w:rsidR="002019DD" w:rsidRDefault="002019DD" w:rsidP="002019DD">
      <w:pPr>
        <w:pStyle w:val="ListBullet2"/>
        <w:rPr>
          <w:lang w:eastAsia="ja-JP"/>
        </w:rPr>
      </w:pPr>
      <w:r>
        <w:rPr>
          <w:lang w:eastAsia="ja-JP"/>
        </w:rPr>
        <w:t>has not expired at the time of audit; or</w:t>
      </w:r>
    </w:p>
    <w:p w14:paraId="5607142C" w14:textId="3D54C3A3" w:rsidR="003609CB" w:rsidRDefault="002019DD" w:rsidP="003609CB">
      <w:pPr>
        <w:pStyle w:val="ListBullet"/>
        <w:rPr>
          <w:lang w:eastAsia="ja-JP"/>
        </w:rPr>
      </w:pPr>
      <w:r>
        <w:rPr>
          <w:lang w:eastAsia="ja-JP"/>
        </w:rPr>
        <w:t xml:space="preserve">a food safety certificate extension notification showing details of certification to one of the GFSI approved schemes </w:t>
      </w:r>
      <w:proofErr w:type="gramStart"/>
      <w:r>
        <w:rPr>
          <w:lang w:eastAsia="ja-JP"/>
        </w:rPr>
        <w:t>that</w:t>
      </w:r>
      <w:proofErr w:type="gramEnd"/>
    </w:p>
    <w:p w14:paraId="552217A6" w14:textId="77777777" w:rsidR="002019DD" w:rsidRDefault="002019DD" w:rsidP="002019DD">
      <w:pPr>
        <w:pStyle w:val="ListBullet2"/>
        <w:rPr>
          <w:lang w:eastAsia="ja-JP"/>
        </w:rPr>
      </w:pPr>
      <w:r>
        <w:rPr>
          <w:lang w:eastAsia="ja-JP"/>
        </w:rPr>
        <w:t>is issued by a third-party food safety audit certification body accredited by JAS-ANZ; and</w:t>
      </w:r>
    </w:p>
    <w:p w14:paraId="77E213DC" w14:textId="64A735E3" w:rsidR="002019DD" w:rsidRDefault="002019DD" w:rsidP="002019DD">
      <w:pPr>
        <w:pStyle w:val="ListBullet2"/>
        <w:rPr>
          <w:lang w:eastAsia="ja-JP"/>
        </w:rPr>
      </w:pPr>
      <w:r>
        <w:rPr>
          <w:lang w:eastAsia="ja-JP"/>
        </w:rPr>
        <w:t xml:space="preserve">has not expired at the time of the export audit. </w:t>
      </w:r>
    </w:p>
    <w:p w14:paraId="7DCB40FB" w14:textId="77777777" w:rsidR="009473CA" w:rsidRDefault="009473CA" w:rsidP="001A01BB">
      <w:pPr>
        <w:pStyle w:val="ListBullet2"/>
        <w:numPr>
          <w:ilvl w:val="0"/>
          <w:numId w:val="0"/>
        </w:numPr>
        <w:ind w:left="425"/>
        <w:rPr>
          <w:lang w:eastAsia="ja-JP"/>
        </w:rPr>
      </w:pPr>
    </w:p>
    <w:p w14:paraId="631B8060" w14:textId="432C0466" w:rsidR="003609CB" w:rsidRDefault="003609CB" w:rsidP="002019DD">
      <w:pPr>
        <w:pStyle w:val="ListBullet"/>
        <w:numPr>
          <w:ilvl w:val="0"/>
          <w:numId w:val="0"/>
        </w:numPr>
        <w:ind w:left="425"/>
        <w:rPr>
          <w:lang w:eastAsia="ja-JP"/>
        </w:rPr>
      </w:pPr>
    </w:p>
    <w:p w14:paraId="3118DD89" w14:textId="783085BA" w:rsidR="003609CB" w:rsidRDefault="009473CA" w:rsidP="003609CB">
      <w:pPr>
        <w:pStyle w:val="Heading2"/>
        <w:pageBreakBefore w:val="0"/>
      </w:pPr>
      <w:r>
        <w:t>Performance standards changed in October 2022</w:t>
      </w:r>
      <w:r w:rsidR="003609CB">
        <w:t xml:space="preserve"> </w:t>
      </w:r>
    </w:p>
    <w:p w14:paraId="21F79182" w14:textId="3BCD3829" w:rsidR="003609CB" w:rsidRDefault="009473CA" w:rsidP="003609CB">
      <w:pPr>
        <w:rPr>
          <w:lang w:eastAsia="ja-JP"/>
        </w:rPr>
      </w:pPr>
      <w:r>
        <w:rPr>
          <w:lang w:eastAsia="ja-JP"/>
        </w:rPr>
        <w:t>The amended performance standards came into effect on 1 October 2022.</w:t>
      </w:r>
    </w:p>
    <w:p w14:paraId="4AF057C8" w14:textId="01647A2A" w:rsidR="009473CA" w:rsidRDefault="009473CA" w:rsidP="003609CB">
      <w:pPr>
        <w:rPr>
          <w:lang w:eastAsia="ja-JP"/>
        </w:rPr>
      </w:pPr>
    </w:p>
    <w:p w14:paraId="06AF3CF5" w14:textId="77777777" w:rsidR="009473CA" w:rsidRDefault="009473CA" w:rsidP="003609CB">
      <w:pPr>
        <w:rPr>
          <w:lang w:eastAsia="ja-JP"/>
        </w:rPr>
      </w:pPr>
    </w:p>
    <w:p w14:paraId="3195FFAB" w14:textId="769C3FAD" w:rsidR="003609CB" w:rsidRDefault="009473CA" w:rsidP="009473CA">
      <w:pPr>
        <w:pStyle w:val="Heading2"/>
        <w:pageBreakBefore w:val="0"/>
      </w:pPr>
      <w:r>
        <w:lastRenderedPageBreak/>
        <w:t xml:space="preserve">A more efficient audit process for industry </w:t>
      </w:r>
      <w:r w:rsidR="003609CB">
        <w:t xml:space="preserve"> </w:t>
      </w:r>
    </w:p>
    <w:p w14:paraId="3DCCEE99" w14:textId="6C200E4B" w:rsidR="002019DD" w:rsidRPr="001A01BB" w:rsidRDefault="009473CA" w:rsidP="009473CA">
      <w:r w:rsidRPr="001A01BB">
        <w:t>The horticulture export audit process will be more efficient for businesses that can show evidence of food safety certification.</w:t>
      </w:r>
    </w:p>
    <w:p w14:paraId="507644A6" w14:textId="5FA7D71F" w:rsidR="009473CA" w:rsidRPr="001A01BB" w:rsidRDefault="009473CA" w:rsidP="009473CA">
      <w:r w:rsidRPr="001A01BB">
        <w:t>There will be less duplication between food safety standards and plant export regulatory requirements, saving audited businesses time and money at audit.</w:t>
      </w:r>
    </w:p>
    <w:p w14:paraId="4D88CF8C" w14:textId="5FE979FE" w:rsidR="009473CA" w:rsidRDefault="00DE31A9" w:rsidP="00DE31A9">
      <w:pPr>
        <w:pStyle w:val="Heading2"/>
      </w:pPr>
      <w:r>
        <w:lastRenderedPageBreak/>
        <w:t>Supporting Material</w:t>
      </w:r>
    </w:p>
    <w:p w14:paraId="4FB4A34C" w14:textId="751FE7D7" w:rsidR="00DE31A9" w:rsidRDefault="00DE31A9" w:rsidP="00DE31A9">
      <w:pPr>
        <w:rPr>
          <w:lang w:eastAsia="ja-JP"/>
        </w:rPr>
      </w:pPr>
      <w:r>
        <w:rPr>
          <w:lang w:eastAsia="ja-JP"/>
        </w:rPr>
        <w:t>These documents have been updated as part of the recognition of food safety certification:</w:t>
      </w:r>
    </w:p>
    <w:p w14:paraId="1E9F1367" w14:textId="77777777" w:rsidR="00DE31A9" w:rsidRPr="001A01BB" w:rsidRDefault="00DE31A9" w:rsidP="00DE31A9">
      <w:pPr>
        <w:pStyle w:val="ListParagraph"/>
        <w:numPr>
          <w:ilvl w:val="1"/>
          <w:numId w:val="24"/>
        </w:numPr>
        <w:autoSpaceDE w:val="0"/>
        <w:autoSpaceDN w:val="0"/>
        <w:adjustRightInd w:val="0"/>
        <w:spacing w:before="100" w:line="249" w:lineRule="auto"/>
        <w:ind w:left="360"/>
        <w:contextualSpacing w:val="0"/>
        <w:jc w:val="both"/>
      </w:pPr>
      <w:r w:rsidRPr="001A01BB">
        <w:rPr>
          <w:rFonts w:cs="Cambria"/>
        </w:rPr>
        <w:t>Guideline: Audit of plant export registered establishments [</w:t>
      </w:r>
      <w:hyperlink r:id="rId11" w:history="1">
        <w:r w:rsidRPr="001A01BB">
          <w:rPr>
            <w:rStyle w:val="Hyperlink"/>
            <w:rFonts w:cs="Cambria"/>
          </w:rPr>
          <w:t>PDF</w:t>
        </w:r>
      </w:hyperlink>
      <w:r w:rsidRPr="001A01BB">
        <w:rPr>
          <w:rFonts w:cs="Cambria"/>
        </w:rPr>
        <w:t xml:space="preserve"> </w:t>
      </w:r>
      <w:hyperlink r:id="rId12" w:history="1">
        <w:r w:rsidRPr="001A01BB">
          <w:rPr>
            <w:rStyle w:val="Hyperlink"/>
            <w:rFonts w:cs="Cambria"/>
          </w:rPr>
          <w:t>Word</w:t>
        </w:r>
      </w:hyperlink>
      <w:r w:rsidRPr="001A01BB">
        <w:rPr>
          <w:rFonts w:cs="Cambria"/>
        </w:rPr>
        <w:t>]</w:t>
      </w:r>
    </w:p>
    <w:p w14:paraId="57B8089E" w14:textId="77777777" w:rsidR="00DE31A9" w:rsidRPr="001A01BB" w:rsidRDefault="00DE31A9" w:rsidP="00DE31A9">
      <w:pPr>
        <w:pStyle w:val="ListParagraph"/>
        <w:numPr>
          <w:ilvl w:val="1"/>
          <w:numId w:val="24"/>
        </w:numPr>
        <w:autoSpaceDE w:val="0"/>
        <w:autoSpaceDN w:val="0"/>
        <w:adjustRightInd w:val="0"/>
        <w:spacing w:before="100" w:line="249" w:lineRule="auto"/>
        <w:ind w:left="360"/>
        <w:contextualSpacing w:val="0"/>
        <w:jc w:val="both"/>
        <w:rPr>
          <w:rFonts w:cs="Cambria-Italic"/>
          <w:i/>
          <w:iCs/>
          <w:color w:val="000000"/>
        </w:rPr>
      </w:pPr>
      <w:r w:rsidRPr="001A01BB">
        <w:rPr>
          <w:rFonts w:cs="Cambria"/>
        </w:rPr>
        <w:t>Guideline: Audit of horticulture export accredited properties [</w:t>
      </w:r>
      <w:hyperlink r:id="rId13" w:history="1">
        <w:r w:rsidRPr="001A01BB">
          <w:rPr>
            <w:rStyle w:val="Hyperlink"/>
            <w:rFonts w:cs="Cambria"/>
          </w:rPr>
          <w:t>PDF</w:t>
        </w:r>
      </w:hyperlink>
      <w:r w:rsidRPr="001A01BB">
        <w:rPr>
          <w:rFonts w:cs="Cambria"/>
        </w:rPr>
        <w:t xml:space="preserve"> </w:t>
      </w:r>
      <w:hyperlink r:id="rId14" w:history="1">
        <w:r w:rsidRPr="001A01BB">
          <w:rPr>
            <w:rStyle w:val="Hyperlink"/>
            <w:rFonts w:cs="Cambria"/>
          </w:rPr>
          <w:t>Word</w:t>
        </w:r>
      </w:hyperlink>
      <w:r w:rsidRPr="001A01BB">
        <w:rPr>
          <w:rFonts w:cs="Cambria"/>
        </w:rPr>
        <w:t>]</w:t>
      </w:r>
    </w:p>
    <w:p w14:paraId="4A2F8A10" w14:textId="77777777" w:rsidR="00DE31A9" w:rsidRPr="001A01BB" w:rsidRDefault="00DE31A9" w:rsidP="00DE31A9">
      <w:pPr>
        <w:pStyle w:val="ListParagraph"/>
        <w:numPr>
          <w:ilvl w:val="1"/>
          <w:numId w:val="24"/>
        </w:numPr>
        <w:autoSpaceDE w:val="0"/>
        <w:autoSpaceDN w:val="0"/>
        <w:adjustRightInd w:val="0"/>
        <w:spacing w:before="100" w:line="249" w:lineRule="auto"/>
        <w:ind w:left="360"/>
        <w:contextualSpacing w:val="0"/>
        <w:rPr>
          <w:rFonts w:cs="Cambria"/>
          <w:color w:val="000000"/>
        </w:rPr>
      </w:pPr>
      <w:r w:rsidRPr="001A01BB">
        <w:rPr>
          <w:rFonts w:cs="Cambria"/>
        </w:rPr>
        <w:t>Reference: Performance standards for plant export registered establishments [</w:t>
      </w:r>
      <w:hyperlink r:id="rId15" w:history="1">
        <w:r w:rsidRPr="001A01BB">
          <w:rPr>
            <w:rStyle w:val="Hyperlink"/>
            <w:rFonts w:cs="Cambria"/>
          </w:rPr>
          <w:t>PDF</w:t>
        </w:r>
      </w:hyperlink>
      <w:r w:rsidRPr="001A01BB">
        <w:rPr>
          <w:rFonts w:cs="Cambria"/>
        </w:rPr>
        <w:t xml:space="preserve"> </w:t>
      </w:r>
      <w:hyperlink r:id="rId16" w:history="1">
        <w:r w:rsidRPr="001A01BB">
          <w:rPr>
            <w:rStyle w:val="Hyperlink"/>
            <w:rFonts w:cs="Cambria"/>
          </w:rPr>
          <w:t>Word</w:t>
        </w:r>
      </w:hyperlink>
      <w:r w:rsidRPr="001A01BB">
        <w:rPr>
          <w:rFonts w:cs="Cambria"/>
        </w:rPr>
        <w:t>]</w:t>
      </w:r>
    </w:p>
    <w:p w14:paraId="1CD05A89" w14:textId="74B64FB9" w:rsidR="00DE31A9" w:rsidRPr="001A01BB" w:rsidRDefault="00DE31A9" w:rsidP="00DE31A9">
      <w:pPr>
        <w:pStyle w:val="ListParagraph"/>
        <w:numPr>
          <w:ilvl w:val="1"/>
          <w:numId w:val="24"/>
        </w:numPr>
        <w:autoSpaceDE w:val="0"/>
        <w:autoSpaceDN w:val="0"/>
        <w:adjustRightInd w:val="0"/>
        <w:spacing w:before="100" w:line="249" w:lineRule="auto"/>
        <w:ind w:left="360"/>
        <w:contextualSpacing w:val="0"/>
        <w:rPr>
          <w:rFonts w:cs="Cambria"/>
        </w:rPr>
      </w:pPr>
      <w:r w:rsidRPr="001A01BB">
        <w:rPr>
          <w:rFonts w:cs="Cambria"/>
        </w:rPr>
        <w:t>Reference: Performance standards for packhouses [</w:t>
      </w:r>
      <w:hyperlink r:id="rId17" w:history="1">
        <w:r w:rsidRPr="001A01BB">
          <w:rPr>
            <w:rStyle w:val="Hyperlink"/>
            <w:rFonts w:cs="Cambria"/>
          </w:rPr>
          <w:t>PDF</w:t>
        </w:r>
      </w:hyperlink>
      <w:r w:rsidRPr="001A01BB">
        <w:rPr>
          <w:rFonts w:cs="Cambria"/>
        </w:rPr>
        <w:t xml:space="preserve"> </w:t>
      </w:r>
      <w:hyperlink r:id="rId18" w:history="1">
        <w:r w:rsidRPr="001A01BB">
          <w:rPr>
            <w:rStyle w:val="Hyperlink"/>
            <w:rFonts w:cs="Cambria"/>
          </w:rPr>
          <w:t>Word</w:t>
        </w:r>
      </w:hyperlink>
      <w:r w:rsidRPr="001A01BB">
        <w:rPr>
          <w:rFonts w:cs="Cambria"/>
        </w:rPr>
        <w:t>]</w:t>
      </w:r>
      <w:r w:rsidR="001A01BB">
        <w:rPr>
          <w:rFonts w:cs="Cambria"/>
        </w:rPr>
        <w:t>.</w:t>
      </w:r>
    </w:p>
    <w:p w14:paraId="002E01A1" w14:textId="5EF948FD" w:rsidR="00DE31A9" w:rsidRPr="001A01BB" w:rsidRDefault="00DE31A9" w:rsidP="00DE31A9">
      <w:pPr>
        <w:autoSpaceDE w:val="0"/>
        <w:autoSpaceDN w:val="0"/>
        <w:adjustRightInd w:val="0"/>
        <w:spacing w:before="100" w:line="250" w:lineRule="auto"/>
        <w:jc w:val="both"/>
        <w:rPr>
          <w:rFonts w:cs="Cambria"/>
        </w:rPr>
      </w:pPr>
      <w:r w:rsidRPr="001A01BB">
        <w:rPr>
          <w:rFonts w:cs="Cambria"/>
          <w:color w:val="000000"/>
        </w:rPr>
        <w:t xml:space="preserve">The instructional material is in the </w:t>
      </w:r>
      <w:bookmarkStart w:id="1" w:name="_Hlk101302257"/>
      <w:r w:rsidRPr="001A01BB">
        <w:rPr>
          <w:rFonts w:cs="Cambria"/>
          <w:lang w:val="en-US"/>
        </w:rPr>
        <w:fldChar w:fldCharType="begin"/>
      </w:r>
      <w:r w:rsidRPr="001A01BB">
        <w:rPr>
          <w:rFonts w:cs="Cambria"/>
        </w:rPr>
        <w:instrText>HYPERLINK "https://www.agriculture.gov.au/biosecurity-trade/export/controlled-goods/plants-plant-products/plantexportsmanual" \l "accredited-properties"</w:instrText>
      </w:r>
      <w:r w:rsidRPr="001A01BB">
        <w:rPr>
          <w:rFonts w:cs="Cambria"/>
          <w:lang w:val="en-US"/>
        </w:rPr>
      </w:r>
      <w:r w:rsidRPr="001A01BB">
        <w:rPr>
          <w:rFonts w:cs="Cambria"/>
          <w:lang w:val="en-US"/>
        </w:rPr>
        <w:fldChar w:fldCharType="separate"/>
      </w:r>
      <w:r w:rsidRPr="001A01BB">
        <w:rPr>
          <w:rStyle w:val="Hyperlink"/>
          <w:rFonts w:cs="Cambria"/>
        </w:rPr>
        <w:t>Plant Export Operations Manual</w:t>
      </w:r>
      <w:r w:rsidRPr="001A01BB">
        <w:rPr>
          <w:rFonts w:cs="Cambria"/>
        </w:rPr>
        <w:fldChar w:fldCharType="end"/>
      </w:r>
      <w:bookmarkEnd w:id="1"/>
      <w:r w:rsidRPr="001A01BB">
        <w:rPr>
          <w:rFonts w:cs="Cambria"/>
        </w:rPr>
        <w:t>.</w:t>
      </w:r>
    </w:p>
    <w:p w14:paraId="1C720441" w14:textId="5F3CDC51" w:rsidR="001A01BB" w:rsidRDefault="001A01BB" w:rsidP="001A01BB">
      <w:pPr>
        <w:pStyle w:val="Heading2"/>
      </w:pPr>
      <w:r>
        <w:lastRenderedPageBreak/>
        <w:t xml:space="preserve">Contact </w:t>
      </w:r>
      <w:proofErr w:type="gramStart"/>
      <w:r>
        <w:t>us</w:t>
      </w:r>
      <w:proofErr w:type="gramEnd"/>
    </w:p>
    <w:p w14:paraId="05A51C92" w14:textId="77777777" w:rsidR="001A01BB" w:rsidRPr="001A01BB" w:rsidRDefault="001A01BB" w:rsidP="001A01BB">
      <w:pPr>
        <w:autoSpaceDE w:val="0"/>
        <w:autoSpaceDN w:val="0"/>
        <w:adjustRightInd w:val="0"/>
        <w:spacing w:before="100" w:line="250" w:lineRule="auto"/>
        <w:rPr>
          <w:rFonts w:cs="Cambria"/>
        </w:rPr>
      </w:pPr>
      <w:r w:rsidRPr="001A01BB">
        <w:rPr>
          <w:rFonts w:cs="Cambria-Italic"/>
          <w:iCs/>
          <w:color w:val="000000"/>
        </w:rPr>
        <w:t>For questions about the changes, please contact the Plant Export Reform Program at</w:t>
      </w:r>
      <w:r w:rsidRPr="001A01BB">
        <w:rPr>
          <w:rFonts w:cs="Cambria"/>
          <w:color w:val="000000"/>
        </w:rPr>
        <w:t xml:space="preserve"> </w:t>
      </w:r>
      <w:hyperlink r:id="rId19" w:history="1">
        <w:r w:rsidRPr="001A01BB">
          <w:rPr>
            <w:rStyle w:val="Hyperlink"/>
            <w:rFonts w:cs="Cambria"/>
          </w:rPr>
          <w:t>congestionbustingplant@agriculture.gov.au</w:t>
        </w:r>
      </w:hyperlink>
    </w:p>
    <w:p w14:paraId="3CDD0211" w14:textId="77777777" w:rsidR="001A01BB" w:rsidRPr="001A01BB" w:rsidRDefault="001A01BB" w:rsidP="001A01BB">
      <w:pPr>
        <w:rPr>
          <w:lang w:eastAsia="ja-JP"/>
        </w:rPr>
      </w:pPr>
    </w:p>
    <w:p w14:paraId="6E031270" w14:textId="3D995E65" w:rsidR="00DE31A9" w:rsidRDefault="00DE31A9" w:rsidP="00DE31A9">
      <w:pPr>
        <w:pStyle w:val="Heading2"/>
      </w:pPr>
      <w:r>
        <w:lastRenderedPageBreak/>
        <w:t xml:space="preserve">Reforms in agricultural export trade </w:t>
      </w:r>
    </w:p>
    <w:p w14:paraId="663CE9C5" w14:textId="5716FA07" w:rsidR="00DE31A9" w:rsidRPr="001A01BB" w:rsidRDefault="00DE31A9" w:rsidP="001A01BB">
      <w:pPr>
        <w:pStyle w:val="BodyText"/>
        <w:spacing w:before="100" w:line="250" w:lineRule="auto"/>
        <w:ind w:left="0" w:right="995"/>
        <w:rPr>
          <w:rFonts w:eastAsia="Calibri" w:cs="Cambria"/>
          <w:sz w:val="22"/>
          <w:szCs w:val="22"/>
          <w:lang w:val="en-AU"/>
        </w:rPr>
      </w:pPr>
      <w:r w:rsidRPr="001A01BB">
        <w:rPr>
          <w:rFonts w:eastAsia="Calibri" w:cs="Cambria"/>
          <w:sz w:val="22"/>
          <w:szCs w:val="22"/>
          <w:lang w:val="en-AU"/>
        </w:rPr>
        <w:t>The department is pursuing a range of reform projects to modernise and streamline our agricultural export sector. This will enable our exporters to experience faster and more cost-effective services. We are streamlining existing assurance measures by recognising where our requirements overlap with industry systems and by making more of our agricultural export services available online. These changes will deliver substantial time and cost benefits to industry and the government, while helping exporters get their goods to market faster.</w:t>
      </w:r>
    </w:p>
    <w:p w14:paraId="53729D0B" w14:textId="77777777" w:rsidR="001A01BB" w:rsidRPr="001A01BB" w:rsidRDefault="001A01BB" w:rsidP="001A01BB">
      <w:pPr>
        <w:rPr>
          <w:lang w:eastAsia="ja-JP"/>
        </w:rPr>
      </w:pPr>
      <w:r w:rsidRPr="001A01BB">
        <w:rPr>
          <w:lang w:eastAsia="ja-JP"/>
        </w:rPr>
        <w:t xml:space="preserve">Visit our website to learn more: </w:t>
      </w:r>
      <w:hyperlink r:id="rId20" w:history="1">
        <w:r w:rsidRPr="001A01BB">
          <w:rPr>
            <w:rStyle w:val="Hyperlink"/>
            <w:lang w:eastAsia="ja-JP"/>
          </w:rPr>
          <w:t>awe.gov.au/transforming-export-services</w:t>
        </w:r>
      </w:hyperlink>
    </w:p>
    <w:p w14:paraId="55807A23" w14:textId="77777777" w:rsidR="00DE31A9" w:rsidRPr="00DE31A9" w:rsidRDefault="00DE31A9" w:rsidP="00DE31A9">
      <w:pPr>
        <w:pStyle w:val="BodyText"/>
        <w:spacing w:before="100" w:line="250" w:lineRule="auto"/>
        <w:ind w:left="0" w:right="995"/>
        <w:rPr>
          <w:rFonts w:eastAsia="Calibri" w:cs="Cambria"/>
          <w:sz w:val="20"/>
          <w:szCs w:val="20"/>
          <w:lang w:val="en-AU"/>
        </w:rPr>
      </w:pPr>
    </w:p>
    <w:p w14:paraId="78153663" w14:textId="77777777" w:rsidR="00DE31A9" w:rsidRPr="00DE31A9" w:rsidRDefault="00DE31A9" w:rsidP="00DE31A9"/>
    <w:p w14:paraId="488E3EED" w14:textId="1410E2E4" w:rsidR="00DE31A9" w:rsidRDefault="00DE31A9" w:rsidP="00DE31A9">
      <w:pPr>
        <w:rPr>
          <w:lang w:eastAsia="ja-JP"/>
        </w:rPr>
      </w:pPr>
    </w:p>
    <w:p w14:paraId="66DD01AB" w14:textId="77777777" w:rsidR="00DE31A9" w:rsidRPr="00DE31A9" w:rsidRDefault="00DE31A9" w:rsidP="00DE31A9"/>
    <w:p w14:paraId="45CAAD92" w14:textId="13F04485" w:rsidR="002019DD" w:rsidRPr="002019DD" w:rsidRDefault="002019DD" w:rsidP="00DE31A9"/>
    <w:sectPr w:rsidR="002019DD" w:rsidRPr="002019DD" w:rsidSect="00EB552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8148" w14:textId="77777777" w:rsidR="00E83FCB" w:rsidRDefault="00E83FCB">
      <w:r>
        <w:separator/>
      </w:r>
    </w:p>
  </w:endnote>
  <w:endnote w:type="continuationSeparator" w:id="0">
    <w:p w14:paraId="2EECBA07" w14:textId="77777777" w:rsidR="00E83FCB" w:rsidRDefault="00E8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D6E6" w14:textId="487C7F0F" w:rsidR="00C6669A" w:rsidRPr="003609CB" w:rsidRDefault="003609CB" w:rsidP="003609CB">
    <w:pPr>
      <w:pStyle w:val="Footer"/>
    </w:pPr>
    <w:r w:rsidRPr="003609CB">
      <w:t xml:space="preserve">Department of Agriculture, </w:t>
    </w:r>
    <w:r w:rsidR="009473CA">
      <w:t xml:space="preserve">Fisheries and Forestry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232" w14:textId="77777777" w:rsidR="00E83FCB" w:rsidRDefault="00E83FCB">
      <w:r>
        <w:separator/>
      </w:r>
    </w:p>
  </w:footnote>
  <w:footnote w:type="continuationSeparator" w:id="0">
    <w:p w14:paraId="042F5779" w14:textId="77777777" w:rsidR="00E83FCB" w:rsidRDefault="00E8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0CCD" w14:textId="3F517123" w:rsidR="00626E31" w:rsidRPr="00E83FCB" w:rsidRDefault="00E83FCB" w:rsidP="00E83FCB">
    <w:pPr>
      <w:pStyle w:val="Header"/>
    </w:pPr>
    <w:r w:rsidRPr="00E83FCB">
      <w:t xml:space="preserve">Factsheet - Industry Systems Recognition </w:t>
    </w:r>
    <w:r w:rsidR="009473CA">
      <w:t>(</w:t>
    </w:r>
    <w:r w:rsidRPr="00E83FCB">
      <w:t>Horticulture</w:t>
    </w:r>
    <w:r w:rsidR="009473C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F850699"/>
    <w:multiLevelType w:val="hybridMultilevel"/>
    <w:tmpl w:val="BFAA6B64"/>
    <w:lvl w:ilvl="0" w:tplc="9634C0C0">
      <w:start w:val="1"/>
      <w:numFmt w:val="bullet"/>
      <w:lvlText w:val=""/>
      <w:lvlJc w:val="left"/>
      <w:pPr>
        <w:ind w:left="1494" w:hanging="360"/>
      </w:pPr>
      <w:rPr>
        <w:rFonts w:ascii="Symbol" w:hAnsi="Symbol" w:hint="default"/>
      </w:rPr>
    </w:lvl>
    <w:lvl w:ilvl="1" w:tplc="F5FEC24A">
      <w:start w:val="1"/>
      <w:numFmt w:val="bullet"/>
      <w:lvlText w:val=""/>
      <w:lvlJc w:val="left"/>
      <w:pPr>
        <w:ind w:left="2520" w:hanging="360"/>
      </w:pPr>
      <w:rPr>
        <w:rFonts w:ascii="Symbol" w:hAnsi="Symbol" w:hint="default"/>
      </w:rPr>
    </w:lvl>
    <w:lvl w:ilvl="2" w:tplc="42EE0034">
      <w:start w:val="1"/>
      <w:numFmt w:val="bullet"/>
      <w:lvlText w:val=""/>
      <w:lvlJc w:val="left"/>
      <w:pPr>
        <w:ind w:left="2934" w:hanging="360"/>
      </w:pPr>
      <w:rPr>
        <w:rFonts w:ascii="Wingdings" w:hAnsi="Wingdings" w:hint="default"/>
      </w:rPr>
    </w:lvl>
    <w:lvl w:ilvl="3" w:tplc="08B2EEC0">
      <w:start w:val="1"/>
      <w:numFmt w:val="bullet"/>
      <w:lvlText w:val=""/>
      <w:lvlJc w:val="left"/>
      <w:pPr>
        <w:ind w:left="3654" w:hanging="360"/>
      </w:pPr>
      <w:rPr>
        <w:rFonts w:ascii="Symbol" w:hAnsi="Symbol" w:hint="default"/>
      </w:rPr>
    </w:lvl>
    <w:lvl w:ilvl="4" w:tplc="BC6898F2">
      <w:start w:val="1"/>
      <w:numFmt w:val="bullet"/>
      <w:lvlText w:val="o"/>
      <w:lvlJc w:val="left"/>
      <w:pPr>
        <w:ind w:left="4374" w:hanging="360"/>
      </w:pPr>
      <w:rPr>
        <w:rFonts w:ascii="Courier New" w:hAnsi="Courier New" w:cs="Courier New" w:hint="default"/>
      </w:rPr>
    </w:lvl>
    <w:lvl w:ilvl="5" w:tplc="EB56E242">
      <w:start w:val="1"/>
      <w:numFmt w:val="bullet"/>
      <w:lvlText w:val=""/>
      <w:lvlJc w:val="left"/>
      <w:pPr>
        <w:ind w:left="5094" w:hanging="360"/>
      </w:pPr>
      <w:rPr>
        <w:rFonts w:ascii="Wingdings" w:hAnsi="Wingdings" w:hint="default"/>
      </w:rPr>
    </w:lvl>
    <w:lvl w:ilvl="6" w:tplc="B89A99FC">
      <w:start w:val="1"/>
      <w:numFmt w:val="bullet"/>
      <w:lvlText w:val=""/>
      <w:lvlJc w:val="left"/>
      <w:pPr>
        <w:ind w:left="5814" w:hanging="360"/>
      </w:pPr>
      <w:rPr>
        <w:rFonts w:ascii="Symbol" w:hAnsi="Symbol" w:hint="default"/>
      </w:rPr>
    </w:lvl>
    <w:lvl w:ilvl="7" w:tplc="BD2CDD96" w:tentative="1">
      <w:start w:val="1"/>
      <w:numFmt w:val="bullet"/>
      <w:lvlText w:val="o"/>
      <w:lvlJc w:val="left"/>
      <w:pPr>
        <w:ind w:left="6534" w:hanging="360"/>
      </w:pPr>
      <w:rPr>
        <w:rFonts w:ascii="Courier New" w:hAnsi="Courier New" w:cs="Courier New" w:hint="default"/>
      </w:rPr>
    </w:lvl>
    <w:lvl w:ilvl="8" w:tplc="3D184748" w:tentative="1">
      <w:start w:val="1"/>
      <w:numFmt w:val="bullet"/>
      <w:lvlText w:val=""/>
      <w:lvlJc w:val="left"/>
      <w:pPr>
        <w:ind w:left="7254" w:hanging="360"/>
      </w:pPr>
      <w:rPr>
        <w:rFonts w:ascii="Wingdings" w:hAnsi="Wingdings" w:hint="default"/>
      </w:r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40DFF"/>
    <w:multiLevelType w:val="hybridMultilevel"/>
    <w:tmpl w:val="EC22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CD23B6"/>
    <w:multiLevelType w:val="hybridMultilevel"/>
    <w:tmpl w:val="63CAD382"/>
    <w:lvl w:ilvl="0" w:tplc="38F684E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F787439"/>
    <w:multiLevelType w:val="hybridMultilevel"/>
    <w:tmpl w:val="18A83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4334092">
    <w:abstractNumId w:val="14"/>
  </w:num>
  <w:num w:numId="2" w16cid:durableId="607470188">
    <w:abstractNumId w:val="12"/>
  </w:num>
  <w:num w:numId="3" w16cid:durableId="2124110196">
    <w:abstractNumId w:val="5"/>
  </w:num>
  <w:num w:numId="4" w16cid:durableId="1363362141">
    <w:abstractNumId w:val="6"/>
  </w:num>
  <w:num w:numId="5" w16cid:durableId="18362837">
    <w:abstractNumId w:val="3"/>
  </w:num>
  <w:num w:numId="6" w16cid:durableId="1280185980">
    <w:abstractNumId w:val="8"/>
  </w:num>
  <w:num w:numId="7" w16cid:durableId="8722352">
    <w:abstractNumId w:val="18"/>
  </w:num>
  <w:num w:numId="8" w16cid:durableId="2001352251">
    <w:abstractNumId w:val="9"/>
  </w:num>
  <w:num w:numId="9" w16cid:durableId="818770924">
    <w:abstractNumId w:val="15"/>
  </w:num>
  <w:num w:numId="10" w16cid:durableId="1350791081">
    <w:abstractNumId w:val="7"/>
  </w:num>
  <w:num w:numId="11" w16cid:durableId="68957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1"/>
  </w:num>
  <w:num w:numId="13" w16cid:durableId="1160001106">
    <w:abstractNumId w:val="16"/>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1494370655">
    <w:abstractNumId w:val="15"/>
  </w:num>
  <w:num w:numId="19" w16cid:durableId="443354091">
    <w:abstractNumId w:val="15"/>
  </w:num>
  <w:num w:numId="20" w16cid:durableId="1954248265">
    <w:abstractNumId w:val="15"/>
  </w:num>
  <w:num w:numId="21" w16cid:durableId="1919752186">
    <w:abstractNumId w:val="15"/>
  </w:num>
  <w:num w:numId="22" w16cid:durableId="941572321">
    <w:abstractNumId w:val="15"/>
  </w:num>
  <w:num w:numId="23" w16cid:durableId="684942950">
    <w:abstractNumId w:val="17"/>
  </w:num>
  <w:num w:numId="24" w16cid:durableId="1391148449">
    <w:abstractNumId w:val="10"/>
  </w:num>
  <w:num w:numId="25" w16cid:durableId="891116830">
    <w:abstractNumId w:val="19"/>
  </w:num>
  <w:num w:numId="26" w16cid:durableId="34814457">
    <w:abstractNumId w:val="13"/>
  </w:num>
  <w:num w:numId="27" w16cid:durableId="1913805697">
    <w:abstractNumId w:val="8"/>
  </w:num>
  <w:num w:numId="28" w16cid:durableId="80492678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CB"/>
    <w:rsid w:val="000729B6"/>
    <w:rsid w:val="000A7C1A"/>
    <w:rsid w:val="001A01BB"/>
    <w:rsid w:val="002019DD"/>
    <w:rsid w:val="003609CB"/>
    <w:rsid w:val="00387658"/>
    <w:rsid w:val="00487B13"/>
    <w:rsid w:val="00596111"/>
    <w:rsid w:val="005F0A16"/>
    <w:rsid w:val="00612229"/>
    <w:rsid w:val="00626E31"/>
    <w:rsid w:val="006D6E8A"/>
    <w:rsid w:val="0080251A"/>
    <w:rsid w:val="008D0708"/>
    <w:rsid w:val="00905F94"/>
    <w:rsid w:val="009473CA"/>
    <w:rsid w:val="00AA4B88"/>
    <w:rsid w:val="00B230FF"/>
    <w:rsid w:val="00B57188"/>
    <w:rsid w:val="00B75616"/>
    <w:rsid w:val="00C43BF8"/>
    <w:rsid w:val="00C527C2"/>
    <w:rsid w:val="00C6669A"/>
    <w:rsid w:val="00D744F5"/>
    <w:rsid w:val="00DE31A9"/>
    <w:rsid w:val="00DE402A"/>
    <w:rsid w:val="00E01198"/>
    <w:rsid w:val="00E05418"/>
    <w:rsid w:val="00E1174F"/>
    <w:rsid w:val="00E3214D"/>
    <w:rsid w:val="00E83FCB"/>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8580"/>
  <w15:docId w15:val="{136F22B6-9F2D-455E-96BF-AC2FAD1F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09CB"/>
    <w:rPr>
      <w:color w:val="605E5C"/>
      <w:shd w:val="clear" w:color="auto" w:fill="E1DFDD"/>
    </w:rPr>
  </w:style>
  <w:style w:type="paragraph" w:styleId="ListParagraph">
    <w:name w:val="List Paragraph"/>
    <w:aliases w:val="Bulletr List Paragraph,Bullets,FooterText,List - bullet,List Paragraph - bullet,List Paragraph - bullets,List Paragraph1,List Paragraph11,NFP GP Bulleted List,Paragraphe de liste1,Recommendation,Table Dots,Use Case List Paragraph,numbered"/>
    <w:basedOn w:val="Normal"/>
    <w:link w:val="ListParagraphChar"/>
    <w:uiPriority w:val="34"/>
    <w:qFormat/>
    <w:rsid w:val="00D744F5"/>
    <w:pPr>
      <w:ind w:left="720"/>
      <w:contextualSpacing/>
    </w:pPr>
  </w:style>
  <w:style w:type="character" w:customStyle="1" w:styleId="ListParagraphChar">
    <w:name w:val="List Paragraph Char"/>
    <w:aliases w:val="Bulletr List Paragraph Char,Bullets Char,FooterText Char,List - bullet Char,List Paragraph - bullet Char,List Paragraph - bullets Char,List Paragraph1 Char,List Paragraph11 Char,NFP GP Bulleted List Char,Paragraphe de liste1 Char"/>
    <w:basedOn w:val="DefaultParagraphFont"/>
    <w:link w:val="ListParagraph"/>
    <w:uiPriority w:val="34"/>
    <w:locked/>
    <w:rsid w:val="00DE31A9"/>
    <w:rPr>
      <w:rFonts w:eastAsia="Calibri"/>
      <w:sz w:val="22"/>
      <w:szCs w:val="22"/>
      <w:lang w:eastAsia="en-US"/>
    </w:rPr>
  </w:style>
  <w:style w:type="paragraph" w:styleId="BodyText">
    <w:name w:val="Body Text"/>
    <w:basedOn w:val="Normal"/>
    <w:link w:val="BodyTextChar"/>
    <w:uiPriority w:val="1"/>
    <w:qFormat/>
    <w:rsid w:val="00DE31A9"/>
    <w:pPr>
      <w:widowControl w:val="0"/>
      <w:spacing w:before="114"/>
      <w:ind w:left="2148"/>
    </w:pPr>
    <w:rPr>
      <w:rFonts w:eastAsia="Cambria" w:cstheme="minorBidi"/>
      <w:sz w:val="18"/>
      <w:szCs w:val="18"/>
      <w:lang w:val="en-US"/>
    </w:rPr>
  </w:style>
  <w:style w:type="character" w:customStyle="1" w:styleId="BodyTextChar">
    <w:name w:val="Body Text Char"/>
    <w:basedOn w:val="DefaultParagraphFont"/>
    <w:link w:val="BodyText"/>
    <w:uiPriority w:val="1"/>
    <w:rsid w:val="00DE31A9"/>
    <w:rPr>
      <w:rFonts w:eastAsia="Cambria"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sitecollectiondocuments/biosecurity/export/plants-plant-products/plant-exports-manual/audit-horticulture-export-accredited-properties.pdf" TargetMode="External"/><Relationship Id="rId18" Type="http://schemas.openxmlformats.org/officeDocument/2006/relationships/hyperlink" Target="https://www.agriculture.gov.au/sites/default/files/sitecollectiondocuments/biosecurity/export/plants-plant-products/plant-exports-manual/performance-packhouses.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griculture.gov.au/sites/default/files/documents/audit_of_plant_export_registered_establishments_.docx" TargetMode="External"/><Relationship Id="rId17" Type="http://schemas.openxmlformats.org/officeDocument/2006/relationships/hyperlink" Target="https://www.agriculture.gov.au/sites/default/files/sitecollectiondocuments/biosecurity/export/plants-plant-products/plant-exports-manual/performance-packhouses.pdf" TargetMode="External"/><Relationship Id="rId2" Type="http://schemas.openxmlformats.org/officeDocument/2006/relationships/customXml" Target="../customXml/item2.xml"/><Relationship Id="rId16" Type="http://schemas.openxmlformats.org/officeDocument/2006/relationships/hyperlink" Target="https://www.agriculture.gov.au/sites/default/files/documents/performance_standards_for_plant_export_registered_establishments.docx" TargetMode="External"/><Relationship Id="rId20" Type="http://schemas.openxmlformats.org/officeDocument/2006/relationships/hyperlink" Target="awe.gov.au/transforming-export-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sites/default/files/documents/audit_of_plant_export_registered_establishments_.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sites/default/files/documents/performance_standards_for_plant_export_registered_establishmen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gestionbustingplant@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sitecollectiondocuments/biosecurity/export/plants-plant-products/plant-exports-manual/audit-horticulture-export-accredited-properti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2663-4D88-40E8-A678-F76FE90CDC62}">
  <ds:schemaRefs>
    <ds:schemaRef ds:uri="http://www.w3.org/XML/1998/namespace"/>
    <ds:schemaRef ds:uri="c95b51c2-b2ac-4224-a5b5-069909057829"/>
    <ds:schemaRef ds:uri="http://purl.org/dc/terms/"/>
    <ds:schemaRef ds:uri="http://schemas.microsoft.com/office/infopath/2007/PartnerControls"/>
    <ds:schemaRef ds:uri="http://schemas.openxmlformats.org/package/2006/metadata/core-properties"/>
    <ds:schemaRef ds:uri="http://purl.org/dc/elements/1.1/"/>
    <ds:schemaRef ds:uri="2b53c995-2120-4bc0-8922-c25044d37f65"/>
    <ds:schemaRef ds:uri="http://schemas.microsoft.com/office/2006/metadata/properties"/>
    <ds:schemaRef ds:uri="http://schemas.microsoft.com/office/2006/documentManagement/types"/>
    <ds:schemaRef ds:uri="81c01dc6-2c49-4730-b140-874c95cac377"/>
    <ds:schemaRef ds:uri="http://purl.org/dc/dcmitype/"/>
  </ds:schemaRefs>
</ds:datastoreItem>
</file>

<file path=customXml/itemProps2.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3.xml><?xml version="1.0" encoding="utf-8"?>
<ds:datastoreItem xmlns:ds="http://schemas.openxmlformats.org/officeDocument/2006/customXml" ds:itemID="{3B684A7F-5919-48A2-B5DF-AA872DC3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0B0A1-B588-43A6-95C6-EDA54CEB7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Factsheet - changes to food safety recognition for horticulture exports</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changes to food safety recognition for horticulture exports</dc:title>
  <dc:creator>Department of Agriculture, Fisheries and Forestry</dc:creator>
  <cp:lastModifiedBy>Goggins, Fiona</cp:lastModifiedBy>
  <cp:revision>4</cp:revision>
  <cp:lastPrinted>2015-08-14T05:36:00Z</cp:lastPrinted>
  <dcterms:created xsi:type="dcterms:W3CDTF">2023-04-28T01:27:00Z</dcterms:created>
  <dcterms:modified xsi:type="dcterms:W3CDTF">2023-05-16T02:10:00Z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Display as">
    <vt:lpwstr>;#Template;#</vt:lpwstr>
  </property>
  <property fmtid="{D5CDD505-2E9C-101B-9397-08002B2CF9AE}" pid="4" name="MediaServiceImageTags">
    <vt:lpwstr/>
  </property>
</Properties>
</file>