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D790" w14:textId="77777777" w:rsidR="00EE1D8B" w:rsidRDefault="00EE1D8B"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12 November 2008</w:t>
      </w:r>
    </w:p>
    <w:p w14:paraId="3C2C68EF" w14:textId="77777777" w:rsidR="00EE1D8B" w:rsidRDefault="00EE1D8B">
      <w:pPr>
        <w:pStyle w:val="NumberPoint"/>
        <w:ind w:right="-575"/>
        <w:rPr>
          <w:rFonts w:ascii="Arial" w:hAnsi="Arial" w:cs="Arial"/>
          <w:szCs w:val="24"/>
        </w:rPr>
      </w:pPr>
    </w:p>
    <w:p w14:paraId="0EC26674" w14:textId="77777777" w:rsidR="00EE1D8B" w:rsidRDefault="00EE1D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 import risk analysis report for bananas</w:t>
      </w:r>
    </w:p>
    <w:p w14:paraId="52E12A82" w14:textId="77777777" w:rsidR="00EE1D8B" w:rsidRDefault="00EE1D8B">
      <w:pPr>
        <w:rPr>
          <w:rFonts w:ascii="Arial" w:hAnsi="Arial" w:cs="Arial"/>
          <w:szCs w:val="22"/>
        </w:rPr>
      </w:pPr>
    </w:p>
    <w:p w14:paraId="2328AA2D" w14:textId="77777777" w:rsidR="00EE1D8B" w:rsidRDefault="00EE1D8B">
      <w:pPr>
        <w:rPr>
          <w:rFonts w:ascii="Arial" w:hAnsi="Arial" w:cs="Arial"/>
          <w:szCs w:val="22"/>
        </w:rPr>
        <w:sectPr w:rsidR="00EE1D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418" w:bottom="1134" w:left="1418" w:header="720" w:footer="0" w:gutter="0"/>
          <w:cols w:space="720"/>
          <w:titlePg/>
        </w:sectPr>
      </w:pPr>
    </w:p>
    <w:p w14:paraId="6A1537DE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Biosecurity </w:t>
      </w:r>
      <w:smartTag w:uri="urn:schemas-microsoft-com:office:smarttags" w:element="country-region">
        <w:r>
          <w:rPr>
            <w:rFonts w:ascii="Times New Roman" w:hAnsi="Times New Roman"/>
            <w:szCs w:val="22"/>
          </w:rPr>
          <w:t>Australia</w:t>
        </w:r>
      </w:smartTag>
      <w:r>
        <w:rPr>
          <w:rFonts w:ascii="Times New Roman" w:hAnsi="Times New Roman"/>
          <w:szCs w:val="22"/>
        </w:rPr>
        <w:t xml:space="preserve"> has issued a </w:t>
      </w:r>
      <w:r>
        <w:rPr>
          <w:rFonts w:ascii="Times New Roman" w:hAnsi="Times New Roman"/>
          <w:i/>
          <w:szCs w:val="22"/>
        </w:rPr>
        <w:t>Final import risk analysis report for Cavendish bananas from the Philippines</w:t>
      </w:r>
      <w:r>
        <w:rPr>
          <w:rFonts w:ascii="Times New Roman" w:hAnsi="Times New Roman"/>
          <w:szCs w:val="22"/>
        </w:rPr>
        <w:t xml:space="preserve"> that proposes that bananas could enter </w:t>
      </w:r>
      <w:smartTag w:uri="urn:schemas-microsoft-com:office:smarttags" w:element="country-region">
        <w:r>
          <w:rPr>
            <w:rFonts w:ascii="Times New Roman" w:hAnsi="Times New Roman"/>
            <w:szCs w:val="22"/>
          </w:rPr>
          <w:t>Australia</w:t>
        </w:r>
      </w:smartTag>
      <w:r>
        <w:rPr>
          <w:rFonts w:ascii="Times New Roman" w:hAnsi="Times New Roman"/>
          <w:szCs w:val="22"/>
        </w:rPr>
        <w:t xml:space="preserve"> if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2"/>
            </w:rPr>
            <w:t>Philippines</w:t>
          </w:r>
        </w:smartTag>
      </w:smartTag>
      <w:r>
        <w:rPr>
          <w:rFonts w:ascii="Times New Roman" w:hAnsi="Times New Roman"/>
          <w:szCs w:val="22"/>
        </w:rPr>
        <w:t xml:space="preserve"> meets stringent risk management measures for pests and diseases of quarantine concern.</w:t>
      </w:r>
    </w:p>
    <w:p w14:paraId="4B0D3057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report identifies seven groups of pests and diseases of concern, notably Moko, black Sigatoka and freckle, as well as a number of other pests not present in Western Australia that are present in eastern Australia. </w:t>
      </w:r>
    </w:p>
    <w:p w14:paraId="54045AA3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proposed quarantine measures contained in the final import risk analysis (IRA) report include:</w:t>
      </w:r>
    </w:p>
    <w:p w14:paraId="461601AC" w14:textId="77777777" w:rsidR="00EE1D8B" w:rsidRDefault="00EE1D8B">
      <w:pPr>
        <w:numPr>
          <w:ilvl w:val="0"/>
          <w:numId w:val="12"/>
        </w:numPr>
        <w:tabs>
          <w:tab w:val="clear" w:pos="644"/>
          <w:tab w:val="num" w:pos="284"/>
        </w:tabs>
        <w:spacing w:after="60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exports only from areas that demonstrate low pest prevalence</w:t>
      </w:r>
    </w:p>
    <w:p w14:paraId="554AF0E2" w14:textId="77777777" w:rsidR="00EE1D8B" w:rsidRDefault="00EE1D8B">
      <w:pPr>
        <w:numPr>
          <w:ilvl w:val="0"/>
          <w:numId w:val="12"/>
        </w:numPr>
        <w:tabs>
          <w:tab w:val="clear" w:pos="644"/>
          <w:tab w:val="num" w:pos="284"/>
        </w:tabs>
        <w:spacing w:after="60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registration of export blocks</w:t>
      </w:r>
    </w:p>
    <w:p w14:paraId="3708004B" w14:textId="77777777" w:rsidR="00EE1D8B" w:rsidRDefault="00EE1D8B">
      <w:pPr>
        <w:numPr>
          <w:ilvl w:val="0"/>
          <w:numId w:val="12"/>
        </w:numPr>
        <w:tabs>
          <w:tab w:val="clear" w:pos="644"/>
          <w:tab w:val="num" w:pos="284"/>
        </w:tabs>
        <w:spacing w:after="60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inspections to detect the presence of any diseases</w:t>
      </w:r>
    </w:p>
    <w:p w14:paraId="49001031" w14:textId="77777777" w:rsidR="00EE1D8B" w:rsidRDefault="00EE1D8B">
      <w:pPr>
        <w:numPr>
          <w:ilvl w:val="0"/>
          <w:numId w:val="12"/>
        </w:numPr>
        <w:tabs>
          <w:tab w:val="clear" w:pos="644"/>
          <w:tab w:val="num" w:pos="284"/>
        </w:tabs>
        <w:spacing w:after="60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ongoing inspections of blocks and fruit, including by AQIS inspectors</w:t>
      </w:r>
    </w:p>
    <w:p w14:paraId="227A0490" w14:textId="77777777" w:rsidR="00EE1D8B" w:rsidRDefault="00EE1D8B">
      <w:pPr>
        <w:numPr>
          <w:ilvl w:val="0"/>
          <w:numId w:val="12"/>
        </w:numPr>
        <w:tabs>
          <w:tab w:val="clear" w:pos="644"/>
          <w:tab w:val="num" w:pos="284"/>
        </w:tabs>
        <w:spacing w:after="60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disinfection and fungicide spraying</w:t>
      </w:r>
    </w:p>
    <w:p w14:paraId="3E0DDD35" w14:textId="77777777" w:rsidR="00EE1D8B" w:rsidRDefault="00EE1D8B">
      <w:pPr>
        <w:numPr>
          <w:ilvl w:val="0"/>
          <w:numId w:val="12"/>
        </w:numPr>
        <w:tabs>
          <w:tab w:val="clear" w:pos="644"/>
          <w:tab w:val="num" w:pos="284"/>
        </w:tabs>
        <w:spacing w:after="60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mandatory pre-clearance arrangements with the presence and involvement of AQIS inspectors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2"/>
            </w:rPr>
            <w:t>Philippines</w:t>
          </w:r>
        </w:smartTag>
      </w:smartTag>
      <w:r>
        <w:rPr>
          <w:rFonts w:ascii="Times New Roman" w:hAnsi="Times New Roman"/>
          <w:szCs w:val="22"/>
        </w:rPr>
        <w:t xml:space="preserve"> in applying quarantine conditions in the field, including in packing houses</w:t>
      </w:r>
    </w:p>
    <w:p w14:paraId="34EC0C60" w14:textId="77777777" w:rsidR="00EE1D8B" w:rsidRDefault="00EE1D8B">
      <w:pPr>
        <w:numPr>
          <w:ilvl w:val="0"/>
          <w:numId w:val="12"/>
        </w:numPr>
        <w:tabs>
          <w:tab w:val="clear" w:pos="644"/>
          <w:tab w:val="num" w:pos="284"/>
        </w:tabs>
        <w:spacing w:after="60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auditing and verification by AQIS of systems and processes used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2"/>
            </w:rPr>
            <w:t>Philippines</w:t>
          </w:r>
        </w:smartTag>
      </w:smartTag>
      <w:r>
        <w:rPr>
          <w:rFonts w:ascii="Times New Roman" w:hAnsi="Times New Roman"/>
          <w:szCs w:val="22"/>
        </w:rPr>
        <w:t xml:space="preserve"> to certify any exports</w:t>
      </w:r>
    </w:p>
    <w:p w14:paraId="5EA39BB6" w14:textId="77777777" w:rsidR="00EE1D8B" w:rsidRDefault="00EE1D8B">
      <w:pPr>
        <w:numPr>
          <w:ilvl w:val="0"/>
          <w:numId w:val="12"/>
        </w:numPr>
        <w:tabs>
          <w:tab w:val="clear" w:pos="644"/>
          <w:tab w:val="num" w:pos="284"/>
        </w:tabs>
        <w:spacing w:after="120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detailed data and documentation to be provided by the </w:t>
      </w:r>
      <w:smartTag w:uri="urn:schemas-microsoft-com:office:smarttags" w:element="country-region">
        <w:r>
          <w:rPr>
            <w:rFonts w:ascii="Times New Roman" w:hAnsi="Times New Roman"/>
            <w:szCs w:val="22"/>
          </w:rPr>
          <w:t>Philippines</w:t>
        </w:r>
      </w:smartTag>
      <w:r>
        <w:rPr>
          <w:rFonts w:ascii="Times New Roman" w:hAnsi="Times New Roman"/>
          <w:szCs w:val="22"/>
        </w:rPr>
        <w:t xml:space="preserve"> for consideration by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2"/>
            </w:rPr>
            <w:t>Australia</w:t>
          </w:r>
        </w:smartTag>
      </w:smartTag>
      <w:r>
        <w:rPr>
          <w:rFonts w:ascii="Times New Roman" w:hAnsi="Times New Roman"/>
          <w:szCs w:val="22"/>
        </w:rPr>
        <w:t xml:space="preserve"> prior to any exports to verify and validate quarantine measures underpinned by laboratory and field experiments and commercial trials.</w:t>
      </w:r>
    </w:p>
    <w:p w14:paraId="459970FB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main diseases and pests of quarantine concern are Moko, black Sigatoka, Freckle, Mealybugs, Armoured scales, Spider mites and Thrips. </w:t>
      </w:r>
    </w:p>
    <w:p w14:paraId="2A901B30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proposed banana import conditions meet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2"/>
            </w:rPr>
            <w:t>Australia</w:t>
          </w:r>
        </w:smartTag>
      </w:smartTag>
      <w:r>
        <w:rPr>
          <w:rFonts w:ascii="Times New Roman" w:hAnsi="Times New Roman"/>
          <w:szCs w:val="22"/>
        </w:rPr>
        <w:t>’s conservative approach to quarantine and will protect the health of our banana industry, agriculture and the environment.</w:t>
      </w:r>
    </w:p>
    <w:p w14:paraId="756FB748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Stakeholders have until 12 December 2008 (30 days) to appeal to the Import Risk Analysis Appeals Panel, which is independent of Biosecurity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2"/>
            </w:rPr>
            <w:t>Australia</w:t>
          </w:r>
        </w:smartTag>
      </w:smartTag>
      <w:r>
        <w:rPr>
          <w:rFonts w:ascii="Times New Roman" w:hAnsi="Times New Roman"/>
          <w:szCs w:val="22"/>
        </w:rPr>
        <w:t xml:space="preserve">, if they consider there was a significant deviation from the process set out in the </w:t>
      </w:r>
      <w:r>
        <w:rPr>
          <w:rFonts w:ascii="Times New Roman" w:hAnsi="Times New Roman"/>
          <w:i/>
          <w:szCs w:val="22"/>
        </w:rPr>
        <w:t>Import Risk Analysis Handbook</w:t>
      </w:r>
      <w:r>
        <w:rPr>
          <w:rFonts w:ascii="Times New Roman" w:hAnsi="Times New Roman"/>
          <w:szCs w:val="22"/>
        </w:rPr>
        <w:t xml:space="preserve"> (2003), or a significant body of scientific information relevant to the outcome of the IRA was not considered. </w:t>
      </w:r>
    </w:p>
    <w:p w14:paraId="59D743DC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Following the appeal process, the final report and recommendations will be provided to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2"/>
            </w:rPr>
            <w:t>Australia</w:t>
          </w:r>
        </w:smartTag>
      </w:smartTag>
      <w:r>
        <w:rPr>
          <w:rFonts w:ascii="Times New Roman" w:hAnsi="Times New Roman"/>
          <w:szCs w:val="22"/>
        </w:rPr>
        <w:t xml:space="preserve">’s Director of Animal and Plant Quarantine to make a quarantine policy determination on bananas. </w:t>
      </w:r>
    </w:p>
    <w:p w14:paraId="32532EC2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>
        <w:rPr>
          <w:rFonts w:ascii="Times New Roman" w:hAnsi="Times New Roman"/>
          <w:i/>
          <w:szCs w:val="22"/>
        </w:rPr>
        <w:t xml:space="preserve">Final import risk analysis report for Cavendish bananas from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Cs w:val="22"/>
            </w:rPr>
            <w:t>Philippines</w:t>
          </w:r>
        </w:smartTag>
      </w:smartTag>
      <w:r>
        <w:rPr>
          <w:rFonts w:ascii="Times New Roman" w:hAnsi="Times New Roman"/>
          <w:szCs w:val="22"/>
        </w:rPr>
        <w:t xml:space="preserve"> is available at www.biosecurityaustralia.gov.au.</w:t>
      </w:r>
    </w:p>
    <w:p w14:paraId="3C35882B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final IRA report is a comprehensive, science based analysis that reflects </w:t>
      </w:r>
      <w:smartTag w:uri="urn:schemas-microsoft-com:office:smarttags" w:element="country-region">
        <w:r>
          <w:rPr>
            <w:rFonts w:ascii="Times New Roman" w:hAnsi="Times New Roman"/>
            <w:szCs w:val="22"/>
          </w:rPr>
          <w:t>Australia</w:t>
        </w:r>
      </w:smartTag>
      <w:r>
        <w:rPr>
          <w:rFonts w:ascii="Times New Roman" w:hAnsi="Times New Roman"/>
          <w:szCs w:val="22"/>
        </w:rPr>
        <w:t xml:space="preserve">’s conservative approach to quarantine (i.e.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2"/>
            </w:rPr>
            <w:t>Australia</w:t>
          </w:r>
        </w:smartTag>
      </w:smartTag>
      <w:r>
        <w:rPr>
          <w:rFonts w:ascii="Times New Roman" w:hAnsi="Times New Roman"/>
          <w:szCs w:val="22"/>
        </w:rPr>
        <w:t xml:space="preserve">’s appropriate level of protection). </w:t>
      </w:r>
    </w:p>
    <w:p w14:paraId="6CB59C3B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IRAs are an important step in assessing the quarantine risks and, where appropriate, putting in place risk management measures to keep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2"/>
            </w:rPr>
            <w:t>Australia</w:t>
          </w:r>
        </w:smartTag>
      </w:smartTag>
      <w:r>
        <w:rPr>
          <w:rFonts w:ascii="Times New Roman" w:hAnsi="Times New Roman"/>
          <w:szCs w:val="22"/>
        </w:rPr>
        <w:t xml:space="preserve"> free of exotic pests and diseases present in other countries. </w:t>
      </w:r>
    </w:p>
    <w:p w14:paraId="0E376FA2" w14:textId="77777777" w:rsidR="00EE1D8B" w:rsidRDefault="00EE1D8B">
      <w:p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Biosecurity </w:t>
      </w:r>
      <w:smartTag w:uri="urn:schemas-microsoft-com:office:smarttags" w:element="country-region">
        <w:r>
          <w:rPr>
            <w:rFonts w:ascii="Times New Roman" w:hAnsi="Times New Roman"/>
            <w:szCs w:val="22"/>
          </w:rPr>
          <w:t>Australia</w:t>
        </w:r>
      </w:smartTag>
      <w:r>
        <w:rPr>
          <w:rFonts w:ascii="Times New Roman" w:hAnsi="Times New Roman"/>
          <w:szCs w:val="22"/>
        </w:rPr>
        <w:t xml:space="preserve"> undertakes science-based risk analyses to assess any quarantine risks associated with applications to import agricultural and other commodities to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2"/>
            </w:rPr>
            <w:t>Australia</w:t>
          </w:r>
        </w:smartTag>
      </w:smartTag>
      <w:r>
        <w:rPr>
          <w:rFonts w:ascii="Times New Roman" w:hAnsi="Times New Roman"/>
          <w:szCs w:val="22"/>
        </w:rPr>
        <w:t xml:space="preserve">.  </w:t>
      </w:r>
    </w:p>
    <w:p w14:paraId="7FC2586A" w14:textId="77777777" w:rsidR="00EE1D8B" w:rsidRDefault="00EE1D8B">
      <w:pPr>
        <w:rPr>
          <w:rFonts w:ascii="Arial" w:hAnsi="Arial" w:cs="Arial"/>
          <w:szCs w:val="22"/>
        </w:rPr>
      </w:pPr>
    </w:p>
    <w:p w14:paraId="5DC6CE0C" w14:textId="77777777" w:rsidR="00EE1D8B" w:rsidRDefault="00EE1D8B">
      <w:pPr>
        <w:pStyle w:val="Heading6"/>
        <w:ind w:right="-575"/>
        <w:jc w:val="left"/>
        <w:rPr>
          <w:rFonts w:ascii="Arial" w:hAnsi="Arial" w:cs="Arial"/>
          <w:szCs w:val="22"/>
        </w:rPr>
        <w:sectPr w:rsidR="00EE1D8B">
          <w:type w:val="continuous"/>
          <w:pgSz w:w="11906" w:h="16838" w:code="9"/>
          <w:pgMar w:top="567" w:right="746" w:bottom="539" w:left="1134" w:header="720" w:footer="0" w:gutter="0"/>
          <w:cols w:num="2" w:space="709"/>
          <w:titlePg/>
        </w:sectPr>
      </w:pPr>
    </w:p>
    <w:p w14:paraId="2EDB7FCC" w14:textId="77777777" w:rsidR="00EE1D8B" w:rsidRDefault="00EE1D8B">
      <w:pPr>
        <w:jc w:val="center"/>
        <w:rPr>
          <w:rFonts w:ascii="Times New Roman" w:hAnsi="Times New Roman"/>
          <w:szCs w:val="22"/>
        </w:rPr>
      </w:pPr>
    </w:p>
    <w:p w14:paraId="35C27BFE" w14:textId="77777777" w:rsidR="00EE1D8B" w:rsidRDefault="00EE1D8B">
      <w:pPr>
        <w:jc w:val="center"/>
        <w:rPr>
          <w:rFonts w:ascii="Times New Roman" w:hAnsi="Times New Roman"/>
          <w:szCs w:val="22"/>
        </w:rPr>
      </w:pPr>
    </w:p>
    <w:p w14:paraId="011B92AC" w14:textId="77777777" w:rsidR="00EE1D8B" w:rsidRDefault="00EE1D8B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Further information:  </w:t>
      </w:r>
      <w:r>
        <w:rPr>
          <w:rFonts w:ascii="Times New Roman" w:hAnsi="Times New Roman"/>
          <w:b/>
          <w:szCs w:val="22"/>
        </w:rPr>
        <w:t>www.biosecurityaustralia.gov.au</w:t>
      </w:r>
      <w:r>
        <w:rPr>
          <w:rFonts w:ascii="Times New Roman" w:hAnsi="Times New Roman"/>
          <w:szCs w:val="22"/>
        </w:rPr>
        <w:t>.</w:t>
      </w:r>
    </w:p>
    <w:p w14:paraId="19D68A55" w14:textId="77777777" w:rsidR="00EE1D8B" w:rsidRDefault="00EE1D8B">
      <w:pPr>
        <w:jc w:val="center"/>
        <w:rPr>
          <w:rFonts w:ascii="Times New Roman" w:hAnsi="Times New Roman"/>
          <w:szCs w:val="22"/>
        </w:rPr>
      </w:pPr>
    </w:p>
    <w:p w14:paraId="56859B0C" w14:textId="77777777" w:rsidR="00EE1D8B" w:rsidRDefault="00EE1D8B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Media contact:  John Wilson, Biosecurity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2"/>
            </w:rPr>
            <w:t>Australia</w:t>
          </w:r>
        </w:smartTag>
      </w:smartTag>
      <w:r>
        <w:rPr>
          <w:rFonts w:ascii="Times New Roman" w:hAnsi="Times New Roman"/>
          <w:szCs w:val="22"/>
        </w:rPr>
        <w:t>,  02 6272 3811</w:t>
      </w:r>
    </w:p>
    <w:sectPr w:rsidR="00EE1D8B">
      <w:type w:val="continuous"/>
      <w:pgSz w:w="11906" w:h="16838" w:code="9"/>
      <w:pgMar w:top="567" w:right="1418" w:bottom="1134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B536" w14:textId="77777777" w:rsidR="00EE1D8B" w:rsidRDefault="00EE1D8B">
      <w:r>
        <w:separator/>
      </w:r>
    </w:p>
  </w:endnote>
  <w:endnote w:type="continuationSeparator" w:id="0">
    <w:p w14:paraId="032A6DC4" w14:textId="77777777" w:rsidR="00EE1D8B" w:rsidRDefault="00EE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DD19" w14:textId="1B869349" w:rsidR="00DA5947" w:rsidRDefault="00DA59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CD09B9" wp14:editId="42CCC8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8586835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15722" w14:textId="71D8949B" w:rsidR="00DA5947" w:rsidRPr="00DA5947" w:rsidRDefault="00DA5947" w:rsidP="00DA59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DA59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D09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AE15722" w14:textId="71D8949B" w:rsidR="00DA5947" w:rsidRPr="00DA5947" w:rsidRDefault="00DA5947" w:rsidP="00DA594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DA59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C232" w14:textId="2A678662" w:rsidR="00DA5947" w:rsidRDefault="00DA59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9B1D97" wp14:editId="2FD258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9980346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082DB" w14:textId="4238CAA6" w:rsidR="00DA5947" w:rsidRPr="00DA5947" w:rsidRDefault="00DA5947" w:rsidP="00DA59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DA59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B1D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8D082DB" w14:textId="4238CAA6" w:rsidR="00DA5947" w:rsidRPr="00DA5947" w:rsidRDefault="00DA5947" w:rsidP="00DA594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DA59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DA18" w14:textId="5AF0FD95" w:rsidR="00DA5947" w:rsidRDefault="00DA59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3D11F2" wp14:editId="6CF347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440874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F70DC" w14:textId="4F597985" w:rsidR="00DA5947" w:rsidRPr="00DA5947" w:rsidRDefault="00DA5947" w:rsidP="00DA59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DA59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D11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4BF70DC" w14:textId="4F597985" w:rsidR="00DA5947" w:rsidRPr="00DA5947" w:rsidRDefault="00DA5947" w:rsidP="00DA594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DA59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C952E" w14:textId="77777777" w:rsidR="00EE1D8B" w:rsidRDefault="00EE1D8B">
      <w:r>
        <w:separator/>
      </w:r>
    </w:p>
  </w:footnote>
  <w:footnote w:type="continuationSeparator" w:id="0">
    <w:p w14:paraId="297A9370" w14:textId="77777777" w:rsidR="00EE1D8B" w:rsidRDefault="00EE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42EF" w14:textId="6E44A497" w:rsidR="00DA5947" w:rsidRDefault="00DA59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6B174F" wp14:editId="73907C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28268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A702E" w14:textId="64BE4BDB" w:rsidR="00DA5947" w:rsidRPr="00DA5947" w:rsidRDefault="00DA5947" w:rsidP="00DA59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DA59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B17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A4A702E" w14:textId="64BE4BDB" w:rsidR="00DA5947" w:rsidRPr="00DA5947" w:rsidRDefault="00DA5947" w:rsidP="00DA594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DA59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DB4A" w14:textId="79E32C97" w:rsidR="00DA5947" w:rsidRDefault="00DA59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329797" wp14:editId="38A874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662849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4FA05" w14:textId="65F88727" w:rsidR="00DA5947" w:rsidRPr="00DA5947" w:rsidRDefault="00DA5947" w:rsidP="00DA59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DA59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297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C04FA05" w14:textId="65F88727" w:rsidR="00DA5947" w:rsidRPr="00DA5947" w:rsidRDefault="00DA5947" w:rsidP="00DA594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DA59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1" w:type="dxa"/>
      <w:tblBorders>
        <w:top w:val="single" w:sz="24" w:space="0" w:color="auto"/>
        <w:bottom w:val="single" w:sz="24" w:space="0" w:color="auto"/>
      </w:tblBorders>
      <w:tblLayout w:type="fixed"/>
      <w:tblLook w:val="01E0" w:firstRow="1" w:lastRow="1" w:firstColumn="1" w:lastColumn="1" w:noHBand="0" w:noVBand="0"/>
    </w:tblPr>
    <w:tblGrid>
      <w:gridCol w:w="4068"/>
      <w:gridCol w:w="5293"/>
    </w:tblGrid>
    <w:tr w:rsidR="00EE1D8B" w14:paraId="27EADC6A" w14:textId="77777777" w:rsidTr="00EE1D8B">
      <w:tc>
        <w:tcPr>
          <w:tcW w:w="4068" w:type="dxa"/>
          <w:shd w:val="clear" w:color="auto" w:fill="auto"/>
        </w:tcPr>
        <w:p w14:paraId="5A87E802" w14:textId="09A38798" w:rsidR="00EE1D8B" w:rsidRDefault="00DA5947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619597D3" wp14:editId="7F193A54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51815" cy="376555"/>
                    <wp:effectExtent l="0" t="0" r="635" b="4445"/>
                    <wp:wrapNone/>
                    <wp:docPr id="355895987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65B926" w14:textId="777CAA50" w:rsidR="00DA5947" w:rsidRPr="00DA5947" w:rsidRDefault="00DA5947" w:rsidP="00DA594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</w:rPr>
                                </w:pPr>
                                <w:r w:rsidRPr="00DA5947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19597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      <v:fill o:detectmouseclick="t"/>
                    <v:textbox style="mso-fit-shape-to-text:t" inset="0,15pt,0,0">
                      <w:txbxContent>
                        <w:p w14:paraId="3665B926" w14:textId="777CAA50" w:rsidR="00DA5947" w:rsidRPr="00DA5947" w:rsidRDefault="00DA5947" w:rsidP="00DA59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DA59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ADC8768" w14:textId="69C3FF71" w:rsidR="00EE1D8B" w:rsidRDefault="007A4E7E">
          <w:pPr>
            <w:pStyle w:val="Header"/>
          </w:pPr>
          <w:r>
            <w:rPr>
              <w:noProof/>
            </w:rPr>
            <w:drawing>
              <wp:inline distT="0" distB="0" distL="0" distR="0" wp14:anchorId="2EB4E3B8" wp14:editId="2761B0AF">
                <wp:extent cx="2514600" cy="695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436783" w14:textId="77777777" w:rsidR="00EE1D8B" w:rsidRDefault="00EE1D8B">
          <w:pPr>
            <w:pStyle w:val="Header"/>
          </w:pPr>
        </w:p>
      </w:tc>
      <w:tc>
        <w:tcPr>
          <w:tcW w:w="5293" w:type="dxa"/>
          <w:shd w:val="clear" w:color="auto" w:fill="auto"/>
        </w:tcPr>
        <w:p w14:paraId="59E6F869" w14:textId="77777777" w:rsidR="00EE1D8B" w:rsidRPr="00EE1D8B" w:rsidRDefault="00EE1D8B">
          <w:pPr>
            <w:pStyle w:val="Header"/>
            <w:rPr>
              <w:rFonts w:ascii="Arial" w:hAnsi="Arial"/>
              <w:b/>
            </w:rPr>
          </w:pPr>
        </w:p>
        <w:p w14:paraId="0CD4BC99" w14:textId="77777777" w:rsidR="00EE1D8B" w:rsidRPr="00EE1D8B" w:rsidRDefault="00EE1D8B">
          <w:pPr>
            <w:pStyle w:val="Header"/>
            <w:rPr>
              <w:rFonts w:ascii="Arial" w:hAnsi="Arial"/>
              <w:b/>
            </w:rPr>
          </w:pPr>
        </w:p>
        <w:p w14:paraId="5853F500" w14:textId="77777777" w:rsidR="00EE1D8B" w:rsidRDefault="00EE1D8B" w:rsidP="00EE1D8B">
          <w:pPr>
            <w:pStyle w:val="Header"/>
            <w:tabs>
              <w:tab w:val="clear" w:pos="4153"/>
              <w:tab w:val="clear" w:pos="8306"/>
            </w:tabs>
          </w:pPr>
          <w:r w:rsidRPr="00EE1D8B">
            <w:rPr>
              <w:rFonts w:ascii="Arial" w:hAnsi="Arial"/>
              <w:sz w:val="60"/>
            </w:rPr>
            <w:tab/>
            <w:t>FACT SHEET</w:t>
          </w:r>
        </w:p>
      </w:tc>
    </w:tr>
  </w:tbl>
  <w:p w14:paraId="7816990F" w14:textId="77777777" w:rsidR="00EE1D8B" w:rsidRDefault="00EE1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4203"/>
    <w:multiLevelType w:val="hybridMultilevel"/>
    <w:tmpl w:val="6AF00CCE"/>
    <w:lvl w:ilvl="0" w:tplc="FFFFFFFF">
      <w:start w:val="1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1B40"/>
    <w:multiLevelType w:val="hybridMultilevel"/>
    <w:tmpl w:val="310CF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64DF"/>
    <w:multiLevelType w:val="hybridMultilevel"/>
    <w:tmpl w:val="2176F6DC"/>
    <w:lvl w:ilvl="0" w:tplc="0A34BBB2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2442D"/>
    <w:multiLevelType w:val="hybridMultilevel"/>
    <w:tmpl w:val="69124D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69AA"/>
    <w:multiLevelType w:val="hybridMultilevel"/>
    <w:tmpl w:val="C1685084"/>
    <w:lvl w:ilvl="0" w:tplc="1A546BC8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FE05C3"/>
    <w:multiLevelType w:val="hybridMultilevel"/>
    <w:tmpl w:val="5DACF3B4"/>
    <w:lvl w:ilvl="0" w:tplc="2838424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83FD3"/>
    <w:multiLevelType w:val="hybridMultilevel"/>
    <w:tmpl w:val="A6A6A186"/>
    <w:lvl w:ilvl="0" w:tplc="FFFFFFFF">
      <w:start w:val="1"/>
      <w:numFmt w:val="bullet"/>
      <w:pStyle w:val="Do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030A0"/>
    <w:multiLevelType w:val="hybridMultilevel"/>
    <w:tmpl w:val="5EAA1B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F0239"/>
    <w:multiLevelType w:val="hybridMultilevel"/>
    <w:tmpl w:val="0BB208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24A"/>
    <w:multiLevelType w:val="hybridMultilevel"/>
    <w:tmpl w:val="531E117A"/>
    <w:lvl w:ilvl="0" w:tplc="103E769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2F98"/>
    <w:multiLevelType w:val="hybridMultilevel"/>
    <w:tmpl w:val="4FA843C4"/>
    <w:lvl w:ilvl="0" w:tplc="FFFFFFFF">
      <w:start w:val="1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1E569E"/>
    <w:multiLevelType w:val="hybridMultilevel"/>
    <w:tmpl w:val="3E0E2F22"/>
    <w:lvl w:ilvl="0" w:tplc="1A546BC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0340802">
    <w:abstractNumId w:val="6"/>
  </w:num>
  <w:num w:numId="2" w16cid:durableId="1061444746">
    <w:abstractNumId w:val="3"/>
  </w:num>
  <w:num w:numId="3" w16cid:durableId="1895698752">
    <w:abstractNumId w:val="0"/>
  </w:num>
  <w:num w:numId="4" w16cid:durableId="1902860672">
    <w:abstractNumId w:val="7"/>
  </w:num>
  <w:num w:numId="5" w16cid:durableId="123385477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668865">
    <w:abstractNumId w:val="1"/>
  </w:num>
  <w:num w:numId="7" w16cid:durableId="688605648">
    <w:abstractNumId w:val="8"/>
  </w:num>
  <w:num w:numId="8" w16cid:durableId="2038773336">
    <w:abstractNumId w:val="9"/>
  </w:num>
  <w:num w:numId="9" w16cid:durableId="2049867750">
    <w:abstractNumId w:val="5"/>
  </w:num>
  <w:num w:numId="10" w16cid:durableId="1697077430">
    <w:abstractNumId w:val="11"/>
  </w:num>
  <w:num w:numId="11" w16cid:durableId="2098624806">
    <w:abstractNumId w:val="4"/>
  </w:num>
  <w:num w:numId="12" w16cid:durableId="155342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1A"/>
    <w:rsid w:val="002D061A"/>
    <w:rsid w:val="007A4E7E"/>
    <w:rsid w:val="00836EC2"/>
    <w:rsid w:val="00DA5947"/>
    <w:rsid w:val="00E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9C75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ahoma" w:hAnsi="Tahoma"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right="-477"/>
      <w:outlineLvl w:val="4"/>
    </w:pPr>
    <w:rPr>
      <w:rFonts w:ascii="Palatino" w:hAnsi="Palatino"/>
      <w:b/>
      <w:sz w:val="24"/>
      <w:szCs w:val="20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ind w:right="-575"/>
      <w:outlineLvl w:val="7"/>
    </w:pPr>
    <w:rPr>
      <w:rFonts w:ascii="Arial" w:hAnsi="Arial" w:cs="Arial"/>
      <w:b/>
      <w:bCs/>
      <w:sz w:val="44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ind w:right="-575"/>
      <w:jc w:val="center"/>
      <w:outlineLvl w:val="8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Title">
    <w:name w:val="Title"/>
    <w:basedOn w:val="Normal"/>
    <w:qFormat/>
    <w:pPr>
      <w:tabs>
        <w:tab w:val="left" w:pos="284"/>
      </w:tabs>
      <w:spacing w:after="120"/>
      <w:jc w:val="center"/>
    </w:pPr>
    <w:rPr>
      <w:rFonts w:ascii="Times New Roman" w:hAnsi="Times New Roman"/>
      <w:b/>
      <w:sz w:val="24"/>
      <w:szCs w:val="20"/>
    </w:rPr>
  </w:style>
  <w:style w:type="paragraph" w:customStyle="1" w:styleId="NumberPoint">
    <w:name w:val="NumberPoint"/>
    <w:basedOn w:val="Normal"/>
    <w:rPr>
      <w:rFonts w:ascii="Times New Roman" w:hAnsi="Times New Roman"/>
      <w:sz w:val="24"/>
      <w:szCs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4"/>
      <w:szCs w:val="20"/>
    </w:rPr>
  </w:style>
  <w:style w:type="paragraph" w:styleId="BodyText">
    <w:name w:val="Body Text"/>
    <w:basedOn w:val="Normal"/>
    <w:rPr>
      <w:rFonts w:ascii="Times New Roman" w:hAnsi="Times New Roman"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Dot">
    <w:name w:val="Dot"/>
    <w:basedOn w:val="Normal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Pr>
      <w:rFonts w:ascii="Arial" w:hAnsi="Arial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/>
  </documentManagement>
</p:properties>
</file>

<file path=customXml/itemProps1.xml><?xml version="1.0" encoding="utf-8"?>
<ds:datastoreItem xmlns:ds="http://schemas.openxmlformats.org/officeDocument/2006/customXml" ds:itemID="{D039D526-79B8-439F-B53E-5E56F50CE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363E8-E5EA-4730-99BD-A7DA7B227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A5F16-26C1-4606-805A-1ACEEF0FE52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2b53c995-2120-4bc0-8922-c25044d37f65"/>
    <ds:schemaRef ds:uri="http://purl.org/dc/dcmitype/"/>
    <ds:schemaRef ds:uri="http://schemas.microsoft.com/office/infopath/2007/PartnerControls"/>
    <ds:schemaRef ds:uri="http://purl.org/dc/elements/1.1/"/>
    <ds:schemaRef ds:uri="c95b51c2-b2ac-4224-a5b5-06990905782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 final import risk analysis report - November 2008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 final import risk analysis report - November 2008</dc:title>
  <dc:subject/>
  <dc:creator/>
  <cp:keywords/>
  <dc:description/>
  <cp:lastModifiedBy/>
  <cp:revision>1</cp:revision>
  <cp:lastPrinted>2008-10-28T23:57:00Z</cp:lastPrinted>
  <dcterms:created xsi:type="dcterms:W3CDTF">2024-11-08T06:27:00Z</dcterms:created>
  <dcterms:modified xsi:type="dcterms:W3CDTF">2024-11-08T06:27:00Z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15368ab3,a4d20f8,4b79f985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7fcc2d8f,7c53d33e,7d28754d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2024-11-08T06:27:33Z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50fe8ee6-6fc1-43e6-aefd-1d98b510f4c7</vt:lpwstr>
  </property>
  <property fmtid="{D5CDD505-2E9C-101B-9397-08002B2CF9AE}" pid="14" name="MSIP_Label_933d8be6-3c40-4052-87a2-9c2adcba8759_ContentBits">
    <vt:lpwstr>3</vt:lpwstr>
  </property>
</Properties>
</file>