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E9BB" w14:textId="6A99C072" w:rsidR="000712B7" w:rsidRDefault="000712B7" w:rsidP="00864EB8">
      <w:pPr>
        <w:spacing w:before="23" w:line="300" w:lineRule="exact"/>
        <w:textAlignment w:val="baseline"/>
        <w:rPr>
          <w:rFonts w:ascii="Tahoma" w:eastAsia="Tahoma" w:hAnsi="Tahoma"/>
          <w:b/>
          <w:spacing w:val="19"/>
          <w:w w:val="85"/>
          <w:sz w:val="48"/>
          <w:szCs w:val="48"/>
        </w:rPr>
      </w:pPr>
      <w:r w:rsidRPr="00A0739E">
        <w:rPr>
          <w:noProof/>
        </w:rPr>
        <w:drawing>
          <wp:anchor distT="0" distB="0" distL="114300" distR="114300" simplePos="0" relativeHeight="251660288" behindDoc="1" locked="0" layoutInCell="1" allowOverlap="1" wp14:anchorId="42A4CB57" wp14:editId="3D7513B5">
            <wp:simplePos x="0" y="0"/>
            <wp:positionH relativeFrom="column">
              <wp:posOffset>-28397</wp:posOffset>
            </wp:positionH>
            <wp:positionV relativeFrom="paragraph">
              <wp:posOffset>201394</wp:posOffset>
            </wp:positionV>
            <wp:extent cx="7589978" cy="2836545"/>
            <wp:effectExtent l="0" t="0" r="0" b="1905"/>
            <wp:wrapNone/>
            <wp:docPr id="5"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r:embed="rId12">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94034" cy="2838061"/>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p>
    <w:p w14:paraId="042A2C03" w14:textId="6240CA32" w:rsidR="000712B7" w:rsidRPr="000712B7" w:rsidRDefault="000712B7" w:rsidP="00864EB8">
      <w:pPr>
        <w:spacing w:before="23" w:line="610" w:lineRule="exact"/>
        <w:ind w:left="1985" w:right="4536"/>
        <w:textAlignment w:val="baseline"/>
        <w:rPr>
          <w:rFonts w:ascii="Tahoma" w:eastAsia="Tahoma" w:hAnsi="Tahoma"/>
          <w:b/>
          <w:color w:val="FFFFFF" w:themeColor="background1"/>
          <w:spacing w:val="9"/>
          <w:w w:val="85"/>
          <w:sz w:val="48"/>
          <w:szCs w:val="48"/>
        </w:rPr>
      </w:pPr>
      <w:r w:rsidRPr="000712B7">
        <w:rPr>
          <w:rFonts w:ascii="Tahoma" w:eastAsia="Tahoma" w:hAnsi="Tahoma"/>
          <w:b/>
          <w:color w:val="FFFFFF" w:themeColor="background1"/>
          <w:spacing w:val="19"/>
          <w:w w:val="85"/>
          <w:sz w:val="48"/>
          <w:szCs w:val="48"/>
        </w:rPr>
        <w:t xml:space="preserve">Export Meat Operational </w:t>
      </w:r>
      <w:r w:rsidRPr="000712B7">
        <w:rPr>
          <w:rFonts w:ascii="Tahoma" w:eastAsia="Tahoma" w:hAnsi="Tahoma"/>
          <w:b/>
          <w:color w:val="FFFFFF" w:themeColor="background1"/>
          <w:spacing w:val="9"/>
          <w:w w:val="85"/>
          <w:sz w:val="48"/>
          <w:szCs w:val="48"/>
        </w:rPr>
        <w:t>Guideline</w:t>
      </w:r>
    </w:p>
    <w:p w14:paraId="60E71A06" w14:textId="144142DF" w:rsidR="000712B7" w:rsidRPr="000712B7" w:rsidRDefault="000712B7" w:rsidP="00864EB8">
      <w:pPr>
        <w:pStyle w:val="Heading1"/>
        <w:tabs>
          <w:tab w:val="left" w:pos="7230"/>
        </w:tabs>
        <w:ind w:left="1985" w:right="4394"/>
        <w:rPr>
          <w:color w:val="FFFFFF" w:themeColor="background1"/>
        </w:rPr>
      </w:pPr>
      <w:r>
        <w:rPr>
          <w:color w:val="FFFFFF" w:themeColor="background1"/>
        </w:rPr>
        <w:t xml:space="preserve">1.1 </w:t>
      </w:r>
      <w:r w:rsidRPr="000712B7">
        <w:rPr>
          <w:color w:val="FFFFFF" w:themeColor="background1"/>
        </w:rPr>
        <w:t>Animal welfare – from arrival to completion of slaughter</w:t>
      </w:r>
    </w:p>
    <w:p w14:paraId="3724ED18" w14:textId="0AC0A926" w:rsidR="000712B7" w:rsidRDefault="000712B7" w:rsidP="00CF4C5E">
      <w:pPr>
        <w:spacing w:before="200" w:after="100"/>
        <w:ind w:left="1985"/>
        <w:rPr>
          <w:rFonts w:ascii="Cambria" w:hAnsi="Cambria"/>
          <w:b/>
          <w:bCs/>
          <w:color w:val="165788"/>
          <w:sz w:val="33"/>
          <w:szCs w:val="33"/>
        </w:rPr>
      </w:pPr>
    </w:p>
    <w:p w14:paraId="1C25D3CD" w14:textId="77777777" w:rsidR="00864EB8" w:rsidRDefault="00864EB8" w:rsidP="00817ED9">
      <w:pPr>
        <w:spacing w:before="200"/>
        <w:ind w:left="1985"/>
        <w:rPr>
          <w:rFonts w:ascii="Cambria" w:hAnsi="Cambria"/>
          <w:b/>
          <w:bCs/>
          <w:color w:val="165788"/>
          <w:sz w:val="33"/>
          <w:szCs w:val="33"/>
        </w:rPr>
      </w:pPr>
    </w:p>
    <w:p w14:paraId="3A35C81D" w14:textId="32F4F42C" w:rsidR="00817ED9" w:rsidRPr="00817ED9" w:rsidRDefault="00093252"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7F24DE91">
                <wp:simplePos x="0" y="0"/>
                <wp:positionH relativeFrom="margin">
                  <wp:posOffset>-483</wp:posOffset>
                </wp:positionH>
                <wp:positionV relativeFrom="page">
                  <wp:posOffset>8255</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126CBAB6" w:rsidR="009F3243" w:rsidRDefault="009916E0" w:rsidP="00A34968">
                            <w:pPr>
                              <w:spacing w:before="360" w:after="600"/>
                            </w:pPr>
                            <w:r>
                              <w:t xml:space="preserve">             </w:t>
                            </w:r>
                            <w:r w:rsidR="006C0FE3">
                              <w:rPr>
                                <w:noProof/>
                              </w:rPr>
                              <w:drawing>
                                <wp:inline distT="0" distB="0" distL="0" distR="0" wp14:anchorId="70438F43" wp14:editId="397BF22B">
                                  <wp:extent cx="2412000" cy="746453"/>
                                  <wp:effectExtent l="0" t="0" r="7620" b="0"/>
                                  <wp:docPr id="3" name="Picture 3"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B14A" id="_x0000_t202" coordsize="21600,21600" o:spt="202" path="m,l,21600r21600,l21600,xe">
                <v:stroke joinstyle="miter"/>
                <v:path gradientshapeok="t" o:connecttype="rect"/>
              </v:shapetype>
              <v:shape id="_x0000_s0" o:spid="_x0000_s1026" type="#_x0000_t202" style="position:absolute;left:0;text-align:left;margin-left:-.05pt;margin-top:.65pt;width:595.4pt;height:86.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" fillcolor="#dbd6d2" stroked="f">
                <v:textbox inset="0,0,0,0">
                  <w:txbxContent>
                    <w:p w14:paraId="098F0B59" w14:textId="126CBAB6" w:rsidR="009F3243" w:rsidRDefault="009916E0" w:rsidP="00A34968">
                      <w:pPr>
                        <w:spacing w:before="360" w:after="600"/>
                      </w:pPr>
                      <w:r>
                        <w:t xml:space="preserve">             </w:t>
                      </w:r>
                      <w:r w:rsidR="006C0FE3">
                        <w:rPr>
                          <w:noProof/>
                        </w:rPr>
                        <w:drawing>
                          <wp:inline distT="0" distB="0" distL="0" distR="0" wp14:anchorId="70438F43" wp14:editId="397BF22B">
                            <wp:extent cx="2412000" cy="746453"/>
                            <wp:effectExtent l="0" t="0" r="7620" b="0"/>
                            <wp:docPr id="3" name="Picture 3"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4">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014181"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7242CA7F">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65E5" w14:textId="77777777" w:rsidR="00120BF0" w:rsidRDefault="000A7161" w:rsidP="000A7161">
                            <w:pPr>
                              <w:spacing w:before="16" w:line="168" w:lineRule="exact"/>
                              <w:jc w:val="right"/>
                              <w:textAlignment w:val="baseline"/>
                              <w:rPr>
                                <w:rFonts w:ascii="Arial Narrow" w:eastAsia="Arial Narrow" w:hAnsi="Arial Narrow"/>
                                <w:color w:val="FFFFFF"/>
                                <w:spacing w:val="24"/>
                                <w:sz w:val="16"/>
                                <w:lang w:val="en-AU"/>
                              </w:rPr>
                            </w:pPr>
                            <w:r>
                              <w:rPr>
                                <w:rFonts w:ascii="Arial Narrow" w:eastAsia="Arial Narrow" w:hAnsi="Arial Narrow"/>
                                <w:color w:val="FFFFFF"/>
                                <w:spacing w:val="24"/>
                                <w:sz w:val="16"/>
                                <w:lang w:val="en-AU"/>
                              </w:rPr>
                              <w:t xml:space="preserve">March </w:t>
                            </w:r>
                          </w:p>
                          <w:p w14:paraId="63EDC8E0" w14:textId="33FE0F8D" w:rsidR="009F3243" w:rsidRPr="000A7161" w:rsidRDefault="000A7161" w:rsidP="000A7161">
                            <w:pPr>
                              <w:spacing w:before="16" w:line="168" w:lineRule="exact"/>
                              <w:jc w:val="right"/>
                              <w:textAlignment w:val="baseline"/>
                              <w:rPr>
                                <w:rFonts w:ascii="Arial Narrow" w:eastAsia="Arial Narrow" w:hAnsi="Arial Narrow"/>
                                <w:color w:val="FFFFFF"/>
                                <w:spacing w:val="24"/>
                                <w:sz w:val="16"/>
                                <w:lang w:val="en-AU"/>
                              </w:rPr>
                            </w:pPr>
                            <w:r>
                              <w:rPr>
                                <w:rFonts w:ascii="Arial Narrow" w:eastAsia="Arial Narrow" w:hAnsi="Arial Narrow"/>
                                <w:color w:val="FFFFFF"/>
                                <w:spacing w:val="24"/>
                                <w:sz w:val="16"/>
                                <w:lang w:val="en-AU"/>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DE" id="Text Box 3" o:spid="_x0000_s1027"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" filled="f" stroked="f">
                <v:textbox inset="0,0,0,0">
                  <w:txbxContent>
                    <w:p w14:paraId="34A765E5" w14:textId="77777777" w:rsidR="00120BF0" w:rsidRDefault="000A7161" w:rsidP="000A7161">
                      <w:pPr>
                        <w:spacing w:before="16" w:line="168" w:lineRule="exact"/>
                        <w:jc w:val="right"/>
                        <w:textAlignment w:val="baseline"/>
                        <w:rPr>
                          <w:rFonts w:ascii="Arial Narrow" w:eastAsia="Arial Narrow" w:hAnsi="Arial Narrow"/>
                          <w:color w:val="FFFFFF"/>
                          <w:spacing w:val="24"/>
                          <w:sz w:val="16"/>
                          <w:lang w:val="en-AU"/>
                        </w:rPr>
                      </w:pPr>
                      <w:r>
                        <w:rPr>
                          <w:rFonts w:ascii="Arial Narrow" w:eastAsia="Arial Narrow" w:hAnsi="Arial Narrow"/>
                          <w:color w:val="FFFFFF"/>
                          <w:spacing w:val="24"/>
                          <w:sz w:val="16"/>
                          <w:lang w:val="en-AU"/>
                        </w:rPr>
                        <w:t xml:space="preserve">March </w:t>
                      </w:r>
                    </w:p>
                    <w:p w14:paraId="63EDC8E0" w14:textId="33FE0F8D" w:rsidR="009F3243" w:rsidRPr="000A7161" w:rsidRDefault="000A7161" w:rsidP="000A7161">
                      <w:pPr>
                        <w:spacing w:before="16" w:line="168" w:lineRule="exact"/>
                        <w:jc w:val="right"/>
                        <w:textAlignment w:val="baseline"/>
                        <w:rPr>
                          <w:rFonts w:ascii="Arial Narrow" w:eastAsia="Arial Narrow" w:hAnsi="Arial Narrow"/>
                          <w:color w:val="FFFFFF"/>
                          <w:spacing w:val="24"/>
                          <w:sz w:val="16"/>
                          <w:lang w:val="en-AU"/>
                        </w:rPr>
                      </w:pPr>
                      <w:r>
                        <w:rPr>
                          <w:rFonts w:ascii="Arial Narrow" w:eastAsia="Arial Narrow" w:hAnsi="Arial Narrow"/>
                          <w:color w:val="FFFFFF"/>
                          <w:spacing w:val="24"/>
                          <w:sz w:val="16"/>
                          <w:lang w:val="en-AU"/>
                        </w:rPr>
                        <w:t>2023</w:t>
                      </w:r>
                    </w:p>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12F1D1DF">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5"/>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7A6C75AD" w14:textId="52A9AD90" w:rsidR="00BB15A1" w:rsidRDefault="00D14E71" w:rsidP="004E66DD">
      <w:pPr>
        <w:pStyle w:val="Frontpage-bodytext"/>
      </w:pPr>
      <w:r w:rsidRPr="00D14E71">
        <w:t xml:space="preserve">This document </w:t>
      </w:r>
      <w:r w:rsidR="00B85440">
        <w:t>outlines</w:t>
      </w:r>
      <w:r w:rsidRPr="00D14E71">
        <w:t xml:space="preserve"> </w:t>
      </w:r>
      <w:r w:rsidR="00AF0D14">
        <w:t xml:space="preserve">how the Department of Agriculture, Fisheries and Forestry (the department) </w:t>
      </w:r>
      <w:r w:rsidR="00BB15A1">
        <w:t>manage</w:t>
      </w:r>
      <w:r w:rsidR="00AF0D14">
        <w:t>s</w:t>
      </w:r>
      <w:r w:rsidR="00BB15A1">
        <w:t xml:space="preserve"> </w:t>
      </w:r>
      <w:r w:rsidR="00195E45">
        <w:t xml:space="preserve">the animal welfare requirements of animal arrival, </w:t>
      </w:r>
      <w:r w:rsidR="002E4C49">
        <w:t xml:space="preserve">animal handling and slaughter </w:t>
      </w:r>
      <w:r w:rsidR="00AF0D14">
        <w:t>at export-registered abattoirs</w:t>
      </w:r>
      <w:r w:rsidR="00195E45">
        <w:t>,</w:t>
      </w:r>
      <w:r w:rsidR="00AF0D14">
        <w:t xml:space="preserve"> and </w:t>
      </w:r>
      <w:r w:rsidR="00195E45">
        <w:t xml:space="preserve">of </w:t>
      </w:r>
      <w:r w:rsidR="00AF0D14">
        <w:t xml:space="preserve">wild </w:t>
      </w:r>
      <w:r w:rsidR="00195E45">
        <w:t xml:space="preserve">game carcases at wild </w:t>
      </w:r>
      <w:r w:rsidR="00AF0D14">
        <w:t xml:space="preserve">game processing establishments. </w:t>
      </w:r>
    </w:p>
    <w:p w14:paraId="4FCE1C71" w14:textId="765AC06D" w:rsidR="00DF47E8" w:rsidRPr="00C03F16" w:rsidRDefault="000F14CA"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0E24EEEF" w14:textId="77777777" w:rsidR="002E4C49" w:rsidRDefault="00D14E71" w:rsidP="004E66DD">
      <w:pPr>
        <w:pStyle w:val="Frontpage-bodytext"/>
      </w:pPr>
      <w:r>
        <w:t>Th</w:t>
      </w:r>
      <w:r w:rsidR="00B54C81">
        <w:t xml:space="preserve">e species in scope of this guideline include those that are slaughtered/harvested for meat and meat products for export including: </w:t>
      </w:r>
    </w:p>
    <w:p w14:paraId="1C94BA1C" w14:textId="03204BB2" w:rsidR="004353EA" w:rsidRDefault="004353EA" w:rsidP="00A4459B">
      <w:pPr>
        <w:pStyle w:val="Frontpage-bulletlist"/>
        <w:numPr>
          <w:ilvl w:val="0"/>
          <w:numId w:val="4"/>
        </w:numPr>
        <w:ind w:left="2269" w:right="992" w:hanging="284"/>
      </w:pPr>
      <w:r>
        <w:t xml:space="preserve">cloven hoofed animals such as cattle, buffalo, sheep, goats, pigs, deer, </w:t>
      </w:r>
      <w:r w:rsidR="00904D76">
        <w:t xml:space="preserve">and </w:t>
      </w:r>
      <w:r>
        <w:t>camels</w:t>
      </w:r>
    </w:p>
    <w:p w14:paraId="10B47C85" w14:textId="77777777" w:rsidR="004353EA" w:rsidRPr="00F25709" w:rsidRDefault="004353EA" w:rsidP="00A4459B">
      <w:pPr>
        <w:pStyle w:val="Frontpage-bulletlist"/>
        <w:numPr>
          <w:ilvl w:val="0"/>
          <w:numId w:val="4"/>
        </w:numPr>
        <w:ind w:left="2269" w:right="992" w:hanging="284"/>
      </w:pPr>
      <w:r>
        <w:t>solipeds such as horses and donkeys</w:t>
      </w:r>
    </w:p>
    <w:p w14:paraId="635F9F2C" w14:textId="5F41343A" w:rsidR="004353EA" w:rsidRDefault="00AA03AE" w:rsidP="00A4459B">
      <w:pPr>
        <w:pStyle w:val="Frontpage-bulletlist"/>
        <w:numPr>
          <w:ilvl w:val="0"/>
          <w:numId w:val="4"/>
        </w:numPr>
        <w:ind w:left="2269" w:right="992" w:hanging="284"/>
      </w:pPr>
      <w:r>
        <w:t xml:space="preserve">wild </w:t>
      </w:r>
      <w:r w:rsidR="004353EA">
        <w:t>game animals such as kangaroos, boar, deer, and camel</w:t>
      </w:r>
      <w:r w:rsidR="00904D76">
        <w:t>s</w:t>
      </w:r>
      <w:r w:rsidR="004353EA" w:rsidRPr="00F25709">
        <w:t xml:space="preserve">. </w:t>
      </w:r>
    </w:p>
    <w:p w14:paraId="55D749E1" w14:textId="23A35EC6" w:rsidR="00BB15A1" w:rsidRPr="007B34CF" w:rsidRDefault="00BB15A1" w:rsidP="00BB15A1">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F3A1861" w14:textId="77777777" w:rsidR="00BB15A1" w:rsidRDefault="00BB15A1" w:rsidP="004E66DD">
      <w:pPr>
        <w:pStyle w:val="Frontpage-bodytext"/>
      </w:pPr>
      <w:r>
        <w:t xml:space="preserve">Under the </w:t>
      </w:r>
      <w:r w:rsidRPr="0051136B">
        <w:rPr>
          <w:i/>
          <w:iCs/>
        </w:rPr>
        <w:t>Export Control Act 2020</w:t>
      </w:r>
      <w:r>
        <w:t xml:space="preserve"> ('the Act') and its subordinate legislation:</w:t>
      </w:r>
    </w:p>
    <w:p w14:paraId="228E8AD9" w14:textId="4D42F52A" w:rsidR="00AA03AE" w:rsidRPr="00A4459B" w:rsidRDefault="00BB15A1" w:rsidP="00A4459B">
      <w:pPr>
        <w:pStyle w:val="Frontpage-bulletlist"/>
        <w:numPr>
          <w:ilvl w:val="0"/>
          <w:numId w:val="4"/>
        </w:numPr>
        <w:ind w:left="2269" w:right="992" w:hanging="284"/>
      </w:pPr>
      <w:r>
        <w:t xml:space="preserve">export abattoirs are regulated by the Commonwealth government through the Australian Government Department of Agriculture, </w:t>
      </w:r>
      <w:r w:rsidR="008A2D9A">
        <w:t>Fisheries and Forestry</w:t>
      </w:r>
      <w:r>
        <w:t xml:space="preserve"> (the department)</w:t>
      </w:r>
      <w:r w:rsidR="00E31AE4">
        <w:t>.</w:t>
      </w:r>
    </w:p>
    <w:p w14:paraId="7393F0BF" w14:textId="65024143" w:rsidR="00BB15A1" w:rsidRDefault="00BB15A1" w:rsidP="004E66DD">
      <w:pPr>
        <w:pStyle w:val="Frontpage-bodytext"/>
      </w:pPr>
      <w:r>
        <w:t>Under the Export Control (Meat and Meat Products) Rules 2021 (the Rules), export abattoirs are bound to comply with:</w:t>
      </w:r>
    </w:p>
    <w:p w14:paraId="0D87CDCB" w14:textId="77777777" w:rsidR="00BB15A1" w:rsidRDefault="00BB15A1" w:rsidP="00A4459B">
      <w:pPr>
        <w:pStyle w:val="Frontpage-bulletlist"/>
        <w:numPr>
          <w:ilvl w:val="0"/>
          <w:numId w:val="4"/>
        </w:numPr>
        <w:ind w:left="2269" w:right="992" w:hanging="284"/>
      </w:pPr>
      <w:r>
        <w:t xml:space="preserve">their approved arrangement (including animal welfare standard operating procedures) </w:t>
      </w:r>
    </w:p>
    <w:p w14:paraId="1211E2BE" w14:textId="169306BE" w:rsidR="00AA03AE" w:rsidRPr="00A4459B" w:rsidRDefault="00BB15A1" w:rsidP="00A4459B">
      <w:pPr>
        <w:pStyle w:val="Frontpage-bulletlist"/>
        <w:numPr>
          <w:ilvl w:val="0"/>
          <w:numId w:val="4"/>
        </w:numPr>
        <w:ind w:left="2269" w:right="992" w:hanging="284"/>
      </w:pPr>
      <w:r>
        <w:t xml:space="preserve">the Australian </w:t>
      </w:r>
      <w:r w:rsidR="00C71872">
        <w:t>s</w:t>
      </w:r>
      <w:r>
        <w:t xml:space="preserve">tandard for the </w:t>
      </w:r>
      <w:r w:rsidR="00C71872">
        <w:t>h</w:t>
      </w:r>
      <w:r>
        <w:t xml:space="preserve">ygienic </w:t>
      </w:r>
      <w:r w:rsidR="00C71872">
        <w:t>p</w:t>
      </w:r>
      <w:r>
        <w:t xml:space="preserve">roduction and </w:t>
      </w:r>
      <w:r w:rsidR="00C71872">
        <w:t>t</w:t>
      </w:r>
      <w:r>
        <w:t xml:space="preserve">ransportation of </w:t>
      </w:r>
      <w:r w:rsidR="00C71872">
        <w:t>m</w:t>
      </w:r>
      <w:r>
        <w:t xml:space="preserve">eat and </w:t>
      </w:r>
      <w:r w:rsidR="00C71872">
        <w:t>m</w:t>
      </w:r>
      <w:r>
        <w:t xml:space="preserve">eat </w:t>
      </w:r>
      <w:r w:rsidR="00C71872">
        <w:t>p</w:t>
      </w:r>
      <w:r>
        <w:t xml:space="preserve">roducts for </w:t>
      </w:r>
      <w:r w:rsidR="00C71872">
        <w:t>h</w:t>
      </w:r>
      <w:r>
        <w:t xml:space="preserve">uman </w:t>
      </w:r>
      <w:r w:rsidR="00C71872">
        <w:t>c</w:t>
      </w:r>
      <w:r>
        <w:t>onsumption (AS4696)</w:t>
      </w:r>
      <w:r w:rsidR="00C71872">
        <w:t xml:space="preserve"> (</w:t>
      </w:r>
      <w:r w:rsidR="002A4E34">
        <w:t xml:space="preserve">referred to </w:t>
      </w:r>
      <w:r w:rsidR="00457B4A">
        <w:t>here</w:t>
      </w:r>
      <w:r w:rsidR="002A4E34">
        <w:t xml:space="preserve"> as '</w:t>
      </w:r>
      <w:r w:rsidR="00C71872">
        <w:t>the Australian Meat Standard</w:t>
      </w:r>
      <w:r w:rsidR="002A4E34">
        <w:t>'</w:t>
      </w:r>
      <w:r w:rsidR="00C71872">
        <w:t>)</w:t>
      </w:r>
      <w:r>
        <w:t>.</w:t>
      </w:r>
    </w:p>
    <w:p w14:paraId="63E7B0EC" w14:textId="182C1E98" w:rsidR="00C71872" w:rsidRDefault="00C71872" w:rsidP="004E66DD">
      <w:pPr>
        <w:pStyle w:val="Frontpage-bodytext"/>
      </w:pPr>
      <w:r>
        <w:t>Under the Export Control (Wild Game Meat and Wild Game Meat Products) Rules 2021 (the Rules), wild game processing establishments are bound to comply with:</w:t>
      </w:r>
    </w:p>
    <w:p w14:paraId="1C85D0DC" w14:textId="70072C47" w:rsidR="00C71872" w:rsidRDefault="00C71872" w:rsidP="00A4459B">
      <w:pPr>
        <w:pStyle w:val="Frontpage-bulletlist"/>
        <w:numPr>
          <w:ilvl w:val="0"/>
          <w:numId w:val="4"/>
        </w:numPr>
        <w:ind w:left="2269" w:right="992" w:hanging="284"/>
      </w:pPr>
      <w:r w:rsidRPr="002E4C49">
        <w:t>their approved arrangement (including animal welfare standard operating procedures)</w:t>
      </w:r>
    </w:p>
    <w:p w14:paraId="5E3AA636" w14:textId="02B35153" w:rsidR="00195E45" w:rsidRDefault="00195E45" w:rsidP="00A4459B">
      <w:pPr>
        <w:pStyle w:val="Frontpage-bulletlist"/>
        <w:numPr>
          <w:ilvl w:val="0"/>
          <w:numId w:val="4"/>
        </w:numPr>
        <w:ind w:left="2269" w:right="992" w:hanging="284"/>
      </w:pPr>
      <w:r>
        <w:t>the Australian Meat Standard</w:t>
      </w:r>
    </w:p>
    <w:p w14:paraId="1DCA1D42" w14:textId="4797181E" w:rsidR="00C71872" w:rsidRPr="002E4C49" w:rsidRDefault="00C71872" w:rsidP="00A4459B">
      <w:pPr>
        <w:pStyle w:val="Frontpage-bulletlist"/>
        <w:numPr>
          <w:ilvl w:val="0"/>
          <w:numId w:val="4"/>
        </w:numPr>
        <w:ind w:left="2269" w:right="992" w:hanging="284"/>
      </w:pPr>
      <w:r>
        <w:t>the Australian standard hygienic production of game meat for human consumption (AS4464) (</w:t>
      </w:r>
      <w:r w:rsidR="00457B4A">
        <w:t>referred to here as '</w:t>
      </w:r>
      <w:r>
        <w:t>the Wild Game Standard</w:t>
      </w:r>
      <w:r w:rsidR="00457B4A">
        <w:t>'</w:t>
      </w:r>
      <w:r>
        <w:t>).</w:t>
      </w:r>
    </w:p>
    <w:p w14:paraId="45437E4D" w14:textId="77777777" w:rsidR="006766EE" w:rsidRDefault="006766EE">
      <w:pPr>
        <w:rPr>
          <w:rFonts w:ascii="Cambria" w:hAnsi="Cambria"/>
          <w:b/>
          <w:bCs/>
          <w:color w:val="165788"/>
          <w:sz w:val="33"/>
          <w:szCs w:val="33"/>
        </w:rPr>
      </w:pPr>
      <w:r>
        <w:rPr>
          <w:rFonts w:ascii="Cambria" w:hAnsi="Cambria"/>
          <w:b/>
          <w:bCs/>
          <w:color w:val="165788"/>
          <w:sz w:val="33"/>
          <w:szCs w:val="33"/>
        </w:rPr>
        <w:br w:type="page"/>
      </w:r>
    </w:p>
    <w:p w14:paraId="38D9BDA7" w14:textId="77777777" w:rsidR="00A769A5" w:rsidRDefault="00120069" w:rsidP="00D02F4F">
      <w:pPr>
        <w:spacing w:before="200"/>
        <w:ind w:left="1985"/>
        <w:rPr>
          <w:noProof/>
        </w:rPr>
      </w:pPr>
      <w:r w:rsidRPr="00195E45">
        <w:rPr>
          <w:rFonts w:ascii="Cambria" w:hAnsi="Cambria"/>
          <w:b/>
          <w:bCs/>
          <w:color w:val="165788"/>
          <w:sz w:val="33"/>
          <w:szCs w:val="33"/>
        </w:rPr>
        <w:lastRenderedPageBreak/>
        <w:t>In this document</w:t>
      </w:r>
      <w:r w:rsidR="00235991">
        <w:rPr>
          <w:rFonts w:ascii="Cambria" w:hAnsi="Cambria"/>
          <w:sz w:val="20"/>
        </w:rPr>
        <w:fldChar w:fldCharType="begin"/>
      </w:r>
      <w:r w:rsidR="00235991">
        <w:instrText xml:space="preserve"> TOC \o "1-4" \h \z \u </w:instrText>
      </w:r>
      <w:r w:rsidR="00235991">
        <w:rPr>
          <w:rFonts w:ascii="Cambria" w:hAnsi="Cambria"/>
          <w:sz w:val="20"/>
        </w:rPr>
        <w:fldChar w:fldCharType="separate"/>
      </w:r>
    </w:p>
    <w:p w14:paraId="7A0C1B26" w14:textId="7B81BB94" w:rsidR="00A769A5" w:rsidRDefault="00E36E12">
      <w:pPr>
        <w:pStyle w:val="TOC2"/>
        <w:rPr>
          <w:rFonts w:asciiTheme="minorHAnsi" w:eastAsiaTheme="minorEastAsia" w:hAnsiTheme="minorHAnsi" w:cstheme="minorBidi"/>
          <w:noProof/>
          <w:sz w:val="22"/>
          <w:lang w:val="en-AU" w:eastAsia="en-AU"/>
        </w:rPr>
      </w:pPr>
      <w:hyperlink w:anchor="_Toc130307615" w:history="1">
        <w:r w:rsidR="00A769A5" w:rsidRPr="006203B7">
          <w:rPr>
            <w:rStyle w:val="Hyperlink"/>
            <w:noProof/>
          </w:rPr>
          <w:t>Principles</w:t>
        </w:r>
        <w:r w:rsidR="00A769A5">
          <w:rPr>
            <w:noProof/>
            <w:webHidden/>
          </w:rPr>
          <w:tab/>
        </w:r>
        <w:r w:rsidR="00A769A5">
          <w:rPr>
            <w:noProof/>
            <w:webHidden/>
          </w:rPr>
          <w:fldChar w:fldCharType="begin"/>
        </w:r>
        <w:r w:rsidR="00A769A5">
          <w:rPr>
            <w:noProof/>
            <w:webHidden/>
          </w:rPr>
          <w:instrText xml:space="preserve"> PAGEREF _Toc130307615 \h </w:instrText>
        </w:r>
        <w:r w:rsidR="00A769A5">
          <w:rPr>
            <w:noProof/>
            <w:webHidden/>
          </w:rPr>
        </w:r>
        <w:r w:rsidR="00A769A5">
          <w:rPr>
            <w:noProof/>
            <w:webHidden/>
          </w:rPr>
          <w:fldChar w:fldCharType="separate"/>
        </w:r>
        <w:r w:rsidR="00A769A5">
          <w:rPr>
            <w:noProof/>
            <w:webHidden/>
          </w:rPr>
          <w:t>3</w:t>
        </w:r>
        <w:r w:rsidR="00A769A5">
          <w:rPr>
            <w:noProof/>
            <w:webHidden/>
          </w:rPr>
          <w:fldChar w:fldCharType="end"/>
        </w:r>
      </w:hyperlink>
    </w:p>
    <w:p w14:paraId="3D7A8AD3" w14:textId="2E494520" w:rsidR="00A769A5" w:rsidRDefault="00E36E12">
      <w:pPr>
        <w:pStyle w:val="TOC2"/>
        <w:rPr>
          <w:rFonts w:asciiTheme="minorHAnsi" w:eastAsiaTheme="minorEastAsia" w:hAnsiTheme="minorHAnsi" w:cstheme="minorBidi"/>
          <w:noProof/>
          <w:sz w:val="22"/>
          <w:lang w:val="en-AU" w:eastAsia="en-AU"/>
        </w:rPr>
      </w:pPr>
      <w:hyperlink w:anchor="_Toc130307616" w:history="1">
        <w:r w:rsidR="00A769A5" w:rsidRPr="006203B7">
          <w:rPr>
            <w:rStyle w:val="Hyperlink"/>
            <w:noProof/>
          </w:rPr>
          <w:t>Fitness to load</w:t>
        </w:r>
        <w:r w:rsidR="00A769A5">
          <w:rPr>
            <w:noProof/>
            <w:webHidden/>
          </w:rPr>
          <w:tab/>
        </w:r>
        <w:r w:rsidR="00A769A5">
          <w:rPr>
            <w:noProof/>
            <w:webHidden/>
          </w:rPr>
          <w:fldChar w:fldCharType="begin"/>
        </w:r>
        <w:r w:rsidR="00A769A5">
          <w:rPr>
            <w:noProof/>
            <w:webHidden/>
          </w:rPr>
          <w:instrText xml:space="preserve"> PAGEREF _Toc130307616 \h </w:instrText>
        </w:r>
        <w:r w:rsidR="00A769A5">
          <w:rPr>
            <w:noProof/>
            <w:webHidden/>
          </w:rPr>
        </w:r>
        <w:r w:rsidR="00A769A5">
          <w:rPr>
            <w:noProof/>
            <w:webHidden/>
          </w:rPr>
          <w:fldChar w:fldCharType="separate"/>
        </w:r>
        <w:r w:rsidR="00A769A5">
          <w:rPr>
            <w:noProof/>
            <w:webHidden/>
          </w:rPr>
          <w:t>3</w:t>
        </w:r>
        <w:r w:rsidR="00A769A5">
          <w:rPr>
            <w:noProof/>
            <w:webHidden/>
          </w:rPr>
          <w:fldChar w:fldCharType="end"/>
        </w:r>
      </w:hyperlink>
    </w:p>
    <w:p w14:paraId="212C8A9C" w14:textId="615C1B0D" w:rsidR="00A769A5" w:rsidRDefault="00E36E12">
      <w:pPr>
        <w:pStyle w:val="TOC2"/>
        <w:rPr>
          <w:rFonts w:asciiTheme="minorHAnsi" w:eastAsiaTheme="minorEastAsia" w:hAnsiTheme="minorHAnsi" w:cstheme="minorBidi"/>
          <w:noProof/>
          <w:sz w:val="22"/>
          <w:lang w:val="en-AU" w:eastAsia="en-AU"/>
        </w:rPr>
      </w:pPr>
      <w:hyperlink w:anchor="_Toc130307617" w:history="1">
        <w:r w:rsidR="00A769A5" w:rsidRPr="006203B7">
          <w:rPr>
            <w:rStyle w:val="Hyperlink"/>
            <w:noProof/>
          </w:rPr>
          <w:t>Operational requirements for the receival and handling of livestock in lairage</w:t>
        </w:r>
        <w:r w:rsidR="00A769A5">
          <w:rPr>
            <w:noProof/>
            <w:webHidden/>
          </w:rPr>
          <w:tab/>
        </w:r>
        <w:r w:rsidR="00A769A5">
          <w:rPr>
            <w:noProof/>
            <w:webHidden/>
          </w:rPr>
          <w:fldChar w:fldCharType="begin"/>
        </w:r>
        <w:r w:rsidR="00A769A5">
          <w:rPr>
            <w:noProof/>
            <w:webHidden/>
          </w:rPr>
          <w:instrText xml:space="preserve"> PAGEREF _Toc130307617 \h </w:instrText>
        </w:r>
        <w:r w:rsidR="00A769A5">
          <w:rPr>
            <w:noProof/>
            <w:webHidden/>
          </w:rPr>
        </w:r>
        <w:r w:rsidR="00A769A5">
          <w:rPr>
            <w:noProof/>
            <w:webHidden/>
          </w:rPr>
          <w:fldChar w:fldCharType="separate"/>
        </w:r>
        <w:r w:rsidR="00A769A5">
          <w:rPr>
            <w:noProof/>
            <w:webHidden/>
          </w:rPr>
          <w:t>3</w:t>
        </w:r>
        <w:r w:rsidR="00A769A5">
          <w:rPr>
            <w:noProof/>
            <w:webHidden/>
          </w:rPr>
          <w:fldChar w:fldCharType="end"/>
        </w:r>
      </w:hyperlink>
    </w:p>
    <w:p w14:paraId="44CE40DD" w14:textId="2B100C8A" w:rsidR="00A769A5" w:rsidRDefault="00E36E12">
      <w:pPr>
        <w:pStyle w:val="TOC2"/>
        <w:rPr>
          <w:rFonts w:asciiTheme="minorHAnsi" w:eastAsiaTheme="minorEastAsia" w:hAnsiTheme="minorHAnsi" w:cstheme="minorBidi"/>
          <w:noProof/>
          <w:sz w:val="22"/>
          <w:lang w:val="en-AU" w:eastAsia="en-AU"/>
        </w:rPr>
      </w:pPr>
      <w:hyperlink w:anchor="_Toc130307618" w:history="1">
        <w:r w:rsidR="00A769A5" w:rsidRPr="006203B7">
          <w:rPr>
            <w:rStyle w:val="Hyperlink"/>
            <w:noProof/>
          </w:rPr>
          <w:t>Department verification of the establishment’s animal handling practices</w:t>
        </w:r>
        <w:r w:rsidR="00A769A5">
          <w:rPr>
            <w:noProof/>
            <w:webHidden/>
          </w:rPr>
          <w:tab/>
        </w:r>
        <w:r w:rsidR="00A769A5">
          <w:rPr>
            <w:noProof/>
            <w:webHidden/>
          </w:rPr>
          <w:fldChar w:fldCharType="begin"/>
        </w:r>
        <w:r w:rsidR="00A769A5">
          <w:rPr>
            <w:noProof/>
            <w:webHidden/>
          </w:rPr>
          <w:instrText xml:space="preserve"> PAGEREF _Toc130307618 \h </w:instrText>
        </w:r>
        <w:r w:rsidR="00A769A5">
          <w:rPr>
            <w:noProof/>
            <w:webHidden/>
          </w:rPr>
        </w:r>
        <w:r w:rsidR="00A769A5">
          <w:rPr>
            <w:noProof/>
            <w:webHidden/>
          </w:rPr>
          <w:fldChar w:fldCharType="separate"/>
        </w:r>
        <w:r w:rsidR="00A769A5">
          <w:rPr>
            <w:noProof/>
            <w:webHidden/>
          </w:rPr>
          <w:t>4</w:t>
        </w:r>
        <w:r w:rsidR="00A769A5">
          <w:rPr>
            <w:noProof/>
            <w:webHidden/>
          </w:rPr>
          <w:fldChar w:fldCharType="end"/>
        </w:r>
      </w:hyperlink>
    </w:p>
    <w:p w14:paraId="379B2EFC" w14:textId="2D02ED49" w:rsidR="00A769A5" w:rsidRDefault="00E36E12">
      <w:pPr>
        <w:pStyle w:val="TOC2"/>
        <w:rPr>
          <w:rFonts w:asciiTheme="minorHAnsi" w:eastAsiaTheme="minorEastAsia" w:hAnsiTheme="minorHAnsi" w:cstheme="minorBidi"/>
          <w:noProof/>
          <w:sz w:val="22"/>
          <w:lang w:val="en-AU" w:eastAsia="en-AU"/>
        </w:rPr>
      </w:pPr>
      <w:hyperlink w:anchor="_Toc130307619" w:history="1">
        <w:r w:rsidR="00A769A5" w:rsidRPr="006203B7">
          <w:rPr>
            <w:rStyle w:val="Hyperlink"/>
            <w:noProof/>
          </w:rPr>
          <w:t>Department systems audits of the establishment’s animal handling practices</w:t>
        </w:r>
        <w:r w:rsidR="00A769A5">
          <w:rPr>
            <w:noProof/>
            <w:webHidden/>
          </w:rPr>
          <w:tab/>
        </w:r>
        <w:r w:rsidR="00A769A5">
          <w:rPr>
            <w:noProof/>
            <w:webHidden/>
          </w:rPr>
          <w:fldChar w:fldCharType="begin"/>
        </w:r>
        <w:r w:rsidR="00A769A5">
          <w:rPr>
            <w:noProof/>
            <w:webHidden/>
          </w:rPr>
          <w:instrText xml:space="preserve"> PAGEREF _Toc130307619 \h </w:instrText>
        </w:r>
        <w:r w:rsidR="00A769A5">
          <w:rPr>
            <w:noProof/>
            <w:webHidden/>
          </w:rPr>
        </w:r>
        <w:r w:rsidR="00A769A5">
          <w:rPr>
            <w:noProof/>
            <w:webHidden/>
          </w:rPr>
          <w:fldChar w:fldCharType="separate"/>
        </w:r>
        <w:r w:rsidR="00A769A5">
          <w:rPr>
            <w:noProof/>
            <w:webHidden/>
          </w:rPr>
          <w:t>5</w:t>
        </w:r>
        <w:r w:rsidR="00A769A5">
          <w:rPr>
            <w:noProof/>
            <w:webHidden/>
          </w:rPr>
          <w:fldChar w:fldCharType="end"/>
        </w:r>
      </w:hyperlink>
    </w:p>
    <w:p w14:paraId="57664513" w14:textId="6672BFA9" w:rsidR="00A769A5" w:rsidRDefault="00E36E12">
      <w:pPr>
        <w:pStyle w:val="TOC2"/>
        <w:rPr>
          <w:rFonts w:asciiTheme="minorHAnsi" w:eastAsiaTheme="minorEastAsia" w:hAnsiTheme="minorHAnsi" w:cstheme="minorBidi"/>
          <w:noProof/>
          <w:sz w:val="22"/>
          <w:lang w:val="en-AU" w:eastAsia="en-AU"/>
        </w:rPr>
      </w:pPr>
      <w:hyperlink w:anchor="_Toc130307620" w:history="1">
        <w:r w:rsidR="00A769A5" w:rsidRPr="006203B7">
          <w:rPr>
            <w:rStyle w:val="Hyperlink"/>
            <w:noProof/>
          </w:rPr>
          <w:t>AUS-MEAT Australian Animal Welfare Certification System audits of establishment’s animal handling practices</w:t>
        </w:r>
        <w:r w:rsidR="00A769A5">
          <w:rPr>
            <w:noProof/>
            <w:webHidden/>
          </w:rPr>
          <w:tab/>
        </w:r>
        <w:r w:rsidR="00A769A5">
          <w:rPr>
            <w:noProof/>
            <w:webHidden/>
          </w:rPr>
          <w:fldChar w:fldCharType="begin"/>
        </w:r>
        <w:r w:rsidR="00A769A5">
          <w:rPr>
            <w:noProof/>
            <w:webHidden/>
          </w:rPr>
          <w:instrText xml:space="preserve"> PAGEREF _Toc130307620 \h </w:instrText>
        </w:r>
        <w:r w:rsidR="00A769A5">
          <w:rPr>
            <w:noProof/>
            <w:webHidden/>
          </w:rPr>
        </w:r>
        <w:r w:rsidR="00A769A5">
          <w:rPr>
            <w:noProof/>
            <w:webHidden/>
          </w:rPr>
          <w:fldChar w:fldCharType="separate"/>
        </w:r>
        <w:r w:rsidR="00A769A5">
          <w:rPr>
            <w:noProof/>
            <w:webHidden/>
          </w:rPr>
          <w:t>5</w:t>
        </w:r>
        <w:r w:rsidR="00A769A5">
          <w:rPr>
            <w:noProof/>
            <w:webHidden/>
          </w:rPr>
          <w:fldChar w:fldCharType="end"/>
        </w:r>
      </w:hyperlink>
    </w:p>
    <w:p w14:paraId="0974C757" w14:textId="73B524C0" w:rsidR="00A769A5" w:rsidRDefault="00E36E12">
      <w:pPr>
        <w:pStyle w:val="TOC2"/>
        <w:rPr>
          <w:rFonts w:asciiTheme="minorHAnsi" w:eastAsiaTheme="minorEastAsia" w:hAnsiTheme="minorHAnsi" w:cstheme="minorBidi"/>
          <w:noProof/>
          <w:sz w:val="22"/>
          <w:lang w:val="en-AU" w:eastAsia="en-AU"/>
        </w:rPr>
      </w:pPr>
      <w:hyperlink w:anchor="_Toc130307621" w:history="1">
        <w:r w:rsidR="00A769A5" w:rsidRPr="006203B7">
          <w:rPr>
            <w:rStyle w:val="Hyperlink"/>
            <w:noProof/>
          </w:rPr>
          <w:t>Review</w:t>
        </w:r>
        <w:r w:rsidR="00A769A5">
          <w:rPr>
            <w:noProof/>
            <w:webHidden/>
          </w:rPr>
          <w:tab/>
        </w:r>
        <w:r w:rsidR="00A769A5">
          <w:rPr>
            <w:noProof/>
            <w:webHidden/>
          </w:rPr>
          <w:fldChar w:fldCharType="begin"/>
        </w:r>
        <w:r w:rsidR="00A769A5">
          <w:rPr>
            <w:noProof/>
            <w:webHidden/>
          </w:rPr>
          <w:instrText xml:space="preserve"> PAGEREF _Toc130307621 \h </w:instrText>
        </w:r>
        <w:r w:rsidR="00A769A5">
          <w:rPr>
            <w:noProof/>
            <w:webHidden/>
          </w:rPr>
        </w:r>
        <w:r w:rsidR="00A769A5">
          <w:rPr>
            <w:noProof/>
            <w:webHidden/>
          </w:rPr>
          <w:fldChar w:fldCharType="separate"/>
        </w:r>
        <w:r w:rsidR="00A769A5">
          <w:rPr>
            <w:noProof/>
            <w:webHidden/>
          </w:rPr>
          <w:t>6</w:t>
        </w:r>
        <w:r w:rsidR="00A769A5">
          <w:rPr>
            <w:noProof/>
            <w:webHidden/>
          </w:rPr>
          <w:fldChar w:fldCharType="end"/>
        </w:r>
      </w:hyperlink>
    </w:p>
    <w:p w14:paraId="60101B7C" w14:textId="33710C1A" w:rsidR="00A769A5" w:rsidRDefault="00E36E12">
      <w:pPr>
        <w:pStyle w:val="TOC2"/>
        <w:rPr>
          <w:rFonts w:asciiTheme="minorHAnsi" w:eastAsiaTheme="minorEastAsia" w:hAnsiTheme="minorHAnsi" w:cstheme="minorBidi"/>
          <w:noProof/>
          <w:sz w:val="22"/>
          <w:lang w:val="en-AU" w:eastAsia="en-AU"/>
        </w:rPr>
      </w:pPr>
      <w:hyperlink w:anchor="_Toc130307622" w:history="1">
        <w:r w:rsidR="00A769A5" w:rsidRPr="006203B7">
          <w:rPr>
            <w:rStyle w:val="Hyperlink"/>
            <w:noProof/>
          </w:rPr>
          <w:t>Related material</w:t>
        </w:r>
        <w:r w:rsidR="00A769A5">
          <w:rPr>
            <w:noProof/>
            <w:webHidden/>
          </w:rPr>
          <w:tab/>
        </w:r>
        <w:r w:rsidR="00A769A5">
          <w:rPr>
            <w:noProof/>
            <w:webHidden/>
          </w:rPr>
          <w:fldChar w:fldCharType="begin"/>
        </w:r>
        <w:r w:rsidR="00A769A5">
          <w:rPr>
            <w:noProof/>
            <w:webHidden/>
          </w:rPr>
          <w:instrText xml:space="preserve"> PAGEREF _Toc130307622 \h </w:instrText>
        </w:r>
        <w:r w:rsidR="00A769A5">
          <w:rPr>
            <w:noProof/>
            <w:webHidden/>
          </w:rPr>
        </w:r>
        <w:r w:rsidR="00A769A5">
          <w:rPr>
            <w:noProof/>
            <w:webHidden/>
          </w:rPr>
          <w:fldChar w:fldCharType="separate"/>
        </w:r>
        <w:r w:rsidR="00A769A5">
          <w:rPr>
            <w:noProof/>
            <w:webHidden/>
          </w:rPr>
          <w:t>6</w:t>
        </w:r>
        <w:r w:rsidR="00A769A5">
          <w:rPr>
            <w:noProof/>
            <w:webHidden/>
          </w:rPr>
          <w:fldChar w:fldCharType="end"/>
        </w:r>
      </w:hyperlink>
    </w:p>
    <w:p w14:paraId="64FB5DCE" w14:textId="5C0C8F10" w:rsidR="00A769A5" w:rsidRDefault="00E36E12">
      <w:pPr>
        <w:pStyle w:val="TOC2"/>
        <w:rPr>
          <w:rFonts w:asciiTheme="minorHAnsi" w:eastAsiaTheme="minorEastAsia" w:hAnsiTheme="minorHAnsi" w:cstheme="minorBidi"/>
          <w:noProof/>
          <w:sz w:val="22"/>
          <w:lang w:val="en-AU" w:eastAsia="en-AU"/>
        </w:rPr>
      </w:pPr>
      <w:hyperlink w:anchor="_Toc130307623" w:history="1">
        <w:r w:rsidR="00A769A5" w:rsidRPr="006203B7">
          <w:rPr>
            <w:rStyle w:val="Hyperlink"/>
            <w:noProof/>
          </w:rPr>
          <w:t>Attachment 1: Roles and responsibilities</w:t>
        </w:r>
        <w:r w:rsidR="00A769A5">
          <w:rPr>
            <w:noProof/>
            <w:webHidden/>
          </w:rPr>
          <w:tab/>
        </w:r>
        <w:r w:rsidR="00A769A5">
          <w:rPr>
            <w:noProof/>
            <w:webHidden/>
          </w:rPr>
          <w:fldChar w:fldCharType="begin"/>
        </w:r>
        <w:r w:rsidR="00A769A5">
          <w:rPr>
            <w:noProof/>
            <w:webHidden/>
          </w:rPr>
          <w:instrText xml:space="preserve"> PAGEREF _Toc130307623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1A4A880C" w14:textId="1D8CBC56" w:rsidR="00A769A5" w:rsidRDefault="00E36E12">
      <w:pPr>
        <w:pStyle w:val="TOC3"/>
        <w:rPr>
          <w:rFonts w:asciiTheme="minorHAnsi" w:eastAsiaTheme="minorEastAsia" w:hAnsiTheme="minorHAnsi" w:cstheme="minorBidi"/>
          <w:noProof/>
          <w:sz w:val="22"/>
          <w:lang w:val="en-AU" w:eastAsia="en-AU"/>
        </w:rPr>
      </w:pPr>
      <w:hyperlink w:anchor="_Toc130307624" w:history="1">
        <w:r w:rsidR="00A769A5" w:rsidRPr="006203B7">
          <w:rPr>
            <w:rStyle w:val="Hyperlink"/>
            <w:noProof/>
          </w:rPr>
          <w:t>On-Plant Veterinarian (OPV)</w:t>
        </w:r>
        <w:r w:rsidR="00A769A5">
          <w:rPr>
            <w:noProof/>
            <w:webHidden/>
          </w:rPr>
          <w:tab/>
        </w:r>
        <w:r w:rsidR="00A769A5">
          <w:rPr>
            <w:noProof/>
            <w:webHidden/>
          </w:rPr>
          <w:fldChar w:fldCharType="begin"/>
        </w:r>
        <w:r w:rsidR="00A769A5">
          <w:rPr>
            <w:noProof/>
            <w:webHidden/>
          </w:rPr>
          <w:instrText xml:space="preserve"> PAGEREF _Toc130307624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3851F087" w14:textId="47522ABC" w:rsidR="00A769A5" w:rsidRDefault="00E36E12">
      <w:pPr>
        <w:pStyle w:val="TOC3"/>
        <w:rPr>
          <w:rFonts w:asciiTheme="minorHAnsi" w:eastAsiaTheme="minorEastAsia" w:hAnsiTheme="minorHAnsi" w:cstheme="minorBidi"/>
          <w:noProof/>
          <w:sz w:val="22"/>
          <w:lang w:val="en-AU" w:eastAsia="en-AU"/>
        </w:rPr>
      </w:pPr>
      <w:hyperlink w:anchor="_Toc130307625" w:history="1">
        <w:r w:rsidR="00A769A5" w:rsidRPr="006203B7">
          <w:rPr>
            <w:rStyle w:val="Hyperlink"/>
            <w:noProof/>
          </w:rPr>
          <w:t>The occupier</w:t>
        </w:r>
        <w:r w:rsidR="00A769A5">
          <w:rPr>
            <w:noProof/>
            <w:webHidden/>
          </w:rPr>
          <w:tab/>
        </w:r>
        <w:r w:rsidR="00A769A5">
          <w:rPr>
            <w:noProof/>
            <w:webHidden/>
          </w:rPr>
          <w:fldChar w:fldCharType="begin"/>
        </w:r>
        <w:r w:rsidR="00A769A5">
          <w:rPr>
            <w:noProof/>
            <w:webHidden/>
          </w:rPr>
          <w:instrText xml:space="preserve"> PAGEREF _Toc130307625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3A853F6A" w14:textId="32449B2D" w:rsidR="00A769A5" w:rsidRDefault="00E36E12">
      <w:pPr>
        <w:pStyle w:val="TOC3"/>
        <w:rPr>
          <w:rFonts w:asciiTheme="minorHAnsi" w:eastAsiaTheme="minorEastAsia" w:hAnsiTheme="minorHAnsi" w:cstheme="minorBidi"/>
          <w:noProof/>
          <w:sz w:val="22"/>
          <w:lang w:val="en-AU" w:eastAsia="en-AU"/>
        </w:rPr>
      </w:pPr>
      <w:hyperlink w:anchor="_Toc130307626" w:history="1">
        <w:r w:rsidR="00A769A5" w:rsidRPr="006203B7">
          <w:rPr>
            <w:rStyle w:val="Hyperlink"/>
            <w:noProof/>
          </w:rPr>
          <w:t>Field Operations Managers (FOM)</w:t>
        </w:r>
        <w:r w:rsidR="00A769A5">
          <w:rPr>
            <w:noProof/>
            <w:webHidden/>
          </w:rPr>
          <w:tab/>
        </w:r>
        <w:r w:rsidR="00A769A5">
          <w:rPr>
            <w:noProof/>
            <w:webHidden/>
          </w:rPr>
          <w:fldChar w:fldCharType="begin"/>
        </w:r>
        <w:r w:rsidR="00A769A5">
          <w:rPr>
            <w:noProof/>
            <w:webHidden/>
          </w:rPr>
          <w:instrText xml:space="preserve"> PAGEREF _Toc130307626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24DE8D37" w14:textId="23ABD7A9" w:rsidR="00A769A5" w:rsidRDefault="00E36E12">
      <w:pPr>
        <w:pStyle w:val="TOC3"/>
        <w:rPr>
          <w:rFonts w:asciiTheme="minorHAnsi" w:eastAsiaTheme="minorEastAsia" w:hAnsiTheme="minorHAnsi" w:cstheme="minorBidi"/>
          <w:noProof/>
          <w:sz w:val="22"/>
          <w:lang w:val="en-AU" w:eastAsia="en-AU"/>
        </w:rPr>
      </w:pPr>
      <w:hyperlink w:anchor="_Toc130307627" w:history="1">
        <w:r w:rsidR="00A769A5" w:rsidRPr="006203B7">
          <w:rPr>
            <w:rStyle w:val="Hyperlink"/>
            <w:noProof/>
          </w:rPr>
          <w:t>Area Technical Manager (ATM)</w:t>
        </w:r>
        <w:r w:rsidR="00A769A5">
          <w:rPr>
            <w:noProof/>
            <w:webHidden/>
          </w:rPr>
          <w:tab/>
        </w:r>
        <w:r w:rsidR="00A769A5">
          <w:rPr>
            <w:noProof/>
            <w:webHidden/>
          </w:rPr>
          <w:fldChar w:fldCharType="begin"/>
        </w:r>
        <w:r w:rsidR="00A769A5">
          <w:rPr>
            <w:noProof/>
            <w:webHidden/>
          </w:rPr>
          <w:instrText xml:space="preserve"> PAGEREF _Toc130307627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08DC4A4E" w14:textId="66185963" w:rsidR="00A769A5" w:rsidRDefault="00E36E12">
      <w:pPr>
        <w:pStyle w:val="TOC4"/>
        <w:rPr>
          <w:rFonts w:asciiTheme="minorHAnsi" w:eastAsiaTheme="minorEastAsia" w:hAnsiTheme="minorHAnsi" w:cstheme="minorBidi"/>
          <w:noProof/>
          <w:sz w:val="22"/>
          <w:lang w:val="en-AU" w:eastAsia="en-AU"/>
        </w:rPr>
      </w:pPr>
      <w:hyperlink w:anchor="_Toc130307628" w:history="1">
        <w:r w:rsidR="00A769A5" w:rsidRPr="006203B7">
          <w:rPr>
            <w:rStyle w:val="Hyperlink"/>
            <w:noProof/>
          </w:rPr>
          <w:t>Establishment ATM</w:t>
        </w:r>
        <w:r w:rsidR="00A769A5">
          <w:rPr>
            <w:noProof/>
            <w:webHidden/>
          </w:rPr>
          <w:tab/>
        </w:r>
        <w:r w:rsidR="00A769A5">
          <w:rPr>
            <w:noProof/>
            <w:webHidden/>
          </w:rPr>
          <w:fldChar w:fldCharType="begin"/>
        </w:r>
        <w:r w:rsidR="00A769A5">
          <w:rPr>
            <w:noProof/>
            <w:webHidden/>
          </w:rPr>
          <w:instrText xml:space="preserve"> PAGEREF _Toc130307628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061B4537" w14:textId="0A9622B3" w:rsidR="00A769A5" w:rsidRDefault="00E36E12">
      <w:pPr>
        <w:pStyle w:val="TOC4"/>
        <w:rPr>
          <w:rFonts w:asciiTheme="minorHAnsi" w:eastAsiaTheme="minorEastAsia" w:hAnsiTheme="minorHAnsi" w:cstheme="minorBidi"/>
          <w:noProof/>
          <w:sz w:val="22"/>
          <w:lang w:val="en-AU" w:eastAsia="en-AU"/>
        </w:rPr>
      </w:pPr>
      <w:hyperlink w:anchor="_Toc130307629" w:history="1">
        <w:r w:rsidR="00A769A5" w:rsidRPr="006203B7">
          <w:rPr>
            <w:rStyle w:val="Hyperlink"/>
            <w:noProof/>
          </w:rPr>
          <w:t>EMSAP ATM</w:t>
        </w:r>
        <w:r w:rsidR="00A769A5">
          <w:rPr>
            <w:noProof/>
            <w:webHidden/>
          </w:rPr>
          <w:tab/>
        </w:r>
        <w:r w:rsidR="00A769A5">
          <w:rPr>
            <w:noProof/>
            <w:webHidden/>
          </w:rPr>
          <w:fldChar w:fldCharType="begin"/>
        </w:r>
        <w:r w:rsidR="00A769A5">
          <w:rPr>
            <w:noProof/>
            <w:webHidden/>
          </w:rPr>
          <w:instrText xml:space="preserve"> PAGEREF _Toc130307629 \h </w:instrText>
        </w:r>
        <w:r w:rsidR="00A769A5">
          <w:rPr>
            <w:noProof/>
            <w:webHidden/>
          </w:rPr>
        </w:r>
        <w:r w:rsidR="00A769A5">
          <w:rPr>
            <w:noProof/>
            <w:webHidden/>
          </w:rPr>
          <w:fldChar w:fldCharType="separate"/>
        </w:r>
        <w:r w:rsidR="00A769A5">
          <w:rPr>
            <w:noProof/>
            <w:webHidden/>
          </w:rPr>
          <w:t>7</w:t>
        </w:r>
        <w:r w:rsidR="00A769A5">
          <w:rPr>
            <w:noProof/>
            <w:webHidden/>
          </w:rPr>
          <w:fldChar w:fldCharType="end"/>
        </w:r>
      </w:hyperlink>
    </w:p>
    <w:p w14:paraId="5F3B0F44" w14:textId="5C93746B" w:rsidR="00A769A5" w:rsidRDefault="00E36E12">
      <w:pPr>
        <w:pStyle w:val="TOC2"/>
        <w:rPr>
          <w:rFonts w:asciiTheme="minorHAnsi" w:eastAsiaTheme="minorEastAsia" w:hAnsiTheme="minorHAnsi" w:cstheme="minorBidi"/>
          <w:noProof/>
          <w:sz w:val="22"/>
          <w:lang w:val="en-AU" w:eastAsia="en-AU"/>
        </w:rPr>
      </w:pPr>
      <w:hyperlink w:anchor="_Toc130307630" w:history="1">
        <w:r w:rsidR="00A769A5" w:rsidRPr="006203B7">
          <w:rPr>
            <w:rStyle w:val="Hyperlink"/>
            <w:noProof/>
          </w:rPr>
          <w:t>Attachment 2: Definitions</w:t>
        </w:r>
        <w:r w:rsidR="00A769A5">
          <w:rPr>
            <w:noProof/>
            <w:webHidden/>
          </w:rPr>
          <w:tab/>
        </w:r>
        <w:r w:rsidR="00A769A5">
          <w:rPr>
            <w:noProof/>
            <w:webHidden/>
          </w:rPr>
          <w:fldChar w:fldCharType="begin"/>
        </w:r>
        <w:r w:rsidR="00A769A5">
          <w:rPr>
            <w:noProof/>
            <w:webHidden/>
          </w:rPr>
          <w:instrText xml:space="preserve"> PAGEREF _Toc130307630 \h </w:instrText>
        </w:r>
        <w:r w:rsidR="00A769A5">
          <w:rPr>
            <w:noProof/>
            <w:webHidden/>
          </w:rPr>
        </w:r>
        <w:r w:rsidR="00A769A5">
          <w:rPr>
            <w:noProof/>
            <w:webHidden/>
          </w:rPr>
          <w:fldChar w:fldCharType="separate"/>
        </w:r>
        <w:r w:rsidR="00A769A5">
          <w:rPr>
            <w:noProof/>
            <w:webHidden/>
          </w:rPr>
          <w:t>8</w:t>
        </w:r>
        <w:r w:rsidR="00A769A5">
          <w:rPr>
            <w:noProof/>
            <w:webHidden/>
          </w:rPr>
          <w:fldChar w:fldCharType="end"/>
        </w:r>
      </w:hyperlink>
    </w:p>
    <w:p w14:paraId="62E16EF8" w14:textId="6265C653"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BC6165">
          <w:footerReference w:type="default" r:id="rId16"/>
          <w:footerReference w:type="first" r:id="rId17"/>
          <w:pgSz w:w="11909" w:h="16838"/>
          <w:pgMar w:top="1418" w:right="427"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5E4AFDA3" w14:textId="53F37837" w:rsidR="00DF47E8" w:rsidRPr="00C03F16" w:rsidRDefault="007E3AC5" w:rsidP="00C03F16">
      <w:pPr>
        <w:pStyle w:val="Heading2"/>
        <w:rPr>
          <w:b w:val="0"/>
        </w:rPr>
      </w:pPr>
      <w:bookmarkStart w:id="0" w:name="_Toc130307615"/>
      <w:r>
        <w:lastRenderedPageBreak/>
        <w:t>Principles</w:t>
      </w:r>
      <w:bookmarkEnd w:id="0"/>
    </w:p>
    <w:p w14:paraId="1625D9AD" w14:textId="3DCEBDB2" w:rsidR="00E31128" w:rsidRDefault="00E93BFE" w:rsidP="00146FCA">
      <w:pPr>
        <w:pStyle w:val="Documentbody-bodytext"/>
      </w:pPr>
      <w:r>
        <w:t>Procedures</w:t>
      </w:r>
      <w:r w:rsidR="00AF0E49" w:rsidRPr="00AF0E49">
        <w:t xml:space="preserve"> </w:t>
      </w:r>
      <w:r w:rsidR="00AF0E49">
        <w:t>must be described in department</w:t>
      </w:r>
      <w:r w:rsidR="00A53BAB">
        <w:t>-</w:t>
      </w:r>
      <w:r w:rsidR="00AF0E49">
        <w:t>approved programs within the approved arrangement</w:t>
      </w:r>
      <w:r>
        <w:t xml:space="preserve"> </w:t>
      </w:r>
      <w:r w:rsidR="005C2F4A">
        <w:t>that detail</w:t>
      </w:r>
      <w:r w:rsidR="00AF0E49">
        <w:t xml:space="preserve"> </w:t>
      </w:r>
      <w:r>
        <w:t xml:space="preserve">how to receive, unload, yard, </w:t>
      </w:r>
      <w:r w:rsidR="00AF0E49">
        <w:t xml:space="preserve">and </w:t>
      </w:r>
      <w:r>
        <w:t xml:space="preserve">move livestock throughout the lairage, lead up races and into the stunning box, to ensure that they are handled in a manner that </w:t>
      </w:r>
      <w:r w:rsidR="00E31AE4">
        <w:t>minimis</w:t>
      </w:r>
      <w:r>
        <w:t xml:space="preserve">es the risk of injury, pain and suffering and causes the least practicable disturbance to them. </w:t>
      </w:r>
    </w:p>
    <w:p w14:paraId="5336AA36" w14:textId="77777777" w:rsidR="0022163F" w:rsidRDefault="0022163F" w:rsidP="0022163F">
      <w:pPr>
        <w:pStyle w:val="Documentbody-bodytext"/>
      </w:pPr>
      <w:r>
        <w:t xml:space="preserve">All animal welfare-related programs must also describe quality assurance monitoring, verification, corrective actions, and record keeping for all such procedures.  </w:t>
      </w:r>
    </w:p>
    <w:p w14:paraId="4CB0D228" w14:textId="64EBF422" w:rsidR="00E31128" w:rsidRDefault="00E31128" w:rsidP="00146FCA">
      <w:pPr>
        <w:pStyle w:val="Documentbody-bodytext"/>
      </w:pPr>
      <w:r>
        <w:t>For wild game processing establishments, appropriately trained and competent personnel</w:t>
      </w:r>
      <w:r w:rsidR="00B579AA">
        <w:t xml:space="preserve"> must be in place</w:t>
      </w:r>
      <w:r>
        <w:t xml:space="preserve"> to assess carcases at the point of receival for evidence of non-head shot wounds.</w:t>
      </w:r>
    </w:p>
    <w:p w14:paraId="25D3A1E1" w14:textId="12E82F26" w:rsidR="00A90E7A" w:rsidRDefault="00B37779" w:rsidP="00146FCA">
      <w:pPr>
        <w:pStyle w:val="Documentbody-bodytext"/>
      </w:pPr>
      <w:r>
        <w:t>All staff</w:t>
      </w:r>
      <w:r w:rsidR="00A53BAB">
        <w:t xml:space="preserve"> that </w:t>
      </w:r>
      <w:r>
        <w:t>handl</w:t>
      </w:r>
      <w:r w:rsidR="00A53BAB">
        <w:t>e</w:t>
      </w:r>
      <w:r>
        <w:t xml:space="preserve"> livestock, must be trained and competent in their work instructions. On EU</w:t>
      </w:r>
      <w:r w:rsidR="00E175E1">
        <w:noBreakHyphen/>
      </w:r>
      <w:r w:rsidR="00025A1B">
        <w:t>l</w:t>
      </w:r>
      <w:r>
        <w:t>isted establishments, there must be an Animal Welfare Officer who oversees the receival and unloading of livestock. Training and competency assessment processes must be described in</w:t>
      </w:r>
      <w:r w:rsidR="00025A1B">
        <w:t>,</w:t>
      </w:r>
      <w:r>
        <w:t xml:space="preserve"> and the establishment must maintain</w:t>
      </w:r>
      <w:r w:rsidR="00025A1B">
        <w:t>,</w:t>
      </w:r>
      <w:r>
        <w:t xml:space="preserve"> records of training in relation to animal welfare. </w:t>
      </w:r>
    </w:p>
    <w:p w14:paraId="3EFE291B" w14:textId="4ED8195E" w:rsidR="00635F8F" w:rsidRDefault="00635F8F" w:rsidP="00146FCA">
      <w:pPr>
        <w:pStyle w:val="Documentbody-bodytext"/>
      </w:pPr>
      <w:r>
        <w:t xml:space="preserve">Goads to assist the movement of livestock, must be used in accordance with any species-specific requirements and they must not be applied to the face or genitals of livestock. </w:t>
      </w:r>
    </w:p>
    <w:p w14:paraId="060B7E09" w14:textId="42EB8B1F" w:rsidR="000B02EE" w:rsidRDefault="001C4AF0" w:rsidP="00146FCA">
      <w:pPr>
        <w:pStyle w:val="Documentbody-bodytext"/>
      </w:pPr>
      <w:r>
        <w:t xml:space="preserve">If working dogs are used to move livestock, then they must be muzzled whilst working, and then safely housed, away from livestock when not in use. </w:t>
      </w:r>
      <w:r w:rsidR="000B02EE">
        <w:t xml:space="preserve">If horses are used for moving livestock, then they must be safely housed away from livestock when not in use. </w:t>
      </w:r>
    </w:p>
    <w:p w14:paraId="2F55DE1D" w14:textId="59BCDFC6" w:rsidR="00B23702" w:rsidRDefault="00B23702" w:rsidP="00B23702">
      <w:pPr>
        <w:pStyle w:val="Heading2"/>
      </w:pPr>
      <w:bookmarkStart w:id="1" w:name="_Operational_requirements_for"/>
      <w:bookmarkStart w:id="2" w:name="_Toc130307616"/>
      <w:bookmarkStart w:id="3" w:name="_Toc97043269"/>
      <w:bookmarkEnd w:id="1"/>
      <w:r>
        <w:t>Fitness to load</w:t>
      </w:r>
      <w:bookmarkEnd w:id="2"/>
    </w:p>
    <w:p w14:paraId="0C36B875" w14:textId="77777777" w:rsidR="00B23702" w:rsidRDefault="00B23702" w:rsidP="00B23702">
      <w:pPr>
        <w:pStyle w:val="Documentbody-bodytext"/>
      </w:pPr>
      <w:r>
        <w:t>To ensure the animals received were considered fit to load for transport to the establishment, the OPV/establishment must make a judgement on whether an incident had occurred</w:t>
      </w:r>
      <w:r w:rsidRPr="00A26A7C">
        <w:t xml:space="preserve"> </w:t>
      </w:r>
      <w:r>
        <w:t>prior to loading or during transport, where:</w:t>
      </w:r>
    </w:p>
    <w:p w14:paraId="2A4F23A4" w14:textId="1813FF64" w:rsidR="00B23702" w:rsidRDefault="00B23702" w:rsidP="00B23702">
      <w:pPr>
        <w:pStyle w:val="Frontpage-bulletlist"/>
      </w:pPr>
      <w:r>
        <w:t xml:space="preserve">the OPV/establishment assesses animals that appear to have been </w:t>
      </w:r>
      <w:r w:rsidRPr="00D61E4E">
        <w:t>unfit</w:t>
      </w:r>
      <w:r>
        <w:t xml:space="preserve"> to load or damaged during transport and determines whether an animal welfare incident has occurred (this is done by referencing the </w:t>
      </w:r>
      <w:r w:rsidRPr="00B23702">
        <w:t>Australian Animal Welfare Standards and Guidelines — Land Transport of Livestock</w:t>
      </w:r>
      <w:r>
        <w:t>)</w:t>
      </w:r>
    </w:p>
    <w:p w14:paraId="39171AD4" w14:textId="3460A1D7" w:rsidR="00B23702" w:rsidRDefault="00B23702" w:rsidP="00B23702">
      <w:pPr>
        <w:pStyle w:val="Frontpage-bulletlist"/>
      </w:pPr>
      <w:r>
        <w:t xml:space="preserve">the OPV </w:t>
      </w:r>
      <w:r w:rsidR="00011870">
        <w:t xml:space="preserve">(where unloading occurs during OPV-working hours) </w:t>
      </w:r>
      <w:r>
        <w:t xml:space="preserve">may provide </w:t>
      </w:r>
      <w:r w:rsidRPr="00113031">
        <w:t>technical and physiological observation and clinical assessment of the animal</w:t>
      </w:r>
      <w:r>
        <w:t>(s) (OPVs are not always on</w:t>
      </w:r>
      <w:r>
        <w:noBreakHyphen/>
        <w:t>site at the time of unloading or available at the time of unloading where immediate action is required to relieve suffering)</w:t>
      </w:r>
    </w:p>
    <w:p w14:paraId="466CFF19" w14:textId="498FF008" w:rsidR="00B23702" w:rsidRDefault="00B23702" w:rsidP="00B23702">
      <w:pPr>
        <w:pStyle w:val="Frontpage-bulletlist"/>
      </w:pPr>
      <w:r>
        <w:t xml:space="preserve">the OPV may </w:t>
      </w:r>
      <w:r w:rsidRPr="00537087">
        <w:t>provide professional opinion and assistance to establishment management</w:t>
      </w:r>
      <w:r>
        <w:t xml:space="preserve"> in completion of an animal welfare incident report (refer to </w:t>
      </w:r>
      <w:hyperlink w:anchor="_Related_material_2" w:history="1">
        <w:r w:rsidRPr="00A769A5">
          <w:rPr>
            <w:rStyle w:val="Hyperlink"/>
          </w:rPr>
          <w:t>Export Meat Operational Guideline: 1.2 Animal welfare incident reporting</w:t>
        </w:r>
      </w:hyperlink>
      <w:r w:rsidRPr="00A769A5">
        <w:t xml:space="preserve"> for further information</w:t>
      </w:r>
      <w:r>
        <w:t>).</w:t>
      </w:r>
    </w:p>
    <w:p w14:paraId="2318119B" w14:textId="077BA6B4" w:rsidR="007E3AC5" w:rsidRDefault="007E3AC5" w:rsidP="0098504E">
      <w:pPr>
        <w:pStyle w:val="Heading2"/>
      </w:pPr>
      <w:bookmarkStart w:id="4" w:name="_Operational_requirements_for_1"/>
      <w:bookmarkStart w:id="5" w:name="_Toc130307617"/>
      <w:bookmarkEnd w:id="4"/>
      <w:r>
        <w:t xml:space="preserve">Operational requirements </w:t>
      </w:r>
      <w:bookmarkEnd w:id="3"/>
      <w:r w:rsidR="00E31128">
        <w:t>for the receival and handling of livestock in lairage</w:t>
      </w:r>
      <w:bookmarkEnd w:id="5"/>
    </w:p>
    <w:p w14:paraId="049813FB" w14:textId="6250DC04" w:rsidR="00B37779" w:rsidRDefault="007E3AC5" w:rsidP="00146FCA">
      <w:pPr>
        <w:pStyle w:val="Documentbody-bodytext"/>
      </w:pPr>
      <w:r>
        <w:t xml:space="preserve">Establishment </w:t>
      </w:r>
      <w:r w:rsidR="001C4AF0">
        <w:t xml:space="preserve">management </w:t>
      </w:r>
      <w:r w:rsidR="00B37779">
        <w:t xml:space="preserve">must ensure that: </w:t>
      </w:r>
      <w:r>
        <w:t xml:space="preserve"> </w:t>
      </w:r>
    </w:p>
    <w:p w14:paraId="6B6947A4" w14:textId="2D05A0F5" w:rsidR="007ED637" w:rsidRDefault="00CE3425" w:rsidP="7C0F9278">
      <w:pPr>
        <w:pStyle w:val="Bullet1"/>
        <w:numPr>
          <w:ilvl w:val="0"/>
          <w:numId w:val="4"/>
        </w:numPr>
        <w:ind w:left="1712" w:right="992" w:hanging="357"/>
      </w:pPr>
      <w:r>
        <w:t>e</w:t>
      </w:r>
      <w:r w:rsidR="007ED637">
        <w:t>stablishments have appropriately trained personnel, staff respon</w:t>
      </w:r>
      <w:r w:rsidR="6F3F41BC">
        <w:t>sibilities, procedures, and reporting systems that covers animal welfare</w:t>
      </w:r>
    </w:p>
    <w:p w14:paraId="21058801" w14:textId="0A5EB010" w:rsidR="007E3AC5" w:rsidRDefault="001C4AF0" w:rsidP="00146FCA">
      <w:pPr>
        <w:pStyle w:val="Bullet1"/>
        <w:numPr>
          <w:ilvl w:val="0"/>
          <w:numId w:val="4"/>
        </w:numPr>
        <w:ind w:left="1712" w:right="992" w:hanging="357"/>
        <w:textAlignment w:val="auto"/>
      </w:pPr>
      <w:r>
        <w:t xml:space="preserve">livestock are unloaded and assessed for their fitness to load as soon as practical </w:t>
      </w:r>
      <w:r w:rsidR="007E3AC5">
        <w:t xml:space="preserve">(at first observation by establishment personnel) </w:t>
      </w:r>
      <w:r w:rsidR="006739DB">
        <w:t xml:space="preserve">after </w:t>
      </w:r>
      <w:r w:rsidR="00D24995">
        <w:t xml:space="preserve">arrival </w:t>
      </w:r>
      <w:r>
        <w:t>on plant</w:t>
      </w:r>
      <w:r w:rsidR="00635F8F">
        <w:t xml:space="preserve"> </w:t>
      </w:r>
      <w:r w:rsidR="00F579A5">
        <w:t xml:space="preserve">(refer to </w:t>
      </w:r>
      <w:hyperlink w:anchor="_Related_material_2" w:history="1">
        <w:r w:rsidR="00F579A5" w:rsidRPr="00486B27">
          <w:rPr>
            <w:rStyle w:val="Hyperlink"/>
          </w:rPr>
          <w:t>Export Meat Operational Guideline: 1.2 Animal welfare incident reporting</w:t>
        </w:r>
      </w:hyperlink>
      <w:r w:rsidR="00F579A5" w:rsidRPr="00B23702">
        <w:t xml:space="preserve"> for further information</w:t>
      </w:r>
      <w:r w:rsidR="00F579A5">
        <w:t>)</w:t>
      </w:r>
    </w:p>
    <w:p w14:paraId="76C404D2" w14:textId="793D9252" w:rsidR="006A0601" w:rsidRDefault="006739DB" w:rsidP="00146FCA">
      <w:pPr>
        <w:pStyle w:val="Bullet1"/>
        <w:numPr>
          <w:ilvl w:val="0"/>
          <w:numId w:val="4"/>
        </w:numPr>
        <w:ind w:left="1712" w:right="992" w:hanging="357"/>
        <w:textAlignment w:val="auto"/>
      </w:pPr>
      <w:r>
        <w:t>w</w:t>
      </w:r>
      <w:r w:rsidR="001C4AF0">
        <w:t xml:space="preserve">ild game carcases are assessed for evidence of non-head shot wounds at the point of receival into the processing </w:t>
      </w:r>
      <w:r w:rsidR="00635F8F">
        <w:t xml:space="preserve">plant (refer to </w:t>
      </w:r>
      <w:hyperlink w:anchor="_Related_material_2" w:history="1">
        <w:r w:rsidR="000C7F63" w:rsidRPr="00B0239F">
          <w:rPr>
            <w:rStyle w:val="Hyperlink"/>
          </w:rPr>
          <w:t xml:space="preserve">Export Meat Operational </w:t>
        </w:r>
        <w:r w:rsidR="00635F8F" w:rsidRPr="00B0239F">
          <w:rPr>
            <w:rStyle w:val="Hyperlink"/>
          </w:rPr>
          <w:t xml:space="preserve">Guideline: </w:t>
        </w:r>
        <w:r w:rsidR="000C7F63" w:rsidRPr="00B0239F">
          <w:rPr>
            <w:rStyle w:val="Hyperlink"/>
          </w:rPr>
          <w:t>1.2 A</w:t>
        </w:r>
        <w:r w:rsidR="00635F8F" w:rsidRPr="00B0239F">
          <w:rPr>
            <w:rStyle w:val="Hyperlink"/>
          </w:rPr>
          <w:t>nimal welfare incident</w:t>
        </w:r>
        <w:r w:rsidR="000C7F63" w:rsidRPr="00B0239F">
          <w:rPr>
            <w:rStyle w:val="Hyperlink"/>
          </w:rPr>
          <w:t xml:space="preserve"> reporting</w:t>
        </w:r>
      </w:hyperlink>
      <w:r w:rsidR="00635F8F" w:rsidRPr="00B23702">
        <w:t xml:space="preserve"> for further information</w:t>
      </w:r>
      <w:r w:rsidR="00635F8F">
        <w:t>)</w:t>
      </w:r>
    </w:p>
    <w:p w14:paraId="0DE3FDF4" w14:textId="77777777" w:rsidR="002305D0" w:rsidRDefault="006739DB" w:rsidP="00146FCA">
      <w:pPr>
        <w:pStyle w:val="Bullet1"/>
        <w:numPr>
          <w:ilvl w:val="0"/>
          <w:numId w:val="4"/>
        </w:numPr>
        <w:ind w:left="1712" w:right="992" w:hanging="357"/>
        <w:textAlignment w:val="auto"/>
      </w:pPr>
      <w:r>
        <w:t>a</w:t>
      </w:r>
      <w:r w:rsidR="00D24995">
        <w:t>dequate space is provided in lairage pens for all animals to lie down</w:t>
      </w:r>
    </w:p>
    <w:p w14:paraId="30CE60B0" w14:textId="3486BA13" w:rsidR="00D24995" w:rsidRDefault="002305D0" w:rsidP="00146FCA">
      <w:pPr>
        <w:pStyle w:val="Bullet1"/>
        <w:numPr>
          <w:ilvl w:val="0"/>
          <w:numId w:val="4"/>
        </w:numPr>
        <w:ind w:left="1712" w:right="992" w:hanging="357"/>
        <w:textAlignment w:val="auto"/>
      </w:pPr>
      <w:r>
        <w:lastRenderedPageBreak/>
        <w:t>adequate shelter from weather extremes is provided for vulnerable animals such as bobby calves</w:t>
      </w:r>
      <w:r w:rsidR="00D24995">
        <w:t xml:space="preserve"> </w:t>
      </w:r>
    </w:p>
    <w:p w14:paraId="238A272D" w14:textId="6AF7FEF4" w:rsidR="00D24995" w:rsidRDefault="006739DB" w:rsidP="00146FCA">
      <w:pPr>
        <w:pStyle w:val="Bullet1"/>
        <w:numPr>
          <w:ilvl w:val="0"/>
          <w:numId w:val="4"/>
        </w:numPr>
        <w:ind w:left="1712" w:right="992" w:hanging="357"/>
        <w:textAlignment w:val="auto"/>
      </w:pPr>
      <w:r>
        <w:t>t</w:t>
      </w:r>
      <w:r w:rsidR="00D24995">
        <w:t>here is unrestricted access to clean drinking water</w:t>
      </w:r>
      <w:r w:rsidR="002305D0">
        <w:t xml:space="preserve"> in all lairage pens</w:t>
      </w:r>
      <w:r w:rsidR="00D24995">
        <w:t xml:space="preserve"> </w:t>
      </w:r>
    </w:p>
    <w:p w14:paraId="375B2341" w14:textId="65F009AB" w:rsidR="007E3AC5" w:rsidRDefault="007E3AC5" w:rsidP="00146FCA">
      <w:pPr>
        <w:pStyle w:val="Bullet1"/>
        <w:numPr>
          <w:ilvl w:val="0"/>
          <w:numId w:val="4"/>
        </w:numPr>
        <w:ind w:left="1712" w:right="992" w:hanging="357"/>
        <w:textAlignment w:val="auto"/>
      </w:pPr>
      <w:r>
        <w:t xml:space="preserve">where livestock are not scheduled for slaughter within 24 hours of arrival, appropriate feed </w:t>
      </w:r>
      <w:r w:rsidR="321BAC81">
        <w:t xml:space="preserve">and water </w:t>
      </w:r>
      <w:r w:rsidR="006739DB">
        <w:t xml:space="preserve">is </w:t>
      </w:r>
      <w:r>
        <w:t>provided (maintenance ration)</w:t>
      </w:r>
      <w:r w:rsidR="002305D0">
        <w:t>:</w:t>
      </w:r>
    </w:p>
    <w:p w14:paraId="3E6434AD" w14:textId="0FB98BA2" w:rsidR="007E3AC5" w:rsidRDefault="007E3AC5" w:rsidP="00146FCA">
      <w:pPr>
        <w:pStyle w:val="Bullet2"/>
        <w:numPr>
          <w:ilvl w:val="0"/>
          <w:numId w:val="5"/>
        </w:numPr>
        <w:ind w:left="2268"/>
      </w:pPr>
      <w:r>
        <w:t xml:space="preserve">liquid feed must be provided to bobby calves and sucker lambs such that they are not deprived for more than </w:t>
      </w:r>
      <w:r w:rsidR="00B23702">
        <w:t xml:space="preserve">24 </w:t>
      </w:r>
      <w:r>
        <w:t xml:space="preserve">hours of liquid feed </w:t>
      </w:r>
    </w:p>
    <w:p w14:paraId="323D0B46" w14:textId="20573DCE" w:rsidR="007E3AC5" w:rsidRPr="00146FCA" w:rsidRDefault="00635F8F" w:rsidP="00146FCA">
      <w:pPr>
        <w:pStyle w:val="Bullet1"/>
        <w:numPr>
          <w:ilvl w:val="0"/>
          <w:numId w:val="4"/>
        </w:numPr>
        <w:ind w:left="1712" w:right="992" w:hanging="357"/>
        <w:textAlignment w:val="auto"/>
      </w:pPr>
      <w:r w:rsidRPr="00146FCA">
        <w:t xml:space="preserve">goads are only used when necessary and they must not be used to inflict pain or suffering  </w:t>
      </w:r>
    </w:p>
    <w:p w14:paraId="6576A4EC" w14:textId="34D37613" w:rsidR="00635F8F" w:rsidRPr="00146FCA" w:rsidRDefault="00635F8F" w:rsidP="00146FCA">
      <w:pPr>
        <w:pStyle w:val="Bullet1"/>
        <w:numPr>
          <w:ilvl w:val="0"/>
          <w:numId w:val="4"/>
        </w:numPr>
        <w:ind w:left="1712" w:right="992" w:hanging="357"/>
        <w:textAlignment w:val="auto"/>
      </w:pPr>
      <w:r w:rsidRPr="00146FCA">
        <w:t>livestock are handled and moved calmly through lairage pens and lead up races/ramps</w:t>
      </w:r>
    </w:p>
    <w:p w14:paraId="2F657578" w14:textId="0FF641F1" w:rsidR="002305D0" w:rsidRPr="00146FCA" w:rsidRDefault="002305D0" w:rsidP="00146FCA">
      <w:pPr>
        <w:pStyle w:val="Bullet1"/>
        <w:numPr>
          <w:ilvl w:val="0"/>
          <w:numId w:val="4"/>
        </w:numPr>
        <w:ind w:left="1712" w:right="992" w:hanging="357"/>
        <w:textAlignment w:val="auto"/>
      </w:pPr>
      <w:r w:rsidRPr="00146FCA">
        <w:t>all livestock handling structures, and equipment is maintained in sound working order and does not present risk of injury to livestock</w:t>
      </w:r>
    </w:p>
    <w:p w14:paraId="754C74C4" w14:textId="2E42850D" w:rsidR="002305D0" w:rsidRPr="00146FCA" w:rsidRDefault="002305D0" w:rsidP="00146FCA">
      <w:pPr>
        <w:pStyle w:val="Bullet1"/>
        <w:numPr>
          <w:ilvl w:val="0"/>
          <w:numId w:val="4"/>
        </w:numPr>
        <w:ind w:left="1712" w:right="992" w:hanging="357"/>
        <w:textAlignment w:val="auto"/>
      </w:pPr>
      <w:r w:rsidRPr="00146FCA">
        <w:t xml:space="preserve">knocking boxes </w:t>
      </w:r>
      <w:r w:rsidR="00B0239F">
        <w:t>are</w:t>
      </w:r>
      <w:r w:rsidRPr="00146FCA">
        <w:t xml:space="preserve"> designed to handle the species being slaughtered such that restraint is effective and humane</w:t>
      </w:r>
    </w:p>
    <w:p w14:paraId="0F3FF16A" w14:textId="2FB6E462" w:rsidR="002305D0" w:rsidRPr="00146FCA" w:rsidRDefault="002305D0" w:rsidP="00146FCA">
      <w:pPr>
        <w:pStyle w:val="Bullet1"/>
        <w:numPr>
          <w:ilvl w:val="0"/>
          <w:numId w:val="4"/>
        </w:numPr>
        <w:ind w:left="1712" w:right="992" w:hanging="357"/>
        <w:textAlignment w:val="auto"/>
      </w:pPr>
      <w:r w:rsidRPr="00146FCA">
        <w:t xml:space="preserve">stunning and sticking facilities and equipment </w:t>
      </w:r>
      <w:r w:rsidR="00B0239F">
        <w:t>are</w:t>
      </w:r>
      <w:r w:rsidRPr="00146FCA">
        <w:t xml:space="preserve"> maintained in accordance with manufacturers recommendations</w:t>
      </w:r>
    </w:p>
    <w:p w14:paraId="3468EBF5" w14:textId="181084E0" w:rsidR="002305D0" w:rsidRPr="00146FCA" w:rsidRDefault="002305D0" w:rsidP="00146FCA">
      <w:pPr>
        <w:pStyle w:val="Bullet1"/>
        <w:numPr>
          <w:ilvl w:val="0"/>
          <w:numId w:val="4"/>
        </w:numPr>
        <w:ind w:left="1712" w:right="992" w:hanging="357"/>
        <w:textAlignment w:val="auto"/>
      </w:pPr>
      <w:r w:rsidRPr="00146FCA">
        <w:t xml:space="preserve">back up stunning equipment </w:t>
      </w:r>
      <w:r w:rsidR="00B0239F">
        <w:t>is</w:t>
      </w:r>
      <w:r w:rsidRPr="00146FCA">
        <w:t xml:space="preserve"> available for use in the lairage and also at the knocking box</w:t>
      </w:r>
    </w:p>
    <w:p w14:paraId="20B72F8B" w14:textId="3A25CB26" w:rsidR="002305D0" w:rsidRPr="00146FCA" w:rsidRDefault="002305D0" w:rsidP="00146FCA">
      <w:pPr>
        <w:pStyle w:val="Bullet1"/>
        <w:numPr>
          <w:ilvl w:val="0"/>
          <w:numId w:val="4"/>
        </w:numPr>
        <w:ind w:left="1712" w:right="992" w:hanging="357"/>
        <w:textAlignment w:val="auto"/>
      </w:pPr>
      <w:r w:rsidRPr="00146FCA">
        <w:t xml:space="preserve">quality assurance monitoring </w:t>
      </w:r>
      <w:r w:rsidR="00B0239F">
        <w:t>is</w:t>
      </w:r>
      <w:r w:rsidRPr="00146FCA">
        <w:t xml:space="preserve"> undertaken from the point of unloading through to the point of slaughter at the frequency described in the approved arrangement</w:t>
      </w:r>
    </w:p>
    <w:p w14:paraId="3944970F" w14:textId="290C5F5D" w:rsidR="002305D0" w:rsidRDefault="002305D0" w:rsidP="00146FCA">
      <w:pPr>
        <w:pStyle w:val="Bullet1"/>
        <w:numPr>
          <w:ilvl w:val="0"/>
          <w:numId w:val="4"/>
        </w:numPr>
        <w:ind w:left="1712" w:right="992" w:hanging="357"/>
        <w:textAlignment w:val="auto"/>
      </w:pPr>
      <w:r w:rsidRPr="00146FCA">
        <w:t xml:space="preserve">corrective actions </w:t>
      </w:r>
      <w:r w:rsidR="00B0239F">
        <w:t xml:space="preserve">are </w:t>
      </w:r>
      <w:r w:rsidRPr="00146FCA">
        <w:t>completed within the documented timeframe as described in the approved arrangement</w:t>
      </w:r>
      <w:r w:rsidR="000C7F63">
        <w:t>.</w:t>
      </w:r>
    </w:p>
    <w:p w14:paraId="6AE658BD" w14:textId="3BFCC76B" w:rsidR="007E3AC5" w:rsidRDefault="007E3AC5" w:rsidP="00A26A7C">
      <w:pPr>
        <w:pStyle w:val="Heading2"/>
      </w:pPr>
      <w:bookmarkStart w:id="6" w:name="_Toc97043271"/>
      <w:bookmarkStart w:id="7" w:name="_Toc130307618"/>
      <w:bookmarkStart w:id="8" w:name="_Hlk113023770"/>
      <w:bookmarkStart w:id="9" w:name="_Hlk113023879"/>
      <w:r>
        <w:t>Department verification of the establishment</w:t>
      </w:r>
      <w:r w:rsidR="007D3E1F">
        <w:t>’</w:t>
      </w:r>
      <w:r>
        <w:t>s animal handling practices</w:t>
      </w:r>
      <w:bookmarkEnd w:id="6"/>
      <w:bookmarkEnd w:id="7"/>
    </w:p>
    <w:p w14:paraId="1786F5E7" w14:textId="53155B7D" w:rsidR="40DC417D" w:rsidRDefault="40DC417D" w:rsidP="7C0F9278">
      <w:pPr>
        <w:pStyle w:val="Documentbody-bodytext"/>
      </w:pPr>
      <w:r>
        <w:t>The department will verify that each establishment meets the animal welfare requirements of the relevant standard and importing country requirements and has a system to raise and report any animal welfare issues they identify.</w:t>
      </w:r>
    </w:p>
    <w:p w14:paraId="21E74279" w14:textId="3AD83000" w:rsidR="007E3AC5" w:rsidRPr="00622F24" w:rsidRDefault="005F0439" w:rsidP="00622F24">
      <w:pPr>
        <w:pStyle w:val="Documentbody-bodytext"/>
      </w:pPr>
      <w:r>
        <w:t>To ensure animals are handled appropriately from the point of unloading up to and including the point of slaughter</w:t>
      </w:r>
      <w:r w:rsidR="009B462E">
        <w:t xml:space="preserve"> at abattoirs</w:t>
      </w:r>
      <w:r>
        <w:t xml:space="preserve">, On-Plant Veterinarians (on behalf of the department) will conduct </w:t>
      </w:r>
      <w:r w:rsidR="007E3AC5" w:rsidRPr="00622F24">
        <w:t>daily ante</w:t>
      </w:r>
      <w:r>
        <w:noBreakHyphen/>
      </w:r>
      <w:r w:rsidR="007E3AC5" w:rsidRPr="00622F24">
        <w:t xml:space="preserve">mortem inspection/verification and </w:t>
      </w:r>
      <w:r w:rsidR="007E3AC5" w:rsidRPr="00C655E4">
        <w:t>monthly animal welfare process monitoring verification</w:t>
      </w:r>
      <w:r w:rsidRPr="00C655E4">
        <w:t xml:space="preserve"> </w:t>
      </w:r>
      <w:r w:rsidR="00BC04D4" w:rsidRPr="00C655E4">
        <w:t>where</w:t>
      </w:r>
      <w:r w:rsidR="007E3AC5" w:rsidRPr="00C655E4">
        <w:t>:</w:t>
      </w:r>
      <w:r w:rsidR="007E3AC5" w:rsidRPr="00622F24">
        <w:t xml:space="preserve"> </w:t>
      </w:r>
    </w:p>
    <w:p w14:paraId="3FEDE084" w14:textId="649B9750" w:rsidR="007E3AC5" w:rsidRDefault="002711E1" w:rsidP="00622F24">
      <w:pPr>
        <w:pStyle w:val="Bullet1"/>
        <w:numPr>
          <w:ilvl w:val="0"/>
          <w:numId w:val="4"/>
        </w:numPr>
        <w:ind w:left="1712" w:right="992" w:hanging="357"/>
        <w:textAlignment w:val="auto"/>
      </w:pPr>
      <w:r>
        <w:t xml:space="preserve">the OPV on-shift will observe </w:t>
      </w:r>
      <w:r w:rsidR="00BC04D4">
        <w:t>animals during unloading, while in lairage pens</w:t>
      </w:r>
      <w:r w:rsidR="00A20AC8">
        <w:t>, and at the point of stunning/sticking</w:t>
      </w:r>
      <w:r w:rsidR="00BC04D4">
        <w:t xml:space="preserve"> to identify </w:t>
      </w:r>
      <w:r w:rsidR="002D772E">
        <w:t>instances</w:t>
      </w:r>
      <w:r w:rsidR="00BC04D4">
        <w:t xml:space="preserve"> where handling does not comply with </w:t>
      </w:r>
      <w:r>
        <w:t xml:space="preserve">aspects in </w:t>
      </w:r>
      <w:r w:rsidR="00BC04D4">
        <w:t xml:space="preserve">section: </w:t>
      </w:r>
      <w:hyperlink w:anchor="_Operational_requirements_for_1" w:history="1">
        <w:r w:rsidR="00BC04D4" w:rsidRPr="00BC04D4">
          <w:rPr>
            <w:rStyle w:val="Hyperlink"/>
          </w:rPr>
          <w:t>Operational requirements for the receival and handling of livestock in lairage</w:t>
        </w:r>
        <w:r w:rsidR="00BC04D4" w:rsidRPr="00AE77ED">
          <w:t xml:space="preserve"> </w:t>
        </w:r>
      </w:hyperlink>
      <w:r>
        <w:t>or aspects in t</w:t>
      </w:r>
      <w:r w:rsidR="00BC04D4">
        <w:t>he relevant animal welfare standard</w:t>
      </w:r>
    </w:p>
    <w:p w14:paraId="38FE8673" w14:textId="677422BC" w:rsidR="00113031" w:rsidRDefault="00113031" w:rsidP="00622F24">
      <w:pPr>
        <w:pStyle w:val="Bullet1"/>
        <w:numPr>
          <w:ilvl w:val="0"/>
          <w:numId w:val="4"/>
        </w:numPr>
        <w:ind w:left="1712" w:right="992" w:hanging="357"/>
        <w:textAlignment w:val="auto"/>
      </w:pPr>
      <w:r>
        <w:t xml:space="preserve">the OPV </w:t>
      </w:r>
      <w:r w:rsidR="00C338EC">
        <w:t>will</w:t>
      </w:r>
      <w:r>
        <w:t xml:space="preserve"> provide </w:t>
      </w:r>
      <w:r w:rsidRPr="00113031">
        <w:t>technical and physiological observation and clinical assessment of the animal</w:t>
      </w:r>
      <w:r>
        <w:t>(s)</w:t>
      </w:r>
    </w:p>
    <w:p w14:paraId="3E2231AB" w14:textId="77777777" w:rsidR="00285C11" w:rsidRDefault="00113031" w:rsidP="00622F24">
      <w:pPr>
        <w:pStyle w:val="Bullet1"/>
        <w:numPr>
          <w:ilvl w:val="0"/>
          <w:numId w:val="4"/>
        </w:numPr>
        <w:ind w:left="1712" w:right="992" w:hanging="357"/>
        <w:textAlignment w:val="auto"/>
      </w:pPr>
      <w:r>
        <w:t xml:space="preserve">the OPV will </w:t>
      </w:r>
      <w:r w:rsidRPr="00537087">
        <w:t>provide professional opinion and assistance to establishment management</w:t>
      </w:r>
    </w:p>
    <w:p w14:paraId="6621C92F" w14:textId="290D2D19" w:rsidR="00C655E4" w:rsidRDefault="00285C11" w:rsidP="00622F24">
      <w:pPr>
        <w:pStyle w:val="Bullet1"/>
        <w:numPr>
          <w:ilvl w:val="0"/>
          <w:numId w:val="4"/>
        </w:numPr>
        <w:ind w:left="1712" w:right="992" w:hanging="357"/>
        <w:textAlignment w:val="auto"/>
      </w:pPr>
      <w:r>
        <w:t xml:space="preserve">the OPV will undertake monthly observations of processes from load-in to the knocking box </w:t>
      </w:r>
      <w:r w:rsidR="00C655E4">
        <w:t>with reference to the establishment</w:t>
      </w:r>
      <w:r w:rsidR="007D3E1F">
        <w:t>’</w:t>
      </w:r>
      <w:r w:rsidR="00C655E4">
        <w:t xml:space="preserve">s approved arrangement </w:t>
      </w:r>
    </w:p>
    <w:p w14:paraId="4D17CC54" w14:textId="38333642" w:rsidR="00C655E4" w:rsidRDefault="00C655E4" w:rsidP="00622F24">
      <w:pPr>
        <w:pStyle w:val="Bullet1"/>
        <w:numPr>
          <w:ilvl w:val="0"/>
          <w:numId w:val="4"/>
        </w:numPr>
        <w:ind w:left="1712" w:right="992" w:hanging="357"/>
        <w:textAlignment w:val="auto"/>
      </w:pPr>
      <w:r>
        <w:t xml:space="preserve">the OPV will </w:t>
      </w:r>
      <w:r w:rsidR="002C6373">
        <w:t>record results in the</w:t>
      </w:r>
      <w:r>
        <w:t xml:space="preserve"> monthly verification </w:t>
      </w:r>
      <w:r w:rsidR="002C6373">
        <w:t>checklist</w:t>
      </w:r>
    </w:p>
    <w:p w14:paraId="1C254C77" w14:textId="2011AE64" w:rsidR="00113031" w:rsidRDefault="00285C11" w:rsidP="00622F24">
      <w:pPr>
        <w:pStyle w:val="Bullet1"/>
        <w:numPr>
          <w:ilvl w:val="0"/>
          <w:numId w:val="4"/>
        </w:numPr>
        <w:ind w:left="1712" w:right="992" w:hanging="357"/>
        <w:textAlignment w:val="auto"/>
      </w:pPr>
      <w:r>
        <w:t xml:space="preserve">any non-compliance </w:t>
      </w:r>
      <w:r w:rsidR="00C655E4">
        <w:t xml:space="preserve">during monthly process monitoring verification </w:t>
      </w:r>
      <w:r>
        <w:t>will be recorded in the Meat Establishment Verification Systems (MEVS)</w:t>
      </w:r>
      <w:r w:rsidR="00C338EC">
        <w:t>.</w:t>
      </w:r>
    </w:p>
    <w:p w14:paraId="4B0EB8C7" w14:textId="38B4FBE7" w:rsidR="005F0439" w:rsidRDefault="009B462E" w:rsidP="00622F24">
      <w:pPr>
        <w:pStyle w:val="Documentbody-bodytext"/>
      </w:pPr>
      <w:bookmarkStart w:id="10" w:name="_Hlk113011261"/>
      <w:bookmarkStart w:id="11" w:name="_Hlk113014761"/>
      <w:bookmarkEnd w:id="8"/>
      <w:r>
        <w:t xml:space="preserve">To ensure </w:t>
      </w:r>
      <w:r w:rsidR="002079CC">
        <w:t xml:space="preserve">wild game carcases arriving at wild game establishments </w:t>
      </w:r>
      <w:r>
        <w:t xml:space="preserve">have been </w:t>
      </w:r>
      <w:r w:rsidR="002079CC">
        <w:t>head shot,</w:t>
      </w:r>
      <w:r>
        <w:t xml:space="preserve"> verification </w:t>
      </w:r>
      <w:r w:rsidR="002079CC">
        <w:t xml:space="preserve">for </w:t>
      </w:r>
      <w:r>
        <w:t xml:space="preserve">non-head shot incidents </w:t>
      </w:r>
      <w:r w:rsidR="002079CC">
        <w:t>will occur:</w:t>
      </w:r>
      <w:r>
        <w:t xml:space="preserve"> </w:t>
      </w:r>
    </w:p>
    <w:bookmarkEnd w:id="10"/>
    <w:p w14:paraId="61AE4FCC" w14:textId="1406BB02" w:rsidR="00F7346C" w:rsidRDefault="007D3E1F" w:rsidP="00F7346C">
      <w:pPr>
        <w:pStyle w:val="Bullet1"/>
        <w:numPr>
          <w:ilvl w:val="0"/>
          <w:numId w:val="4"/>
        </w:numPr>
        <w:ind w:left="1712" w:right="992" w:hanging="357"/>
        <w:textAlignment w:val="auto"/>
      </w:pPr>
      <w:r>
        <w:t>t</w:t>
      </w:r>
      <w:r w:rsidR="00F7346C">
        <w:t>he OPV will undertake monthly observations of processes for carcase load-in</w:t>
      </w:r>
    </w:p>
    <w:p w14:paraId="37E596EB" w14:textId="6140E5FC" w:rsidR="00F7346C" w:rsidRDefault="007D3E1F" w:rsidP="00F7346C">
      <w:pPr>
        <w:pStyle w:val="Bullet1"/>
        <w:numPr>
          <w:ilvl w:val="0"/>
          <w:numId w:val="4"/>
        </w:numPr>
        <w:ind w:left="1712" w:right="992" w:hanging="357"/>
        <w:textAlignment w:val="auto"/>
      </w:pPr>
      <w:r>
        <w:t>t</w:t>
      </w:r>
      <w:r w:rsidR="00F7346C">
        <w:t>he OPV will record results in the monthly verification checklist</w:t>
      </w:r>
    </w:p>
    <w:p w14:paraId="31B1FABB" w14:textId="0B09E861" w:rsidR="009B462E" w:rsidRPr="006766EE" w:rsidRDefault="007D3E1F">
      <w:pPr>
        <w:pStyle w:val="Bullet1"/>
        <w:numPr>
          <w:ilvl w:val="0"/>
          <w:numId w:val="4"/>
        </w:numPr>
        <w:ind w:left="1712" w:right="992" w:hanging="357"/>
        <w:textAlignment w:val="auto"/>
      </w:pPr>
      <w:r>
        <w:t>t</w:t>
      </w:r>
      <w:r w:rsidR="00D81145" w:rsidRPr="006766EE">
        <w:t xml:space="preserve">he OPV </w:t>
      </w:r>
      <w:r>
        <w:t xml:space="preserve">will </w:t>
      </w:r>
      <w:r w:rsidR="00D81145" w:rsidRPr="006766EE">
        <w:t>inspect carcases suspected of a non-head shot</w:t>
      </w:r>
    </w:p>
    <w:p w14:paraId="383D6D3A" w14:textId="3B8CC321" w:rsidR="00D81145" w:rsidRPr="006766EE" w:rsidRDefault="007D3E1F">
      <w:pPr>
        <w:pStyle w:val="Bullet1"/>
        <w:numPr>
          <w:ilvl w:val="0"/>
          <w:numId w:val="4"/>
        </w:numPr>
        <w:ind w:left="1712" w:right="992" w:hanging="357"/>
        <w:textAlignment w:val="auto"/>
      </w:pPr>
      <w:r>
        <w:t>t</w:t>
      </w:r>
      <w:r w:rsidR="00D81145" w:rsidRPr="006766EE">
        <w:t xml:space="preserve">he OPV </w:t>
      </w:r>
      <w:r>
        <w:t xml:space="preserve">will </w:t>
      </w:r>
      <w:r w:rsidR="00D81145" w:rsidRPr="006766EE">
        <w:t>make a professional judgement determining whether a non-head shot is likely</w:t>
      </w:r>
    </w:p>
    <w:p w14:paraId="4A01ECF3" w14:textId="71E11D27" w:rsidR="00D81145" w:rsidRDefault="007D3E1F">
      <w:pPr>
        <w:pStyle w:val="Bullet1"/>
        <w:numPr>
          <w:ilvl w:val="0"/>
          <w:numId w:val="4"/>
        </w:numPr>
        <w:ind w:left="1712" w:right="992" w:hanging="357"/>
        <w:textAlignment w:val="auto"/>
      </w:pPr>
      <w:r>
        <w:lastRenderedPageBreak/>
        <w:t>w</w:t>
      </w:r>
      <w:r w:rsidR="00D81145">
        <w:t xml:space="preserve">here a non-head shot has been determined, </w:t>
      </w:r>
      <w:r w:rsidR="00D81145" w:rsidRPr="006766EE">
        <w:t xml:space="preserve">the OPV </w:t>
      </w:r>
      <w:r>
        <w:t xml:space="preserve">will </w:t>
      </w:r>
      <w:r w:rsidR="00D81145" w:rsidRPr="006766EE">
        <w:t>inform the Quality Assurance Manager and generate an animal welfare incident report</w:t>
      </w:r>
    </w:p>
    <w:p w14:paraId="49264986" w14:textId="78AE5367" w:rsidR="002079CC" w:rsidRPr="00D81145" w:rsidRDefault="007D3E1F" w:rsidP="00B23702">
      <w:pPr>
        <w:pStyle w:val="Bullet1"/>
        <w:numPr>
          <w:ilvl w:val="0"/>
          <w:numId w:val="4"/>
        </w:numPr>
        <w:ind w:left="1712" w:right="992" w:hanging="357"/>
        <w:textAlignment w:val="auto"/>
      </w:pPr>
      <w:r>
        <w:t>a</w:t>
      </w:r>
      <w:r w:rsidR="002079CC">
        <w:t>ny non-compliance during monthly process monitoring verification will be recorded in the Meat Establishment Verification Systems (MEVS).</w:t>
      </w:r>
    </w:p>
    <w:bookmarkEnd w:id="11"/>
    <w:p w14:paraId="3765D277" w14:textId="77777777" w:rsidR="00AB12FE" w:rsidRDefault="00AB12FE" w:rsidP="00622F24">
      <w:pPr>
        <w:pStyle w:val="Documentbody-bodytext"/>
      </w:pPr>
      <w:r>
        <w:t>To ensure management of non-compliance, the department engages the establishment to undertake corrective action where:</w:t>
      </w:r>
    </w:p>
    <w:p w14:paraId="72A63328" w14:textId="742369D4" w:rsidR="00CE5ED5" w:rsidRDefault="002079CC" w:rsidP="00AB12FE">
      <w:pPr>
        <w:pStyle w:val="Bullet1"/>
        <w:numPr>
          <w:ilvl w:val="0"/>
          <w:numId w:val="4"/>
        </w:numPr>
        <w:ind w:left="1712" w:right="992" w:hanging="357"/>
        <w:textAlignment w:val="auto"/>
      </w:pPr>
      <w:r>
        <w:t>t</w:t>
      </w:r>
      <w:r w:rsidR="00CE5ED5">
        <w:t>he OPV follows processes under the department</w:t>
      </w:r>
      <w:r w:rsidR="007D3E1F">
        <w:t>’</w:t>
      </w:r>
      <w:r w:rsidR="00CE5ED5">
        <w:t>s Meat Establishment Verification System (MEVs)</w:t>
      </w:r>
    </w:p>
    <w:p w14:paraId="63BB313D" w14:textId="7EAA9F17" w:rsidR="00CE5ED5" w:rsidRDefault="00CE5ED5" w:rsidP="00AB12FE">
      <w:pPr>
        <w:pStyle w:val="Bullet1"/>
        <w:numPr>
          <w:ilvl w:val="0"/>
          <w:numId w:val="4"/>
        </w:numPr>
        <w:ind w:left="1712" w:right="992" w:hanging="357"/>
        <w:textAlignment w:val="auto"/>
      </w:pPr>
      <w:r>
        <w:t>the OPV relays non-compliance issues verbally or in writing to establishment management</w:t>
      </w:r>
    </w:p>
    <w:p w14:paraId="50A4E463" w14:textId="60114501" w:rsidR="00CE5ED5" w:rsidRDefault="00CE5ED5" w:rsidP="00AB12FE">
      <w:pPr>
        <w:pStyle w:val="Bullet1"/>
        <w:numPr>
          <w:ilvl w:val="0"/>
          <w:numId w:val="4"/>
        </w:numPr>
        <w:ind w:left="1712" w:right="992" w:hanging="357"/>
        <w:textAlignment w:val="auto"/>
      </w:pPr>
      <w:r>
        <w:t xml:space="preserve">the OPV </w:t>
      </w:r>
      <w:r w:rsidR="00C338EC">
        <w:t xml:space="preserve">in discussion with the </w:t>
      </w:r>
      <w:r w:rsidR="002079CC">
        <w:t xml:space="preserve">Establishment </w:t>
      </w:r>
      <w:r w:rsidR="00C338EC">
        <w:t xml:space="preserve">Area Technical Manager, </w:t>
      </w:r>
      <w:r>
        <w:t xml:space="preserve">issues </w:t>
      </w:r>
      <w:r w:rsidR="007D3E1F">
        <w:t>c</w:t>
      </w:r>
      <w:r>
        <w:t xml:space="preserve">orrective </w:t>
      </w:r>
      <w:r w:rsidR="007D3E1F">
        <w:t>a</w:t>
      </w:r>
      <w:r>
        <w:t xml:space="preserve">ction </w:t>
      </w:r>
      <w:r w:rsidR="007D3E1F">
        <w:t>r</w:t>
      </w:r>
      <w:r>
        <w:t>equests</w:t>
      </w:r>
      <w:r w:rsidR="007745BF">
        <w:t xml:space="preserve"> (CARs)</w:t>
      </w:r>
      <w:r>
        <w:t xml:space="preserve"> in the department's </w:t>
      </w:r>
      <w:r w:rsidR="00202F16">
        <w:t>Audit Management System</w:t>
      </w:r>
    </w:p>
    <w:p w14:paraId="01DE5C83" w14:textId="2467A331" w:rsidR="00CE5ED5" w:rsidRDefault="00CE5ED5" w:rsidP="00AB12FE">
      <w:pPr>
        <w:pStyle w:val="Bullet1"/>
        <w:numPr>
          <w:ilvl w:val="0"/>
          <w:numId w:val="4"/>
        </w:numPr>
        <w:ind w:left="1712" w:right="992" w:hanging="357"/>
        <w:textAlignment w:val="auto"/>
      </w:pPr>
      <w:r>
        <w:t>the OPV(s) raise</w:t>
      </w:r>
      <w:r w:rsidR="007745BF">
        <w:t>s</w:t>
      </w:r>
      <w:r>
        <w:t xml:space="preserve"> non-compliance issues and open CARs with establishment management at the weekly meeting.</w:t>
      </w:r>
    </w:p>
    <w:p w14:paraId="58601982" w14:textId="4520E8D4" w:rsidR="007E3AC5" w:rsidRDefault="007E3AC5" w:rsidP="00F7346C">
      <w:pPr>
        <w:pStyle w:val="Heading2"/>
      </w:pPr>
      <w:bookmarkStart w:id="12" w:name="_Toc97043272"/>
      <w:bookmarkStart w:id="13" w:name="_Toc130307619"/>
      <w:r>
        <w:t>Department systems audits of the establishment</w:t>
      </w:r>
      <w:r w:rsidR="00B0681D">
        <w:t>’</w:t>
      </w:r>
      <w:r>
        <w:t>s animal handling practices</w:t>
      </w:r>
      <w:bookmarkEnd w:id="12"/>
      <w:bookmarkEnd w:id="13"/>
    </w:p>
    <w:p w14:paraId="4234BEBE" w14:textId="2F089CD5" w:rsidR="007E3AC5" w:rsidRDefault="00255A85" w:rsidP="006766EE">
      <w:pPr>
        <w:pStyle w:val="Documentbody-bodytext"/>
      </w:pPr>
      <w:r>
        <w:t>The d</w:t>
      </w:r>
      <w:r w:rsidR="007E3AC5" w:rsidRPr="00622F24">
        <w:t>epartment</w:t>
      </w:r>
      <w:r>
        <w:t xml:space="preserve"> undertakes</w:t>
      </w:r>
      <w:r w:rsidR="007E3AC5" w:rsidRPr="00622F24">
        <w:t xml:space="preserve"> systems audits</w:t>
      </w:r>
      <w:r>
        <w:t xml:space="preserve"> of the establishment</w:t>
      </w:r>
      <w:r w:rsidR="00B0681D">
        <w:t>’</w:t>
      </w:r>
      <w:r>
        <w:t>s animal handling practices as stipulated by the department</w:t>
      </w:r>
      <w:r w:rsidR="00B0681D">
        <w:t>’</w:t>
      </w:r>
      <w:r>
        <w:t xml:space="preserve">s </w:t>
      </w:r>
      <w:r w:rsidR="007E3AC5">
        <w:t xml:space="preserve">Export Meat System Audit </w:t>
      </w:r>
      <w:r w:rsidR="005F6AFE">
        <w:t xml:space="preserve">Program </w:t>
      </w:r>
      <w:r w:rsidR="007E3AC5">
        <w:t xml:space="preserve">(EMSAP) and Critical Incident Response </w:t>
      </w:r>
      <w:r w:rsidR="005F6AFE">
        <w:t>g</w:t>
      </w:r>
      <w:r w:rsidR="007E3AC5">
        <w:t>uidelines</w:t>
      </w:r>
      <w:r>
        <w:t>, where:</w:t>
      </w:r>
    </w:p>
    <w:p w14:paraId="7C864561" w14:textId="14B06788" w:rsidR="007E3AC5" w:rsidRDefault="00B23702" w:rsidP="00622F24">
      <w:pPr>
        <w:pStyle w:val="Bullet1"/>
        <w:numPr>
          <w:ilvl w:val="0"/>
          <w:numId w:val="4"/>
        </w:numPr>
        <w:ind w:left="1712" w:right="992" w:hanging="357"/>
        <w:textAlignment w:val="auto"/>
      </w:pPr>
      <w:r>
        <w:t>d</w:t>
      </w:r>
      <w:r w:rsidR="007745BF">
        <w:t xml:space="preserve">uring six-monthly audits, the EMSAP </w:t>
      </w:r>
      <w:r w:rsidR="00255A85">
        <w:t>Area Technical Manager (ATM) examine</w:t>
      </w:r>
      <w:r w:rsidR="007745BF">
        <w:t>s</w:t>
      </w:r>
      <w:r w:rsidR="00255A85">
        <w:t xml:space="preserve"> the establishment</w:t>
      </w:r>
      <w:r w:rsidR="00B0681D">
        <w:t>’</w:t>
      </w:r>
      <w:r w:rsidR="00255A85">
        <w:t>s approvement arrangement, policies</w:t>
      </w:r>
      <w:r w:rsidR="002667B9">
        <w:t>,</w:t>
      </w:r>
      <w:r w:rsidR="00255A85">
        <w:t xml:space="preserve"> </w:t>
      </w:r>
      <w:r w:rsidR="00EA633C">
        <w:t>procedures,</w:t>
      </w:r>
      <w:r w:rsidR="002667B9">
        <w:t xml:space="preserve"> and records</w:t>
      </w:r>
      <w:r w:rsidR="00255A85">
        <w:t xml:space="preserve"> to ensure that these documents appropriately </w:t>
      </w:r>
      <w:r w:rsidR="007E3AC5">
        <w:t>cover animal welfare and animal handling practices</w:t>
      </w:r>
      <w:r w:rsidR="002667B9">
        <w:t xml:space="preserve"> and that these practices have been adhered to</w:t>
      </w:r>
    </w:p>
    <w:p w14:paraId="1F8383F0" w14:textId="579ED62D" w:rsidR="00255A85" w:rsidRDefault="00255A85" w:rsidP="00622F24">
      <w:pPr>
        <w:pStyle w:val="Bullet1"/>
        <w:numPr>
          <w:ilvl w:val="0"/>
          <w:numId w:val="4"/>
        </w:numPr>
        <w:ind w:left="1712" w:right="992" w:hanging="357"/>
        <w:textAlignment w:val="auto"/>
      </w:pPr>
      <w:r>
        <w:t>ATM Auditors will advise the occupier of the establishment at the audit exit meeting of the findings of the audit, including any animal welfare</w:t>
      </w:r>
      <w:r w:rsidR="007745BF">
        <w:t>-related</w:t>
      </w:r>
      <w:r>
        <w:t xml:space="preserve"> issues that have been identified</w:t>
      </w:r>
    </w:p>
    <w:p w14:paraId="394B5B81" w14:textId="5014E9B1" w:rsidR="007745BF" w:rsidRDefault="00B23702" w:rsidP="00622F24">
      <w:pPr>
        <w:pStyle w:val="Bullet1"/>
        <w:numPr>
          <w:ilvl w:val="0"/>
          <w:numId w:val="4"/>
        </w:numPr>
        <w:ind w:left="1712" w:right="992" w:hanging="357"/>
        <w:textAlignment w:val="auto"/>
      </w:pPr>
      <w:r>
        <w:t>a</w:t>
      </w:r>
      <w:r w:rsidR="00255A85">
        <w:t xml:space="preserve">udits </w:t>
      </w:r>
      <w:r w:rsidR="007E3AC5">
        <w:t>may be scheduled more frequently for establishments that have been deemed non</w:t>
      </w:r>
      <w:r w:rsidR="007E3AC5">
        <w:noBreakHyphen/>
        <w:t>compliant</w:t>
      </w:r>
    </w:p>
    <w:p w14:paraId="46208995" w14:textId="392D07BA" w:rsidR="007E3AC5" w:rsidRDefault="00B23702" w:rsidP="00622F24">
      <w:pPr>
        <w:pStyle w:val="Bullet1"/>
        <w:numPr>
          <w:ilvl w:val="0"/>
          <w:numId w:val="4"/>
        </w:numPr>
        <w:ind w:left="1712" w:right="992" w:hanging="357"/>
        <w:textAlignment w:val="auto"/>
      </w:pPr>
      <w:r>
        <w:t>a</w:t>
      </w:r>
      <w:r w:rsidR="007745BF">
        <w:t>udits may be schedule</w:t>
      </w:r>
      <w:r w:rsidR="00F7346C">
        <w:t>d</w:t>
      </w:r>
      <w:r w:rsidR="007745BF">
        <w:t xml:space="preserve"> yearly, where establishments have met criteria to enter an annual audit program (see </w:t>
      </w:r>
      <w:hyperlink w:anchor="_Related_material_2" w:history="1">
        <w:r w:rsidRPr="00B23702">
          <w:rPr>
            <w:rStyle w:val="Hyperlink"/>
          </w:rPr>
          <w:t xml:space="preserve">Export Meat Operational </w:t>
        </w:r>
        <w:r w:rsidR="007745BF" w:rsidRPr="00B23702">
          <w:rPr>
            <w:rStyle w:val="Hyperlink"/>
          </w:rPr>
          <w:t>Guideline</w:t>
        </w:r>
        <w:r w:rsidRPr="00B23702">
          <w:rPr>
            <w:rStyle w:val="Hyperlink"/>
          </w:rPr>
          <w:t>: 5.2</w:t>
        </w:r>
        <w:r w:rsidR="007745BF" w:rsidRPr="00B23702">
          <w:rPr>
            <w:rStyle w:val="Hyperlink"/>
          </w:rPr>
          <w:t xml:space="preserve"> Export Meat System Audit Program (EMSAP)</w:t>
        </w:r>
      </w:hyperlink>
      <w:r>
        <w:t>)</w:t>
      </w:r>
      <w:r w:rsidR="005F6AFE">
        <w:t>.</w:t>
      </w:r>
    </w:p>
    <w:p w14:paraId="7AE4EAEF" w14:textId="4F1574FB" w:rsidR="007E3AC5" w:rsidRDefault="007E3AC5" w:rsidP="00622F24">
      <w:pPr>
        <w:pStyle w:val="Documentbody-bodytext"/>
      </w:pPr>
      <w:r w:rsidRPr="00622F24">
        <w:t xml:space="preserve">The department manages animal welfare non-compliance through corrective action requests at audit. </w:t>
      </w:r>
    </w:p>
    <w:p w14:paraId="422FEAD0" w14:textId="3A824D2E" w:rsidR="007745BF" w:rsidRDefault="00062D7D" w:rsidP="00AD01CD">
      <w:pPr>
        <w:pStyle w:val="Bullet1"/>
        <w:numPr>
          <w:ilvl w:val="0"/>
          <w:numId w:val="4"/>
        </w:numPr>
        <w:ind w:left="1712" w:right="992" w:hanging="357"/>
        <w:textAlignment w:val="auto"/>
      </w:pPr>
      <w:r>
        <w:t>T</w:t>
      </w:r>
      <w:r w:rsidR="007745BF">
        <w:t xml:space="preserve">he ATM </w:t>
      </w:r>
      <w:r w:rsidR="0069784B">
        <w:t xml:space="preserve">will </w:t>
      </w:r>
      <w:r w:rsidR="007745BF">
        <w:t>relay non-compliance issues at the exit meeting</w:t>
      </w:r>
      <w:r>
        <w:t>.</w:t>
      </w:r>
    </w:p>
    <w:p w14:paraId="434FFD23" w14:textId="51D85101" w:rsidR="007745BF" w:rsidRDefault="00062D7D" w:rsidP="00AD01CD">
      <w:pPr>
        <w:pStyle w:val="Bullet1"/>
        <w:numPr>
          <w:ilvl w:val="0"/>
          <w:numId w:val="4"/>
        </w:numPr>
        <w:ind w:left="1712" w:right="992" w:hanging="357"/>
        <w:textAlignment w:val="auto"/>
      </w:pPr>
      <w:r>
        <w:t>T</w:t>
      </w:r>
      <w:r w:rsidR="007745BF">
        <w:t>he ATM will issue CARs in the department's Audit Management System</w:t>
      </w:r>
      <w:r>
        <w:t>.</w:t>
      </w:r>
    </w:p>
    <w:p w14:paraId="0535AC09" w14:textId="4294B403" w:rsidR="007745BF" w:rsidRDefault="00062D7D" w:rsidP="00AD01CD">
      <w:pPr>
        <w:pStyle w:val="Bullet1"/>
        <w:numPr>
          <w:ilvl w:val="0"/>
          <w:numId w:val="4"/>
        </w:numPr>
        <w:ind w:left="1712" w:right="992" w:hanging="357"/>
        <w:textAlignment w:val="auto"/>
      </w:pPr>
      <w:r>
        <w:t>T</w:t>
      </w:r>
      <w:r w:rsidR="007745BF">
        <w:t>he OPV</w:t>
      </w:r>
      <w:r w:rsidR="00563BA5">
        <w:t xml:space="preserve"> and Establishment ATM</w:t>
      </w:r>
      <w:r w:rsidR="007745BF">
        <w:t xml:space="preserve"> </w:t>
      </w:r>
      <w:r w:rsidR="00563BA5">
        <w:t>are responsible for resolution of any outstanding EMSAP audit findings</w:t>
      </w:r>
      <w:r w:rsidR="007745BF">
        <w:t>.</w:t>
      </w:r>
    </w:p>
    <w:p w14:paraId="4656246F" w14:textId="577AB750" w:rsidR="00EF1192" w:rsidRPr="009C444B" w:rsidRDefault="00EF1192" w:rsidP="00AD01CD">
      <w:pPr>
        <w:pStyle w:val="Heading2"/>
      </w:pPr>
      <w:bookmarkStart w:id="14" w:name="_Toc130307620"/>
      <w:r>
        <w:t>AUS-MEAT Australian Animal Welfare Certification System audits of establishment</w:t>
      </w:r>
      <w:r w:rsidR="004427AB">
        <w:t>’</w:t>
      </w:r>
      <w:r>
        <w:t xml:space="preserve">s animal </w:t>
      </w:r>
      <w:r w:rsidRPr="009C444B">
        <w:t>handling practices</w:t>
      </w:r>
      <w:bookmarkEnd w:id="14"/>
    </w:p>
    <w:p w14:paraId="3B15DDF7" w14:textId="0CAED471" w:rsidR="007E3AC5" w:rsidRPr="00622F24" w:rsidRDefault="007E3AC5" w:rsidP="00622F24">
      <w:pPr>
        <w:pStyle w:val="Documentbody-bodytext"/>
      </w:pPr>
      <w:r w:rsidRPr="00622F24">
        <w:t xml:space="preserve">For establishments that are certified with the </w:t>
      </w:r>
      <w:r w:rsidR="005F6AFE">
        <w:t>Australian Livestock Processing Industry Animal Welfare Certification System (</w:t>
      </w:r>
      <w:r w:rsidRPr="00622F24">
        <w:t>AAWCS</w:t>
      </w:r>
      <w:r w:rsidR="005F6AFE">
        <w:t>)</w:t>
      </w:r>
      <w:r w:rsidRPr="00622F24">
        <w:t xml:space="preserve">, the scope of a department audit will take into consideration the outcome of the most recent AUS-MEAT animal welfare audit. </w:t>
      </w:r>
    </w:p>
    <w:p w14:paraId="0F960B44" w14:textId="714CCD18" w:rsidR="000F782C" w:rsidRDefault="000F782C" w:rsidP="00622F24">
      <w:pPr>
        <w:pStyle w:val="Documentbody-bodytext"/>
      </w:pPr>
      <w:bookmarkStart w:id="15" w:name="_Toc97043273"/>
      <w:r>
        <w:t xml:space="preserve">The department recognises the AAWCS and modifies auditing responsibilities if an establishment is registered under AAWCS (see </w:t>
      </w:r>
      <w:hyperlink w:anchor="_Related_material_2" w:history="1">
        <w:r w:rsidR="00AD01CD">
          <w:rPr>
            <w:rStyle w:val="Hyperlink"/>
          </w:rPr>
          <w:t>Export Meat Operational Guideline: 1.3 Department recognised animal welfare system (AAWCS)</w:t>
        </w:r>
      </w:hyperlink>
      <w:r>
        <w:t>).</w:t>
      </w:r>
    </w:p>
    <w:p w14:paraId="1D08FA3C" w14:textId="31FCC96D" w:rsidR="007E3AC5" w:rsidRDefault="007E3AC5" w:rsidP="00622F24">
      <w:pPr>
        <w:pStyle w:val="Documentbody-bodytext"/>
      </w:pPr>
      <w:r>
        <w:t>AUS-MEAT AAWCS audits of establishment</w:t>
      </w:r>
      <w:r w:rsidR="004427AB">
        <w:t>’</w:t>
      </w:r>
      <w:r>
        <w:t>s animal handling practices</w:t>
      </w:r>
      <w:bookmarkEnd w:id="15"/>
      <w:r>
        <w:t>:</w:t>
      </w:r>
    </w:p>
    <w:p w14:paraId="7C748C7C" w14:textId="77777777" w:rsidR="007E3AC5" w:rsidRDefault="007E3AC5" w:rsidP="00622F24">
      <w:pPr>
        <w:pStyle w:val="Bullet1"/>
        <w:numPr>
          <w:ilvl w:val="0"/>
          <w:numId w:val="4"/>
        </w:numPr>
        <w:ind w:left="1712" w:right="992" w:hanging="357"/>
        <w:textAlignment w:val="auto"/>
      </w:pPr>
      <w:r>
        <w:t>must be undertaken by accredited AUS-MEAT animal welfare auditors</w:t>
      </w:r>
    </w:p>
    <w:p w14:paraId="1E3E7632" w14:textId="77777777" w:rsidR="007E3AC5" w:rsidRDefault="007E3AC5" w:rsidP="00622F24">
      <w:pPr>
        <w:pStyle w:val="Bullet1"/>
        <w:numPr>
          <w:ilvl w:val="0"/>
          <w:numId w:val="4"/>
        </w:numPr>
        <w:ind w:left="1712" w:right="992" w:hanging="357"/>
        <w:textAlignment w:val="auto"/>
      </w:pPr>
      <w:r>
        <w:t xml:space="preserve">must include an invitation to OPVs to attend the entry and/or exit meeting </w:t>
      </w:r>
    </w:p>
    <w:p w14:paraId="5D492D76" w14:textId="77777777" w:rsidR="007E3AC5" w:rsidRDefault="007E3AC5" w:rsidP="00622F24">
      <w:pPr>
        <w:pStyle w:val="Bullet1"/>
        <w:numPr>
          <w:ilvl w:val="0"/>
          <w:numId w:val="4"/>
        </w:numPr>
        <w:ind w:left="1712" w:right="992" w:hanging="357"/>
        <w:textAlignment w:val="auto"/>
      </w:pPr>
      <w:r>
        <w:t>must permit audit reports to be made available to department auditors when requested.</w:t>
      </w:r>
    </w:p>
    <w:p w14:paraId="1CEED645" w14:textId="77777777" w:rsidR="007E3AC5" w:rsidRDefault="007E3AC5" w:rsidP="007E3AC5">
      <w:pPr>
        <w:pStyle w:val="Heading2"/>
        <w:keepNext/>
        <w:rPr>
          <w:b w:val="0"/>
        </w:rPr>
      </w:pPr>
      <w:bookmarkStart w:id="16" w:name="_Toc97043283"/>
      <w:bookmarkStart w:id="17" w:name="_Toc130307621"/>
      <w:bookmarkEnd w:id="9"/>
      <w:r>
        <w:lastRenderedPageBreak/>
        <w:t>Review</w:t>
      </w:r>
      <w:bookmarkEnd w:id="16"/>
      <w:bookmarkEnd w:id="17"/>
    </w:p>
    <w:p w14:paraId="685B926B" w14:textId="5EBE5891" w:rsidR="00BC6165" w:rsidRPr="00D61E4E" w:rsidRDefault="007E3AC5" w:rsidP="00D61E4E">
      <w:pPr>
        <w:pStyle w:val="Documentbody-bodytext"/>
      </w:pPr>
      <w:r>
        <w:t>This document is to be reviewed on at least a biennial basis, commencing 12 months from the initial rollout date for the systems-based audit.</w:t>
      </w:r>
      <w:bookmarkStart w:id="18" w:name="_Related_Material"/>
      <w:bookmarkStart w:id="19" w:name="_Related_Material_1"/>
      <w:bookmarkEnd w:id="18"/>
      <w:bookmarkEnd w:id="19"/>
    </w:p>
    <w:p w14:paraId="29D76E2E" w14:textId="2F0A6626" w:rsidR="00A0739E" w:rsidRPr="00C653A0" w:rsidRDefault="00A0739E" w:rsidP="00A0739E">
      <w:pPr>
        <w:pStyle w:val="Heading2"/>
        <w:rPr>
          <w:color w:val="00588F"/>
          <w:spacing w:val="-3"/>
        </w:rPr>
      </w:pPr>
      <w:bookmarkStart w:id="20" w:name="_Related_material_2"/>
      <w:bookmarkStart w:id="21" w:name="_Toc130307622"/>
      <w:bookmarkEnd w:id="20"/>
      <w:r w:rsidRPr="00C03F16">
        <w:t xml:space="preserve">Related </w:t>
      </w:r>
      <w:r w:rsidR="000E6774">
        <w:t>m</w:t>
      </w:r>
      <w:r w:rsidRPr="00C03F16">
        <w:t>aterial</w:t>
      </w:r>
      <w:bookmarkEnd w:id="21"/>
      <w:r w:rsidRPr="00C03F16">
        <w:t xml:space="preserve"> </w:t>
      </w:r>
    </w:p>
    <w:p w14:paraId="159B016C" w14:textId="439561D8" w:rsidR="007E3AC5" w:rsidRDefault="007E3AC5" w:rsidP="00CD0BC4">
      <w:pPr>
        <w:pStyle w:val="Documentbody-bodytext"/>
      </w:pPr>
      <w:r>
        <w:t>The following related material is available on the department</w:t>
      </w:r>
      <w:r w:rsidR="0036231A">
        <w:t>’</w:t>
      </w:r>
      <w:r>
        <w:t>s website:</w:t>
      </w:r>
    </w:p>
    <w:p w14:paraId="76924EC5" w14:textId="77777777" w:rsidR="007E3AC5" w:rsidRDefault="007E3AC5" w:rsidP="007E3AC5">
      <w:pPr>
        <w:pStyle w:val="Bullet1"/>
        <w:numPr>
          <w:ilvl w:val="0"/>
          <w:numId w:val="4"/>
        </w:numPr>
        <w:textAlignment w:val="auto"/>
      </w:pPr>
      <w:r>
        <w:t xml:space="preserve">Webpage: </w:t>
      </w:r>
      <w:hyperlink r:id="rId18" w:history="1">
        <w:r>
          <w:rPr>
            <w:rStyle w:val="Hyperlink"/>
          </w:rPr>
          <w:t>Approved arrangement guidelines – Meat</w:t>
        </w:r>
      </w:hyperlink>
      <w:r>
        <w:t xml:space="preserve"> </w:t>
      </w:r>
    </w:p>
    <w:p w14:paraId="65E4C0CB" w14:textId="77777777" w:rsidR="007E3AC5" w:rsidRDefault="007E3AC5" w:rsidP="007E3AC5">
      <w:pPr>
        <w:pStyle w:val="Bullet1"/>
        <w:numPr>
          <w:ilvl w:val="0"/>
          <w:numId w:val="4"/>
        </w:numPr>
        <w:textAlignment w:val="auto"/>
      </w:pPr>
      <w:r>
        <w:t xml:space="preserve">Webpage: </w:t>
      </w:r>
      <w:hyperlink r:id="rId19" w:history="1">
        <w:r>
          <w:rPr>
            <w:rStyle w:val="Hyperlink"/>
          </w:rPr>
          <w:t>Approved arrangement guidelines – Wild game meat</w:t>
        </w:r>
      </w:hyperlink>
      <w:r>
        <w:t xml:space="preserve"> </w:t>
      </w:r>
    </w:p>
    <w:p w14:paraId="61649EFE" w14:textId="6E82260D" w:rsidR="005E02B8" w:rsidRDefault="005E02B8" w:rsidP="005E02B8">
      <w:pPr>
        <w:pStyle w:val="Bullet1"/>
        <w:numPr>
          <w:ilvl w:val="0"/>
          <w:numId w:val="4"/>
        </w:numPr>
        <w:textAlignment w:val="auto"/>
      </w:pPr>
      <w:r>
        <w:t xml:space="preserve">Webpage: </w:t>
      </w:r>
      <w:hyperlink r:id="rId20" w:history="1">
        <w:r w:rsidRPr="005E02B8">
          <w:rPr>
            <w:rStyle w:val="Hyperlink"/>
          </w:rPr>
          <w:t>Export Meat Systems Audit Program (EMSAP)</w:t>
        </w:r>
      </w:hyperlink>
    </w:p>
    <w:p w14:paraId="13C514E0" w14:textId="77777777" w:rsidR="007E3AC5" w:rsidRDefault="007E3AC5" w:rsidP="007E3AC5">
      <w:pPr>
        <w:pStyle w:val="Bullet1"/>
        <w:numPr>
          <w:ilvl w:val="0"/>
          <w:numId w:val="4"/>
        </w:numPr>
        <w:textAlignment w:val="auto"/>
        <w:rPr>
          <w:rStyle w:val="Hyperlink"/>
        </w:rPr>
      </w:pPr>
      <w:r>
        <w:t xml:space="preserve">Webpage: </w:t>
      </w:r>
      <w:hyperlink r:id="rId21" w:history="1">
        <w:r>
          <w:rPr>
            <w:rStyle w:val="Hyperlink"/>
          </w:rPr>
          <w:t>Meat Export Regulatory Action and Sanctions Policy</w:t>
        </w:r>
      </w:hyperlink>
    </w:p>
    <w:p w14:paraId="0ABE82C9" w14:textId="4CD55970" w:rsidR="007E3AC5" w:rsidRPr="0048383B" w:rsidRDefault="007E3AC5" w:rsidP="007E3AC5">
      <w:pPr>
        <w:pStyle w:val="Bullet1"/>
        <w:numPr>
          <w:ilvl w:val="0"/>
          <w:numId w:val="4"/>
        </w:numPr>
        <w:textAlignment w:val="auto"/>
      </w:pPr>
      <w:r w:rsidRPr="00CD0BC4">
        <w:t xml:space="preserve">Webpage: </w:t>
      </w:r>
      <w:hyperlink r:id="rId22" w:history="1">
        <w:r w:rsidR="00D517C7" w:rsidRPr="00D517C7">
          <w:rPr>
            <w:rStyle w:val="Hyperlink"/>
          </w:rPr>
          <w:t>Guideline – Critical incident response</w:t>
        </w:r>
      </w:hyperlink>
    </w:p>
    <w:p w14:paraId="49AC0F58" w14:textId="77777777" w:rsidR="007E3AC5" w:rsidRDefault="007E3AC5" w:rsidP="007E3AC5">
      <w:pPr>
        <w:pStyle w:val="Bullet1"/>
        <w:numPr>
          <w:ilvl w:val="0"/>
          <w:numId w:val="4"/>
        </w:numPr>
        <w:textAlignment w:val="auto"/>
        <w:rPr>
          <w:rStyle w:val="Hyperlink"/>
        </w:rPr>
      </w:pPr>
      <w:r w:rsidRPr="00CD0BC4">
        <w:t xml:space="preserve">Webpage: </w:t>
      </w:r>
      <w:hyperlink r:id="rId23" w:history="1">
        <w:r>
          <w:rPr>
            <w:rStyle w:val="Hyperlink"/>
          </w:rPr>
          <w:t>Australian Livestock Processing Industry Animal Welfare Certification System (AAWCS) Conditions of Recognition</w:t>
        </w:r>
      </w:hyperlink>
    </w:p>
    <w:p w14:paraId="68D570E4" w14:textId="715B1A91" w:rsidR="007E3AC5" w:rsidRPr="00685E8F" w:rsidRDefault="007E3AC5" w:rsidP="007E3AC5">
      <w:pPr>
        <w:pStyle w:val="Bullet1"/>
        <w:numPr>
          <w:ilvl w:val="0"/>
          <w:numId w:val="4"/>
        </w:numPr>
        <w:textAlignment w:val="auto"/>
        <w:rPr>
          <w:rStyle w:val="Hyperlink"/>
          <w:color w:val="000000"/>
          <w:u w:val="none"/>
        </w:rPr>
      </w:pPr>
      <w:r>
        <w:t xml:space="preserve">Webpage: </w:t>
      </w:r>
      <w:hyperlink r:id="rId24" w:history="1">
        <w:r>
          <w:rPr>
            <w:rStyle w:val="Hyperlink"/>
          </w:rPr>
          <w:t>Quick Reference Card – Animal Welfare Regulatory Management</w:t>
        </w:r>
      </w:hyperlink>
    </w:p>
    <w:p w14:paraId="44A921F0" w14:textId="77777777" w:rsidR="00685E8F" w:rsidRDefault="00685E8F" w:rsidP="00685E8F">
      <w:pPr>
        <w:pStyle w:val="Frontpage-bulletlist"/>
        <w:rPr>
          <w:rStyle w:val="Hyperlink"/>
          <w:color w:val="000000"/>
          <w:u w:val="none"/>
        </w:rPr>
      </w:pPr>
      <w:r>
        <w:rPr>
          <w:rStyle w:val="Hyperlink"/>
          <w:color w:val="000000"/>
          <w:u w:val="none"/>
        </w:rPr>
        <w:t>Webpage: Export Meat Operational Policy 1.0 Animal welfare (pending publication)</w:t>
      </w:r>
    </w:p>
    <w:p w14:paraId="2787C676" w14:textId="66CC5B22" w:rsidR="00685E8F" w:rsidRPr="00985248" w:rsidRDefault="00685E8F" w:rsidP="00685E8F">
      <w:pPr>
        <w:pStyle w:val="Frontpage-bulletlist"/>
        <w:rPr>
          <w:rStyle w:val="Hyperlink"/>
          <w:color w:val="000000"/>
          <w:u w:val="none"/>
        </w:rPr>
      </w:pPr>
      <w:r>
        <w:rPr>
          <w:rStyle w:val="Hyperlink"/>
          <w:color w:val="000000"/>
          <w:u w:val="none"/>
        </w:rPr>
        <w:t xml:space="preserve">Webpage: Export Meat Operational Guideline 1.2 </w:t>
      </w:r>
      <w:r w:rsidRPr="00685E8F">
        <w:rPr>
          <w:rStyle w:val="Hyperlink"/>
          <w:color w:val="000000"/>
          <w:u w:val="none"/>
        </w:rPr>
        <w:t>Animal welfare incident reporting</w:t>
      </w:r>
      <w:r>
        <w:rPr>
          <w:rStyle w:val="Hyperlink"/>
          <w:color w:val="000000"/>
          <w:u w:val="none"/>
        </w:rPr>
        <w:t xml:space="preserve"> (pending publication)</w:t>
      </w:r>
    </w:p>
    <w:p w14:paraId="4F171C65" w14:textId="7C8B8C47" w:rsidR="00685E8F" w:rsidRPr="00685E8F" w:rsidRDefault="00685E8F" w:rsidP="00685E8F">
      <w:pPr>
        <w:pStyle w:val="Frontpage-bulletlist"/>
        <w:rPr>
          <w:rStyle w:val="Hyperlink"/>
          <w:color w:val="000000"/>
          <w:u w:val="none"/>
        </w:rPr>
      </w:pPr>
      <w:r>
        <w:rPr>
          <w:rStyle w:val="Hyperlink"/>
          <w:color w:val="000000"/>
          <w:u w:val="none"/>
        </w:rPr>
        <w:t xml:space="preserve">Webpage: Export Meat Operational Guideline 1.3 </w:t>
      </w:r>
      <w:r w:rsidRPr="00831BD8">
        <w:rPr>
          <w:rStyle w:val="Hyperlink"/>
          <w:color w:val="000000"/>
          <w:u w:val="none"/>
        </w:rPr>
        <w:t>Department-recognised animal welfare system</w:t>
      </w:r>
      <w:r>
        <w:rPr>
          <w:rStyle w:val="Hyperlink"/>
          <w:color w:val="000000"/>
          <w:u w:val="none"/>
        </w:rPr>
        <w:t xml:space="preserve"> (pending publication)</w:t>
      </w:r>
    </w:p>
    <w:p w14:paraId="5F58D76F" w14:textId="77777777" w:rsidR="007E3AC5" w:rsidRDefault="007E3AC5" w:rsidP="00CD0BC4">
      <w:pPr>
        <w:pStyle w:val="Documentbody-bodytext"/>
      </w:pPr>
      <w:r>
        <w:t>The following related material is available on the internet:</w:t>
      </w:r>
    </w:p>
    <w:p w14:paraId="6E4D99C9" w14:textId="77777777" w:rsidR="007E3AC5" w:rsidRDefault="007E3AC5" w:rsidP="007E3AC5">
      <w:pPr>
        <w:pStyle w:val="Bullet1"/>
        <w:numPr>
          <w:ilvl w:val="0"/>
          <w:numId w:val="4"/>
        </w:numPr>
        <w:textAlignment w:val="auto"/>
        <w:rPr>
          <w:i/>
          <w:iCs/>
        </w:rPr>
      </w:pPr>
      <w:r>
        <w:t xml:space="preserve">Webpage: </w:t>
      </w:r>
      <w:hyperlink r:id="rId25" w:history="1">
        <w:r w:rsidRPr="00DE458F">
          <w:rPr>
            <w:rStyle w:val="Hyperlink"/>
          </w:rPr>
          <w:t>Export Control Act 2020</w:t>
        </w:r>
      </w:hyperlink>
    </w:p>
    <w:p w14:paraId="32119368" w14:textId="77777777" w:rsidR="007E3AC5" w:rsidRDefault="007E3AC5" w:rsidP="007E3AC5">
      <w:pPr>
        <w:pStyle w:val="Bullet1"/>
        <w:numPr>
          <w:ilvl w:val="0"/>
          <w:numId w:val="4"/>
        </w:numPr>
        <w:textAlignment w:val="auto"/>
      </w:pPr>
      <w:r>
        <w:t xml:space="preserve">Webpage: </w:t>
      </w:r>
      <w:hyperlink r:id="rId26" w:history="1">
        <w:r>
          <w:rPr>
            <w:rStyle w:val="Hyperlink"/>
          </w:rPr>
          <w:t>Export Control (Meat and Meat Products) Rules 2021</w:t>
        </w:r>
      </w:hyperlink>
    </w:p>
    <w:p w14:paraId="6750B919" w14:textId="77777777" w:rsidR="007E3AC5" w:rsidRDefault="007E3AC5" w:rsidP="007E3AC5">
      <w:pPr>
        <w:pStyle w:val="Bullet1"/>
        <w:numPr>
          <w:ilvl w:val="0"/>
          <w:numId w:val="4"/>
        </w:numPr>
        <w:textAlignment w:val="auto"/>
      </w:pPr>
      <w:r>
        <w:t xml:space="preserve">Webpage: </w:t>
      </w:r>
      <w:hyperlink r:id="rId27" w:history="1">
        <w:r>
          <w:rPr>
            <w:rStyle w:val="Hyperlink"/>
          </w:rPr>
          <w:t>Export Control (Wild Game Meat and Wild Game Meat Products) Rules 2021</w:t>
        </w:r>
      </w:hyperlink>
    </w:p>
    <w:p w14:paraId="1ED9D664" w14:textId="526AE443" w:rsidR="007E3AC5" w:rsidRDefault="007E3AC5" w:rsidP="007E3AC5">
      <w:pPr>
        <w:pStyle w:val="Bullet1"/>
        <w:numPr>
          <w:ilvl w:val="0"/>
          <w:numId w:val="4"/>
        </w:numPr>
        <w:textAlignment w:val="auto"/>
      </w:pPr>
      <w:r>
        <w:t xml:space="preserve">Webpage: </w:t>
      </w:r>
      <w:hyperlink r:id="rId28" w:history="1">
        <w:r>
          <w:rPr>
            <w:rStyle w:val="Hyperlink"/>
          </w:rPr>
          <w:t xml:space="preserve">Industry Animal Welfare Standards – </w:t>
        </w:r>
        <w:r w:rsidR="00AD01CD">
          <w:rPr>
            <w:rStyle w:val="Hyperlink"/>
          </w:rPr>
          <w:t>Third</w:t>
        </w:r>
        <w:r>
          <w:rPr>
            <w:rStyle w:val="Hyperlink"/>
          </w:rPr>
          <w:t xml:space="preserve"> Edition</w:t>
        </w:r>
      </w:hyperlink>
    </w:p>
    <w:p w14:paraId="260279CB" w14:textId="62A84345" w:rsidR="007E3AC5" w:rsidRDefault="002A4E34" w:rsidP="007E3AC5">
      <w:pPr>
        <w:pStyle w:val="Bullet1"/>
        <w:numPr>
          <w:ilvl w:val="0"/>
          <w:numId w:val="4"/>
        </w:numPr>
        <w:textAlignment w:val="auto"/>
      </w:pPr>
      <w:r>
        <w:t>PDF</w:t>
      </w:r>
      <w:r w:rsidR="007E3AC5">
        <w:t xml:space="preserve">: </w:t>
      </w:r>
      <w:hyperlink r:id="rId29" w:history="1">
        <w:r w:rsidR="00E01AC5" w:rsidRPr="00E01AC5">
          <w:rPr>
            <w:rStyle w:val="Hyperlink"/>
          </w:rPr>
          <w:t>Australian standard for the hygienic production and transportation of meat and meat products for human consumption (AS4696)</w:t>
        </w:r>
      </w:hyperlink>
    </w:p>
    <w:p w14:paraId="5EA1DF3D" w14:textId="5D9D35B9" w:rsidR="002A4E34" w:rsidRDefault="002A4E34" w:rsidP="007E3AC5">
      <w:pPr>
        <w:pStyle w:val="Bullet1"/>
        <w:numPr>
          <w:ilvl w:val="0"/>
          <w:numId w:val="4"/>
        </w:numPr>
        <w:textAlignment w:val="auto"/>
      </w:pPr>
      <w:r>
        <w:t xml:space="preserve">PDF: </w:t>
      </w:r>
      <w:hyperlink r:id="rId30" w:history="1">
        <w:r w:rsidRPr="002A4E34">
          <w:rPr>
            <w:rStyle w:val="Hyperlink"/>
          </w:rPr>
          <w:t>Australian standard for the hygienic production of wild game meat for human consumption (AS4464)</w:t>
        </w:r>
      </w:hyperlink>
    </w:p>
    <w:p w14:paraId="480734D1" w14:textId="77777777" w:rsidR="007E3AC5" w:rsidRDefault="007E3AC5" w:rsidP="007E3AC5">
      <w:pPr>
        <w:pStyle w:val="Bullet1"/>
        <w:numPr>
          <w:ilvl w:val="0"/>
          <w:numId w:val="4"/>
        </w:numPr>
        <w:textAlignment w:val="auto"/>
      </w:pPr>
      <w:r>
        <w:t xml:space="preserve">Webpage: </w:t>
      </w:r>
      <w:hyperlink r:id="rId31" w:history="1">
        <w:r>
          <w:rPr>
            <w:rStyle w:val="Hyperlink"/>
          </w:rPr>
          <w:t>The Australian Livestock Processing Industry Animal Welfare Certification System (AAWCS)</w:t>
        </w:r>
      </w:hyperlink>
      <w:r>
        <w:t xml:space="preserve"> </w:t>
      </w:r>
    </w:p>
    <w:p w14:paraId="5782081F" w14:textId="77777777" w:rsidR="007E3AC5" w:rsidRDefault="007E3AC5" w:rsidP="007E3AC5">
      <w:pPr>
        <w:pStyle w:val="Bullet1"/>
        <w:numPr>
          <w:ilvl w:val="0"/>
          <w:numId w:val="4"/>
        </w:numPr>
        <w:textAlignment w:val="auto"/>
      </w:pPr>
      <w:r>
        <w:t xml:space="preserve">Webpage: </w:t>
      </w:r>
      <w:hyperlink r:id="rId32" w:history="1">
        <w:r>
          <w:rPr>
            <w:rStyle w:val="Hyperlink"/>
          </w:rPr>
          <w:t>Land Transport</w:t>
        </w:r>
      </w:hyperlink>
    </w:p>
    <w:p w14:paraId="327E7111" w14:textId="77777777" w:rsidR="007E3AC5" w:rsidRDefault="007E3AC5" w:rsidP="007E3AC5">
      <w:pPr>
        <w:pStyle w:val="Bullet1"/>
        <w:numPr>
          <w:ilvl w:val="0"/>
          <w:numId w:val="4"/>
        </w:numPr>
        <w:textAlignment w:val="auto"/>
      </w:pPr>
      <w:r>
        <w:t xml:space="preserve">Webpage: </w:t>
      </w:r>
      <w:hyperlink r:id="rId33" w:history="1">
        <w:r>
          <w:rPr>
            <w:rStyle w:val="Hyperlink"/>
          </w:rPr>
          <w:t>Is the animal fit to load?</w:t>
        </w:r>
      </w:hyperlink>
    </w:p>
    <w:p w14:paraId="37C470EB" w14:textId="77777777" w:rsidR="007E3AC5" w:rsidRDefault="007E3AC5" w:rsidP="007E3AC5">
      <w:pPr>
        <w:pStyle w:val="Bullet1"/>
        <w:numPr>
          <w:ilvl w:val="0"/>
          <w:numId w:val="4"/>
        </w:numPr>
        <w:textAlignment w:val="auto"/>
      </w:pPr>
      <w:r>
        <w:t xml:space="preserve">PDF: </w:t>
      </w:r>
      <w:hyperlink r:id="rId34" w:history="1">
        <w:r>
          <w:rPr>
            <w:rStyle w:val="Hyperlink"/>
          </w:rPr>
          <w:t>Is it fit for the intended journey?</w:t>
        </w:r>
      </w:hyperlink>
    </w:p>
    <w:p w14:paraId="062CB5C0" w14:textId="77777777" w:rsidR="007E3AC5" w:rsidRDefault="007E3AC5" w:rsidP="007E3AC5">
      <w:pPr>
        <w:pStyle w:val="Bullet1"/>
        <w:numPr>
          <w:ilvl w:val="0"/>
          <w:numId w:val="4"/>
        </w:numPr>
        <w:textAlignment w:val="auto"/>
      </w:pPr>
      <w:r>
        <w:t xml:space="preserve">Webpage: </w:t>
      </w:r>
      <w:hyperlink r:id="rId35" w:history="1">
        <w:r w:rsidRPr="00DE458F">
          <w:rPr>
            <w:rStyle w:val="Hyperlink"/>
          </w:rPr>
          <w:t>Work Health and Safety Act 2011</w:t>
        </w:r>
      </w:hyperlink>
    </w:p>
    <w:p w14:paraId="7C453A13" w14:textId="77777777" w:rsidR="007E3AC5" w:rsidRDefault="007E3AC5" w:rsidP="007E3AC5">
      <w:pPr>
        <w:pStyle w:val="Bullet1"/>
        <w:numPr>
          <w:ilvl w:val="0"/>
          <w:numId w:val="4"/>
        </w:numPr>
        <w:textAlignment w:val="auto"/>
      </w:pPr>
      <w:r>
        <w:t xml:space="preserve">Webpage: </w:t>
      </w:r>
      <w:hyperlink r:id="rId36" w:history="1">
        <w:r>
          <w:rPr>
            <w:rStyle w:val="Hyperlink"/>
          </w:rPr>
          <w:t>APS Values and Code of Conduct in practice</w:t>
        </w:r>
      </w:hyperlink>
    </w:p>
    <w:p w14:paraId="5444079D" w14:textId="77777777" w:rsidR="006C54F9" w:rsidRDefault="006C54F9">
      <w:pPr>
        <w:rPr>
          <w:rFonts w:ascii="Cambria" w:eastAsia="Cambria" w:hAnsi="Cambria"/>
          <w:b/>
          <w:color w:val="165788"/>
          <w:spacing w:val="-1"/>
          <w:sz w:val="33"/>
        </w:rPr>
      </w:pPr>
      <w:r>
        <w:br w:type="page"/>
      </w:r>
    </w:p>
    <w:p w14:paraId="68E71DF9" w14:textId="0D74C8B2" w:rsidR="00A0739E" w:rsidRDefault="00A0739E" w:rsidP="00A0739E">
      <w:pPr>
        <w:pStyle w:val="Heading2"/>
      </w:pPr>
      <w:bookmarkStart w:id="22" w:name="_Toc130307623"/>
      <w:r>
        <w:lastRenderedPageBreak/>
        <w:t>Attachment 1: Roles and responsibilities</w:t>
      </w:r>
      <w:bookmarkEnd w:id="22"/>
    </w:p>
    <w:p w14:paraId="1E3E9F76" w14:textId="77777777" w:rsidR="007E3AC5" w:rsidRDefault="007E3AC5" w:rsidP="007E3AC5">
      <w:pPr>
        <w:pStyle w:val="Heading3"/>
      </w:pPr>
      <w:bookmarkStart w:id="23" w:name="_Toc97043286"/>
      <w:bookmarkStart w:id="24" w:name="_Toc130307624"/>
      <w:r>
        <w:t>On-Plant Veterinarian (OPV)</w:t>
      </w:r>
      <w:bookmarkEnd w:id="23"/>
      <w:bookmarkEnd w:id="24"/>
    </w:p>
    <w:p w14:paraId="63782BB6" w14:textId="5C4D5819" w:rsidR="007E3AC5" w:rsidRDefault="007E3AC5" w:rsidP="007E3AC5">
      <w:pPr>
        <w:pStyle w:val="Bullet1"/>
        <w:numPr>
          <w:ilvl w:val="0"/>
          <w:numId w:val="4"/>
        </w:numPr>
        <w:textAlignment w:val="auto"/>
      </w:pPr>
      <w:r>
        <w:t>Verify compliance with the applicable animal welfare laws and standards as per the establishment</w:t>
      </w:r>
      <w:r w:rsidR="0036231A">
        <w:t>’</w:t>
      </w:r>
      <w:r>
        <w:t>s approved arrangement.</w:t>
      </w:r>
    </w:p>
    <w:p w14:paraId="1431C7A7" w14:textId="2326A40C" w:rsidR="007E3AC5" w:rsidRDefault="007E3AC5" w:rsidP="007E3AC5">
      <w:pPr>
        <w:pStyle w:val="Bullet1"/>
        <w:numPr>
          <w:ilvl w:val="0"/>
          <w:numId w:val="4"/>
        </w:numPr>
        <w:textAlignment w:val="auto"/>
      </w:pPr>
      <w:r>
        <w:t>Verify compliance of personnel and operations on establishment with all aspects of the establishment</w:t>
      </w:r>
      <w:r w:rsidR="0036231A">
        <w:t>’</w:t>
      </w:r>
      <w:r>
        <w:t>s animal welfare standard operating procedures.</w:t>
      </w:r>
    </w:p>
    <w:p w14:paraId="54C4FFAC" w14:textId="768E06D5" w:rsidR="007E3AC5" w:rsidRDefault="007E3AC5" w:rsidP="007E3AC5">
      <w:pPr>
        <w:pStyle w:val="Bullet1"/>
        <w:numPr>
          <w:ilvl w:val="0"/>
          <w:numId w:val="4"/>
        </w:numPr>
        <w:textAlignment w:val="auto"/>
      </w:pPr>
      <w:r>
        <w:t>Monitor the condition of animals arriving for slaughter</w:t>
      </w:r>
      <w:r w:rsidR="00062D7D">
        <w:t xml:space="preserve"> and </w:t>
      </w:r>
      <w:r w:rsidR="000963E3">
        <w:t xml:space="preserve">assess the condition of </w:t>
      </w:r>
      <w:r w:rsidR="00062D7D">
        <w:t>wild game carcases for non</w:t>
      </w:r>
      <w:r w:rsidR="000963E3">
        <w:noBreakHyphen/>
      </w:r>
      <w:r w:rsidR="00062D7D">
        <w:t>head shots</w:t>
      </w:r>
      <w:r>
        <w:t>.</w:t>
      </w:r>
    </w:p>
    <w:p w14:paraId="2491578E" w14:textId="77777777" w:rsidR="007E3AC5" w:rsidRDefault="007E3AC5" w:rsidP="007E3AC5">
      <w:pPr>
        <w:pStyle w:val="Bullet1"/>
        <w:numPr>
          <w:ilvl w:val="0"/>
          <w:numId w:val="4"/>
        </w:numPr>
        <w:textAlignment w:val="auto"/>
      </w:pPr>
      <w:r>
        <w:t>Verify that the establishment management is appropriately managing animals arriving with unfit to load conditions.</w:t>
      </w:r>
    </w:p>
    <w:p w14:paraId="76D8B5E7" w14:textId="77777777" w:rsidR="007E3AC5" w:rsidRDefault="007E3AC5" w:rsidP="007E3AC5">
      <w:pPr>
        <w:pStyle w:val="Bullet1"/>
        <w:numPr>
          <w:ilvl w:val="0"/>
          <w:numId w:val="4"/>
        </w:numPr>
        <w:textAlignment w:val="auto"/>
      </w:pPr>
      <w:r>
        <w:t>Ensure all staff are handling animals appropriately from the point of unloading through to the knocking box.</w:t>
      </w:r>
    </w:p>
    <w:p w14:paraId="72C75E85" w14:textId="66F0E606" w:rsidR="007E3AC5" w:rsidRDefault="007E3AC5" w:rsidP="007E3AC5">
      <w:pPr>
        <w:pStyle w:val="Bullet1"/>
        <w:numPr>
          <w:ilvl w:val="0"/>
          <w:numId w:val="4"/>
        </w:numPr>
        <w:textAlignment w:val="auto"/>
      </w:pPr>
      <w:r>
        <w:t>Direct establishment management to take immediate corrective action, as necessary, to rectify animal welfare concerns and prevent further undue pain and suffering of animals on</w:t>
      </w:r>
      <w:r w:rsidR="00D565CF">
        <w:noBreakHyphen/>
      </w:r>
      <w:r>
        <w:t>plant (where the establishment has not identified animal welfare incidents and taken appropriate action).</w:t>
      </w:r>
    </w:p>
    <w:p w14:paraId="6581FB0B" w14:textId="077545FB" w:rsidR="007E3AC5" w:rsidRDefault="007E3AC5" w:rsidP="007E3AC5">
      <w:pPr>
        <w:pStyle w:val="Bullet1"/>
        <w:numPr>
          <w:ilvl w:val="0"/>
          <w:numId w:val="4"/>
        </w:numPr>
        <w:textAlignment w:val="auto"/>
      </w:pPr>
      <w:r>
        <w:t>Verify that the establishment undertakes timely corrective action an</w:t>
      </w:r>
      <w:r w:rsidR="00A237BF">
        <w:t>d is completing reports of animal welfare incidents</w:t>
      </w:r>
      <w:r>
        <w:t>.</w:t>
      </w:r>
    </w:p>
    <w:p w14:paraId="4688B009" w14:textId="76E6E343" w:rsidR="007E3AC5" w:rsidRDefault="007E3AC5" w:rsidP="007E3AC5">
      <w:pPr>
        <w:pStyle w:val="Bullet1"/>
        <w:numPr>
          <w:ilvl w:val="0"/>
          <w:numId w:val="4"/>
        </w:numPr>
        <w:textAlignment w:val="auto"/>
      </w:pPr>
      <w:r>
        <w:t>Review the establishment</w:t>
      </w:r>
      <w:r w:rsidR="0036231A">
        <w:t>’</w:t>
      </w:r>
      <w:r>
        <w:t>s animal welfare incident report.</w:t>
      </w:r>
    </w:p>
    <w:p w14:paraId="04D61759" w14:textId="77777777" w:rsidR="007E3AC5" w:rsidRDefault="007E3AC5" w:rsidP="007E3AC5">
      <w:pPr>
        <w:pStyle w:val="Bullet1"/>
        <w:numPr>
          <w:ilvl w:val="0"/>
          <w:numId w:val="4"/>
        </w:numPr>
        <w:textAlignment w:val="auto"/>
      </w:pPr>
      <w:r>
        <w:t>Submit animal welfare incident report to the relevant state/territory authority.</w:t>
      </w:r>
    </w:p>
    <w:p w14:paraId="244A6F26" w14:textId="7B1B3543" w:rsidR="007E3AC5" w:rsidRDefault="007E3AC5" w:rsidP="007E3AC5">
      <w:pPr>
        <w:pStyle w:val="Bullet1"/>
        <w:numPr>
          <w:ilvl w:val="0"/>
          <w:numId w:val="4"/>
        </w:numPr>
        <w:textAlignment w:val="auto"/>
      </w:pPr>
      <w:r>
        <w:t xml:space="preserve">Ensure carcases condemned due to gunshot wound (GSW) are recorded in </w:t>
      </w:r>
      <w:r w:rsidR="00491E4E">
        <w:t xml:space="preserve">the Meat Export Data Collection System </w:t>
      </w:r>
      <w:r w:rsidR="00491E4E" w:rsidRPr="00491E4E">
        <w:t>(</w:t>
      </w:r>
      <w:r w:rsidRPr="00491E4E">
        <w:t>MEDC</w:t>
      </w:r>
      <w:r w:rsidR="00491E4E" w:rsidRPr="00491E4E">
        <w:t>)</w:t>
      </w:r>
      <w:r>
        <w:t xml:space="preserve"> as a condemned </w:t>
      </w:r>
      <w:r w:rsidR="0036231A">
        <w:t>‘</w:t>
      </w:r>
      <w:r>
        <w:t>non-headshot</w:t>
      </w:r>
      <w:r w:rsidR="0036231A">
        <w:t>’</w:t>
      </w:r>
      <w:r>
        <w:t>.</w:t>
      </w:r>
    </w:p>
    <w:p w14:paraId="5696D906" w14:textId="77777777" w:rsidR="007E3AC5" w:rsidRDefault="007E3AC5" w:rsidP="007E3AC5">
      <w:pPr>
        <w:pStyle w:val="Heading3"/>
      </w:pPr>
      <w:bookmarkStart w:id="25" w:name="_Toc97043287"/>
      <w:bookmarkStart w:id="26" w:name="_Toc130307625"/>
      <w:r>
        <w:t>The occupier</w:t>
      </w:r>
      <w:bookmarkEnd w:id="25"/>
      <w:bookmarkEnd w:id="26"/>
    </w:p>
    <w:p w14:paraId="74109B4F" w14:textId="77777777" w:rsidR="007E3AC5" w:rsidRDefault="007E3AC5" w:rsidP="007E3AC5">
      <w:pPr>
        <w:pStyle w:val="Bullet1"/>
        <w:numPr>
          <w:ilvl w:val="0"/>
          <w:numId w:val="4"/>
        </w:numPr>
        <w:textAlignment w:val="auto"/>
      </w:pPr>
      <w:r>
        <w:t>Animal welfare at export-registered red meat abattoirs is the responsibility of the abattoir management.</w:t>
      </w:r>
    </w:p>
    <w:p w14:paraId="3C2327A0" w14:textId="77777777" w:rsidR="007E3AC5" w:rsidRDefault="007E3AC5" w:rsidP="007E3AC5">
      <w:pPr>
        <w:pStyle w:val="Bullet1"/>
        <w:numPr>
          <w:ilvl w:val="0"/>
          <w:numId w:val="4"/>
        </w:numPr>
        <w:textAlignment w:val="auto"/>
      </w:pPr>
      <w:r>
        <w:t>Export-registered red meat abattoirs are responsible for animal welfare from the unloading of animals off the truck at the abattoir to, and including, the point of slaughter.</w:t>
      </w:r>
    </w:p>
    <w:p w14:paraId="2BB3FDC4" w14:textId="77777777" w:rsidR="007E3AC5" w:rsidRDefault="007E3AC5" w:rsidP="007E3AC5">
      <w:pPr>
        <w:pStyle w:val="Heading3"/>
      </w:pPr>
      <w:bookmarkStart w:id="27" w:name="_Toc97043288"/>
      <w:bookmarkStart w:id="28" w:name="_Toc130307626"/>
      <w:r>
        <w:t>Field Operations Managers (FOM)</w:t>
      </w:r>
      <w:bookmarkEnd w:id="27"/>
      <w:bookmarkEnd w:id="28"/>
    </w:p>
    <w:p w14:paraId="331B1D79" w14:textId="77777777" w:rsidR="007E3AC5" w:rsidRDefault="007E3AC5" w:rsidP="007E3AC5">
      <w:pPr>
        <w:pStyle w:val="Bullet1"/>
        <w:numPr>
          <w:ilvl w:val="0"/>
          <w:numId w:val="4"/>
        </w:numPr>
        <w:textAlignment w:val="auto"/>
      </w:pPr>
      <w:bookmarkStart w:id="29" w:name="_Hlk94172781"/>
      <w:r>
        <w:t xml:space="preserve">A senior departmental veterinarian who has regional responsibility for export establishments and the supervision of Area Technical Managers within their region. </w:t>
      </w:r>
    </w:p>
    <w:p w14:paraId="3246798F" w14:textId="77777777" w:rsidR="007E3AC5" w:rsidRDefault="007E3AC5" w:rsidP="007E3AC5">
      <w:pPr>
        <w:pStyle w:val="Heading3"/>
      </w:pPr>
      <w:bookmarkStart w:id="30" w:name="_Toc93052714"/>
      <w:bookmarkStart w:id="31" w:name="_Toc97043289"/>
      <w:bookmarkStart w:id="32" w:name="_Toc130307627"/>
      <w:bookmarkEnd w:id="29"/>
      <w:r>
        <w:t>Area Technical Manager (ATM)</w:t>
      </w:r>
      <w:bookmarkEnd w:id="30"/>
      <w:bookmarkEnd w:id="31"/>
      <w:bookmarkEnd w:id="32"/>
    </w:p>
    <w:p w14:paraId="54B22B2E" w14:textId="77777777" w:rsidR="007E3AC5" w:rsidRDefault="007E3AC5" w:rsidP="007E3AC5">
      <w:pPr>
        <w:pStyle w:val="Bullet1"/>
        <w:numPr>
          <w:ilvl w:val="0"/>
          <w:numId w:val="4"/>
        </w:numPr>
        <w:ind w:left="1717"/>
        <w:textAlignment w:val="auto"/>
      </w:pPr>
      <w:r>
        <w:t>A Commonwealth authorised officer with veterinary qualifications who has responsibility for the supervision, technical performance, assessment and verification of technical standards and operations in a defined group of export meat establishments.</w:t>
      </w:r>
    </w:p>
    <w:p w14:paraId="522F6172" w14:textId="77777777" w:rsidR="007E3AC5" w:rsidRDefault="007E3AC5" w:rsidP="007E3AC5">
      <w:pPr>
        <w:pStyle w:val="Heading4"/>
        <w:ind w:left="1418"/>
      </w:pPr>
      <w:bookmarkStart w:id="33" w:name="_Establishment_ATM"/>
      <w:bookmarkStart w:id="34" w:name="_Toc97043290"/>
      <w:bookmarkStart w:id="35" w:name="_Toc130307628"/>
      <w:bookmarkEnd w:id="33"/>
      <w:r>
        <w:t>Establishment ATM</w:t>
      </w:r>
      <w:bookmarkEnd w:id="34"/>
      <w:bookmarkEnd w:id="35"/>
      <w:r>
        <w:t xml:space="preserve"> </w:t>
      </w:r>
    </w:p>
    <w:p w14:paraId="7EBA352B" w14:textId="77777777" w:rsidR="007E3AC5" w:rsidRDefault="007E3AC5" w:rsidP="007E3AC5">
      <w:pPr>
        <w:pStyle w:val="Bullet1"/>
        <w:numPr>
          <w:ilvl w:val="0"/>
          <w:numId w:val="4"/>
        </w:numPr>
        <w:ind w:left="1717"/>
        <w:textAlignment w:val="auto"/>
      </w:pPr>
      <w:r>
        <w:t xml:space="preserve">ATM with day-to-day on-plant responsibilities, on-plant staff technical review responsibilities and an establishment Critical Incident Response Audit (CIRA) audit role. </w:t>
      </w:r>
    </w:p>
    <w:p w14:paraId="48969BE5" w14:textId="2CEC404D" w:rsidR="007E3AC5" w:rsidRDefault="007E3AC5" w:rsidP="007E3AC5">
      <w:pPr>
        <w:pStyle w:val="Bullet1"/>
        <w:numPr>
          <w:ilvl w:val="0"/>
          <w:numId w:val="4"/>
        </w:numPr>
        <w:textAlignment w:val="auto"/>
      </w:pPr>
      <w:r>
        <w:t>Approves the establishment</w:t>
      </w:r>
      <w:r w:rsidR="0036231A">
        <w:t>’</w:t>
      </w:r>
      <w:r>
        <w:t>s approved arrangement and/or any amendments made to it.</w:t>
      </w:r>
    </w:p>
    <w:p w14:paraId="54E781F9" w14:textId="77777777" w:rsidR="007E3AC5" w:rsidRDefault="007E3AC5" w:rsidP="007E3AC5">
      <w:pPr>
        <w:pStyle w:val="Heading4"/>
        <w:ind w:left="1418"/>
      </w:pPr>
      <w:bookmarkStart w:id="36" w:name="_EMSAP_ATM"/>
      <w:bookmarkStart w:id="37" w:name="_Toc97043291"/>
      <w:bookmarkStart w:id="38" w:name="_Toc130307629"/>
      <w:bookmarkEnd w:id="36"/>
      <w:r>
        <w:t>EMSAP ATM</w:t>
      </w:r>
      <w:bookmarkEnd w:id="37"/>
      <w:bookmarkEnd w:id="38"/>
    </w:p>
    <w:p w14:paraId="507208DE" w14:textId="4BCE8AA8" w:rsidR="007E3AC5" w:rsidRDefault="007E3AC5" w:rsidP="007E3AC5">
      <w:pPr>
        <w:pStyle w:val="Bullet1"/>
        <w:numPr>
          <w:ilvl w:val="0"/>
          <w:numId w:val="4"/>
        </w:numPr>
        <w:ind w:left="1717"/>
        <w:textAlignment w:val="auto"/>
      </w:pPr>
      <w:r>
        <w:t>ATM conducting the EMSAP audit at the establishment. This individual has not been the ATM with day-to-day on-plant responsibilities at the establishment being audited during the previous two years (</w:t>
      </w:r>
      <w:r w:rsidR="00EA633C">
        <w:t>i.e.,</w:t>
      </w:r>
      <w:r>
        <w:t xml:space="preserve"> held the </w:t>
      </w:r>
      <w:r w:rsidR="0036231A">
        <w:t>E</w:t>
      </w:r>
      <w:r>
        <w:t xml:space="preserve">stablishment ATM role). </w:t>
      </w:r>
    </w:p>
    <w:p w14:paraId="41CB1D91" w14:textId="3C3FB7B1" w:rsidR="007E3AC5" w:rsidRDefault="007E3AC5" w:rsidP="0097748C">
      <w:pPr>
        <w:pStyle w:val="Documentbody-bodytext"/>
      </w:pPr>
      <w:r>
        <w:t>The scope of department animal welfare verification audits of AAWCS Certified establishments by the EMSAP ATM are limited to sighting evidence of:</w:t>
      </w:r>
    </w:p>
    <w:p w14:paraId="283A1340" w14:textId="5D73774D" w:rsidR="007E3AC5" w:rsidRPr="0097748C" w:rsidRDefault="0036231A" w:rsidP="0097748C">
      <w:pPr>
        <w:pStyle w:val="Bullet1"/>
        <w:numPr>
          <w:ilvl w:val="0"/>
          <w:numId w:val="4"/>
        </w:numPr>
        <w:ind w:left="1717"/>
        <w:textAlignment w:val="auto"/>
      </w:pPr>
      <w:r>
        <w:t>a</w:t>
      </w:r>
      <w:r w:rsidR="007E3AC5" w:rsidRPr="0097748C">
        <w:t xml:space="preserve"> current AAWCS Certificate</w:t>
      </w:r>
    </w:p>
    <w:p w14:paraId="57015457" w14:textId="6A93FCBF" w:rsidR="007E3AC5" w:rsidRPr="0097748C" w:rsidRDefault="0036231A" w:rsidP="0097748C">
      <w:pPr>
        <w:pStyle w:val="Bullet1"/>
        <w:numPr>
          <w:ilvl w:val="0"/>
          <w:numId w:val="4"/>
        </w:numPr>
        <w:ind w:left="1717"/>
        <w:textAlignment w:val="auto"/>
      </w:pPr>
      <w:r>
        <w:t>a</w:t>
      </w:r>
      <w:r w:rsidR="007E3AC5" w:rsidRPr="0097748C">
        <w:t>n acceptable audit outcome from the last AUS-MEAT verification audit</w:t>
      </w:r>
      <w:r>
        <w:t>.</w:t>
      </w:r>
    </w:p>
    <w:p w14:paraId="4A3814B9" w14:textId="0E6DC92F" w:rsidR="0016353C" w:rsidRDefault="0016353C" w:rsidP="000A51B2">
      <w:pPr>
        <w:pStyle w:val="Documentbody-bodytext"/>
      </w:pPr>
    </w:p>
    <w:p w14:paraId="0FE066D1" w14:textId="24CBCB32" w:rsidR="007E3AC5" w:rsidRPr="000F14CA" w:rsidRDefault="007E3AC5" w:rsidP="000A51B2">
      <w:pPr>
        <w:pStyle w:val="Documentbody-bodytext"/>
        <w:sectPr w:rsidR="007E3AC5" w:rsidRPr="000F14CA" w:rsidSect="00B1456D">
          <w:headerReference w:type="default" r:id="rId37"/>
          <w:footerReference w:type="default" r:id="rId38"/>
          <w:pgSz w:w="11909" w:h="16838" w:code="9"/>
          <w:pgMar w:top="1304" w:right="238" w:bottom="567" w:left="567" w:header="0" w:footer="0" w:gutter="0"/>
          <w:cols w:space="720"/>
          <w:docGrid w:linePitch="299"/>
        </w:sectPr>
      </w:pPr>
    </w:p>
    <w:p w14:paraId="1385958A" w14:textId="77777777" w:rsidR="00D02F4F" w:rsidRPr="007E3AC5" w:rsidRDefault="00D02F4F" w:rsidP="00D02F4F">
      <w:pPr>
        <w:pStyle w:val="Heading2"/>
        <w:ind w:left="993"/>
        <w:rPr>
          <w:b w:val="0"/>
        </w:rPr>
      </w:pPr>
      <w:bookmarkStart w:id="39" w:name="_Toc130307630"/>
      <w:r w:rsidRPr="003B2B0E">
        <w:lastRenderedPageBreak/>
        <w:t xml:space="preserve">Attachment </w:t>
      </w:r>
      <w:r>
        <w:t>2</w:t>
      </w:r>
      <w:r w:rsidRPr="003B2B0E">
        <w:t>: Definitions</w:t>
      </w:r>
      <w:bookmarkEnd w:id="39"/>
    </w:p>
    <w:p w14:paraId="06C6986B" w14:textId="77777777" w:rsidR="00D02F4F" w:rsidRPr="000A51B2" w:rsidRDefault="00D02F4F" w:rsidP="00D02F4F">
      <w:pPr>
        <w:pStyle w:val="Definitionsection-termheadings"/>
      </w:pPr>
      <w:r>
        <w:t>Approved arrangement (AA)</w:t>
      </w:r>
      <w:r>
        <w:tab/>
      </w:r>
    </w:p>
    <w:p w14:paraId="0BD1E6B7" w14:textId="77777777" w:rsidR="00D02F4F" w:rsidRDefault="00D02F4F" w:rsidP="00D02F4F">
      <w:pPr>
        <w:pStyle w:val="Documentbody-bodytext"/>
      </w:pPr>
      <w:r>
        <w:t xml:space="preserve">An approved arrangement under Chapter 5 of the </w:t>
      </w:r>
      <w:r w:rsidRPr="009F69B5">
        <w:rPr>
          <w:i/>
          <w:iCs/>
        </w:rPr>
        <w:t>Export Control Act 2020</w:t>
      </w:r>
      <w:r>
        <w:t>.</w:t>
      </w:r>
    </w:p>
    <w:p w14:paraId="0E8CA38B" w14:textId="0E434F1B" w:rsidR="00D02F4F" w:rsidRDefault="00D02F4F" w:rsidP="00D02F4F">
      <w:pPr>
        <w:pStyle w:val="Documentbody-bodytext"/>
      </w:pPr>
      <w:r>
        <w:t xml:space="preserve">An arrangement for a kind of export operations in relation to a kind of prescribed goods approved by the </w:t>
      </w:r>
      <w:r w:rsidR="0054619F">
        <w:t>S</w:t>
      </w:r>
      <w:r>
        <w:t>ecretary.</w:t>
      </w:r>
    </w:p>
    <w:p w14:paraId="446AD3A7" w14:textId="77777777" w:rsidR="00D02F4F" w:rsidRDefault="00D02F4F" w:rsidP="00D02F4F">
      <w:pPr>
        <w:pStyle w:val="Documentbody-bodytext"/>
      </w:pPr>
      <w:r>
        <w:t>An approved arrangement:</w:t>
      </w:r>
    </w:p>
    <w:p w14:paraId="5146846F" w14:textId="77777777" w:rsidR="00D02F4F" w:rsidRDefault="00D02F4F" w:rsidP="00D02F4F">
      <w:pPr>
        <w:pStyle w:val="Bullet1"/>
        <w:numPr>
          <w:ilvl w:val="0"/>
          <w:numId w:val="4"/>
        </w:numPr>
        <w:textAlignment w:val="auto"/>
      </w:pPr>
      <w:r>
        <w:t>documents the controls and processes to be followed when undertaking export operations in relation to prescribed goods for export</w:t>
      </w:r>
    </w:p>
    <w:p w14:paraId="19537D34" w14:textId="41A4CCD7" w:rsidR="00D02F4F" w:rsidRDefault="00D02F4F" w:rsidP="00D02F4F">
      <w:pPr>
        <w:pStyle w:val="Bullet1"/>
        <w:numPr>
          <w:ilvl w:val="0"/>
          <w:numId w:val="4"/>
        </w:numPr>
        <w:textAlignment w:val="auto"/>
      </w:pPr>
      <w:r>
        <w:t xml:space="preserve">enables the </w:t>
      </w:r>
      <w:r w:rsidR="0054619F">
        <w:t>S</w:t>
      </w:r>
      <w:r>
        <w:t>ecretary to have oversight of specific export operations.</w:t>
      </w:r>
    </w:p>
    <w:p w14:paraId="32F6F66E" w14:textId="01B758C1" w:rsidR="00D02F4F" w:rsidRPr="000A51B2" w:rsidRDefault="00D02F4F" w:rsidP="00D02F4F">
      <w:pPr>
        <w:pStyle w:val="Definitionsection-termheadings"/>
      </w:pPr>
      <w:r>
        <w:t xml:space="preserve">Corrective </w:t>
      </w:r>
      <w:r w:rsidR="0054619F">
        <w:t>a</w:t>
      </w:r>
      <w:r>
        <w:t xml:space="preserve">ction </w:t>
      </w:r>
      <w:r w:rsidR="0054619F">
        <w:t>r</w:t>
      </w:r>
      <w:r>
        <w:t>equest (CAR)</w:t>
      </w:r>
    </w:p>
    <w:p w14:paraId="475898D3" w14:textId="5585B3C7" w:rsidR="00D02F4F" w:rsidRDefault="00D02F4F" w:rsidP="00D02F4F">
      <w:pPr>
        <w:pStyle w:val="Documentbody-bodytext"/>
      </w:pPr>
      <w:r>
        <w:t xml:space="preserve">A written direction from </w:t>
      </w:r>
      <w:r w:rsidR="0054619F">
        <w:t xml:space="preserve">the </w:t>
      </w:r>
      <w:r>
        <w:t>department to an establishment to correct non-compliance.</w:t>
      </w:r>
    </w:p>
    <w:p w14:paraId="2CEBBFB4" w14:textId="77777777" w:rsidR="00D02F4F" w:rsidRPr="000A51B2" w:rsidRDefault="00D02F4F" w:rsidP="00D02F4F">
      <w:pPr>
        <w:pStyle w:val="Definitionsection-termheadings"/>
      </w:pPr>
      <w:r>
        <w:t>Critical non-compliance</w:t>
      </w:r>
    </w:p>
    <w:p w14:paraId="6B262931" w14:textId="2FC030F9" w:rsidR="00D02F4F" w:rsidRDefault="00D02F4F" w:rsidP="00D02F4F">
      <w:pPr>
        <w:pStyle w:val="Documentbody-bodytext"/>
      </w:pPr>
      <w:r>
        <w:t>When used in relation to the audit of operations, means a failure (or a combination of the failures) to comply with any applicable requirement referred to in E</w:t>
      </w:r>
      <w:r w:rsidR="0054619F">
        <w:t xml:space="preserve">xport Control (Meat and Meat Products) </w:t>
      </w:r>
      <w:r>
        <w:t>Rule</w:t>
      </w:r>
      <w:r w:rsidR="0054619F">
        <w:t>s 2021,</w:t>
      </w:r>
      <w:r>
        <w:t> 9</w:t>
      </w:r>
      <w:r>
        <w:noBreakHyphen/>
        <w:t xml:space="preserve">4(3). </w:t>
      </w:r>
    </w:p>
    <w:p w14:paraId="32071D9C" w14:textId="25B1C71B" w:rsidR="00D02F4F" w:rsidRPr="000A51B2" w:rsidRDefault="00D02F4F" w:rsidP="00D02F4F">
      <w:pPr>
        <w:pStyle w:val="Definitionsection-termheadings"/>
      </w:pPr>
      <w:r>
        <w:t xml:space="preserve">Critical </w:t>
      </w:r>
      <w:r w:rsidR="0054619F">
        <w:t>i</w:t>
      </w:r>
      <w:r>
        <w:t xml:space="preserve">ncident </w:t>
      </w:r>
      <w:r w:rsidR="0054619F">
        <w:t>r</w:t>
      </w:r>
      <w:r>
        <w:t xml:space="preserve">esponse </w:t>
      </w:r>
      <w:r w:rsidR="0054619F">
        <w:t>a</w:t>
      </w:r>
      <w:r>
        <w:t>udit (CIRA)</w:t>
      </w:r>
    </w:p>
    <w:p w14:paraId="5607B739" w14:textId="60BB43C1" w:rsidR="00D02F4F" w:rsidRDefault="00D02F4F" w:rsidP="00D02F4F">
      <w:pPr>
        <w:pStyle w:val="Documentbody-bodytext"/>
      </w:pPr>
      <w:r>
        <w:t>An audit scheduled by the department's Assistant Secretary Meat Exports</w:t>
      </w:r>
      <w:r w:rsidR="00491E4E">
        <w:t xml:space="preserve"> Branch</w:t>
      </w:r>
      <w:r>
        <w:t>, in response to an identified critical incident triggered by non-compliance of export legislation, Australian standards, and/or importing country requirements.</w:t>
      </w:r>
    </w:p>
    <w:p w14:paraId="010CDF7A" w14:textId="77777777" w:rsidR="00D02F4F" w:rsidRPr="000A51B2" w:rsidRDefault="00D02F4F" w:rsidP="00D02F4F">
      <w:pPr>
        <w:pStyle w:val="Definitionsection-termheadings"/>
      </w:pPr>
      <w:r>
        <w:t>Non-compliance</w:t>
      </w:r>
    </w:p>
    <w:p w14:paraId="65E5EFA9" w14:textId="77777777" w:rsidR="00D02F4F" w:rsidRDefault="00D02F4F" w:rsidP="00D02F4F">
      <w:pPr>
        <w:pStyle w:val="Documentbody-bodytext"/>
      </w:pPr>
      <w:r>
        <w:t>Failure to comply with export legislation and/or importing country requirements.</w:t>
      </w:r>
    </w:p>
    <w:p w14:paraId="412803E8" w14:textId="77777777" w:rsidR="00D02F4F" w:rsidRPr="000A51B2" w:rsidRDefault="00D02F4F" w:rsidP="00D02F4F">
      <w:pPr>
        <w:pStyle w:val="Definitionsection-termheadings"/>
      </w:pPr>
      <w:r>
        <w:t>On-Plant Veterinarian (OPV)</w:t>
      </w:r>
    </w:p>
    <w:p w14:paraId="372AB499" w14:textId="0E94407F" w:rsidR="00D02F4F" w:rsidRDefault="00D02F4F" w:rsidP="00D02F4F">
      <w:pPr>
        <w:pStyle w:val="Documentbody-bodytext"/>
      </w:pPr>
      <w:r>
        <w:t xml:space="preserve">A Commonwealth authorised officer (veterinarian) employed by the </w:t>
      </w:r>
      <w:r w:rsidR="00491E4E">
        <w:t>d</w:t>
      </w:r>
      <w:r>
        <w:t>epartment to conduct ante</w:t>
      </w:r>
      <w:r>
        <w:noBreakHyphen/>
        <w:t>mortem inspection and to provide daily supervision of post-mortem inspection and verification of the establishment</w:t>
      </w:r>
      <w:r w:rsidR="00491E4E">
        <w:t>’</w:t>
      </w:r>
      <w:r>
        <w:t>s approved arrangement.</w:t>
      </w:r>
    </w:p>
    <w:p w14:paraId="7C5F18D6" w14:textId="77777777" w:rsidR="00D02F4F" w:rsidRPr="000A51B2" w:rsidRDefault="00D02F4F" w:rsidP="00D02F4F">
      <w:pPr>
        <w:pStyle w:val="Definitionsection-termheadings"/>
      </w:pPr>
      <w:r>
        <w:t>Person conducting a business or undertaking (PCBU)</w:t>
      </w:r>
    </w:p>
    <w:p w14:paraId="6748BFFA" w14:textId="549CFEF8" w:rsidR="00D02F4F" w:rsidRDefault="00D02F4F" w:rsidP="00D02F4F">
      <w:pPr>
        <w:pStyle w:val="Documentbody-bodytext"/>
      </w:pPr>
      <w:r w:rsidRPr="00D47E99">
        <w:t xml:space="preserve">As defined in the </w:t>
      </w:r>
      <w:r w:rsidRPr="00491E4E">
        <w:rPr>
          <w:i/>
          <w:iCs/>
        </w:rPr>
        <w:t>WHS Act 2011</w:t>
      </w:r>
      <w:r w:rsidRPr="00D47E99">
        <w:t>. A PCBU has a duty of care to ensure the health and safety of workers while they are at work in the business or undertaking and others who may be affected by the carrying out of work, such as visitors.</w:t>
      </w:r>
    </w:p>
    <w:p w14:paraId="4191982A" w14:textId="09875CCD" w:rsidR="00A0739E" w:rsidRPr="00A0739E" w:rsidRDefault="00A0739E" w:rsidP="00A0739E">
      <w:pPr>
        <w:rPr>
          <w:rFonts w:ascii="Cambria" w:eastAsia="Cambria" w:hAnsi="Cambria"/>
        </w:rPr>
      </w:pPr>
    </w:p>
    <w:p w14:paraId="28FFDA46" w14:textId="7A6572F0" w:rsidR="00A0739E" w:rsidRPr="00A0739E" w:rsidRDefault="00A0739E" w:rsidP="00A0739E">
      <w:pPr>
        <w:rPr>
          <w:rFonts w:ascii="Cambria" w:eastAsia="Cambria" w:hAnsi="Cambria"/>
        </w:rPr>
      </w:pPr>
    </w:p>
    <w:p w14:paraId="20F75448" w14:textId="77777777" w:rsidR="00A0739E" w:rsidRPr="00A0739E" w:rsidRDefault="00A0739E" w:rsidP="00A0739E">
      <w:pPr>
        <w:rPr>
          <w:rFonts w:ascii="Cambria" w:eastAsia="Cambria" w:hAnsi="Cambria"/>
        </w:rPr>
      </w:pPr>
    </w:p>
    <w:sectPr w:rsidR="00A0739E" w:rsidRPr="00A0739E" w:rsidSect="00703A75">
      <w:footerReference w:type="default" r:id="rId39"/>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703E" w14:textId="77777777" w:rsidR="00123642" w:rsidRDefault="00123642" w:rsidP="009D66B3">
      <w:r>
        <w:separator/>
      </w:r>
    </w:p>
  </w:endnote>
  <w:endnote w:type="continuationSeparator" w:id="0">
    <w:p w14:paraId="6D988D87" w14:textId="77777777" w:rsidR="00123642" w:rsidRDefault="00123642"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691C584C"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1.1 Animal welfare</w:t>
          </w:r>
          <w:r w:rsidR="0074442B">
            <w:rPr>
              <w:rFonts w:ascii="Calibri Light" w:hAnsi="Calibri Light" w:cs="Calibri Light"/>
            </w:rPr>
            <w:t xml:space="preserve"> – from arrival to completion of slaughter</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2BB7191E" w:rsidR="00D444AC" w:rsidRDefault="00810834"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1.1 Animal welfare</w:t>
          </w:r>
          <w:r w:rsidR="0074442B">
            <w:rPr>
              <w:rFonts w:ascii="Calibri Light" w:hAnsi="Calibri Light" w:cs="Calibri Light"/>
            </w:rPr>
            <w:t xml:space="preserve"> – from arrival to completion of slaughter</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1706DBB7"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674C06">
            <w:rPr>
              <w:rFonts w:ascii="Calibri Light" w:hAnsi="Calibri Light" w:cs="Calibri Light"/>
            </w:rPr>
            <w:t>1.1 Animal welfare</w:t>
          </w:r>
          <w:r w:rsidR="0074442B">
            <w:rPr>
              <w:rFonts w:ascii="Calibri Light" w:hAnsi="Calibri Light" w:cs="Calibri Light"/>
            </w:rPr>
            <w:t xml:space="preserve"> – from arrival to completion of slaughter  </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694B0298" w:rsidR="006C00F1" w:rsidRDefault="00664E94" w:rsidP="006C00F1">
          <w:pPr>
            <w:pStyle w:val="Footer"/>
            <w:ind w:left="1134"/>
            <w:rPr>
              <w:rFonts w:ascii="Calibri Light" w:hAnsi="Calibri Light" w:cs="Calibri Light"/>
              <w:color w:val="FFFFFF" w:themeColor="background1"/>
            </w:rPr>
          </w:pPr>
          <w:r>
            <w:rPr>
              <w:rFonts w:ascii="Calibri Light" w:hAnsi="Calibri Light" w:cs="Calibri Light"/>
              <w:b/>
              <w:bCs/>
              <w:color w:val="FFFFFF" w:themeColor="background1"/>
            </w:rPr>
            <w:t xml:space="preserve">Export </w:t>
          </w:r>
          <w:r w:rsidR="006C00F1" w:rsidRPr="00C03F16">
            <w:rPr>
              <w:rFonts w:ascii="Calibri Light" w:hAnsi="Calibri Light" w:cs="Calibri Light"/>
              <w:b/>
              <w:bCs/>
              <w:color w:val="FFFFFF" w:themeColor="background1"/>
            </w:rPr>
            <w:t xml:space="preserve">Meat </w:t>
          </w:r>
          <w:r>
            <w:rPr>
              <w:rFonts w:ascii="Calibri Light" w:hAnsi="Calibri Light" w:cs="Calibri Light"/>
              <w:b/>
              <w:bCs/>
              <w:color w:val="FFFFFF" w:themeColor="background1"/>
            </w:rPr>
            <w:t>Operational</w:t>
          </w:r>
          <w:r w:rsidR="006C00F1"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006C00F1" w:rsidRPr="00C03F16">
            <w:rPr>
              <w:rFonts w:ascii="Calibri Light" w:hAnsi="Calibri Light" w:cs="Calibri Light"/>
              <w:b/>
              <w:bCs/>
              <w:color w:val="FFFFFF" w:themeColor="background1"/>
            </w:rPr>
            <w:t>:</w:t>
          </w:r>
          <w:r w:rsidR="006C00F1" w:rsidRPr="00C03F16">
            <w:rPr>
              <w:rFonts w:ascii="Calibri Light" w:hAnsi="Calibri Light" w:cs="Calibri Light"/>
              <w:color w:val="FFFFFF" w:themeColor="background1"/>
            </w:rPr>
            <w:t xml:space="preserve"> </w:t>
          </w:r>
          <w:r w:rsidR="0074442B">
            <w:rPr>
              <w:rFonts w:ascii="Calibri Light" w:hAnsi="Calibri Light" w:cs="Calibri Light"/>
              <w:color w:val="FFFFFF" w:themeColor="background1"/>
            </w:rPr>
            <w:t xml:space="preserve">1.1 Animal welfare – from arrival to completion of slaughter </w:t>
          </w:r>
          <w:r w:rsidR="0012266B" w:rsidRPr="0012266B">
            <w:rPr>
              <w:rFonts w:ascii="Calibri Light" w:hAnsi="Calibri Light" w:cs="Calibri Light"/>
              <w:color w:val="FFFFFF" w:themeColor="background1"/>
            </w:rPr>
            <w:t xml:space="preserve"> </w:t>
          </w:r>
        </w:p>
        <w:p w14:paraId="39A9833E" w14:textId="7CC22FB3" w:rsidR="0045670C" w:rsidRPr="00C03F16" w:rsidRDefault="00A769A5"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23</w:t>
          </w:r>
          <w:r w:rsidR="004C6A69" w:rsidRPr="00C03F16">
            <w:rPr>
              <w:rFonts w:ascii="Calibri Light" w:hAnsi="Calibri Light" w:cs="Calibri Light"/>
              <w:color w:val="FFFFFF" w:themeColor="background1"/>
            </w:rPr>
            <w:t xml:space="preserve"> </w:t>
          </w:r>
          <w:r w:rsidR="00EA633C">
            <w:rPr>
              <w:rFonts w:ascii="Calibri Light" w:hAnsi="Calibri Light" w:cs="Calibri Light"/>
              <w:color w:val="FFFFFF" w:themeColor="background1"/>
            </w:rPr>
            <w:t>March</w:t>
          </w:r>
          <w:r w:rsidR="0045670C" w:rsidRPr="00C03F16">
            <w:rPr>
              <w:rFonts w:ascii="Calibri Light" w:hAnsi="Calibri Light" w:cs="Calibri Light"/>
              <w:color w:val="FFFFFF" w:themeColor="background1"/>
            </w:rPr>
            <w:t xml:space="preserve"> 202</w:t>
          </w:r>
          <w:r w:rsidR="00690690">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03C9A895"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Published o</w:t>
          </w:r>
          <w:r w:rsidRPr="00CA159A">
            <w:rPr>
              <w:rFonts w:ascii="Calibri Light" w:hAnsi="Calibri Light" w:cs="Calibri Light"/>
              <w:color w:val="FFFFFF" w:themeColor="background1"/>
            </w:rPr>
            <w:t xml:space="preserve">n </w:t>
          </w:r>
          <w:hyperlink r:id="rId1" w:history="1">
            <w:r w:rsidRPr="00CA159A">
              <w:rPr>
                <w:rStyle w:val="Hyperlink"/>
                <w:rFonts w:ascii="Calibri Light" w:hAnsi="Calibri Light" w:cs="Calibri Light"/>
                <w:color w:val="FFFFFF" w:themeColor="background1"/>
                <w:u w:val="none"/>
              </w:rPr>
              <w:t>ELMER 3 – Electronic legislation, manuals and essential refer</w:t>
            </w:r>
            <w:r w:rsidR="00E53ECD" w:rsidRPr="00CA159A">
              <w:rPr>
                <w:rStyle w:val="Hyperlink"/>
                <w:rFonts w:ascii="Calibri Light" w:hAnsi="Calibri Light" w:cs="Calibri Light"/>
                <w:color w:val="FFFFFF" w:themeColor="background1"/>
                <w:u w:val="none"/>
              </w:rPr>
              <w:t>e</w:t>
            </w:r>
            <w:r w:rsidRPr="00CA159A">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138302AD"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430893">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CC47" w14:textId="77777777" w:rsidR="00123642" w:rsidRDefault="00123642" w:rsidP="009D66B3">
      <w:r>
        <w:separator/>
      </w:r>
    </w:p>
  </w:footnote>
  <w:footnote w:type="continuationSeparator" w:id="0">
    <w:p w14:paraId="5DEC0076" w14:textId="77777777" w:rsidR="00123642" w:rsidRDefault="00123642"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1552EFEC"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9C786B"/>
    <w:multiLevelType w:val="hybridMultilevel"/>
    <w:tmpl w:val="E7EA80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262E6986"/>
    <w:multiLevelType w:val="hybridMultilevel"/>
    <w:tmpl w:val="F2B48A18"/>
    <w:lvl w:ilvl="0" w:tplc="2312D646">
      <w:start w:val="1"/>
      <w:numFmt w:val="bullet"/>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3" w15:restartNumberingAfterBreak="0">
    <w:nsid w:val="391D54B1"/>
    <w:multiLevelType w:val="hybridMultilevel"/>
    <w:tmpl w:val="C892FF6C"/>
    <w:lvl w:ilvl="0" w:tplc="1AA21854">
      <w:numFmt w:val="bullet"/>
      <w:lvlText w:val=""/>
      <w:lvlJc w:val="left"/>
      <w:pPr>
        <w:ind w:left="720" w:hanging="360"/>
      </w:pPr>
      <w:rPr>
        <w:rFonts w:ascii="Symbol" w:eastAsia="PMingLiU"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892FDC"/>
    <w:multiLevelType w:val="hybridMultilevel"/>
    <w:tmpl w:val="78328C00"/>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5" w15:restartNumberingAfterBreak="0">
    <w:nsid w:val="607F2747"/>
    <w:multiLevelType w:val="hybridMultilevel"/>
    <w:tmpl w:val="15A00A10"/>
    <w:lvl w:ilvl="0" w:tplc="1BE0CEEE">
      <w:start w:val="1"/>
      <w:numFmt w:val="bullet"/>
      <w:pStyle w:val="Frontpage-bulletlis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45440B"/>
    <w:multiLevelType w:val="hybridMultilevel"/>
    <w:tmpl w:val="A52E7BCA"/>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num w:numId="1" w16cid:durableId="465971271">
    <w:abstractNumId w:val="5"/>
  </w:num>
  <w:num w:numId="2" w16cid:durableId="220795595">
    <w:abstractNumId w:val="2"/>
  </w:num>
  <w:num w:numId="3" w16cid:durableId="1198854485">
    <w:abstractNumId w:val="0"/>
  </w:num>
  <w:num w:numId="4" w16cid:durableId="177893571">
    <w:abstractNumId w:val="5"/>
  </w:num>
  <w:num w:numId="5" w16cid:durableId="448666574">
    <w:abstractNumId w:val="2"/>
  </w:num>
  <w:num w:numId="6" w16cid:durableId="460271530">
    <w:abstractNumId w:val="3"/>
  </w:num>
  <w:num w:numId="7" w16cid:durableId="1975403072">
    <w:abstractNumId w:val="5"/>
  </w:num>
  <w:num w:numId="8" w16cid:durableId="1467553324">
    <w:abstractNumId w:val="4"/>
  </w:num>
  <w:num w:numId="9" w16cid:durableId="468593122">
    <w:abstractNumId w:val="6"/>
  </w:num>
  <w:num w:numId="10" w16cid:durableId="2032605859">
    <w:abstractNumId w:val="1"/>
  </w:num>
  <w:num w:numId="11" w16cid:durableId="990597484">
    <w:abstractNumId w:val="5"/>
  </w:num>
  <w:num w:numId="12" w16cid:durableId="649361227">
    <w:abstractNumId w:val="5"/>
  </w:num>
  <w:num w:numId="13" w16cid:durableId="356203453">
    <w:abstractNumId w:val="5"/>
  </w:num>
  <w:num w:numId="14" w16cid:durableId="523863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3fd8e0b-ded9-4058-be47-8d60c9da5583"/>
  </w:docVars>
  <w:rsids>
    <w:rsidRoot w:val="00DF47E8"/>
    <w:rsid w:val="00005716"/>
    <w:rsid w:val="00005D08"/>
    <w:rsid w:val="00011870"/>
    <w:rsid w:val="00014181"/>
    <w:rsid w:val="00014EF2"/>
    <w:rsid w:val="00015B2F"/>
    <w:rsid w:val="000216E7"/>
    <w:rsid w:val="00023ECD"/>
    <w:rsid w:val="00024658"/>
    <w:rsid w:val="00025281"/>
    <w:rsid w:val="00025518"/>
    <w:rsid w:val="00025A1B"/>
    <w:rsid w:val="00037281"/>
    <w:rsid w:val="000412C3"/>
    <w:rsid w:val="0005195E"/>
    <w:rsid w:val="00055D84"/>
    <w:rsid w:val="00056096"/>
    <w:rsid w:val="000560A0"/>
    <w:rsid w:val="00062D7D"/>
    <w:rsid w:val="000712B7"/>
    <w:rsid w:val="00071DE3"/>
    <w:rsid w:val="00072DAC"/>
    <w:rsid w:val="000736BC"/>
    <w:rsid w:val="00073788"/>
    <w:rsid w:val="00073F22"/>
    <w:rsid w:val="00076C83"/>
    <w:rsid w:val="000773F8"/>
    <w:rsid w:val="00084A77"/>
    <w:rsid w:val="00093252"/>
    <w:rsid w:val="000932F5"/>
    <w:rsid w:val="0009408F"/>
    <w:rsid w:val="000963E3"/>
    <w:rsid w:val="000A048C"/>
    <w:rsid w:val="000A0D24"/>
    <w:rsid w:val="000A212F"/>
    <w:rsid w:val="000A253E"/>
    <w:rsid w:val="000A2C74"/>
    <w:rsid w:val="000A51B2"/>
    <w:rsid w:val="000A7161"/>
    <w:rsid w:val="000B02EE"/>
    <w:rsid w:val="000B26F5"/>
    <w:rsid w:val="000B355E"/>
    <w:rsid w:val="000B57A6"/>
    <w:rsid w:val="000B6B8A"/>
    <w:rsid w:val="000C7F63"/>
    <w:rsid w:val="000D002C"/>
    <w:rsid w:val="000D0AB9"/>
    <w:rsid w:val="000D1EBD"/>
    <w:rsid w:val="000D2F4E"/>
    <w:rsid w:val="000E13CB"/>
    <w:rsid w:val="000E2D2C"/>
    <w:rsid w:val="000E6774"/>
    <w:rsid w:val="000F14CA"/>
    <w:rsid w:val="000F3376"/>
    <w:rsid w:val="000F782C"/>
    <w:rsid w:val="00100021"/>
    <w:rsid w:val="001072B0"/>
    <w:rsid w:val="001122AC"/>
    <w:rsid w:val="001122EC"/>
    <w:rsid w:val="00113031"/>
    <w:rsid w:val="00114145"/>
    <w:rsid w:val="00120069"/>
    <w:rsid w:val="00120BF0"/>
    <w:rsid w:val="0012266B"/>
    <w:rsid w:val="0012341E"/>
    <w:rsid w:val="00123642"/>
    <w:rsid w:val="00126735"/>
    <w:rsid w:val="00130F9D"/>
    <w:rsid w:val="00135CEA"/>
    <w:rsid w:val="0014257C"/>
    <w:rsid w:val="001439FE"/>
    <w:rsid w:val="00146FCA"/>
    <w:rsid w:val="00147C0D"/>
    <w:rsid w:val="00151182"/>
    <w:rsid w:val="0015543B"/>
    <w:rsid w:val="0016353C"/>
    <w:rsid w:val="00167C47"/>
    <w:rsid w:val="00171585"/>
    <w:rsid w:val="00172506"/>
    <w:rsid w:val="00173294"/>
    <w:rsid w:val="0017600F"/>
    <w:rsid w:val="00176F6E"/>
    <w:rsid w:val="001803D4"/>
    <w:rsid w:val="001845DA"/>
    <w:rsid w:val="00195E45"/>
    <w:rsid w:val="001971A3"/>
    <w:rsid w:val="0019752B"/>
    <w:rsid w:val="001A7659"/>
    <w:rsid w:val="001B06F5"/>
    <w:rsid w:val="001B1356"/>
    <w:rsid w:val="001B367F"/>
    <w:rsid w:val="001C3B71"/>
    <w:rsid w:val="001C4AF0"/>
    <w:rsid w:val="001C53BB"/>
    <w:rsid w:val="001D01B9"/>
    <w:rsid w:val="001D1171"/>
    <w:rsid w:val="001D2402"/>
    <w:rsid w:val="001D2711"/>
    <w:rsid w:val="001E4DCE"/>
    <w:rsid w:val="001E7F3D"/>
    <w:rsid w:val="00202F16"/>
    <w:rsid w:val="00205C06"/>
    <w:rsid w:val="00206368"/>
    <w:rsid w:val="00206FBC"/>
    <w:rsid w:val="002079CC"/>
    <w:rsid w:val="00210E1C"/>
    <w:rsid w:val="00212E99"/>
    <w:rsid w:val="002131CF"/>
    <w:rsid w:val="00213D52"/>
    <w:rsid w:val="0022163F"/>
    <w:rsid w:val="0022724E"/>
    <w:rsid w:val="002305D0"/>
    <w:rsid w:val="002330AD"/>
    <w:rsid w:val="002333C3"/>
    <w:rsid w:val="002356BF"/>
    <w:rsid w:val="00235991"/>
    <w:rsid w:val="00235CC0"/>
    <w:rsid w:val="00235E96"/>
    <w:rsid w:val="00237514"/>
    <w:rsid w:val="002415BC"/>
    <w:rsid w:val="00247EEF"/>
    <w:rsid w:val="00254C00"/>
    <w:rsid w:val="00255A85"/>
    <w:rsid w:val="00255BD2"/>
    <w:rsid w:val="0026334C"/>
    <w:rsid w:val="00263418"/>
    <w:rsid w:val="002667B9"/>
    <w:rsid w:val="002711E1"/>
    <w:rsid w:val="00271C24"/>
    <w:rsid w:val="00273687"/>
    <w:rsid w:val="00274312"/>
    <w:rsid w:val="002764E4"/>
    <w:rsid w:val="00281B0E"/>
    <w:rsid w:val="00285A55"/>
    <w:rsid w:val="00285ACA"/>
    <w:rsid w:val="00285C11"/>
    <w:rsid w:val="002A08A1"/>
    <w:rsid w:val="002A19B4"/>
    <w:rsid w:val="002A4E34"/>
    <w:rsid w:val="002A517F"/>
    <w:rsid w:val="002A7CAB"/>
    <w:rsid w:val="002B2AD9"/>
    <w:rsid w:val="002C2C2E"/>
    <w:rsid w:val="002C6373"/>
    <w:rsid w:val="002C72EC"/>
    <w:rsid w:val="002D02B5"/>
    <w:rsid w:val="002D26D5"/>
    <w:rsid w:val="002D74EA"/>
    <w:rsid w:val="002D772E"/>
    <w:rsid w:val="002E0FD6"/>
    <w:rsid w:val="002E3096"/>
    <w:rsid w:val="002E3AC0"/>
    <w:rsid w:val="002E4C49"/>
    <w:rsid w:val="002E5439"/>
    <w:rsid w:val="002E6415"/>
    <w:rsid w:val="002E7DC7"/>
    <w:rsid w:val="002F0A06"/>
    <w:rsid w:val="00301D55"/>
    <w:rsid w:val="00302231"/>
    <w:rsid w:val="003043DC"/>
    <w:rsid w:val="003117D2"/>
    <w:rsid w:val="003201C0"/>
    <w:rsid w:val="003205FF"/>
    <w:rsid w:val="00325B88"/>
    <w:rsid w:val="003328AE"/>
    <w:rsid w:val="00333ABC"/>
    <w:rsid w:val="00334AAB"/>
    <w:rsid w:val="003355F4"/>
    <w:rsid w:val="00335D7D"/>
    <w:rsid w:val="00345D1B"/>
    <w:rsid w:val="003474BF"/>
    <w:rsid w:val="00347BE7"/>
    <w:rsid w:val="00347F23"/>
    <w:rsid w:val="00356BF8"/>
    <w:rsid w:val="00357E09"/>
    <w:rsid w:val="00360FDD"/>
    <w:rsid w:val="00361037"/>
    <w:rsid w:val="0036231A"/>
    <w:rsid w:val="00364A4B"/>
    <w:rsid w:val="00381256"/>
    <w:rsid w:val="0038139F"/>
    <w:rsid w:val="003824C6"/>
    <w:rsid w:val="003825E5"/>
    <w:rsid w:val="00383727"/>
    <w:rsid w:val="0038473A"/>
    <w:rsid w:val="00391F21"/>
    <w:rsid w:val="00395435"/>
    <w:rsid w:val="0039736E"/>
    <w:rsid w:val="003A1785"/>
    <w:rsid w:val="003A6AB2"/>
    <w:rsid w:val="003B00FF"/>
    <w:rsid w:val="003B3338"/>
    <w:rsid w:val="003B7908"/>
    <w:rsid w:val="003C0AC7"/>
    <w:rsid w:val="003C46B7"/>
    <w:rsid w:val="003D4188"/>
    <w:rsid w:val="003D6339"/>
    <w:rsid w:val="003E0B08"/>
    <w:rsid w:val="003E1E4C"/>
    <w:rsid w:val="003E45EB"/>
    <w:rsid w:val="003E6233"/>
    <w:rsid w:val="003F0562"/>
    <w:rsid w:val="003F0909"/>
    <w:rsid w:val="003F0CF8"/>
    <w:rsid w:val="003F17C2"/>
    <w:rsid w:val="003F3405"/>
    <w:rsid w:val="003F3E68"/>
    <w:rsid w:val="00401730"/>
    <w:rsid w:val="00403BEF"/>
    <w:rsid w:val="004043A8"/>
    <w:rsid w:val="00405F17"/>
    <w:rsid w:val="00411DA4"/>
    <w:rsid w:val="0041274F"/>
    <w:rsid w:val="00415B10"/>
    <w:rsid w:val="00416A6D"/>
    <w:rsid w:val="00420193"/>
    <w:rsid w:val="00430893"/>
    <w:rsid w:val="00431284"/>
    <w:rsid w:val="004314B3"/>
    <w:rsid w:val="0043488E"/>
    <w:rsid w:val="004353EA"/>
    <w:rsid w:val="00436F25"/>
    <w:rsid w:val="004427AB"/>
    <w:rsid w:val="00447DBD"/>
    <w:rsid w:val="00455642"/>
    <w:rsid w:val="0045670C"/>
    <w:rsid w:val="00457B4A"/>
    <w:rsid w:val="004602E8"/>
    <w:rsid w:val="00462774"/>
    <w:rsid w:val="0046327D"/>
    <w:rsid w:val="00465F6F"/>
    <w:rsid w:val="004667EC"/>
    <w:rsid w:val="00471DC1"/>
    <w:rsid w:val="004735FC"/>
    <w:rsid w:val="0048383B"/>
    <w:rsid w:val="004850B6"/>
    <w:rsid w:val="00486B27"/>
    <w:rsid w:val="00487B32"/>
    <w:rsid w:val="00490EC5"/>
    <w:rsid w:val="0049146D"/>
    <w:rsid w:val="00491B6F"/>
    <w:rsid w:val="00491E4E"/>
    <w:rsid w:val="00494FF4"/>
    <w:rsid w:val="00496370"/>
    <w:rsid w:val="00496692"/>
    <w:rsid w:val="004966E5"/>
    <w:rsid w:val="004A30B4"/>
    <w:rsid w:val="004B0441"/>
    <w:rsid w:val="004B52A8"/>
    <w:rsid w:val="004B5B58"/>
    <w:rsid w:val="004C20C9"/>
    <w:rsid w:val="004C2F53"/>
    <w:rsid w:val="004C3E5C"/>
    <w:rsid w:val="004C51ED"/>
    <w:rsid w:val="004C5569"/>
    <w:rsid w:val="004C662C"/>
    <w:rsid w:val="004C6968"/>
    <w:rsid w:val="004C6A69"/>
    <w:rsid w:val="004C6C9B"/>
    <w:rsid w:val="004D0353"/>
    <w:rsid w:val="004D6FD6"/>
    <w:rsid w:val="004E2C73"/>
    <w:rsid w:val="004E66DD"/>
    <w:rsid w:val="004E7DD7"/>
    <w:rsid w:val="004F3F12"/>
    <w:rsid w:val="004F4D26"/>
    <w:rsid w:val="004F6606"/>
    <w:rsid w:val="004F761F"/>
    <w:rsid w:val="00502743"/>
    <w:rsid w:val="0051136B"/>
    <w:rsid w:val="00513D15"/>
    <w:rsid w:val="0052108C"/>
    <w:rsid w:val="00522D87"/>
    <w:rsid w:val="00524613"/>
    <w:rsid w:val="00526975"/>
    <w:rsid w:val="00532F12"/>
    <w:rsid w:val="00534759"/>
    <w:rsid w:val="00534E7B"/>
    <w:rsid w:val="005368EF"/>
    <w:rsid w:val="0054453C"/>
    <w:rsid w:val="00544737"/>
    <w:rsid w:val="0054619F"/>
    <w:rsid w:val="00552D81"/>
    <w:rsid w:val="00554948"/>
    <w:rsid w:val="0056256F"/>
    <w:rsid w:val="00563BA5"/>
    <w:rsid w:val="00565A95"/>
    <w:rsid w:val="00571D6A"/>
    <w:rsid w:val="005733B1"/>
    <w:rsid w:val="00574523"/>
    <w:rsid w:val="0057616D"/>
    <w:rsid w:val="0057670D"/>
    <w:rsid w:val="00582DB8"/>
    <w:rsid w:val="00584F33"/>
    <w:rsid w:val="00585FA9"/>
    <w:rsid w:val="00593200"/>
    <w:rsid w:val="00593DCE"/>
    <w:rsid w:val="005A03C6"/>
    <w:rsid w:val="005A06CC"/>
    <w:rsid w:val="005A67FB"/>
    <w:rsid w:val="005B02AF"/>
    <w:rsid w:val="005B1F46"/>
    <w:rsid w:val="005C2F4A"/>
    <w:rsid w:val="005C4642"/>
    <w:rsid w:val="005D4667"/>
    <w:rsid w:val="005D686C"/>
    <w:rsid w:val="005E02B8"/>
    <w:rsid w:val="005E38B7"/>
    <w:rsid w:val="005F0439"/>
    <w:rsid w:val="005F6AFE"/>
    <w:rsid w:val="00600F62"/>
    <w:rsid w:val="00601914"/>
    <w:rsid w:val="00604ACF"/>
    <w:rsid w:val="00606AA8"/>
    <w:rsid w:val="00611F8A"/>
    <w:rsid w:val="006160ED"/>
    <w:rsid w:val="0061642D"/>
    <w:rsid w:val="006176DC"/>
    <w:rsid w:val="00621EB6"/>
    <w:rsid w:val="00622589"/>
    <w:rsid w:val="00622F24"/>
    <w:rsid w:val="006313CD"/>
    <w:rsid w:val="0063142B"/>
    <w:rsid w:val="00635F8F"/>
    <w:rsid w:val="00643CD9"/>
    <w:rsid w:val="00645AA3"/>
    <w:rsid w:val="00653530"/>
    <w:rsid w:val="00653533"/>
    <w:rsid w:val="00653C6F"/>
    <w:rsid w:val="0065725B"/>
    <w:rsid w:val="006578CD"/>
    <w:rsid w:val="00657A00"/>
    <w:rsid w:val="00662688"/>
    <w:rsid w:val="00662EEF"/>
    <w:rsid w:val="0066347E"/>
    <w:rsid w:val="00663C39"/>
    <w:rsid w:val="00664E36"/>
    <w:rsid w:val="00664E94"/>
    <w:rsid w:val="006650AB"/>
    <w:rsid w:val="006739DB"/>
    <w:rsid w:val="00674C06"/>
    <w:rsid w:val="00675E66"/>
    <w:rsid w:val="006766EE"/>
    <w:rsid w:val="00684152"/>
    <w:rsid w:val="00685C88"/>
    <w:rsid w:val="00685E8F"/>
    <w:rsid w:val="00690690"/>
    <w:rsid w:val="006972AE"/>
    <w:rsid w:val="0069784B"/>
    <w:rsid w:val="006A0601"/>
    <w:rsid w:val="006A6788"/>
    <w:rsid w:val="006A6A64"/>
    <w:rsid w:val="006B77CF"/>
    <w:rsid w:val="006C00F1"/>
    <w:rsid w:val="006C0FE3"/>
    <w:rsid w:val="006C2578"/>
    <w:rsid w:val="006C54F9"/>
    <w:rsid w:val="006C5922"/>
    <w:rsid w:val="006C6159"/>
    <w:rsid w:val="006D2933"/>
    <w:rsid w:val="006D4665"/>
    <w:rsid w:val="006E2DD7"/>
    <w:rsid w:val="006F1EC3"/>
    <w:rsid w:val="006F27B4"/>
    <w:rsid w:val="006F4334"/>
    <w:rsid w:val="007017B2"/>
    <w:rsid w:val="00703A75"/>
    <w:rsid w:val="0070505D"/>
    <w:rsid w:val="00727B1A"/>
    <w:rsid w:val="007332A5"/>
    <w:rsid w:val="0073388E"/>
    <w:rsid w:val="00735BCE"/>
    <w:rsid w:val="007433E5"/>
    <w:rsid w:val="0074442B"/>
    <w:rsid w:val="007453F6"/>
    <w:rsid w:val="00745D78"/>
    <w:rsid w:val="00746E56"/>
    <w:rsid w:val="007474E5"/>
    <w:rsid w:val="00747EF6"/>
    <w:rsid w:val="007521D0"/>
    <w:rsid w:val="007533A1"/>
    <w:rsid w:val="00756D76"/>
    <w:rsid w:val="007623BC"/>
    <w:rsid w:val="00762664"/>
    <w:rsid w:val="00763C18"/>
    <w:rsid w:val="00764423"/>
    <w:rsid w:val="007745BF"/>
    <w:rsid w:val="0078429A"/>
    <w:rsid w:val="0078506A"/>
    <w:rsid w:val="0078671E"/>
    <w:rsid w:val="0078793F"/>
    <w:rsid w:val="00791371"/>
    <w:rsid w:val="00793186"/>
    <w:rsid w:val="007968E7"/>
    <w:rsid w:val="00796B7E"/>
    <w:rsid w:val="007A13F6"/>
    <w:rsid w:val="007A461E"/>
    <w:rsid w:val="007B18F0"/>
    <w:rsid w:val="007B34CF"/>
    <w:rsid w:val="007B6686"/>
    <w:rsid w:val="007B7380"/>
    <w:rsid w:val="007B7A36"/>
    <w:rsid w:val="007D02F7"/>
    <w:rsid w:val="007D1693"/>
    <w:rsid w:val="007D3D6B"/>
    <w:rsid w:val="007D3E1F"/>
    <w:rsid w:val="007D4160"/>
    <w:rsid w:val="007D47B7"/>
    <w:rsid w:val="007E35FF"/>
    <w:rsid w:val="007E3AC5"/>
    <w:rsid w:val="007E46BF"/>
    <w:rsid w:val="007E6F6E"/>
    <w:rsid w:val="007E7F57"/>
    <w:rsid w:val="007ED637"/>
    <w:rsid w:val="007F2B34"/>
    <w:rsid w:val="00801751"/>
    <w:rsid w:val="00805700"/>
    <w:rsid w:val="00805D8E"/>
    <w:rsid w:val="0080678B"/>
    <w:rsid w:val="00810834"/>
    <w:rsid w:val="008136E8"/>
    <w:rsid w:val="0081600D"/>
    <w:rsid w:val="008164B6"/>
    <w:rsid w:val="00816F3B"/>
    <w:rsid w:val="00817ED9"/>
    <w:rsid w:val="0082037F"/>
    <w:rsid w:val="0082105E"/>
    <w:rsid w:val="00821744"/>
    <w:rsid w:val="00823E06"/>
    <w:rsid w:val="00824BA4"/>
    <w:rsid w:val="00831757"/>
    <w:rsid w:val="0085146B"/>
    <w:rsid w:val="00861F30"/>
    <w:rsid w:val="00862B64"/>
    <w:rsid w:val="00864C72"/>
    <w:rsid w:val="00864EB8"/>
    <w:rsid w:val="00867E90"/>
    <w:rsid w:val="008746BF"/>
    <w:rsid w:val="00880E15"/>
    <w:rsid w:val="008816BE"/>
    <w:rsid w:val="00885D8B"/>
    <w:rsid w:val="008908E1"/>
    <w:rsid w:val="00891663"/>
    <w:rsid w:val="00893DC3"/>
    <w:rsid w:val="008A2D9A"/>
    <w:rsid w:val="008A3C57"/>
    <w:rsid w:val="008A55F6"/>
    <w:rsid w:val="008A7C97"/>
    <w:rsid w:val="008B1D98"/>
    <w:rsid w:val="008B2DCA"/>
    <w:rsid w:val="008B6669"/>
    <w:rsid w:val="008B76E7"/>
    <w:rsid w:val="008C65F7"/>
    <w:rsid w:val="008D12DD"/>
    <w:rsid w:val="008D289E"/>
    <w:rsid w:val="008D75E8"/>
    <w:rsid w:val="008D76E0"/>
    <w:rsid w:val="008E01DB"/>
    <w:rsid w:val="008E5C4E"/>
    <w:rsid w:val="008E729C"/>
    <w:rsid w:val="008F03C1"/>
    <w:rsid w:val="008F74A3"/>
    <w:rsid w:val="008F7F1A"/>
    <w:rsid w:val="0090213E"/>
    <w:rsid w:val="00903922"/>
    <w:rsid w:val="00904D76"/>
    <w:rsid w:val="00905928"/>
    <w:rsid w:val="00907ACC"/>
    <w:rsid w:val="00910CDB"/>
    <w:rsid w:val="00911A73"/>
    <w:rsid w:val="009206D4"/>
    <w:rsid w:val="0092238A"/>
    <w:rsid w:val="009255B8"/>
    <w:rsid w:val="00933761"/>
    <w:rsid w:val="00940867"/>
    <w:rsid w:val="00946B3B"/>
    <w:rsid w:val="00946FCF"/>
    <w:rsid w:val="009505BD"/>
    <w:rsid w:val="00956212"/>
    <w:rsid w:val="00957238"/>
    <w:rsid w:val="00960FC4"/>
    <w:rsid w:val="0096166A"/>
    <w:rsid w:val="009650F9"/>
    <w:rsid w:val="0096795F"/>
    <w:rsid w:val="00967FCE"/>
    <w:rsid w:val="0097023A"/>
    <w:rsid w:val="0097748C"/>
    <w:rsid w:val="00980C1D"/>
    <w:rsid w:val="00982FBF"/>
    <w:rsid w:val="00984C80"/>
    <w:rsid w:val="0098504E"/>
    <w:rsid w:val="00987132"/>
    <w:rsid w:val="00987CBC"/>
    <w:rsid w:val="009916E0"/>
    <w:rsid w:val="0099290E"/>
    <w:rsid w:val="00992A38"/>
    <w:rsid w:val="00994F86"/>
    <w:rsid w:val="0099767D"/>
    <w:rsid w:val="009A287B"/>
    <w:rsid w:val="009A2975"/>
    <w:rsid w:val="009B27DE"/>
    <w:rsid w:val="009B2AB9"/>
    <w:rsid w:val="009B462E"/>
    <w:rsid w:val="009C1ADA"/>
    <w:rsid w:val="009C34DC"/>
    <w:rsid w:val="009C4F86"/>
    <w:rsid w:val="009D2A0D"/>
    <w:rsid w:val="009D66B3"/>
    <w:rsid w:val="009E0631"/>
    <w:rsid w:val="009E1FB6"/>
    <w:rsid w:val="009E2176"/>
    <w:rsid w:val="009E2A07"/>
    <w:rsid w:val="009E309E"/>
    <w:rsid w:val="009E6E1A"/>
    <w:rsid w:val="009F3243"/>
    <w:rsid w:val="009F41F7"/>
    <w:rsid w:val="009F4589"/>
    <w:rsid w:val="009F69B5"/>
    <w:rsid w:val="00A00939"/>
    <w:rsid w:val="00A00FD7"/>
    <w:rsid w:val="00A022D1"/>
    <w:rsid w:val="00A051BA"/>
    <w:rsid w:val="00A0739E"/>
    <w:rsid w:val="00A10422"/>
    <w:rsid w:val="00A1109D"/>
    <w:rsid w:val="00A1109E"/>
    <w:rsid w:val="00A11A4C"/>
    <w:rsid w:val="00A1363E"/>
    <w:rsid w:val="00A20AC8"/>
    <w:rsid w:val="00A20B15"/>
    <w:rsid w:val="00A22673"/>
    <w:rsid w:val="00A237BF"/>
    <w:rsid w:val="00A243A9"/>
    <w:rsid w:val="00A245E1"/>
    <w:rsid w:val="00A26A7C"/>
    <w:rsid w:val="00A3102D"/>
    <w:rsid w:val="00A319F1"/>
    <w:rsid w:val="00A34968"/>
    <w:rsid w:val="00A34C80"/>
    <w:rsid w:val="00A36FDF"/>
    <w:rsid w:val="00A4244A"/>
    <w:rsid w:val="00A42ED6"/>
    <w:rsid w:val="00A4459B"/>
    <w:rsid w:val="00A45064"/>
    <w:rsid w:val="00A5229B"/>
    <w:rsid w:val="00A53BAB"/>
    <w:rsid w:val="00A57A9F"/>
    <w:rsid w:val="00A62860"/>
    <w:rsid w:val="00A6647C"/>
    <w:rsid w:val="00A769A5"/>
    <w:rsid w:val="00A80E5F"/>
    <w:rsid w:val="00A82A0B"/>
    <w:rsid w:val="00A86CBE"/>
    <w:rsid w:val="00A87D5C"/>
    <w:rsid w:val="00A90E7A"/>
    <w:rsid w:val="00A93FE9"/>
    <w:rsid w:val="00A94E93"/>
    <w:rsid w:val="00AA03AE"/>
    <w:rsid w:val="00AA6047"/>
    <w:rsid w:val="00AA7DC1"/>
    <w:rsid w:val="00AB12FE"/>
    <w:rsid w:val="00AB3E92"/>
    <w:rsid w:val="00AB45AC"/>
    <w:rsid w:val="00AB6791"/>
    <w:rsid w:val="00AC01ED"/>
    <w:rsid w:val="00AC0FA5"/>
    <w:rsid w:val="00AC5E14"/>
    <w:rsid w:val="00AD01CD"/>
    <w:rsid w:val="00AD29C6"/>
    <w:rsid w:val="00AD3309"/>
    <w:rsid w:val="00AD3FF1"/>
    <w:rsid w:val="00AD7991"/>
    <w:rsid w:val="00AE268A"/>
    <w:rsid w:val="00AE4418"/>
    <w:rsid w:val="00AE77ED"/>
    <w:rsid w:val="00AF0D14"/>
    <w:rsid w:val="00AF0E49"/>
    <w:rsid w:val="00AF4AE6"/>
    <w:rsid w:val="00AF7FC8"/>
    <w:rsid w:val="00B000CA"/>
    <w:rsid w:val="00B0239F"/>
    <w:rsid w:val="00B0681D"/>
    <w:rsid w:val="00B10A99"/>
    <w:rsid w:val="00B12894"/>
    <w:rsid w:val="00B13F49"/>
    <w:rsid w:val="00B1456D"/>
    <w:rsid w:val="00B21158"/>
    <w:rsid w:val="00B22D3B"/>
    <w:rsid w:val="00B23702"/>
    <w:rsid w:val="00B2460B"/>
    <w:rsid w:val="00B2658B"/>
    <w:rsid w:val="00B265DF"/>
    <w:rsid w:val="00B30BF6"/>
    <w:rsid w:val="00B31CB1"/>
    <w:rsid w:val="00B36559"/>
    <w:rsid w:val="00B37779"/>
    <w:rsid w:val="00B408CA"/>
    <w:rsid w:val="00B4179A"/>
    <w:rsid w:val="00B42D9D"/>
    <w:rsid w:val="00B52B89"/>
    <w:rsid w:val="00B52D44"/>
    <w:rsid w:val="00B54C81"/>
    <w:rsid w:val="00B554ED"/>
    <w:rsid w:val="00B57645"/>
    <w:rsid w:val="00B579AA"/>
    <w:rsid w:val="00B677B7"/>
    <w:rsid w:val="00B85440"/>
    <w:rsid w:val="00B8782D"/>
    <w:rsid w:val="00B93064"/>
    <w:rsid w:val="00B93FCE"/>
    <w:rsid w:val="00BA0F16"/>
    <w:rsid w:val="00BA1BFE"/>
    <w:rsid w:val="00BA4182"/>
    <w:rsid w:val="00BA6C0F"/>
    <w:rsid w:val="00BB1275"/>
    <w:rsid w:val="00BB15A1"/>
    <w:rsid w:val="00BB19A1"/>
    <w:rsid w:val="00BB1C0D"/>
    <w:rsid w:val="00BB2702"/>
    <w:rsid w:val="00BB4417"/>
    <w:rsid w:val="00BB6AA7"/>
    <w:rsid w:val="00BC04D4"/>
    <w:rsid w:val="00BC4AC6"/>
    <w:rsid w:val="00BC5399"/>
    <w:rsid w:val="00BC6165"/>
    <w:rsid w:val="00BC6793"/>
    <w:rsid w:val="00BC75C9"/>
    <w:rsid w:val="00BE08B8"/>
    <w:rsid w:val="00BE7822"/>
    <w:rsid w:val="00BF3EB9"/>
    <w:rsid w:val="00BF4059"/>
    <w:rsid w:val="00C01A5A"/>
    <w:rsid w:val="00C03F16"/>
    <w:rsid w:val="00C05E8F"/>
    <w:rsid w:val="00C13CAE"/>
    <w:rsid w:val="00C14FCD"/>
    <w:rsid w:val="00C17116"/>
    <w:rsid w:val="00C17C66"/>
    <w:rsid w:val="00C20E3A"/>
    <w:rsid w:val="00C3177D"/>
    <w:rsid w:val="00C31AA1"/>
    <w:rsid w:val="00C32A6A"/>
    <w:rsid w:val="00C338EC"/>
    <w:rsid w:val="00C35AC8"/>
    <w:rsid w:val="00C37E9D"/>
    <w:rsid w:val="00C4150A"/>
    <w:rsid w:val="00C50336"/>
    <w:rsid w:val="00C53A26"/>
    <w:rsid w:val="00C56C1B"/>
    <w:rsid w:val="00C56DEE"/>
    <w:rsid w:val="00C631FE"/>
    <w:rsid w:val="00C653A0"/>
    <w:rsid w:val="00C655E4"/>
    <w:rsid w:val="00C67817"/>
    <w:rsid w:val="00C71872"/>
    <w:rsid w:val="00C7586E"/>
    <w:rsid w:val="00C75F0E"/>
    <w:rsid w:val="00C75FA1"/>
    <w:rsid w:val="00C76DA2"/>
    <w:rsid w:val="00C8048B"/>
    <w:rsid w:val="00C80D71"/>
    <w:rsid w:val="00C851A5"/>
    <w:rsid w:val="00C86A80"/>
    <w:rsid w:val="00C9141D"/>
    <w:rsid w:val="00C94530"/>
    <w:rsid w:val="00C951FB"/>
    <w:rsid w:val="00C95B95"/>
    <w:rsid w:val="00C96D4A"/>
    <w:rsid w:val="00CA13AA"/>
    <w:rsid w:val="00CA159A"/>
    <w:rsid w:val="00CB1CA1"/>
    <w:rsid w:val="00CB3610"/>
    <w:rsid w:val="00CB3BC2"/>
    <w:rsid w:val="00CC445E"/>
    <w:rsid w:val="00CD00BC"/>
    <w:rsid w:val="00CD054A"/>
    <w:rsid w:val="00CD0BC4"/>
    <w:rsid w:val="00CD1218"/>
    <w:rsid w:val="00CD5005"/>
    <w:rsid w:val="00CE016D"/>
    <w:rsid w:val="00CE3425"/>
    <w:rsid w:val="00CE5ED5"/>
    <w:rsid w:val="00CE6D6F"/>
    <w:rsid w:val="00CF1227"/>
    <w:rsid w:val="00CF266F"/>
    <w:rsid w:val="00CF4C5E"/>
    <w:rsid w:val="00D02F4F"/>
    <w:rsid w:val="00D121DB"/>
    <w:rsid w:val="00D14E71"/>
    <w:rsid w:val="00D177DF"/>
    <w:rsid w:val="00D24995"/>
    <w:rsid w:val="00D34283"/>
    <w:rsid w:val="00D35595"/>
    <w:rsid w:val="00D35A65"/>
    <w:rsid w:val="00D36493"/>
    <w:rsid w:val="00D4434A"/>
    <w:rsid w:val="00D444AC"/>
    <w:rsid w:val="00D469D1"/>
    <w:rsid w:val="00D47E99"/>
    <w:rsid w:val="00D517C7"/>
    <w:rsid w:val="00D52426"/>
    <w:rsid w:val="00D52F05"/>
    <w:rsid w:val="00D5488B"/>
    <w:rsid w:val="00D565CF"/>
    <w:rsid w:val="00D61E4E"/>
    <w:rsid w:val="00D647D2"/>
    <w:rsid w:val="00D6799B"/>
    <w:rsid w:val="00D75231"/>
    <w:rsid w:val="00D7548D"/>
    <w:rsid w:val="00D80040"/>
    <w:rsid w:val="00D80620"/>
    <w:rsid w:val="00D81145"/>
    <w:rsid w:val="00D854AA"/>
    <w:rsid w:val="00D920E6"/>
    <w:rsid w:val="00DA4B45"/>
    <w:rsid w:val="00DB0936"/>
    <w:rsid w:val="00DB0AA8"/>
    <w:rsid w:val="00DB120F"/>
    <w:rsid w:val="00DB46C9"/>
    <w:rsid w:val="00DB5BB9"/>
    <w:rsid w:val="00DB7132"/>
    <w:rsid w:val="00DC073E"/>
    <w:rsid w:val="00DC5690"/>
    <w:rsid w:val="00DD1607"/>
    <w:rsid w:val="00DD6C43"/>
    <w:rsid w:val="00DE0574"/>
    <w:rsid w:val="00DE458F"/>
    <w:rsid w:val="00DE7E0B"/>
    <w:rsid w:val="00DF0178"/>
    <w:rsid w:val="00DF3D10"/>
    <w:rsid w:val="00DF47E8"/>
    <w:rsid w:val="00DF5613"/>
    <w:rsid w:val="00E01AC5"/>
    <w:rsid w:val="00E03663"/>
    <w:rsid w:val="00E04DED"/>
    <w:rsid w:val="00E14A21"/>
    <w:rsid w:val="00E175E1"/>
    <w:rsid w:val="00E2290A"/>
    <w:rsid w:val="00E25D21"/>
    <w:rsid w:val="00E31128"/>
    <w:rsid w:val="00E31AE4"/>
    <w:rsid w:val="00E31B38"/>
    <w:rsid w:val="00E31EED"/>
    <w:rsid w:val="00E34005"/>
    <w:rsid w:val="00E343C9"/>
    <w:rsid w:val="00E34449"/>
    <w:rsid w:val="00E363BB"/>
    <w:rsid w:val="00E36E12"/>
    <w:rsid w:val="00E4431F"/>
    <w:rsid w:val="00E52B93"/>
    <w:rsid w:val="00E53390"/>
    <w:rsid w:val="00E53ECD"/>
    <w:rsid w:val="00E561DF"/>
    <w:rsid w:val="00E60372"/>
    <w:rsid w:val="00E608EC"/>
    <w:rsid w:val="00E62A71"/>
    <w:rsid w:val="00E65CCD"/>
    <w:rsid w:val="00E72CC1"/>
    <w:rsid w:val="00E9135C"/>
    <w:rsid w:val="00E9307A"/>
    <w:rsid w:val="00E93BFE"/>
    <w:rsid w:val="00E93C03"/>
    <w:rsid w:val="00E94C62"/>
    <w:rsid w:val="00EA633C"/>
    <w:rsid w:val="00EB0DAF"/>
    <w:rsid w:val="00EB24B2"/>
    <w:rsid w:val="00EB6C8D"/>
    <w:rsid w:val="00EB7751"/>
    <w:rsid w:val="00EC0827"/>
    <w:rsid w:val="00ED0636"/>
    <w:rsid w:val="00ED4491"/>
    <w:rsid w:val="00ED6B1F"/>
    <w:rsid w:val="00ED77E8"/>
    <w:rsid w:val="00EE1B95"/>
    <w:rsid w:val="00EE2507"/>
    <w:rsid w:val="00EE2C69"/>
    <w:rsid w:val="00EF1192"/>
    <w:rsid w:val="00EF5EA0"/>
    <w:rsid w:val="00F00127"/>
    <w:rsid w:val="00F0014A"/>
    <w:rsid w:val="00F007AF"/>
    <w:rsid w:val="00F01D0A"/>
    <w:rsid w:val="00F02A12"/>
    <w:rsid w:val="00F040E8"/>
    <w:rsid w:val="00F1271F"/>
    <w:rsid w:val="00F1726A"/>
    <w:rsid w:val="00F25380"/>
    <w:rsid w:val="00F26B0F"/>
    <w:rsid w:val="00F33822"/>
    <w:rsid w:val="00F4340F"/>
    <w:rsid w:val="00F47A55"/>
    <w:rsid w:val="00F5154F"/>
    <w:rsid w:val="00F548A1"/>
    <w:rsid w:val="00F579A5"/>
    <w:rsid w:val="00F7346C"/>
    <w:rsid w:val="00F7367A"/>
    <w:rsid w:val="00F7448D"/>
    <w:rsid w:val="00F76574"/>
    <w:rsid w:val="00F77E0A"/>
    <w:rsid w:val="00F936BE"/>
    <w:rsid w:val="00F93EB5"/>
    <w:rsid w:val="00F9408A"/>
    <w:rsid w:val="00F97A21"/>
    <w:rsid w:val="00FA7ABC"/>
    <w:rsid w:val="00FA7FE1"/>
    <w:rsid w:val="00FB1404"/>
    <w:rsid w:val="00FB7263"/>
    <w:rsid w:val="00FB7D53"/>
    <w:rsid w:val="00FD2218"/>
    <w:rsid w:val="00FE00D1"/>
    <w:rsid w:val="00FE17AA"/>
    <w:rsid w:val="00FE3BDA"/>
    <w:rsid w:val="00FF03A1"/>
    <w:rsid w:val="00FF2785"/>
    <w:rsid w:val="00FF548B"/>
    <w:rsid w:val="00FF5F52"/>
    <w:rsid w:val="11B3D071"/>
    <w:rsid w:val="134FA0D2"/>
    <w:rsid w:val="14EB7133"/>
    <w:rsid w:val="15039D71"/>
    <w:rsid w:val="2A0A8D85"/>
    <w:rsid w:val="2C01B4CB"/>
    <w:rsid w:val="321BAC81"/>
    <w:rsid w:val="40DC417D"/>
    <w:rsid w:val="456C15E5"/>
    <w:rsid w:val="48EB1513"/>
    <w:rsid w:val="4C7EAA12"/>
    <w:rsid w:val="5D90561C"/>
    <w:rsid w:val="656C0207"/>
    <w:rsid w:val="6F3F41BC"/>
    <w:rsid w:val="77DC9B4C"/>
    <w:rsid w:val="7C0F92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tabs>
        <w:tab w:val="left" w:pos="216"/>
        <w:tab w:val="left" w:pos="1276"/>
      </w:tabs>
      <w:spacing w:before="68" w:line="264" w:lineRule="exact"/>
      <w:ind w:left="0"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FF03A1"/>
    <w:pPr>
      <w:tabs>
        <w:tab w:val="left" w:pos="2552"/>
        <w:tab w:val="right" w:leader="dot" w:pos="10773"/>
      </w:tabs>
      <w:ind w:left="1985"/>
    </w:pPr>
    <w:rPr>
      <w:rFonts w:ascii="Cambria" w:hAnsi="Cambria"/>
      <w:sz w:val="20"/>
    </w:rPr>
  </w:style>
  <w:style w:type="paragraph" w:styleId="TOC2">
    <w:name w:val="toc 2"/>
    <w:basedOn w:val="Normal"/>
    <w:next w:val="Normal"/>
    <w:autoRedefine/>
    <w:uiPriority w:val="39"/>
    <w:unhideWhenUsed/>
    <w:rsid w:val="00BC6165"/>
    <w:pPr>
      <w:tabs>
        <w:tab w:val="right" w:leader="dot" w:pos="10773"/>
      </w:tabs>
      <w:ind w:left="2098"/>
    </w:pPr>
    <w:rPr>
      <w:rFonts w:ascii="Cambria" w:hAnsi="Cambria"/>
      <w:sz w:val="20"/>
    </w:rPr>
  </w:style>
  <w:style w:type="paragraph" w:styleId="TOC3">
    <w:name w:val="toc 3"/>
    <w:basedOn w:val="Normal"/>
    <w:next w:val="Normal"/>
    <w:autoRedefine/>
    <w:uiPriority w:val="39"/>
    <w:unhideWhenUsed/>
    <w:rsid w:val="00FF03A1"/>
    <w:pPr>
      <w:tabs>
        <w:tab w:val="right" w:leader="dot" w:pos="10773"/>
      </w:tabs>
      <w:ind w:left="2268" w:right="1136"/>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FF03A1"/>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4E66D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A4459B"/>
    <w:pPr>
      <w:numPr>
        <w:numId w:val="1"/>
      </w:num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Documentbody-bodytext">
    <w:name w:val="Document body - body text"/>
    <w:basedOn w:val="Normal"/>
    <w:qFormat/>
    <w:rsid w:val="00146FCA"/>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0A51B2"/>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we.gov.au/biosecurity-trade/export/controlled-goods/meat/elmer-3/aa-guidelines-meat" TargetMode="External"/><Relationship Id="rId26" Type="http://schemas.openxmlformats.org/officeDocument/2006/relationships/hyperlink" Target="https://www.legislation.gov.au/Series/F2021L00334" TargetMode="External"/><Relationship Id="rId39" Type="http://schemas.openxmlformats.org/officeDocument/2006/relationships/footer" Target="footer4.xml"/><Relationship Id="rId21" Type="http://schemas.openxmlformats.org/officeDocument/2006/relationships/hyperlink" Target="https://www.awe.gov.au/biosecurity-trade/export/controlled-goods/meat/elmer-3/export-meat-reg" TargetMode="External"/><Relationship Id="rId34" Type="http://schemas.openxmlformats.org/officeDocument/2006/relationships/hyperlink" Target="https://australianpork.com.au/sites/default/files/2021-06/2020-10_Is_it_fit_for_the_intended_journey.pdf" TargetMode="Externa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biosecurity-trade/export/controlled-goods/meat/elmer-3/emsap" TargetMode="External"/><Relationship Id="rId29" Type="http://schemas.openxmlformats.org/officeDocument/2006/relationships/hyperlink" Target="https://www.publish.csiro.au/ebook/download/pdf/55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we.gov.au/biosecurity-trade/export/controlled-goods/meat/elmer-3/reference-card" TargetMode="External"/><Relationship Id="rId32" Type="http://schemas.openxmlformats.org/officeDocument/2006/relationships/hyperlink" Target="http://www.animalwelfarestandards.net.au/land-transport/"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awe.gov.au/biosecurity-trade/export/controlled-goods/meat/elmer-3/aawcs-cor-policy" TargetMode="External"/><Relationship Id="rId28" Type="http://schemas.openxmlformats.org/officeDocument/2006/relationships/hyperlink" Target="https://aawcs.com.au/standards/" TargetMode="External"/><Relationship Id="rId36" Type="http://schemas.openxmlformats.org/officeDocument/2006/relationships/hyperlink" Target="https://www.apsc.gov.au/publication/aps-values-and-code-conduct-practice" TargetMode="External"/><Relationship Id="rId10" Type="http://schemas.openxmlformats.org/officeDocument/2006/relationships/endnotes" Target="endnotes.xml"/><Relationship Id="rId19" Type="http://schemas.openxmlformats.org/officeDocument/2006/relationships/hyperlink" Target="https://www.awe.gov.au/biosecurity-trade/export/controlled-goods/meat/elmer-3/aa-wildgame" TargetMode="External"/><Relationship Id="rId31" Type="http://schemas.openxmlformats.org/officeDocument/2006/relationships/hyperlink" Target="https://amic.org.au/policy-agenda/animal-welf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www.agriculture.gov.au/biosecurity-trade/export/controlled-goods/meat/elmer-3/guideline-critical-incident-response" TargetMode="External"/><Relationship Id="rId27" Type="http://schemas.openxmlformats.org/officeDocument/2006/relationships/hyperlink" Target="https://www.legislation.gov.au/Series/F2021L00313" TargetMode="External"/><Relationship Id="rId30" Type="http://schemas.openxmlformats.org/officeDocument/2006/relationships/hyperlink" Target="https://www.primesafe.vic.gov.au/uploads/Australian%20Standards/AS%204464-2007.pdf" TargetMode="External"/><Relationship Id="rId35" Type="http://schemas.openxmlformats.org/officeDocument/2006/relationships/hyperlink" Target="https://www.legislation.gov.au/Series/C2011A0013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yperlink" Target="https://www.legislation.gov.au/Series/C2020A00012" TargetMode="External"/><Relationship Id="rId33" Type="http://schemas.openxmlformats.org/officeDocument/2006/relationships/hyperlink" Target="https://coxinall.us7.list-manage.com/track/click?u=87f4462512400a53a67349d86&amp;id=6238d30b0f&amp;e=e6458a2911" TargetMode="External"/><Relationship Id="rId38"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mevs-abatt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2.xml><?xml version="1.0" encoding="utf-8"?>
<ds:datastoreItem xmlns:ds="http://schemas.openxmlformats.org/officeDocument/2006/customXml" ds:itemID="{C541779C-CDE1-489E-B4ED-46A187F40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36940-AAF0-495A-848F-56C3FC3C9D43}">
  <ds:schemaRefs>
    <ds:schemaRef ds:uri="http://schemas.microsoft.com/office/2006/documentManagement/types"/>
    <ds:schemaRef ds:uri="2b53c995-2120-4bc0-8922-c25044d37f65"/>
    <ds:schemaRef ds:uri="http://schemas.microsoft.com/office/infopath/2007/PartnerControls"/>
    <ds:schemaRef ds:uri="http://purl.org/dc/dcmitype/"/>
    <ds:schemaRef ds:uri="http://www.w3.org/XML/1998/namespace"/>
    <ds:schemaRef ds:uri="http://purl.org/dc/elements/1.1/"/>
    <ds:schemaRef ds:uri="http://purl.org/dc/terms/"/>
    <ds:schemaRef ds:uri="http://schemas.openxmlformats.org/package/2006/metadata/core-properties"/>
    <ds:schemaRef ds:uri="81c01dc6-2c49-4730-b140-874c95cac377"/>
    <ds:schemaRef ds:uri="c95b51c2-b2ac-4224-a5b5-069909057829"/>
    <ds:schemaRef ds:uri="http://schemas.microsoft.com/office/2006/metadata/properties"/>
  </ds:schemaRefs>
</ds:datastoreItem>
</file>

<file path=customXml/itemProps4.xml><?xml version="1.0" encoding="utf-8"?>
<ds:datastoreItem xmlns:ds="http://schemas.openxmlformats.org/officeDocument/2006/customXml" ds:itemID="{28374D08-EA70-4166-A7C0-A8BC89F8D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Export Meat Operational Guideline 1.1 Animal welfare - from arrival to completion of slaughter</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1.1 Animal welfare - from arrival to completion of slaughter</dc:title>
  <dc:creator>Department of Agriculture, Fisheries and Forestry</dc:creator>
  <cp:revision>6</cp:revision>
  <cp:lastPrinted>2022-02-07T05:29:00Z</cp:lastPrinted>
  <dcterms:created xsi:type="dcterms:W3CDTF">2023-03-21T05:14:00Z</dcterms:created>
  <dcterms:modified xsi:type="dcterms:W3CDTF">2023-03-21T07:13:00Z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