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16ED" w14:textId="491A4E5A" w:rsidR="00D04A3C" w:rsidRPr="007B4C63" w:rsidRDefault="007E761F" w:rsidP="00020052">
      <w:pPr>
        <w:pStyle w:val="Date"/>
        <w:spacing w:before="1440"/>
      </w:pPr>
      <w:r w:rsidRPr="00020052">
        <w:rPr>
          <w:sz w:val="24"/>
          <w:szCs w:val="24"/>
        </w:rPr>
        <w:t>September</w:t>
      </w:r>
      <w:r w:rsidRPr="00020052">
        <w:rPr>
          <w:sz w:val="24"/>
          <w:szCs w:val="24"/>
        </w:rPr>
        <w:t xml:space="preserve"> </w:t>
      </w:r>
      <w:r w:rsidR="00B82095" w:rsidRPr="00020052">
        <w:rPr>
          <w:sz w:val="24"/>
          <w:szCs w:val="24"/>
        </w:rPr>
        <w:t>20</w:t>
      </w:r>
      <w:r w:rsidR="0044304D" w:rsidRPr="00020052">
        <w:rPr>
          <w:sz w:val="24"/>
          <w:szCs w:val="24"/>
        </w:rPr>
        <w:t>2</w:t>
      </w:r>
      <w:r w:rsidR="00143A7B" w:rsidRPr="00020052">
        <w:rPr>
          <w:sz w:val="24"/>
          <w:szCs w:val="24"/>
        </w:rPr>
        <w:t>4</w:t>
      </w:r>
    </w:p>
    <w:p w14:paraId="4898742E" w14:textId="77777777" w:rsidR="002A4DEE" w:rsidRDefault="002A4DEE" w:rsidP="00E87842">
      <w:pPr>
        <w:tabs>
          <w:tab w:val="left" w:pos="6135"/>
        </w:tabs>
        <w:rPr>
          <w:rFonts w:ascii="Calibri" w:hAnsi="Calibri"/>
          <w:b/>
          <w:bCs/>
          <w:spacing w:val="5"/>
          <w:kern w:val="28"/>
          <w:sz w:val="40"/>
          <w:szCs w:val="28"/>
        </w:rPr>
      </w:pPr>
      <w:r w:rsidRPr="002A4DEE">
        <w:rPr>
          <w:rFonts w:ascii="Calibri" w:hAnsi="Calibri"/>
          <w:b/>
          <w:bCs/>
          <w:spacing w:val="5"/>
          <w:kern w:val="28"/>
          <w:sz w:val="40"/>
          <w:szCs w:val="28"/>
        </w:rPr>
        <w:t>Export Establishment Registration</w:t>
      </w:r>
    </w:p>
    <w:p w14:paraId="5F042CA9" w14:textId="77777777" w:rsidR="00745246" w:rsidRPr="00136E78" w:rsidRDefault="00E71AE1" w:rsidP="00A8157A">
      <w:pPr>
        <w:rPr>
          <w:rFonts w:ascii="Calibri" w:eastAsiaTheme="minorEastAsia" w:hAnsi="Calibri"/>
          <w:b/>
          <w:bCs/>
          <w:sz w:val="28"/>
          <w:szCs w:val="28"/>
          <w:lang w:eastAsia="ja-JP"/>
        </w:rPr>
      </w:pPr>
      <w:r w:rsidRPr="00136E78">
        <w:rPr>
          <w:rFonts w:ascii="Calibri" w:eastAsiaTheme="minorEastAsia" w:hAnsi="Calibri"/>
          <w:b/>
          <w:bCs/>
          <w:sz w:val="28"/>
          <w:szCs w:val="28"/>
          <w:lang w:eastAsia="ja-JP"/>
        </w:rPr>
        <w:t>What is an Export Establishment?</w:t>
      </w:r>
    </w:p>
    <w:p w14:paraId="3B9E9233" w14:textId="77777777" w:rsidR="00C84E1A" w:rsidRPr="00136E78" w:rsidRDefault="00C84E1A" w:rsidP="00426217">
      <w:pPr>
        <w:tabs>
          <w:tab w:val="left" w:pos="142"/>
        </w:tabs>
        <w:spacing w:before="120"/>
        <w:rPr>
          <w:rFonts w:ascii="Calibri" w:hAnsi="Calibri" w:cs="Calibri"/>
          <w:sz w:val="24"/>
          <w:szCs w:val="24"/>
        </w:rPr>
      </w:pPr>
      <w:r w:rsidRPr="00136E78">
        <w:rPr>
          <w:rFonts w:ascii="Calibri" w:hAnsi="Calibri" w:cs="Calibri"/>
          <w:sz w:val="24"/>
          <w:szCs w:val="24"/>
        </w:rPr>
        <w:t xml:space="preserve">Export registered establishments are premises that prepare prescribed goods for export. </w:t>
      </w:r>
    </w:p>
    <w:p w14:paraId="4D5B6F91" w14:textId="23BE2729" w:rsidR="00C84E1A" w:rsidRPr="007F028D" w:rsidRDefault="00C84E1A" w:rsidP="00426217">
      <w:pPr>
        <w:pStyle w:val="ListParagraph"/>
        <w:spacing w:line="264" w:lineRule="auto"/>
        <w:ind w:left="0"/>
        <w:rPr>
          <w:rFonts w:eastAsia="Times New Roman"/>
          <w:szCs w:val="24"/>
        </w:rPr>
      </w:pPr>
      <w:r w:rsidRPr="00136E78">
        <w:rPr>
          <w:rFonts w:ascii="Calibri" w:hAnsi="Calibri" w:cs="Calibri"/>
          <w:sz w:val="24"/>
          <w:szCs w:val="24"/>
        </w:rPr>
        <w:t>The</w:t>
      </w:r>
      <w:r w:rsidRPr="00136E78">
        <w:rPr>
          <w:rFonts w:ascii="Calibri" w:hAnsi="Calibri" w:cs="Calibri"/>
          <w:color w:val="000000"/>
          <w:sz w:val="24"/>
          <w:szCs w:val="24"/>
          <w:shd w:val="clear" w:color="auto" w:fill="FFFFFF"/>
        </w:rPr>
        <w:t> </w:t>
      </w:r>
      <w:r w:rsidR="00FB6AAD" w:rsidRPr="001215D9">
        <w:rPr>
          <w:rFonts w:ascii="Calibri" w:hAnsi="Calibri" w:cs="Calibri"/>
          <w:i/>
          <w:iCs/>
          <w:sz w:val="24"/>
          <w:szCs w:val="24"/>
          <w:shd w:val="clear" w:color="auto" w:fill="FFFFFF"/>
        </w:rPr>
        <w:t>Export Control Act 2020</w:t>
      </w:r>
      <w:r w:rsidRPr="001215D9">
        <w:rPr>
          <w:rFonts w:ascii="Calibri" w:hAnsi="Calibri" w:cs="Calibri"/>
          <w:sz w:val="24"/>
          <w:szCs w:val="24"/>
          <w:shd w:val="clear" w:color="auto" w:fill="FFFFFF"/>
        </w:rPr>
        <w:t> </w:t>
      </w:r>
      <w:r w:rsidRPr="00136E78">
        <w:rPr>
          <w:rFonts w:ascii="Calibri" w:hAnsi="Calibri" w:cs="Calibri"/>
          <w:color w:val="000000"/>
          <w:sz w:val="24"/>
          <w:szCs w:val="24"/>
          <w:shd w:val="clear" w:color="auto" w:fill="FFFFFF"/>
        </w:rPr>
        <w:t xml:space="preserve">and associated rules detail what is a prescribed good. </w:t>
      </w:r>
      <w:r w:rsidR="00115D52">
        <w:rPr>
          <w:rFonts w:ascii="Calibri" w:hAnsi="Calibri" w:cs="Calibri"/>
          <w:color w:val="000000"/>
          <w:sz w:val="24"/>
          <w:szCs w:val="24"/>
          <w:shd w:val="clear" w:color="auto" w:fill="FFFFFF"/>
        </w:rPr>
        <w:t xml:space="preserve">More </w:t>
      </w:r>
      <w:r w:rsidR="007F028D">
        <w:rPr>
          <w:rFonts w:ascii="Calibri" w:hAnsi="Calibri" w:cs="Calibri"/>
          <w:color w:val="000000"/>
          <w:sz w:val="24"/>
          <w:szCs w:val="24"/>
          <w:shd w:val="clear" w:color="auto" w:fill="FFFFFF"/>
        </w:rPr>
        <w:t>information on the export legislative framework</w:t>
      </w:r>
      <w:r w:rsidR="00115D52">
        <w:rPr>
          <w:rFonts w:ascii="Calibri" w:hAnsi="Calibri" w:cs="Calibri"/>
          <w:color w:val="000000"/>
          <w:sz w:val="24"/>
          <w:szCs w:val="24"/>
          <w:shd w:val="clear" w:color="auto" w:fill="FFFFFF"/>
        </w:rPr>
        <w:t xml:space="preserve"> can be found at</w:t>
      </w:r>
      <w:r w:rsidR="007F028D">
        <w:rPr>
          <w:rFonts w:ascii="Calibri" w:hAnsi="Calibri" w:cs="Calibri"/>
          <w:color w:val="000000"/>
          <w:sz w:val="24"/>
          <w:szCs w:val="24"/>
          <w:shd w:val="clear" w:color="auto" w:fill="FFFFFF"/>
        </w:rPr>
        <w:t xml:space="preserve"> </w:t>
      </w:r>
      <w:hyperlink r:id="rId11" w:anchor="export-legislation" w:history="1">
        <w:r w:rsidR="007F028D">
          <w:rPr>
            <w:color w:val="0000FF"/>
            <w:u w:val="single"/>
          </w:rPr>
          <w:t>agriculture.gov.au/biosecurity-trade/policy/legislation#export-legislation</w:t>
        </w:r>
      </w:hyperlink>
      <w:r w:rsidR="007F028D">
        <w:t>.</w:t>
      </w:r>
      <w:r w:rsidR="007F028D">
        <w:br/>
      </w:r>
    </w:p>
    <w:p w14:paraId="47D3DAA1" w14:textId="77777777" w:rsidR="00C84E1A" w:rsidRPr="00136E78" w:rsidRDefault="00C84E1A" w:rsidP="00426217">
      <w:pPr>
        <w:tabs>
          <w:tab w:val="left" w:pos="142"/>
        </w:tabs>
        <w:spacing w:before="120"/>
        <w:rPr>
          <w:rFonts w:ascii="Calibri" w:hAnsi="Calibri" w:cs="Calibri"/>
          <w:sz w:val="24"/>
          <w:szCs w:val="24"/>
        </w:rPr>
      </w:pPr>
      <w:r w:rsidRPr="00136E78">
        <w:rPr>
          <w:rFonts w:ascii="Calibri" w:hAnsi="Calibri" w:cs="Calibri"/>
          <w:color w:val="000000"/>
          <w:sz w:val="24"/>
          <w:szCs w:val="24"/>
          <w:shd w:val="clear" w:color="auto" w:fill="FFFFFF"/>
        </w:rPr>
        <w:t>Preparing goods includes:</w:t>
      </w:r>
    </w:p>
    <w:p w14:paraId="25771ADF"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Slaughter</w:t>
      </w:r>
    </w:p>
    <w:p w14:paraId="654EA252"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Boning</w:t>
      </w:r>
    </w:p>
    <w:p w14:paraId="14B5FE4E"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Processing</w:t>
      </w:r>
    </w:p>
    <w:p w14:paraId="24E9BA00"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Inspecting</w:t>
      </w:r>
    </w:p>
    <w:p w14:paraId="3591464D"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Chilling</w:t>
      </w:r>
    </w:p>
    <w:p w14:paraId="2142C992"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Freezing</w:t>
      </w:r>
    </w:p>
    <w:p w14:paraId="1A3BB876"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Holding</w:t>
      </w:r>
    </w:p>
    <w:p w14:paraId="00205938"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Producing</w:t>
      </w:r>
    </w:p>
    <w:p w14:paraId="740B5E5B"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Packing</w:t>
      </w:r>
    </w:p>
    <w:p w14:paraId="732FBEEB"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Treating</w:t>
      </w:r>
    </w:p>
    <w:p w14:paraId="09BC4153"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Handling</w:t>
      </w:r>
    </w:p>
    <w:p w14:paraId="1622BBB0"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Dismembering</w:t>
      </w:r>
    </w:p>
    <w:p w14:paraId="4D86FAB2" w14:textId="77777777"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Loading</w:t>
      </w:r>
    </w:p>
    <w:p w14:paraId="4E4C5B80" w14:textId="29C22651" w:rsidR="00C84E1A" w:rsidRPr="00136E78" w:rsidRDefault="00C84E1A" w:rsidP="00426217">
      <w:pPr>
        <w:numPr>
          <w:ilvl w:val="0"/>
          <w:numId w:val="13"/>
        </w:numPr>
        <w:spacing w:line="264" w:lineRule="auto"/>
        <w:contextualSpacing/>
        <w:rPr>
          <w:rFonts w:ascii="Calibri" w:hAnsi="Calibri" w:cs="Calibri"/>
          <w:sz w:val="24"/>
          <w:szCs w:val="24"/>
        </w:rPr>
      </w:pPr>
      <w:r w:rsidRPr="00136E78">
        <w:rPr>
          <w:rFonts w:ascii="Calibri" w:hAnsi="Calibri" w:cs="Calibri"/>
          <w:sz w:val="24"/>
          <w:szCs w:val="24"/>
        </w:rPr>
        <w:t>Storing</w:t>
      </w:r>
      <w:r w:rsidR="00104AC2">
        <w:rPr>
          <w:rFonts w:ascii="Calibri" w:hAnsi="Calibri" w:cs="Calibri"/>
          <w:sz w:val="24"/>
          <w:szCs w:val="24"/>
        </w:rPr>
        <w:t>.</w:t>
      </w:r>
    </w:p>
    <w:p w14:paraId="0AF48836" w14:textId="77777777" w:rsidR="00956099" w:rsidRDefault="00956099" w:rsidP="00B55AC9">
      <w:pPr>
        <w:spacing w:line="264" w:lineRule="auto"/>
        <w:rPr>
          <w:rFonts w:ascii="Calibri" w:eastAsiaTheme="minorEastAsia" w:hAnsi="Calibri"/>
          <w:b/>
          <w:bCs/>
          <w:sz w:val="28"/>
          <w:szCs w:val="28"/>
          <w:lang w:eastAsia="ja-JP"/>
        </w:rPr>
      </w:pPr>
    </w:p>
    <w:p w14:paraId="2F126098" w14:textId="77C2E5BD" w:rsidR="00745246" w:rsidRPr="00136E78" w:rsidRDefault="00745246" w:rsidP="00B55AC9">
      <w:pPr>
        <w:spacing w:line="264" w:lineRule="auto"/>
        <w:rPr>
          <w:sz w:val="24"/>
          <w:szCs w:val="24"/>
        </w:rPr>
      </w:pPr>
      <w:r w:rsidRPr="00745246">
        <w:rPr>
          <w:rFonts w:ascii="Calibri" w:eastAsiaTheme="minorEastAsia" w:hAnsi="Calibri"/>
          <w:b/>
          <w:bCs/>
          <w:sz w:val="28"/>
          <w:szCs w:val="28"/>
          <w:lang w:eastAsia="ja-JP"/>
        </w:rPr>
        <w:t xml:space="preserve">Why </w:t>
      </w:r>
      <w:r w:rsidR="00693C10">
        <w:rPr>
          <w:rFonts w:ascii="Calibri" w:eastAsiaTheme="minorEastAsia" w:hAnsi="Calibri"/>
          <w:b/>
          <w:bCs/>
          <w:sz w:val="28"/>
          <w:szCs w:val="28"/>
          <w:lang w:eastAsia="ja-JP"/>
        </w:rPr>
        <w:t>the</w:t>
      </w:r>
      <w:r w:rsidRPr="00745246">
        <w:rPr>
          <w:rFonts w:ascii="Calibri" w:eastAsiaTheme="minorEastAsia" w:hAnsi="Calibri"/>
          <w:b/>
          <w:bCs/>
          <w:sz w:val="28"/>
          <w:szCs w:val="28"/>
          <w:lang w:eastAsia="ja-JP"/>
        </w:rPr>
        <w:t xml:space="preserve"> </w:t>
      </w:r>
      <w:r w:rsidR="00C4278F">
        <w:rPr>
          <w:rFonts w:ascii="Calibri" w:eastAsiaTheme="minorEastAsia" w:hAnsi="Calibri"/>
          <w:b/>
          <w:bCs/>
          <w:sz w:val="28"/>
          <w:szCs w:val="28"/>
          <w:lang w:eastAsia="ja-JP"/>
        </w:rPr>
        <w:t>department</w:t>
      </w:r>
      <w:r w:rsidRPr="00745246">
        <w:rPr>
          <w:rFonts w:ascii="Calibri" w:eastAsiaTheme="minorEastAsia" w:hAnsi="Calibri"/>
          <w:b/>
          <w:bCs/>
          <w:sz w:val="28"/>
          <w:szCs w:val="28"/>
          <w:lang w:eastAsia="ja-JP"/>
        </w:rPr>
        <w:t xml:space="preserve"> </w:t>
      </w:r>
      <w:r w:rsidR="00693C10" w:rsidRPr="00745246">
        <w:rPr>
          <w:rFonts w:ascii="Calibri" w:eastAsiaTheme="minorEastAsia" w:hAnsi="Calibri"/>
          <w:b/>
          <w:bCs/>
          <w:sz w:val="28"/>
          <w:szCs w:val="28"/>
          <w:lang w:eastAsia="ja-JP"/>
        </w:rPr>
        <w:t>registe</w:t>
      </w:r>
      <w:r w:rsidR="00693C10">
        <w:rPr>
          <w:rFonts w:ascii="Calibri" w:eastAsiaTheme="minorEastAsia" w:hAnsi="Calibri"/>
          <w:b/>
          <w:bCs/>
          <w:sz w:val="28"/>
          <w:szCs w:val="28"/>
          <w:lang w:eastAsia="ja-JP"/>
        </w:rPr>
        <w:t>r</w:t>
      </w:r>
      <w:r w:rsidR="00693C10" w:rsidRPr="00745246">
        <w:rPr>
          <w:rFonts w:ascii="Calibri" w:eastAsiaTheme="minorEastAsia" w:hAnsi="Calibri"/>
          <w:b/>
          <w:bCs/>
          <w:sz w:val="28"/>
          <w:szCs w:val="28"/>
          <w:lang w:eastAsia="ja-JP"/>
        </w:rPr>
        <w:t>s</w:t>
      </w:r>
      <w:r w:rsidRPr="00745246">
        <w:rPr>
          <w:rFonts w:ascii="Calibri" w:eastAsiaTheme="minorEastAsia" w:hAnsi="Calibri"/>
          <w:b/>
          <w:bCs/>
          <w:sz w:val="28"/>
          <w:szCs w:val="28"/>
          <w:lang w:eastAsia="ja-JP"/>
        </w:rPr>
        <w:t xml:space="preserve"> establishments for export</w:t>
      </w:r>
      <w:r>
        <w:br/>
      </w:r>
      <w:r w:rsidRPr="00136E78">
        <w:rPr>
          <w:sz w:val="24"/>
          <w:szCs w:val="24"/>
        </w:rPr>
        <w:t>The purpose of registering an establishment is to ensure that:</w:t>
      </w:r>
    </w:p>
    <w:p w14:paraId="267CC7B3" w14:textId="7A40ED63" w:rsidR="00745246" w:rsidRPr="00136E78" w:rsidRDefault="00745246" w:rsidP="00B55AC9">
      <w:pPr>
        <w:pStyle w:val="ListParagraph"/>
        <w:numPr>
          <w:ilvl w:val="0"/>
          <w:numId w:val="13"/>
        </w:numPr>
        <w:spacing w:line="264" w:lineRule="auto"/>
        <w:rPr>
          <w:sz w:val="24"/>
          <w:szCs w:val="24"/>
        </w:rPr>
      </w:pPr>
      <w:r w:rsidRPr="00136E78">
        <w:rPr>
          <w:sz w:val="24"/>
          <w:szCs w:val="24"/>
        </w:rPr>
        <w:t>the facilities are fit for the purpose of preparing, handling, storing and/or inspecting product for export</w:t>
      </w:r>
    </w:p>
    <w:p w14:paraId="55C79CF6" w14:textId="715C45AF" w:rsidR="00745246" w:rsidRPr="00136E78" w:rsidRDefault="00745246" w:rsidP="00B55AC9">
      <w:pPr>
        <w:pStyle w:val="ListParagraph"/>
        <w:numPr>
          <w:ilvl w:val="0"/>
          <w:numId w:val="13"/>
        </w:numPr>
        <w:spacing w:line="264" w:lineRule="auto"/>
        <w:rPr>
          <w:sz w:val="24"/>
          <w:szCs w:val="24"/>
        </w:rPr>
      </w:pPr>
      <w:r w:rsidRPr="00136E78">
        <w:rPr>
          <w:sz w:val="24"/>
          <w:szCs w:val="24"/>
        </w:rPr>
        <w:t>appropriate hygiene and the necessary measures to produce the goods according to trade description</w:t>
      </w:r>
      <w:r w:rsidR="00342486" w:rsidRPr="00136E78">
        <w:rPr>
          <w:sz w:val="24"/>
          <w:szCs w:val="24"/>
        </w:rPr>
        <w:t>s</w:t>
      </w:r>
      <w:r w:rsidRPr="00136E78">
        <w:rPr>
          <w:sz w:val="24"/>
          <w:szCs w:val="24"/>
        </w:rPr>
        <w:t xml:space="preserve"> and other requirements applicable to a given commodity are maintained</w:t>
      </w:r>
    </w:p>
    <w:p w14:paraId="193D95BC" w14:textId="1E419021" w:rsidR="00C450C8" w:rsidRPr="00136E78" w:rsidRDefault="00745246" w:rsidP="00136E78">
      <w:pPr>
        <w:pStyle w:val="ListParagraph"/>
        <w:numPr>
          <w:ilvl w:val="0"/>
          <w:numId w:val="13"/>
        </w:numPr>
        <w:spacing w:line="264" w:lineRule="auto"/>
        <w:rPr>
          <w:sz w:val="24"/>
          <w:szCs w:val="24"/>
        </w:rPr>
      </w:pPr>
      <w:r w:rsidRPr="00136E78">
        <w:rPr>
          <w:sz w:val="24"/>
          <w:szCs w:val="24"/>
        </w:rPr>
        <w:t>the goods comply with importing country requirements.</w:t>
      </w:r>
    </w:p>
    <w:p w14:paraId="0F14B188" w14:textId="386C91C4" w:rsidR="00073314" w:rsidRDefault="00073314" w:rsidP="00136E78">
      <w:pPr>
        <w:pStyle w:val="Heading2"/>
        <w:ind w:left="0" w:firstLine="0"/>
      </w:pPr>
      <w:r>
        <w:lastRenderedPageBreak/>
        <w:t xml:space="preserve">How </w:t>
      </w:r>
      <w:r w:rsidR="00693C10">
        <w:t>to</w:t>
      </w:r>
      <w:r>
        <w:t xml:space="preserve"> register an establishment for export</w:t>
      </w:r>
    </w:p>
    <w:p w14:paraId="0AC36010" w14:textId="1D6196C8" w:rsidR="00073314" w:rsidRPr="00493263" w:rsidRDefault="00073314" w:rsidP="0091391C">
      <w:pPr>
        <w:pStyle w:val="Heading2"/>
        <w:spacing w:line="22" w:lineRule="atLeast"/>
        <w:ind w:left="0" w:hanging="11"/>
        <w:rPr>
          <w:rFonts w:asciiTheme="minorHAnsi" w:eastAsiaTheme="minorHAnsi" w:hAnsiTheme="minorHAnsi"/>
          <w:b w:val="0"/>
          <w:bCs w:val="0"/>
          <w:sz w:val="22"/>
          <w:szCs w:val="22"/>
          <w:lang w:eastAsia="en-US"/>
        </w:rPr>
      </w:pPr>
      <w:r w:rsidRPr="00493263">
        <w:rPr>
          <w:rFonts w:asciiTheme="minorHAnsi" w:eastAsiaTheme="minorHAnsi" w:hAnsiTheme="minorHAnsi"/>
          <w:b w:val="0"/>
          <w:bCs w:val="0"/>
          <w:sz w:val="22"/>
          <w:szCs w:val="22"/>
          <w:lang w:eastAsia="en-US"/>
        </w:rPr>
        <w:t>Establishments must be registered by the department’s Secretary before commencing an operation for the production, storage, handling and/or presentation of prescribed goods for export.</w:t>
      </w:r>
    </w:p>
    <w:p w14:paraId="706806DD" w14:textId="68E9C5F2" w:rsidR="00073314" w:rsidRPr="00493263" w:rsidRDefault="00073314" w:rsidP="0091391C">
      <w:pPr>
        <w:pStyle w:val="Heading2"/>
        <w:spacing w:line="22" w:lineRule="atLeast"/>
        <w:ind w:left="0" w:hanging="11"/>
        <w:rPr>
          <w:rFonts w:asciiTheme="minorHAnsi" w:eastAsiaTheme="minorHAnsi" w:hAnsiTheme="minorHAnsi"/>
          <w:b w:val="0"/>
          <w:bCs w:val="0"/>
          <w:sz w:val="22"/>
          <w:szCs w:val="22"/>
          <w:lang w:eastAsia="en-US"/>
        </w:rPr>
      </w:pPr>
      <w:r w:rsidRPr="00493263">
        <w:rPr>
          <w:rFonts w:asciiTheme="minorHAnsi" w:eastAsiaTheme="minorHAnsi" w:hAnsiTheme="minorHAnsi"/>
          <w:b w:val="0"/>
          <w:bCs w:val="0"/>
          <w:sz w:val="22"/>
          <w:szCs w:val="22"/>
          <w:lang w:eastAsia="en-US"/>
        </w:rPr>
        <w:t xml:space="preserve">Establishments seeking to become registered to prepare prescribed goods for export from Australia </w:t>
      </w:r>
      <w:r w:rsidR="002A5D78">
        <w:rPr>
          <w:rFonts w:asciiTheme="minorHAnsi" w:eastAsiaTheme="minorHAnsi" w:hAnsiTheme="minorHAnsi"/>
          <w:b w:val="0"/>
          <w:bCs w:val="0"/>
          <w:sz w:val="22"/>
          <w:szCs w:val="22"/>
          <w:lang w:eastAsia="en-US"/>
        </w:rPr>
        <w:t xml:space="preserve">must </w:t>
      </w:r>
      <w:r w:rsidRPr="00493263">
        <w:rPr>
          <w:rFonts w:asciiTheme="minorHAnsi" w:eastAsiaTheme="minorHAnsi" w:hAnsiTheme="minorHAnsi"/>
          <w:b w:val="0"/>
          <w:bCs w:val="0"/>
          <w:sz w:val="22"/>
          <w:szCs w:val="22"/>
          <w:lang w:eastAsia="en-US"/>
        </w:rPr>
        <w:t>apply for registration</w:t>
      </w:r>
      <w:r w:rsidR="002D607E">
        <w:rPr>
          <w:rFonts w:asciiTheme="minorHAnsi" w:eastAsiaTheme="minorHAnsi" w:hAnsiTheme="minorHAnsi"/>
          <w:b w:val="0"/>
          <w:bCs w:val="0"/>
          <w:sz w:val="22"/>
          <w:szCs w:val="22"/>
          <w:lang w:eastAsia="en-US"/>
        </w:rPr>
        <w:t xml:space="preserve"> by </w:t>
      </w:r>
      <w:r w:rsidRPr="00493263">
        <w:rPr>
          <w:rFonts w:asciiTheme="minorHAnsi" w:eastAsiaTheme="minorHAnsi" w:hAnsiTheme="minorHAnsi"/>
          <w:b w:val="0"/>
          <w:bCs w:val="0"/>
          <w:sz w:val="22"/>
          <w:szCs w:val="22"/>
          <w:lang w:eastAsia="en-US"/>
        </w:rPr>
        <w:t xml:space="preserve">using the </w:t>
      </w:r>
      <w:r w:rsidR="00801577" w:rsidRPr="00801577">
        <w:rPr>
          <w:rFonts w:asciiTheme="minorHAnsi" w:eastAsiaTheme="minorHAnsi" w:hAnsiTheme="minorHAnsi"/>
          <w:b w:val="0"/>
          <w:bCs w:val="0"/>
          <w:sz w:val="22"/>
          <w:szCs w:val="22"/>
          <w:lang w:eastAsia="en-US"/>
        </w:rPr>
        <w:t>Export Service</w:t>
      </w:r>
      <w:r w:rsidR="00922841">
        <w:rPr>
          <w:rFonts w:asciiTheme="minorHAnsi" w:eastAsiaTheme="minorHAnsi" w:hAnsiTheme="minorHAnsi"/>
          <w:b w:val="0"/>
          <w:bCs w:val="0"/>
          <w:sz w:val="22"/>
          <w:szCs w:val="22"/>
          <w:lang w:eastAsia="en-US"/>
        </w:rPr>
        <w:t xml:space="preserve">, which can be found at </w:t>
      </w:r>
      <w:hyperlink r:id="rId12" w:history="1">
        <w:r w:rsidR="00790221">
          <w:rPr>
            <w:rFonts w:asciiTheme="minorHAnsi" w:eastAsiaTheme="minorHAnsi" w:hAnsiTheme="minorHAnsi"/>
            <w:b w:val="0"/>
            <w:bCs w:val="0"/>
            <w:color w:val="0000FF"/>
            <w:sz w:val="22"/>
            <w:szCs w:val="22"/>
            <w:u w:val="single"/>
            <w:lang w:eastAsia="en-US"/>
          </w:rPr>
          <w:t>agriculture.gov.au/biosecurity-trade/export/from-</w:t>
        </w:r>
        <w:proofErr w:type="spellStart"/>
        <w:r w:rsidR="00790221">
          <w:rPr>
            <w:rFonts w:asciiTheme="minorHAnsi" w:eastAsiaTheme="minorHAnsi" w:hAnsiTheme="minorHAnsi"/>
            <w:b w:val="0"/>
            <w:bCs w:val="0"/>
            <w:color w:val="0000FF"/>
            <w:sz w:val="22"/>
            <w:szCs w:val="22"/>
            <w:u w:val="single"/>
            <w:lang w:eastAsia="en-US"/>
          </w:rPr>
          <w:t>australia</w:t>
        </w:r>
        <w:proofErr w:type="spellEnd"/>
        <w:r w:rsidR="00790221">
          <w:rPr>
            <w:rFonts w:asciiTheme="minorHAnsi" w:eastAsiaTheme="minorHAnsi" w:hAnsiTheme="minorHAnsi"/>
            <w:b w:val="0"/>
            <w:bCs w:val="0"/>
            <w:color w:val="0000FF"/>
            <w:sz w:val="22"/>
            <w:szCs w:val="22"/>
            <w:u w:val="single"/>
            <w:lang w:eastAsia="en-US"/>
          </w:rPr>
          <w:t>/ex26</w:t>
        </w:r>
      </w:hyperlink>
      <w:r w:rsidR="00922841">
        <w:rPr>
          <w:rFonts w:asciiTheme="minorHAnsi" w:eastAsiaTheme="minorHAnsi" w:hAnsiTheme="minorHAnsi"/>
          <w:b w:val="0"/>
          <w:bCs w:val="0"/>
          <w:sz w:val="22"/>
          <w:szCs w:val="22"/>
          <w:lang w:eastAsia="en-US"/>
        </w:rPr>
        <w:t xml:space="preserve">. </w:t>
      </w:r>
    </w:p>
    <w:p w14:paraId="45FD9DBB" w14:textId="77777777" w:rsidR="000D0781" w:rsidRPr="005500D4" w:rsidRDefault="000D0781" w:rsidP="000D0781">
      <w:pPr>
        <w:pStyle w:val="Heading2"/>
        <w:rPr>
          <w:rFonts w:asciiTheme="minorHAnsi" w:eastAsiaTheme="minorHAnsi" w:hAnsiTheme="minorHAnsi"/>
          <w:b w:val="0"/>
          <w:bCs w:val="0"/>
          <w:sz w:val="22"/>
          <w:szCs w:val="22"/>
          <w:lang w:eastAsia="en-US"/>
        </w:rPr>
      </w:pPr>
      <w:r w:rsidRPr="00401A2E">
        <w:rPr>
          <w:rFonts w:asciiTheme="minorHAnsi" w:eastAsiaTheme="minorHAnsi" w:hAnsiTheme="minorHAnsi"/>
          <w:b w:val="0"/>
          <w:bCs w:val="0"/>
          <w:sz w:val="22"/>
          <w:szCs w:val="22"/>
          <w:lang w:eastAsia="en-US"/>
        </w:rPr>
        <w:t>The application for registration must include:</w:t>
      </w:r>
    </w:p>
    <w:p w14:paraId="2D98F822" w14:textId="40005632" w:rsidR="000D0781" w:rsidRPr="00401A2E" w:rsidRDefault="000D0781" w:rsidP="000D0781">
      <w:pPr>
        <w:pStyle w:val="Heading2"/>
        <w:rPr>
          <w:rFonts w:asciiTheme="minorHAnsi" w:eastAsiaTheme="minorHAnsi" w:hAnsiTheme="minorHAnsi"/>
          <w:b w:val="0"/>
          <w:bCs w:val="0"/>
          <w:sz w:val="22"/>
          <w:szCs w:val="22"/>
          <w:lang w:eastAsia="en-US"/>
        </w:rPr>
      </w:pPr>
      <w:r w:rsidRPr="00401A2E">
        <w:rPr>
          <w:rFonts w:asciiTheme="minorHAnsi" w:eastAsiaTheme="minorHAnsi" w:hAnsiTheme="minorHAnsi"/>
          <w:b w:val="0"/>
          <w:bCs w:val="0"/>
          <w:sz w:val="22"/>
          <w:szCs w:val="22"/>
          <w:lang w:eastAsia="en-US"/>
        </w:rPr>
        <w:t>•</w:t>
      </w:r>
      <w:r w:rsidRPr="00401A2E">
        <w:rPr>
          <w:rFonts w:asciiTheme="minorHAnsi" w:eastAsiaTheme="minorHAnsi" w:hAnsiTheme="minorHAnsi"/>
          <w:b w:val="0"/>
          <w:bCs w:val="0"/>
          <w:sz w:val="22"/>
          <w:szCs w:val="22"/>
          <w:lang w:eastAsia="en-US"/>
        </w:rPr>
        <w:tab/>
        <w:t>the name of the occupier (must be a legal entity). An occupier may nominate one or more registered business names</w:t>
      </w:r>
      <w:r w:rsidR="00AC415F">
        <w:rPr>
          <w:rFonts w:asciiTheme="minorHAnsi" w:eastAsiaTheme="minorHAnsi" w:hAnsiTheme="minorHAnsi"/>
          <w:b w:val="0"/>
          <w:bCs w:val="0"/>
          <w:sz w:val="22"/>
          <w:szCs w:val="22"/>
          <w:lang w:eastAsia="en-US"/>
        </w:rPr>
        <w:t>.</w:t>
      </w:r>
    </w:p>
    <w:p w14:paraId="60740B17" w14:textId="77777777" w:rsidR="000D0781" w:rsidRPr="00401A2E" w:rsidRDefault="000D0781" w:rsidP="000D0781">
      <w:pPr>
        <w:pStyle w:val="Heading2"/>
        <w:rPr>
          <w:rFonts w:asciiTheme="minorHAnsi" w:eastAsiaTheme="minorHAnsi" w:hAnsiTheme="minorHAnsi"/>
          <w:b w:val="0"/>
          <w:bCs w:val="0"/>
          <w:sz w:val="22"/>
          <w:szCs w:val="22"/>
          <w:lang w:eastAsia="en-US"/>
        </w:rPr>
      </w:pPr>
      <w:r w:rsidRPr="00401A2E">
        <w:rPr>
          <w:rFonts w:asciiTheme="minorHAnsi" w:eastAsiaTheme="minorHAnsi" w:hAnsiTheme="minorHAnsi"/>
          <w:b w:val="0"/>
          <w:bCs w:val="0"/>
          <w:sz w:val="22"/>
          <w:szCs w:val="22"/>
          <w:lang w:eastAsia="en-US"/>
        </w:rPr>
        <w:t>•</w:t>
      </w:r>
      <w:r w:rsidRPr="00401A2E">
        <w:rPr>
          <w:rFonts w:asciiTheme="minorHAnsi" w:eastAsiaTheme="minorHAnsi" w:hAnsiTheme="minorHAnsi"/>
          <w:b w:val="0"/>
          <w:bCs w:val="0"/>
          <w:sz w:val="22"/>
          <w:szCs w:val="22"/>
          <w:lang w:eastAsia="en-US"/>
        </w:rPr>
        <w:tab/>
        <w:t>the business address of the occupier and the physical location of the premises</w:t>
      </w:r>
    </w:p>
    <w:p w14:paraId="5EDA49EB" w14:textId="77777777" w:rsidR="000D0781" w:rsidRDefault="000D0781" w:rsidP="000D0781">
      <w:pPr>
        <w:pStyle w:val="Heading2"/>
        <w:rPr>
          <w:rFonts w:asciiTheme="minorHAnsi" w:eastAsiaTheme="minorHAnsi" w:hAnsiTheme="minorHAnsi"/>
          <w:b w:val="0"/>
          <w:bCs w:val="0"/>
          <w:sz w:val="22"/>
          <w:szCs w:val="22"/>
          <w:lang w:eastAsia="en-US"/>
        </w:rPr>
      </w:pPr>
      <w:r w:rsidRPr="00401A2E">
        <w:rPr>
          <w:rFonts w:asciiTheme="minorHAnsi" w:eastAsiaTheme="minorHAnsi" w:hAnsiTheme="minorHAnsi"/>
          <w:b w:val="0"/>
          <w:bCs w:val="0"/>
          <w:sz w:val="22"/>
          <w:szCs w:val="22"/>
          <w:lang w:eastAsia="en-US"/>
        </w:rPr>
        <w:t>•</w:t>
      </w:r>
      <w:r w:rsidRPr="00401A2E">
        <w:rPr>
          <w:rFonts w:asciiTheme="minorHAnsi" w:eastAsiaTheme="minorHAnsi" w:hAnsiTheme="minorHAnsi"/>
          <w:b w:val="0"/>
          <w:bCs w:val="0"/>
          <w:sz w:val="22"/>
          <w:szCs w:val="22"/>
          <w:lang w:eastAsia="en-US"/>
        </w:rPr>
        <w:tab/>
        <w:t>the particulars of proposed export operations to be conducted in the establishment and other operations likely to affect the export operations</w:t>
      </w:r>
    </w:p>
    <w:p w14:paraId="07AD279E" w14:textId="77777777" w:rsidR="00BE53F8" w:rsidRPr="00CC4B26" w:rsidRDefault="00BE53F8" w:rsidP="000D0781">
      <w:pPr>
        <w:pStyle w:val="Heading2"/>
        <w:numPr>
          <w:ilvl w:val="0"/>
          <w:numId w:val="18"/>
        </w:numPr>
        <w:rPr>
          <w:rFonts w:asciiTheme="minorHAnsi" w:eastAsiaTheme="minorHAnsi" w:hAnsiTheme="minorHAnsi"/>
          <w:b w:val="0"/>
          <w:bCs w:val="0"/>
          <w:sz w:val="22"/>
          <w:szCs w:val="22"/>
          <w:lang w:eastAsia="en-US"/>
        </w:rPr>
      </w:pPr>
      <w:r w:rsidRPr="00830EBE">
        <w:rPr>
          <w:b w:val="0"/>
          <w:bCs w:val="0"/>
          <w:sz w:val="22"/>
          <w:szCs w:val="22"/>
        </w:rPr>
        <w:t>particulars of any serious offence for which the occupier or persons in management or control have been convicted of, that may impact the Secretary’s decision to register the establishment.</w:t>
      </w:r>
    </w:p>
    <w:p w14:paraId="7752B108" w14:textId="3F3FA517" w:rsidR="000D0781" w:rsidRDefault="000D0781" w:rsidP="000D0781">
      <w:pPr>
        <w:pStyle w:val="Heading2"/>
        <w:numPr>
          <w:ilvl w:val="0"/>
          <w:numId w:val="18"/>
        </w:numPr>
        <w:rPr>
          <w:rFonts w:asciiTheme="minorHAnsi" w:eastAsiaTheme="minorHAnsi" w:hAnsiTheme="minorHAnsi"/>
          <w:b w:val="0"/>
          <w:bCs w:val="0"/>
          <w:sz w:val="22"/>
          <w:szCs w:val="22"/>
          <w:lang w:eastAsia="en-US"/>
        </w:rPr>
      </w:pPr>
      <w:r w:rsidRPr="00401A2E">
        <w:rPr>
          <w:rFonts w:asciiTheme="minorHAnsi" w:eastAsiaTheme="minorHAnsi" w:hAnsiTheme="minorHAnsi"/>
          <w:b w:val="0"/>
          <w:bCs w:val="0"/>
          <w:sz w:val="22"/>
          <w:szCs w:val="22"/>
          <w:lang w:eastAsia="en-US"/>
        </w:rPr>
        <w:t>any other information required by the relevant rules.</w:t>
      </w:r>
    </w:p>
    <w:p w14:paraId="3A5E78FE" w14:textId="77777777" w:rsidR="000D0781" w:rsidRPr="00903BB9" w:rsidRDefault="000D0781" w:rsidP="000D0781"/>
    <w:p w14:paraId="55547021" w14:textId="77777777" w:rsidR="000D0781" w:rsidRPr="0091391C" w:rsidRDefault="000D0781" w:rsidP="000D0781">
      <w:pPr>
        <w:pStyle w:val="Heading2"/>
        <w:spacing w:line="22" w:lineRule="atLeast"/>
        <w:rPr>
          <w:b w:val="0"/>
          <w:bCs w:val="0"/>
          <w:sz w:val="22"/>
          <w:szCs w:val="22"/>
        </w:rPr>
      </w:pPr>
      <w:r w:rsidRPr="00830EBE">
        <w:rPr>
          <w:b w:val="0"/>
          <w:bCs w:val="0"/>
          <w:sz w:val="22"/>
          <w:szCs w:val="22"/>
        </w:rPr>
        <w:t>If the premises is a ship, the application for registration must include:</w:t>
      </w:r>
    </w:p>
    <w:p w14:paraId="235E833F" w14:textId="77777777" w:rsidR="000D0781" w:rsidRPr="00830EBE" w:rsidRDefault="000D0781" w:rsidP="000D0781">
      <w:pPr>
        <w:pStyle w:val="Heading2"/>
        <w:spacing w:line="22" w:lineRule="atLeast"/>
        <w:rPr>
          <w:b w:val="0"/>
          <w:bCs w:val="0"/>
          <w:sz w:val="22"/>
          <w:szCs w:val="22"/>
        </w:rPr>
      </w:pPr>
      <w:r w:rsidRPr="00830EBE">
        <w:rPr>
          <w:b w:val="0"/>
          <w:bCs w:val="0"/>
          <w:sz w:val="22"/>
          <w:szCs w:val="22"/>
        </w:rPr>
        <w:t>•</w:t>
      </w:r>
      <w:r w:rsidRPr="00830EBE">
        <w:rPr>
          <w:b w:val="0"/>
          <w:bCs w:val="0"/>
          <w:sz w:val="22"/>
          <w:szCs w:val="22"/>
        </w:rPr>
        <w:tab/>
        <w:t>the name of the vessel, home port and the place in Australia where the ship can be inspected</w:t>
      </w:r>
    </w:p>
    <w:p w14:paraId="7BDDD8E2" w14:textId="10DED533" w:rsidR="000D0781" w:rsidRPr="00830EBE" w:rsidRDefault="000D0781" w:rsidP="00A25FAD">
      <w:pPr>
        <w:pStyle w:val="Heading2"/>
        <w:spacing w:line="264" w:lineRule="auto"/>
        <w:ind w:left="0" w:firstLine="0"/>
        <w:rPr>
          <w:b w:val="0"/>
          <w:bCs w:val="0"/>
          <w:sz w:val="22"/>
          <w:szCs w:val="22"/>
        </w:rPr>
      </w:pPr>
    </w:p>
    <w:p w14:paraId="5B81AA38" w14:textId="7D570F34" w:rsidR="0021495F" w:rsidRDefault="000D0781" w:rsidP="00956099">
      <w:pPr>
        <w:pStyle w:val="Heading2"/>
        <w:spacing w:after="160" w:line="264" w:lineRule="auto"/>
        <w:ind w:left="0" w:firstLine="0"/>
      </w:pPr>
      <w:r w:rsidRPr="001E1A8F">
        <w:rPr>
          <w:b w:val="0"/>
          <w:bCs w:val="0"/>
          <w:sz w:val="22"/>
          <w:szCs w:val="22"/>
        </w:rPr>
        <w:t xml:space="preserve">An authorised officer, appointed by the Secretary under </w:t>
      </w:r>
      <w:r w:rsidRPr="00F8082D">
        <w:rPr>
          <w:b w:val="0"/>
          <w:bCs w:val="0"/>
          <w:sz w:val="22"/>
          <w:szCs w:val="22"/>
        </w:rPr>
        <w:t>section 291 of the Act</w:t>
      </w:r>
      <w:r w:rsidRPr="001E1A8F">
        <w:rPr>
          <w:b w:val="0"/>
          <w:bCs w:val="0"/>
          <w:sz w:val="22"/>
          <w:szCs w:val="22"/>
        </w:rPr>
        <w:t xml:space="preserve">, must inspect the establishment to assess whether the establishment meets the requirements for registration or to verify that an establishment continues to meet the requirements for </w:t>
      </w:r>
      <w:r w:rsidR="00BE53F8">
        <w:rPr>
          <w:b w:val="0"/>
          <w:bCs w:val="0"/>
          <w:sz w:val="22"/>
          <w:szCs w:val="22"/>
        </w:rPr>
        <w:t xml:space="preserve">variations to the </w:t>
      </w:r>
      <w:r w:rsidRPr="001E1A8F">
        <w:rPr>
          <w:b w:val="0"/>
          <w:bCs w:val="0"/>
          <w:sz w:val="22"/>
          <w:szCs w:val="22"/>
        </w:rPr>
        <w:t xml:space="preserve">registration. The authorised officer can then make </w:t>
      </w:r>
      <w:r w:rsidR="00F028DA" w:rsidRPr="001E1A8F">
        <w:rPr>
          <w:b w:val="0"/>
          <w:bCs w:val="0"/>
          <w:sz w:val="22"/>
          <w:szCs w:val="22"/>
        </w:rPr>
        <w:t>a recommendation</w:t>
      </w:r>
      <w:r w:rsidRPr="001E1A8F">
        <w:rPr>
          <w:b w:val="0"/>
          <w:bCs w:val="0"/>
          <w:sz w:val="22"/>
          <w:szCs w:val="22"/>
        </w:rPr>
        <w:t xml:space="preserve"> to the Secretary, stating that the establishment meets the legislative requirements to obtain registration.</w:t>
      </w:r>
    </w:p>
    <w:p w14:paraId="70365A05" w14:textId="64A90C1C" w:rsidR="0021495F" w:rsidRPr="0021495F" w:rsidRDefault="00693C10" w:rsidP="00213354">
      <w:pPr>
        <w:pStyle w:val="Heading2"/>
        <w:spacing w:before="240"/>
      </w:pPr>
      <w:r>
        <w:t>E</w:t>
      </w:r>
      <w:r w:rsidR="0021495F">
        <w:t>stabl</w:t>
      </w:r>
      <w:r w:rsidR="00ED27AA">
        <w:t xml:space="preserve">ishment registration application </w:t>
      </w:r>
      <w:r>
        <w:t>assessment</w:t>
      </w:r>
    </w:p>
    <w:p w14:paraId="5A5E155E" w14:textId="2C1587C2" w:rsidR="00073314" w:rsidRPr="007524B0" w:rsidRDefault="00073314" w:rsidP="00B55AC9">
      <w:pPr>
        <w:pStyle w:val="Heading2"/>
        <w:spacing w:line="264" w:lineRule="auto"/>
        <w:ind w:left="0" w:firstLine="0"/>
        <w:rPr>
          <w:rFonts w:asciiTheme="minorHAnsi" w:eastAsiaTheme="minorHAnsi" w:hAnsiTheme="minorHAnsi"/>
          <w:b w:val="0"/>
          <w:bCs w:val="0"/>
          <w:sz w:val="22"/>
          <w:szCs w:val="22"/>
          <w:lang w:eastAsia="en-US"/>
        </w:rPr>
      </w:pPr>
      <w:r w:rsidRPr="00493263">
        <w:rPr>
          <w:rFonts w:asciiTheme="minorHAnsi" w:eastAsiaTheme="minorHAnsi" w:hAnsiTheme="minorHAnsi"/>
          <w:b w:val="0"/>
          <w:bCs w:val="0"/>
          <w:sz w:val="22"/>
          <w:szCs w:val="22"/>
          <w:lang w:eastAsia="en-US"/>
        </w:rPr>
        <w:t xml:space="preserve">The Secretary </w:t>
      </w:r>
      <w:r w:rsidR="00BE53F8">
        <w:rPr>
          <w:rFonts w:asciiTheme="minorHAnsi" w:eastAsiaTheme="minorHAnsi" w:hAnsiTheme="minorHAnsi"/>
          <w:b w:val="0"/>
          <w:bCs w:val="0"/>
          <w:sz w:val="22"/>
          <w:szCs w:val="22"/>
          <w:lang w:eastAsia="en-US"/>
        </w:rPr>
        <w:t>may</w:t>
      </w:r>
      <w:r w:rsidRPr="00493263">
        <w:rPr>
          <w:rFonts w:asciiTheme="minorHAnsi" w:eastAsiaTheme="minorHAnsi" w:hAnsiTheme="minorHAnsi"/>
          <w:b w:val="0"/>
          <w:bCs w:val="0"/>
          <w:sz w:val="22"/>
          <w:szCs w:val="22"/>
          <w:lang w:eastAsia="en-US"/>
        </w:rPr>
        <w:t xml:space="preserve"> register an establishment for export where the requirements for registration are met. </w:t>
      </w:r>
      <w:r w:rsidR="00BE53F8">
        <w:rPr>
          <w:rFonts w:asciiTheme="minorHAnsi" w:eastAsiaTheme="minorHAnsi" w:hAnsiTheme="minorHAnsi"/>
          <w:b w:val="0"/>
          <w:bCs w:val="0"/>
          <w:sz w:val="22"/>
          <w:szCs w:val="22"/>
          <w:lang w:eastAsia="en-US"/>
        </w:rPr>
        <w:t>T</w:t>
      </w:r>
      <w:r w:rsidRPr="00493263">
        <w:rPr>
          <w:rFonts w:asciiTheme="minorHAnsi" w:eastAsiaTheme="minorHAnsi" w:hAnsiTheme="minorHAnsi"/>
          <w:b w:val="0"/>
          <w:bCs w:val="0"/>
          <w:sz w:val="22"/>
          <w:szCs w:val="22"/>
          <w:lang w:eastAsia="en-US"/>
        </w:rPr>
        <w:t xml:space="preserve">he registration of the establishment may be subject to conditions specified by the Secretary consistent with the objectives of the legislation. The </w:t>
      </w:r>
      <w:r w:rsidR="00AB4CC3">
        <w:rPr>
          <w:rFonts w:asciiTheme="minorHAnsi" w:eastAsiaTheme="minorHAnsi" w:hAnsiTheme="minorHAnsi"/>
          <w:b w:val="0"/>
          <w:bCs w:val="0"/>
          <w:sz w:val="22"/>
          <w:szCs w:val="22"/>
          <w:lang w:eastAsia="en-US"/>
        </w:rPr>
        <w:t>establishment registration</w:t>
      </w:r>
      <w:r w:rsidRPr="00493263">
        <w:rPr>
          <w:rFonts w:asciiTheme="minorHAnsi" w:eastAsiaTheme="minorHAnsi" w:hAnsiTheme="minorHAnsi"/>
          <w:b w:val="0"/>
          <w:bCs w:val="0"/>
          <w:sz w:val="22"/>
          <w:szCs w:val="22"/>
          <w:lang w:eastAsia="en-US"/>
        </w:rPr>
        <w:t xml:space="preserve"> may be varied at the request of the occupier or the Secretary. The registration of an establishment is </w:t>
      </w:r>
      <w:r w:rsidR="00C6243B">
        <w:rPr>
          <w:rFonts w:asciiTheme="minorHAnsi" w:eastAsiaTheme="minorHAnsi" w:hAnsiTheme="minorHAnsi"/>
          <w:b w:val="0"/>
          <w:bCs w:val="0"/>
          <w:sz w:val="22"/>
          <w:szCs w:val="22"/>
          <w:lang w:eastAsia="en-US"/>
        </w:rPr>
        <w:t>dependent on the following elements</w:t>
      </w:r>
      <w:r w:rsidRPr="00493263">
        <w:rPr>
          <w:rFonts w:asciiTheme="minorHAnsi" w:eastAsiaTheme="minorHAnsi" w:hAnsiTheme="minorHAnsi"/>
          <w:b w:val="0"/>
          <w:bCs w:val="0"/>
          <w:sz w:val="22"/>
          <w:szCs w:val="22"/>
          <w:lang w:eastAsia="en-US"/>
        </w:rPr>
        <w:t>:</w:t>
      </w:r>
    </w:p>
    <w:p w14:paraId="66669867" w14:textId="4C07A0C3" w:rsidR="00073314" w:rsidRDefault="00B01329" w:rsidP="00B55AC9">
      <w:pPr>
        <w:pStyle w:val="ListBullet"/>
        <w:spacing w:line="22" w:lineRule="atLeast"/>
        <w:ind w:left="454" w:hanging="454"/>
      </w:pPr>
      <w:r>
        <w:t>T</w:t>
      </w:r>
      <w:r w:rsidR="00073314">
        <w:t xml:space="preserve">he persons nominated as in management </w:t>
      </w:r>
      <w:r w:rsidR="00BE53F8">
        <w:t xml:space="preserve">or </w:t>
      </w:r>
      <w:r w:rsidR="00073314">
        <w:t xml:space="preserve">control of the establishment </w:t>
      </w:r>
      <w:r w:rsidR="00C6243B">
        <w:t>are</w:t>
      </w:r>
      <w:r w:rsidR="00073314">
        <w:t xml:space="preserve"> assessed as “fit </w:t>
      </w:r>
      <w:r w:rsidR="00FC59C9">
        <w:t>and</w:t>
      </w:r>
      <w:r w:rsidR="00073314">
        <w:t xml:space="preserve"> proper persons” in accordance with the </w:t>
      </w:r>
      <w:r w:rsidR="00DF28C8" w:rsidRPr="00F8082D">
        <w:t>Export Legislative Framework</w:t>
      </w:r>
      <w:r w:rsidRPr="00F8082D">
        <w:t>.</w:t>
      </w:r>
    </w:p>
    <w:p w14:paraId="08F19EC8" w14:textId="1CBDEFA6" w:rsidR="00073314" w:rsidRDefault="00B01329" w:rsidP="00B55AC9">
      <w:pPr>
        <w:pStyle w:val="ListBullet"/>
        <w:spacing w:line="22" w:lineRule="atLeast"/>
        <w:ind w:left="454" w:hanging="454"/>
      </w:pPr>
      <w:r>
        <w:t>A</w:t>
      </w:r>
      <w:r w:rsidR="00073314">
        <w:t xml:space="preserve">ny debts owed to the Commonwealth </w:t>
      </w:r>
      <w:r w:rsidR="00F24BAB">
        <w:t xml:space="preserve">by the occupier or </w:t>
      </w:r>
      <w:r w:rsidR="00073314">
        <w:t>in connection with the establishment are paid</w:t>
      </w:r>
      <w:r w:rsidR="00E82532">
        <w:t xml:space="preserve"> or</w:t>
      </w:r>
      <w:r w:rsidR="00BE293C">
        <w:t xml:space="preserve"> are taken to have been paid</w:t>
      </w:r>
      <w:r w:rsidR="00E82532">
        <w:t xml:space="preserve">, if unpaid, </w:t>
      </w:r>
      <w:r w:rsidR="00027B15" w:rsidRPr="00BE293C">
        <w:t>the n</w:t>
      </w:r>
      <w:r w:rsidR="007A198D" w:rsidRPr="00BE293C">
        <w:t>o</w:t>
      </w:r>
      <w:r w:rsidR="00027B15" w:rsidRPr="00BE293C">
        <w:t>n-payment is due to exceptional circumstances</w:t>
      </w:r>
      <w:r>
        <w:t>.</w:t>
      </w:r>
    </w:p>
    <w:p w14:paraId="493E16ED" w14:textId="2000E779" w:rsidR="00E82532" w:rsidRDefault="00B01329" w:rsidP="00B55AC9">
      <w:pPr>
        <w:pStyle w:val="ListBullet"/>
        <w:spacing w:line="22" w:lineRule="atLeast"/>
        <w:ind w:left="454" w:hanging="454"/>
      </w:pPr>
      <w:r>
        <w:t>The</w:t>
      </w:r>
      <w:r w:rsidR="00C82699">
        <w:t xml:space="preserve"> establishment</w:t>
      </w:r>
      <w:r w:rsidRPr="00B01329">
        <w:t xml:space="preserve"> </w:t>
      </w:r>
      <w:r>
        <w:t>construction</w:t>
      </w:r>
      <w:r w:rsidR="00C82699">
        <w:t xml:space="preserve">, </w:t>
      </w:r>
      <w:r w:rsidR="007F1D97">
        <w:t xml:space="preserve">facilities and </w:t>
      </w:r>
      <w:r w:rsidR="007524B0">
        <w:t xml:space="preserve">equipment </w:t>
      </w:r>
      <w:r w:rsidR="000E5DAC">
        <w:t xml:space="preserve">are </w:t>
      </w:r>
      <w:r w:rsidR="00C6243B">
        <w:t>all</w:t>
      </w:r>
      <w:r w:rsidR="008C40D3">
        <w:t xml:space="preserve"> suitable </w:t>
      </w:r>
      <w:r w:rsidR="007524B0">
        <w:t>for</w:t>
      </w:r>
      <w:r w:rsidR="00C82699">
        <w:t xml:space="preserve"> </w:t>
      </w:r>
      <w:r w:rsidR="008C40D3">
        <w:t xml:space="preserve">both </w:t>
      </w:r>
      <w:r w:rsidR="00C82699">
        <w:t>t</w:t>
      </w:r>
      <w:r w:rsidR="007A198D">
        <w:t xml:space="preserve">he type of </w:t>
      </w:r>
      <w:r w:rsidR="005C432A">
        <w:t>goods and type of export operation</w:t>
      </w:r>
      <w:r w:rsidR="00224829">
        <w:t xml:space="preserve">. </w:t>
      </w:r>
    </w:p>
    <w:p w14:paraId="57F6A8AF" w14:textId="7B17D4B8" w:rsidR="005C432A" w:rsidRDefault="00C6243B" w:rsidP="00B55AC9">
      <w:pPr>
        <w:pStyle w:val="ListBullet"/>
        <w:spacing w:line="22" w:lineRule="atLeast"/>
        <w:ind w:left="454" w:hanging="454"/>
      </w:pPr>
      <w:r>
        <w:t>T</w:t>
      </w:r>
      <w:r w:rsidR="009F1646">
        <w:t xml:space="preserve">he </w:t>
      </w:r>
      <w:r w:rsidR="00FA275F">
        <w:t xml:space="preserve">establishment’s </w:t>
      </w:r>
      <w:r w:rsidR="00C9547E">
        <w:t xml:space="preserve">export operations </w:t>
      </w:r>
      <w:r w:rsidR="00222CDB">
        <w:t xml:space="preserve">are compatible with those undertaken for </w:t>
      </w:r>
      <w:r w:rsidR="00931508">
        <w:t>different kinds of</w:t>
      </w:r>
      <w:r w:rsidR="00222CDB">
        <w:t xml:space="preserve"> goods at the establishment and </w:t>
      </w:r>
      <w:r w:rsidR="006C6921">
        <w:t xml:space="preserve">there will be no detrimental impact on export operations for </w:t>
      </w:r>
      <w:r w:rsidR="00FA275F">
        <w:t>prescribed goods at the establishment</w:t>
      </w:r>
      <w:r w:rsidR="00401A2E">
        <w:t xml:space="preserve">. </w:t>
      </w:r>
    </w:p>
    <w:p w14:paraId="19D84B4F" w14:textId="24034713" w:rsidR="007A198D" w:rsidRDefault="00C5136C" w:rsidP="00B55AC9">
      <w:pPr>
        <w:pStyle w:val="ListBullet"/>
        <w:spacing w:line="22" w:lineRule="atLeast"/>
        <w:ind w:left="454" w:hanging="454"/>
      </w:pPr>
      <w:r>
        <w:t>The</w:t>
      </w:r>
      <w:r w:rsidR="00073314">
        <w:t xml:space="preserve"> establishment </w:t>
      </w:r>
      <w:r w:rsidR="00ED27AA">
        <w:t>has</w:t>
      </w:r>
      <w:r w:rsidR="00073314">
        <w:t xml:space="preserve"> an Approved Arrangement</w:t>
      </w:r>
      <w:r w:rsidR="00FE43C7">
        <w:t xml:space="preserve"> </w:t>
      </w:r>
      <w:r w:rsidR="00224829">
        <w:t>in p</w:t>
      </w:r>
      <w:r w:rsidR="00ED27AA">
        <w:t>l</w:t>
      </w:r>
      <w:r w:rsidR="00224829">
        <w:t>ace</w:t>
      </w:r>
      <w:r w:rsidR="005C494F">
        <w:t xml:space="preserve"> </w:t>
      </w:r>
      <w:r w:rsidR="00F24BAB">
        <w:t xml:space="preserve">if </w:t>
      </w:r>
      <w:r>
        <w:t xml:space="preserve">required by any applicable rules. </w:t>
      </w:r>
    </w:p>
    <w:p w14:paraId="1A7DBC9E" w14:textId="45ADC114" w:rsidR="00073314" w:rsidRDefault="00C5136C" w:rsidP="00B55AC9">
      <w:pPr>
        <w:pStyle w:val="ListBullet"/>
        <w:spacing w:line="22" w:lineRule="atLeast"/>
        <w:ind w:left="454" w:hanging="454"/>
      </w:pPr>
      <w:r>
        <w:lastRenderedPageBreak/>
        <w:t>There is d</w:t>
      </w:r>
      <w:r w:rsidR="00224829">
        <w:t xml:space="preserve">emonstrated </w:t>
      </w:r>
      <w:r w:rsidR="004B38E1">
        <w:t xml:space="preserve">compliance with any other requirements of the applicable rules. </w:t>
      </w:r>
      <w:r w:rsidR="007524B0">
        <w:br/>
      </w:r>
    </w:p>
    <w:p w14:paraId="52FA5828" w14:textId="77777777" w:rsidR="00A25FAD" w:rsidRDefault="00073314" w:rsidP="00A25FAD">
      <w:pPr>
        <w:pStyle w:val="Heading2"/>
        <w:ind w:left="0" w:firstLine="0"/>
        <w:rPr>
          <w:b w:val="0"/>
          <w:bCs w:val="0"/>
          <w:sz w:val="22"/>
          <w:szCs w:val="22"/>
        </w:rPr>
      </w:pPr>
      <w:r w:rsidRPr="0095002A">
        <w:rPr>
          <w:b w:val="0"/>
          <w:bCs w:val="0"/>
          <w:sz w:val="22"/>
          <w:szCs w:val="22"/>
        </w:rPr>
        <w:t xml:space="preserve">The Secretary </w:t>
      </w:r>
      <w:r w:rsidR="000F24B8" w:rsidRPr="0095002A">
        <w:rPr>
          <w:b w:val="0"/>
          <w:bCs w:val="0"/>
          <w:sz w:val="22"/>
          <w:szCs w:val="22"/>
        </w:rPr>
        <w:t xml:space="preserve">has </w:t>
      </w:r>
      <w:r w:rsidR="005B3E81">
        <w:rPr>
          <w:b w:val="0"/>
          <w:bCs w:val="0"/>
          <w:sz w:val="22"/>
          <w:szCs w:val="22"/>
        </w:rPr>
        <w:t xml:space="preserve">a </w:t>
      </w:r>
      <w:r w:rsidR="000F24B8" w:rsidRPr="0095002A">
        <w:rPr>
          <w:b w:val="0"/>
          <w:bCs w:val="0"/>
          <w:sz w:val="22"/>
          <w:szCs w:val="22"/>
        </w:rPr>
        <w:t xml:space="preserve">consideration period to assess the </w:t>
      </w:r>
      <w:r w:rsidR="00727900" w:rsidRPr="0095002A">
        <w:rPr>
          <w:b w:val="0"/>
          <w:bCs w:val="0"/>
          <w:sz w:val="22"/>
          <w:szCs w:val="22"/>
        </w:rPr>
        <w:t>application, and the</w:t>
      </w:r>
      <w:r w:rsidR="005B3E81">
        <w:rPr>
          <w:b w:val="0"/>
          <w:bCs w:val="0"/>
          <w:sz w:val="22"/>
          <w:szCs w:val="22"/>
        </w:rPr>
        <w:t xml:space="preserve"> Secretary is deemed to </w:t>
      </w:r>
      <w:r w:rsidR="00727900" w:rsidRPr="0095002A">
        <w:rPr>
          <w:b w:val="0"/>
          <w:bCs w:val="0"/>
          <w:sz w:val="22"/>
          <w:szCs w:val="22"/>
        </w:rPr>
        <w:t xml:space="preserve">have refused the application </w:t>
      </w:r>
      <w:r w:rsidR="005B3E81">
        <w:rPr>
          <w:b w:val="0"/>
          <w:bCs w:val="0"/>
          <w:sz w:val="22"/>
          <w:szCs w:val="22"/>
        </w:rPr>
        <w:t>i</w:t>
      </w:r>
      <w:r w:rsidR="00727900" w:rsidRPr="0095002A">
        <w:rPr>
          <w:b w:val="0"/>
          <w:bCs w:val="0"/>
          <w:sz w:val="22"/>
          <w:szCs w:val="22"/>
        </w:rPr>
        <w:t>f a decision is not made during this time</w:t>
      </w:r>
      <w:r w:rsidR="000F24B8" w:rsidRPr="0095002A">
        <w:rPr>
          <w:b w:val="0"/>
          <w:bCs w:val="0"/>
          <w:sz w:val="22"/>
          <w:szCs w:val="22"/>
        </w:rPr>
        <w:t xml:space="preserve">. </w:t>
      </w:r>
      <w:r w:rsidR="00DC0752" w:rsidRPr="0095002A">
        <w:rPr>
          <w:b w:val="0"/>
          <w:bCs w:val="0"/>
          <w:sz w:val="22"/>
          <w:szCs w:val="22"/>
        </w:rPr>
        <w:t xml:space="preserve">This </w:t>
      </w:r>
      <w:r w:rsidR="005B3E81">
        <w:rPr>
          <w:b w:val="0"/>
          <w:bCs w:val="0"/>
          <w:sz w:val="22"/>
          <w:szCs w:val="22"/>
        </w:rPr>
        <w:t>consideration</w:t>
      </w:r>
      <w:r w:rsidR="005B3E81" w:rsidRPr="0095002A">
        <w:rPr>
          <w:b w:val="0"/>
          <w:bCs w:val="0"/>
          <w:sz w:val="22"/>
          <w:szCs w:val="22"/>
        </w:rPr>
        <w:t xml:space="preserve"> </w:t>
      </w:r>
      <w:r w:rsidR="00DC0752" w:rsidRPr="0095002A">
        <w:rPr>
          <w:b w:val="0"/>
          <w:bCs w:val="0"/>
          <w:sz w:val="22"/>
          <w:szCs w:val="22"/>
        </w:rPr>
        <w:t>period is set out in the relevant rules</w:t>
      </w:r>
      <w:r w:rsidR="00B755CE">
        <w:rPr>
          <w:b w:val="0"/>
          <w:bCs w:val="0"/>
          <w:sz w:val="22"/>
          <w:szCs w:val="22"/>
        </w:rPr>
        <w:t>. F</w:t>
      </w:r>
      <w:r w:rsidR="00DC0752" w:rsidRPr="0095002A">
        <w:rPr>
          <w:b w:val="0"/>
          <w:bCs w:val="0"/>
          <w:sz w:val="22"/>
          <w:szCs w:val="22"/>
        </w:rPr>
        <w:t xml:space="preserve">or example, for meat and meat products, </w:t>
      </w:r>
      <w:r w:rsidR="00B755CE" w:rsidRPr="0095002A">
        <w:rPr>
          <w:b w:val="0"/>
          <w:bCs w:val="0"/>
          <w:sz w:val="22"/>
          <w:szCs w:val="22"/>
        </w:rPr>
        <w:t>the consideration</w:t>
      </w:r>
      <w:r w:rsidR="00DC0752" w:rsidRPr="0095002A">
        <w:rPr>
          <w:b w:val="0"/>
          <w:bCs w:val="0"/>
          <w:sz w:val="22"/>
          <w:szCs w:val="22"/>
        </w:rPr>
        <w:t xml:space="preserve"> period is 120 days. </w:t>
      </w:r>
      <w:r w:rsidR="00727900" w:rsidRPr="0095002A">
        <w:rPr>
          <w:b w:val="0"/>
          <w:bCs w:val="0"/>
          <w:sz w:val="22"/>
          <w:szCs w:val="22"/>
        </w:rPr>
        <w:t>However</w:t>
      </w:r>
      <w:r w:rsidR="0095002A" w:rsidRPr="0095002A">
        <w:rPr>
          <w:b w:val="0"/>
          <w:bCs w:val="0"/>
          <w:sz w:val="22"/>
          <w:szCs w:val="22"/>
        </w:rPr>
        <w:t>, t</w:t>
      </w:r>
      <w:r w:rsidR="002468BF" w:rsidRPr="0095002A">
        <w:rPr>
          <w:b w:val="0"/>
          <w:bCs w:val="0"/>
          <w:sz w:val="22"/>
          <w:szCs w:val="22"/>
        </w:rPr>
        <w:t>here may be extensions to</w:t>
      </w:r>
      <w:r w:rsidR="00727900" w:rsidRPr="0095002A">
        <w:rPr>
          <w:b w:val="0"/>
          <w:bCs w:val="0"/>
          <w:sz w:val="22"/>
          <w:szCs w:val="22"/>
        </w:rPr>
        <w:t xml:space="preserve"> the</w:t>
      </w:r>
      <w:r w:rsidR="0095002A" w:rsidRPr="0095002A">
        <w:rPr>
          <w:b w:val="0"/>
          <w:bCs w:val="0"/>
          <w:sz w:val="22"/>
          <w:szCs w:val="22"/>
        </w:rPr>
        <w:t xml:space="preserve"> consideration period, as outlined in</w:t>
      </w:r>
      <w:r w:rsidR="008E1FAF" w:rsidRPr="0095002A">
        <w:rPr>
          <w:b w:val="0"/>
          <w:bCs w:val="0"/>
          <w:sz w:val="22"/>
          <w:szCs w:val="22"/>
        </w:rPr>
        <w:t xml:space="preserve"> </w:t>
      </w:r>
      <w:r w:rsidR="008E1FAF" w:rsidRPr="000C39A7">
        <w:rPr>
          <w:b w:val="0"/>
          <w:bCs w:val="0"/>
          <w:sz w:val="22"/>
          <w:szCs w:val="22"/>
        </w:rPr>
        <w:t>section 379 of the Act</w:t>
      </w:r>
      <w:r w:rsidR="0095002A" w:rsidRPr="0095002A">
        <w:rPr>
          <w:b w:val="0"/>
          <w:bCs w:val="0"/>
          <w:sz w:val="22"/>
          <w:szCs w:val="22"/>
        </w:rPr>
        <w:t>.</w:t>
      </w:r>
    </w:p>
    <w:p w14:paraId="25A67DE1" w14:textId="03FB18FD" w:rsidR="00073314" w:rsidRDefault="005166E2" w:rsidP="00A25FAD">
      <w:pPr>
        <w:pStyle w:val="Heading2"/>
        <w:spacing w:before="240"/>
      </w:pPr>
      <w:r>
        <w:t>Unique e</w:t>
      </w:r>
      <w:r w:rsidR="00073314">
        <w:t xml:space="preserve">stablishment number for </w:t>
      </w:r>
      <w:r w:rsidR="00AA5E0F">
        <w:t>each</w:t>
      </w:r>
      <w:r w:rsidR="00073314">
        <w:t xml:space="preserve"> </w:t>
      </w:r>
      <w:r w:rsidR="00AA5E0F">
        <w:t xml:space="preserve">export registered </w:t>
      </w:r>
      <w:r w:rsidR="00073314">
        <w:t>establishment</w:t>
      </w:r>
    </w:p>
    <w:p w14:paraId="2180B258" w14:textId="0C17CABB" w:rsidR="00073314" w:rsidRDefault="00236915" w:rsidP="00A25FAD">
      <w:pPr>
        <w:pStyle w:val="Heading2"/>
        <w:spacing w:line="264" w:lineRule="auto"/>
        <w:ind w:left="0" w:firstLine="0"/>
      </w:pPr>
      <w:r>
        <w:rPr>
          <w:b w:val="0"/>
          <w:bCs w:val="0"/>
          <w:sz w:val="22"/>
          <w:szCs w:val="22"/>
        </w:rPr>
        <w:t>The department allocates a</w:t>
      </w:r>
      <w:r w:rsidR="00DE0C8B">
        <w:rPr>
          <w:b w:val="0"/>
          <w:bCs w:val="0"/>
          <w:sz w:val="22"/>
          <w:szCs w:val="22"/>
        </w:rPr>
        <w:t xml:space="preserve"> unique</w:t>
      </w:r>
      <w:r>
        <w:rPr>
          <w:b w:val="0"/>
          <w:bCs w:val="0"/>
          <w:sz w:val="22"/>
          <w:szCs w:val="22"/>
        </w:rPr>
        <w:t xml:space="preserve"> </w:t>
      </w:r>
      <w:r w:rsidR="00DE0C8B">
        <w:rPr>
          <w:b w:val="0"/>
          <w:bCs w:val="0"/>
          <w:sz w:val="22"/>
          <w:szCs w:val="22"/>
        </w:rPr>
        <w:t xml:space="preserve">identifying </w:t>
      </w:r>
      <w:r>
        <w:rPr>
          <w:b w:val="0"/>
          <w:bCs w:val="0"/>
          <w:sz w:val="22"/>
          <w:szCs w:val="22"/>
        </w:rPr>
        <w:t>number</w:t>
      </w:r>
      <w:r w:rsidR="00073314" w:rsidRPr="00C26DC8">
        <w:rPr>
          <w:b w:val="0"/>
          <w:bCs w:val="0"/>
          <w:sz w:val="22"/>
          <w:szCs w:val="22"/>
        </w:rPr>
        <w:t xml:space="preserve"> to an establishment upon registration. If an occupier moves operations to new premises, a new number will be allocated to those premises upon registration.</w:t>
      </w:r>
    </w:p>
    <w:p w14:paraId="6146A9EA" w14:textId="77777777" w:rsidR="00073314" w:rsidRDefault="00073314" w:rsidP="00A25FAD">
      <w:pPr>
        <w:pStyle w:val="Heading2"/>
        <w:spacing w:before="240"/>
      </w:pPr>
      <w:r>
        <w:t>Registered export operations</w:t>
      </w:r>
    </w:p>
    <w:p w14:paraId="3F39F3D6" w14:textId="65BDB182" w:rsidR="00073314" w:rsidRPr="00CD1A96" w:rsidRDefault="00073314" w:rsidP="0030558A">
      <w:pPr>
        <w:pStyle w:val="Heading2"/>
        <w:spacing w:line="264" w:lineRule="auto"/>
        <w:ind w:left="0" w:hanging="11"/>
        <w:rPr>
          <w:b w:val="0"/>
          <w:bCs w:val="0"/>
          <w:sz w:val="22"/>
          <w:szCs w:val="22"/>
        </w:rPr>
      </w:pPr>
      <w:r w:rsidRPr="00CD1A96">
        <w:rPr>
          <w:b w:val="0"/>
          <w:bCs w:val="0"/>
          <w:sz w:val="22"/>
          <w:szCs w:val="22"/>
        </w:rPr>
        <w:t>When an establishment is registered, it is allocated specific registered operations</w:t>
      </w:r>
      <w:r w:rsidR="00CA3390">
        <w:rPr>
          <w:b w:val="0"/>
          <w:bCs w:val="0"/>
          <w:sz w:val="22"/>
          <w:szCs w:val="22"/>
        </w:rPr>
        <w:t xml:space="preserve"> (codes)</w:t>
      </w:r>
      <w:r w:rsidRPr="00CD1A96">
        <w:rPr>
          <w:b w:val="0"/>
          <w:bCs w:val="0"/>
          <w:sz w:val="22"/>
          <w:szCs w:val="22"/>
        </w:rPr>
        <w:t>. These operations are relevant to the commodity and must conform to technical requirements. A registered establishment can only carry out the export operations for which it has been registered.</w:t>
      </w:r>
    </w:p>
    <w:p w14:paraId="08F70347" w14:textId="30E7963C" w:rsidR="00073314" w:rsidRDefault="00073314" w:rsidP="00956099">
      <w:pPr>
        <w:pStyle w:val="Heading2"/>
        <w:spacing w:line="22" w:lineRule="atLeast"/>
        <w:ind w:left="0" w:firstLine="0"/>
      </w:pPr>
      <w:r w:rsidRPr="00CD1A96">
        <w:rPr>
          <w:b w:val="0"/>
          <w:bCs w:val="0"/>
          <w:sz w:val="22"/>
          <w:szCs w:val="22"/>
        </w:rPr>
        <w:t xml:space="preserve">These codes are critical to the validations that are conducted via the EXDOC </w:t>
      </w:r>
      <w:r w:rsidR="00CD1A96">
        <w:rPr>
          <w:b w:val="0"/>
          <w:bCs w:val="0"/>
          <w:sz w:val="22"/>
          <w:szCs w:val="22"/>
        </w:rPr>
        <w:t xml:space="preserve">and NEXDOC </w:t>
      </w:r>
      <w:r w:rsidRPr="00CD1A96">
        <w:rPr>
          <w:b w:val="0"/>
          <w:bCs w:val="0"/>
          <w:sz w:val="22"/>
          <w:szCs w:val="22"/>
        </w:rPr>
        <w:t>system</w:t>
      </w:r>
      <w:r w:rsidR="00CD1A96">
        <w:rPr>
          <w:b w:val="0"/>
          <w:bCs w:val="0"/>
          <w:sz w:val="22"/>
          <w:szCs w:val="22"/>
        </w:rPr>
        <w:t>s,</w:t>
      </w:r>
      <w:r w:rsidRPr="00CD1A96">
        <w:rPr>
          <w:b w:val="0"/>
          <w:bCs w:val="0"/>
          <w:sz w:val="22"/>
          <w:szCs w:val="22"/>
        </w:rPr>
        <w:t xml:space="preserve"> and they support decisions to issue export permits and or health certificates</w:t>
      </w:r>
      <w:r w:rsidR="00AF5911">
        <w:rPr>
          <w:b w:val="0"/>
          <w:bCs w:val="0"/>
          <w:sz w:val="22"/>
          <w:szCs w:val="22"/>
        </w:rPr>
        <w:t>. It</w:t>
      </w:r>
      <w:r w:rsidRPr="00CD1A96">
        <w:rPr>
          <w:b w:val="0"/>
          <w:bCs w:val="0"/>
          <w:sz w:val="22"/>
          <w:szCs w:val="22"/>
        </w:rPr>
        <w:t xml:space="preserve"> is essential that they be true and correct.</w:t>
      </w:r>
    </w:p>
    <w:p w14:paraId="07457BE9" w14:textId="77777777" w:rsidR="00073314" w:rsidRDefault="00073314" w:rsidP="00A25FAD">
      <w:pPr>
        <w:pStyle w:val="Heading2"/>
        <w:spacing w:before="240"/>
      </w:pPr>
      <w:r>
        <w:t>Registration fee and period of registration</w:t>
      </w:r>
    </w:p>
    <w:p w14:paraId="524B5A26" w14:textId="51900B89" w:rsidR="00073314" w:rsidRPr="0091391C" w:rsidRDefault="00940C90" w:rsidP="0091391C">
      <w:pPr>
        <w:pStyle w:val="Heading2"/>
        <w:spacing w:line="264" w:lineRule="auto"/>
        <w:ind w:left="0" w:firstLine="0"/>
        <w:rPr>
          <w:b w:val="0"/>
          <w:bCs w:val="0"/>
          <w:sz w:val="22"/>
          <w:szCs w:val="22"/>
        </w:rPr>
      </w:pPr>
      <w:r>
        <w:rPr>
          <w:b w:val="0"/>
          <w:bCs w:val="0"/>
          <w:sz w:val="22"/>
          <w:szCs w:val="22"/>
        </w:rPr>
        <w:t>Application</w:t>
      </w:r>
      <w:r w:rsidR="00002731" w:rsidRPr="001A5BCF">
        <w:rPr>
          <w:b w:val="0"/>
          <w:bCs w:val="0"/>
          <w:sz w:val="22"/>
          <w:szCs w:val="22"/>
        </w:rPr>
        <w:t>, assessment</w:t>
      </w:r>
      <w:r w:rsidR="00073314" w:rsidRPr="001A5BCF">
        <w:rPr>
          <w:b w:val="0"/>
          <w:bCs w:val="0"/>
          <w:sz w:val="22"/>
          <w:szCs w:val="22"/>
        </w:rPr>
        <w:t xml:space="preserve"> and registration fee</w:t>
      </w:r>
      <w:r w:rsidR="00CA3390">
        <w:rPr>
          <w:b w:val="0"/>
          <w:bCs w:val="0"/>
          <w:sz w:val="22"/>
          <w:szCs w:val="22"/>
        </w:rPr>
        <w:t>s</w:t>
      </w:r>
      <w:r w:rsidR="00073314" w:rsidRPr="001A5BCF">
        <w:rPr>
          <w:b w:val="0"/>
          <w:bCs w:val="0"/>
          <w:sz w:val="22"/>
          <w:szCs w:val="22"/>
        </w:rPr>
        <w:t xml:space="preserve"> may apply</w:t>
      </w:r>
      <w:r w:rsidR="008A2F19">
        <w:rPr>
          <w:b w:val="0"/>
          <w:bCs w:val="0"/>
          <w:sz w:val="22"/>
          <w:szCs w:val="22"/>
        </w:rPr>
        <w:t xml:space="preserve">. These differ by commodity and are detailed in the </w:t>
      </w:r>
      <w:r w:rsidR="004F167C">
        <w:rPr>
          <w:b w:val="0"/>
          <w:bCs w:val="0"/>
          <w:sz w:val="22"/>
          <w:szCs w:val="22"/>
        </w:rPr>
        <w:t xml:space="preserve">departmental charging guidelines, available at </w:t>
      </w:r>
      <w:hyperlink r:id="rId13" w:history="1">
        <w:r w:rsidR="007C43AF">
          <w:rPr>
            <w:rStyle w:val="Hyperlink"/>
            <w:b w:val="0"/>
            <w:bCs w:val="0"/>
            <w:sz w:val="22"/>
            <w:szCs w:val="22"/>
          </w:rPr>
          <w:t>agriculture.gov.au/about/fees/charging-guidelines</w:t>
        </w:r>
      </w:hyperlink>
      <w:r w:rsidR="004F167C">
        <w:rPr>
          <w:b w:val="0"/>
          <w:bCs w:val="0"/>
          <w:sz w:val="22"/>
          <w:szCs w:val="22"/>
        </w:rPr>
        <w:t xml:space="preserve">. </w:t>
      </w:r>
    </w:p>
    <w:p w14:paraId="18DA3531" w14:textId="5ACE7DD7" w:rsidR="00073314" w:rsidRPr="0091391C" w:rsidRDefault="00073314" w:rsidP="0030558A">
      <w:pPr>
        <w:pStyle w:val="Heading2"/>
        <w:spacing w:line="264" w:lineRule="auto"/>
        <w:ind w:left="0" w:firstLine="0"/>
        <w:rPr>
          <w:b w:val="0"/>
          <w:bCs w:val="0"/>
          <w:sz w:val="22"/>
          <w:szCs w:val="22"/>
        </w:rPr>
      </w:pPr>
      <w:r w:rsidRPr="0091391C">
        <w:rPr>
          <w:b w:val="0"/>
          <w:bCs w:val="0"/>
          <w:sz w:val="22"/>
          <w:szCs w:val="22"/>
        </w:rPr>
        <w:t xml:space="preserve">The registration comes into effect on the date the establishment is registered by the Secretary or another date </w:t>
      </w:r>
      <w:r w:rsidR="009C0682">
        <w:rPr>
          <w:b w:val="0"/>
          <w:bCs w:val="0"/>
          <w:sz w:val="22"/>
          <w:szCs w:val="22"/>
        </w:rPr>
        <w:t xml:space="preserve">if </w:t>
      </w:r>
      <w:r w:rsidRPr="0091391C">
        <w:rPr>
          <w:b w:val="0"/>
          <w:bCs w:val="0"/>
          <w:sz w:val="22"/>
          <w:szCs w:val="22"/>
        </w:rPr>
        <w:t>specified in the certificate of registration. An establishment is registered on an ongoing basis provided it complies with all the requirements relevant to the granting of export registration. If the certificate of registration specifies a</w:t>
      </w:r>
      <w:r w:rsidR="00F24BAB">
        <w:rPr>
          <w:b w:val="0"/>
          <w:bCs w:val="0"/>
          <w:sz w:val="22"/>
          <w:szCs w:val="22"/>
        </w:rPr>
        <w:t>n expiry date</w:t>
      </w:r>
      <w:r w:rsidRPr="0091391C">
        <w:rPr>
          <w:b w:val="0"/>
          <w:bCs w:val="0"/>
          <w:sz w:val="22"/>
          <w:szCs w:val="22"/>
        </w:rPr>
        <w:t xml:space="preserve">, the establishment will cease to be registered </w:t>
      </w:r>
      <w:r w:rsidR="00CF01DD">
        <w:rPr>
          <w:b w:val="0"/>
          <w:bCs w:val="0"/>
          <w:sz w:val="22"/>
          <w:szCs w:val="22"/>
        </w:rPr>
        <w:t>after</w:t>
      </w:r>
      <w:r w:rsidR="00F66FD8">
        <w:rPr>
          <w:b w:val="0"/>
          <w:bCs w:val="0"/>
          <w:sz w:val="22"/>
          <w:szCs w:val="22"/>
        </w:rPr>
        <w:t xml:space="preserve"> that date</w:t>
      </w:r>
      <w:r w:rsidR="0040526D">
        <w:rPr>
          <w:b w:val="0"/>
          <w:bCs w:val="0"/>
          <w:sz w:val="22"/>
          <w:szCs w:val="22"/>
        </w:rPr>
        <w:t>.</w:t>
      </w:r>
    </w:p>
    <w:p w14:paraId="11CC7919" w14:textId="061A73CB" w:rsidR="00073314" w:rsidRPr="003A2C3E" w:rsidRDefault="00073314" w:rsidP="0091391C">
      <w:pPr>
        <w:pStyle w:val="Heading2"/>
        <w:spacing w:line="22" w:lineRule="atLeast"/>
        <w:ind w:left="0" w:firstLine="0"/>
        <w:rPr>
          <w:b w:val="0"/>
          <w:bCs w:val="0"/>
          <w:sz w:val="22"/>
          <w:szCs w:val="22"/>
        </w:rPr>
      </w:pPr>
      <w:r w:rsidRPr="0091391C">
        <w:rPr>
          <w:b w:val="0"/>
          <w:bCs w:val="0"/>
          <w:sz w:val="22"/>
          <w:szCs w:val="22"/>
        </w:rPr>
        <w:t>The registration of an establishment continues until the registration is suspended or terminated either by the Secreta</w:t>
      </w:r>
      <w:r w:rsidR="00037A47">
        <w:rPr>
          <w:b w:val="0"/>
          <w:bCs w:val="0"/>
          <w:sz w:val="22"/>
          <w:szCs w:val="22"/>
        </w:rPr>
        <w:t>ry</w:t>
      </w:r>
      <w:r w:rsidRPr="0091391C">
        <w:rPr>
          <w:b w:val="0"/>
          <w:bCs w:val="0"/>
          <w:sz w:val="22"/>
          <w:szCs w:val="22"/>
        </w:rPr>
        <w:t xml:space="preserve"> or by the occupier </w:t>
      </w:r>
      <w:r w:rsidR="00037A47" w:rsidRPr="003A2C3E">
        <w:rPr>
          <w:b w:val="0"/>
          <w:bCs w:val="0"/>
          <w:sz w:val="22"/>
          <w:szCs w:val="22"/>
        </w:rPr>
        <w:t xml:space="preserve">on notifying </w:t>
      </w:r>
      <w:r w:rsidRPr="003A2C3E">
        <w:rPr>
          <w:b w:val="0"/>
          <w:bCs w:val="0"/>
          <w:sz w:val="22"/>
          <w:szCs w:val="22"/>
        </w:rPr>
        <w:t>the Secretary in writing.</w:t>
      </w:r>
    </w:p>
    <w:p w14:paraId="18C7B507" w14:textId="4D1DA78E" w:rsidR="00073314" w:rsidRDefault="00073314" w:rsidP="00A25FAD">
      <w:pPr>
        <w:pStyle w:val="Heading2"/>
        <w:spacing w:line="22" w:lineRule="atLeast"/>
        <w:ind w:left="0" w:hanging="11"/>
      </w:pPr>
      <w:r w:rsidRPr="003A2C3E">
        <w:rPr>
          <w:b w:val="0"/>
          <w:bCs w:val="0"/>
          <w:sz w:val="22"/>
          <w:szCs w:val="22"/>
        </w:rPr>
        <w:t>If a person ceases to be the occupier of a registered establishment, the registration</w:t>
      </w:r>
      <w:r w:rsidRPr="00A57AB6">
        <w:rPr>
          <w:b w:val="0"/>
          <w:bCs w:val="0"/>
          <w:sz w:val="22"/>
          <w:szCs w:val="22"/>
        </w:rPr>
        <w:t xml:space="preserve"> of that establishment lapses.</w:t>
      </w:r>
    </w:p>
    <w:p w14:paraId="407882F8" w14:textId="77777777" w:rsidR="00073314" w:rsidRDefault="00073314" w:rsidP="00213354">
      <w:pPr>
        <w:pStyle w:val="Heading2"/>
        <w:spacing w:before="240"/>
      </w:pPr>
      <w:r>
        <w:t>Registration renewal</w:t>
      </w:r>
    </w:p>
    <w:p w14:paraId="5BF18CD2" w14:textId="77777777" w:rsidR="00417943" w:rsidRDefault="005F3F9A" w:rsidP="005F3F9A">
      <w:pPr>
        <w:pStyle w:val="Heading2"/>
        <w:spacing w:line="264" w:lineRule="auto"/>
        <w:rPr>
          <w:b w:val="0"/>
          <w:bCs w:val="0"/>
          <w:sz w:val="22"/>
          <w:szCs w:val="22"/>
        </w:rPr>
      </w:pPr>
      <w:r w:rsidRPr="005F3F9A">
        <w:rPr>
          <w:b w:val="0"/>
          <w:bCs w:val="0"/>
          <w:sz w:val="22"/>
          <w:szCs w:val="22"/>
        </w:rPr>
        <w:t>Registration renewal only</w:t>
      </w:r>
      <w:r w:rsidR="00073314" w:rsidRPr="005F3F9A">
        <w:rPr>
          <w:b w:val="0"/>
          <w:bCs w:val="0"/>
          <w:sz w:val="22"/>
          <w:szCs w:val="22"/>
        </w:rPr>
        <w:t xml:space="preserve"> applies where a limited registration period is in force.</w:t>
      </w:r>
      <w:r w:rsidR="00417943">
        <w:rPr>
          <w:b w:val="0"/>
          <w:bCs w:val="0"/>
          <w:sz w:val="22"/>
          <w:szCs w:val="22"/>
        </w:rPr>
        <w:t xml:space="preserve"> </w:t>
      </w:r>
    </w:p>
    <w:p w14:paraId="6A452B20" w14:textId="5BE0D8FF" w:rsidR="00073314" w:rsidRDefault="00417943" w:rsidP="005F3F9A">
      <w:pPr>
        <w:pStyle w:val="Heading2"/>
        <w:spacing w:line="264" w:lineRule="auto"/>
        <w:rPr>
          <w:b w:val="0"/>
          <w:bCs w:val="0"/>
          <w:sz w:val="22"/>
          <w:szCs w:val="22"/>
        </w:rPr>
      </w:pPr>
      <w:r>
        <w:rPr>
          <w:b w:val="0"/>
          <w:bCs w:val="0"/>
          <w:sz w:val="22"/>
          <w:szCs w:val="22"/>
        </w:rPr>
        <w:t>Applications for renewal must be made:</w:t>
      </w:r>
    </w:p>
    <w:p w14:paraId="50F74207" w14:textId="2B6EAC31" w:rsidR="00417943" w:rsidRDefault="009174AF" w:rsidP="00417943">
      <w:pPr>
        <w:pStyle w:val="ListParagraph"/>
        <w:numPr>
          <w:ilvl w:val="0"/>
          <w:numId w:val="18"/>
        </w:numPr>
        <w:rPr>
          <w:lang w:eastAsia="ja-JP"/>
        </w:rPr>
      </w:pPr>
      <w:r>
        <w:rPr>
          <w:lang w:eastAsia="ja-JP"/>
        </w:rPr>
        <w:t>in</w:t>
      </w:r>
      <w:r w:rsidR="00417943">
        <w:rPr>
          <w:lang w:eastAsia="ja-JP"/>
        </w:rPr>
        <w:t xml:space="preserve"> writing</w:t>
      </w:r>
      <w:r>
        <w:rPr>
          <w:lang w:eastAsia="ja-JP"/>
        </w:rPr>
        <w:t xml:space="preserve"> to the </w:t>
      </w:r>
      <w:r w:rsidR="00F81663">
        <w:rPr>
          <w:lang w:eastAsia="ja-JP"/>
        </w:rPr>
        <w:t>secretary</w:t>
      </w:r>
    </w:p>
    <w:p w14:paraId="103B4570" w14:textId="16B80758" w:rsidR="00F81663" w:rsidRDefault="009174AF" w:rsidP="00A3183D">
      <w:pPr>
        <w:pStyle w:val="ListParagraph"/>
        <w:numPr>
          <w:ilvl w:val="0"/>
          <w:numId w:val="18"/>
        </w:numPr>
        <w:rPr>
          <w:lang w:eastAsia="ja-JP"/>
        </w:rPr>
      </w:pPr>
      <w:r>
        <w:rPr>
          <w:lang w:eastAsia="ja-JP"/>
        </w:rPr>
        <w:t xml:space="preserve">within the period prescribed by the rules or, if the Secretary allows a longer </w:t>
      </w:r>
      <w:r w:rsidR="005A2AA6">
        <w:rPr>
          <w:lang w:eastAsia="ja-JP"/>
        </w:rPr>
        <w:t>period</w:t>
      </w:r>
      <w:r>
        <w:rPr>
          <w:lang w:eastAsia="ja-JP"/>
        </w:rPr>
        <w:t>, wit</w:t>
      </w:r>
      <w:r w:rsidR="005A2AA6">
        <w:rPr>
          <w:lang w:eastAsia="ja-JP"/>
        </w:rPr>
        <w:t xml:space="preserve">hin that </w:t>
      </w:r>
      <w:r w:rsidR="009C66B1">
        <w:rPr>
          <w:lang w:eastAsia="ja-JP"/>
        </w:rPr>
        <w:t>period.</w:t>
      </w:r>
    </w:p>
    <w:p w14:paraId="0D6A2328" w14:textId="31ED2E35" w:rsidR="0053550C" w:rsidRDefault="0053550C" w:rsidP="00A3183D">
      <w:pPr>
        <w:rPr>
          <w:lang w:eastAsia="ja-JP"/>
        </w:rPr>
      </w:pPr>
      <w:r w:rsidRPr="0053550C">
        <w:rPr>
          <w:lang w:eastAsia="ja-JP"/>
        </w:rPr>
        <w:t>The Secreta</w:t>
      </w:r>
      <w:r w:rsidRPr="003A2C3E">
        <w:rPr>
          <w:lang w:eastAsia="ja-JP"/>
        </w:rPr>
        <w:t xml:space="preserve">ry </w:t>
      </w:r>
      <w:r w:rsidR="0018097D" w:rsidRPr="003A2C3E">
        <w:rPr>
          <w:lang w:eastAsia="ja-JP"/>
        </w:rPr>
        <w:t xml:space="preserve">may </w:t>
      </w:r>
      <w:r w:rsidRPr="003A2C3E">
        <w:rPr>
          <w:lang w:eastAsia="ja-JP"/>
        </w:rPr>
        <w:t>renew the registration</w:t>
      </w:r>
      <w:r w:rsidRPr="0053550C">
        <w:rPr>
          <w:lang w:eastAsia="ja-JP"/>
        </w:rPr>
        <w:t xml:space="preserve"> of an establishment if all the legislative requirements are met. </w:t>
      </w:r>
    </w:p>
    <w:p w14:paraId="3E9B03E7" w14:textId="7ED48E74" w:rsidR="00A3183D" w:rsidRDefault="009C66B1" w:rsidP="00A3183D">
      <w:pPr>
        <w:rPr>
          <w:lang w:eastAsia="ja-JP"/>
        </w:rPr>
      </w:pPr>
      <w:r>
        <w:rPr>
          <w:lang w:eastAsia="ja-JP"/>
        </w:rPr>
        <w:t>If a registration renewal application is not received within that</w:t>
      </w:r>
      <w:r w:rsidR="00F73397">
        <w:rPr>
          <w:lang w:eastAsia="ja-JP"/>
        </w:rPr>
        <w:t xml:space="preserve"> </w:t>
      </w:r>
      <w:r w:rsidR="00F73397" w:rsidRPr="00CE261E">
        <w:rPr>
          <w:lang w:eastAsia="ja-JP"/>
        </w:rPr>
        <w:t xml:space="preserve">period, </w:t>
      </w:r>
      <w:r w:rsidR="00F73397" w:rsidRPr="00796AC3">
        <w:rPr>
          <w:lang w:eastAsia="ja-JP"/>
        </w:rPr>
        <w:t xml:space="preserve">then it will be treated as an </w:t>
      </w:r>
      <w:r w:rsidR="0018097D" w:rsidRPr="00796AC3">
        <w:rPr>
          <w:lang w:eastAsia="ja-JP"/>
        </w:rPr>
        <w:t xml:space="preserve">application to register a new </w:t>
      </w:r>
      <w:r w:rsidR="00F73397" w:rsidRPr="00796AC3">
        <w:rPr>
          <w:lang w:eastAsia="ja-JP"/>
        </w:rPr>
        <w:t>establishment.</w:t>
      </w:r>
      <w:r w:rsidR="00F73397" w:rsidRPr="00CE261E">
        <w:rPr>
          <w:lang w:eastAsia="ja-JP"/>
        </w:rPr>
        <w:t xml:space="preserve"> </w:t>
      </w:r>
      <w:r w:rsidR="0096019F" w:rsidRPr="00CE261E">
        <w:rPr>
          <w:lang w:eastAsia="ja-JP"/>
        </w:rPr>
        <w:t>Establishments with limited</w:t>
      </w:r>
      <w:r w:rsidR="0096019F">
        <w:rPr>
          <w:lang w:eastAsia="ja-JP"/>
        </w:rPr>
        <w:t xml:space="preserve"> registration periods should be mindful of the </w:t>
      </w:r>
      <w:r w:rsidR="003950B8">
        <w:rPr>
          <w:lang w:eastAsia="ja-JP"/>
        </w:rPr>
        <w:t>applicable renewal application period</w:t>
      </w:r>
      <w:r w:rsidR="00271C6B">
        <w:rPr>
          <w:lang w:eastAsia="ja-JP"/>
        </w:rPr>
        <w:t xml:space="preserve"> that applies to them</w:t>
      </w:r>
      <w:r w:rsidR="003950B8">
        <w:rPr>
          <w:lang w:eastAsia="ja-JP"/>
        </w:rPr>
        <w:t xml:space="preserve">. For example, for meat commodity, </w:t>
      </w:r>
      <w:r w:rsidR="00B65901">
        <w:rPr>
          <w:lang w:eastAsia="ja-JP"/>
        </w:rPr>
        <w:t xml:space="preserve">the period </w:t>
      </w:r>
      <w:r w:rsidR="00CA3390">
        <w:rPr>
          <w:lang w:eastAsia="ja-JP"/>
        </w:rPr>
        <w:t>is</w:t>
      </w:r>
      <w:r w:rsidR="00B65901">
        <w:rPr>
          <w:lang w:eastAsia="ja-JP"/>
        </w:rPr>
        <w:t xml:space="preserve"> from </w:t>
      </w:r>
      <w:r w:rsidR="00B65901" w:rsidRPr="00796AC3">
        <w:rPr>
          <w:lang w:eastAsia="ja-JP"/>
        </w:rPr>
        <w:t>180 to 120 days bef</w:t>
      </w:r>
      <w:r w:rsidR="00271C6B" w:rsidRPr="00796AC3">
        <w:rPr>
          <w:lang w:eastAsia="ja-JP"/>
        </w:rPr>
        <w:t>ore the expiry date for the registration</w:t>
      </w:r>
      <w:r w:rsidR="00271C6B">
        <w:rPr>
          <w:lang w:eastAsia="ja-JP"/>
        </w:rPr>
        <w:t xml:space="preserve">. </w:t>
      </w:r>
    </w:p>
    <w:p w14:paraId="3966E486" w14:textId="77777777" w:rsidR="00A3183D" w:rsidRDefault="00A3183D" w:rsidP="00A3183D">
      <w:pPr>
        <w:rPr>
          <w:lang w:eastAsia="ja-JP"/>
        </w:rPr>
      </w:pPr>
    </w:p>
    <w:p w14:paraId="5C799DF1" w14:textId="77777777" w:rsidR="00073314" w:rsidRDefault="00073314" w:rsidP="00073314">
      <w:pPr>
        <w:pStyle w:val="Heading2"/>
      </w:pPr>
      <w:r>
        <w:t>Registration Certificate</w:t>
      </w:r>
    </w:p>
    <w:p w14:paraId="2B3163BB" w14:textId="6ED71A6F" w:rsidR="00C869DE" w:rsidRDefault="00073314" w:rsidP="00AE55D1">
      <w:pPr>
        <w:pStyle w:val="Heading2"/>
        <w:ind w:left="0" w:firstLine="0"/>
        <w:rPr>
          <w:rFonts w:asciiTheme="minorHAnsi" w:hAnsiTheme="minorHAnsi" w:cstheme="minorHAnsi"/>
          <w:b w:val="0"/>
          <w:bCs w:val="0"/>
          <w:sz w:val="22"/>
          <w:szCs w:val="22"/>
        </w:rPr>
      </w:pPr>
      <w:r w:rsidRPr="000546E9">
        <w:rPr>
          <w:rFonts w:asciiTheme="minorHAnsi" w:hAnsiTheme="minorHAnsi" w:cstheme="minorHAnsi"/>
          <w:b w:val="0"/>
          <w:bCs w:val="0"/>
          <w:sz w:val="22"/>
          <w:szCs w:val="22"/>
        </w:rPr>
        <w:t>The Secretary will issue a certificate of registration to the occupier.</w:t>
      </w:r>
      <w:r w:rsidR="00AE55D1">
        <w:rPr>
          <w:rFonts w:asciiTheme="minorHAnsi" w:hAnsiTheme="minorHAnsi" w:cstheme="minorHAnsi"/>
          <w:b w:val="0"/>
          <w:bCs w:val="0"/>
          <w:sz w:val="22"/>
          <w:szCs w:val="22"/>
        </w:rPr>
        <w:t xml:space="preserve"> </w:t>
      </w:r>
    </w:p>
    <w:p w14:paraId="56A6964A" w14:textId="0C1F634E" w:rsidR="00073314" w:rsidRPr="000546E9" w:rsidRDefault="00073314" w:rsidP="000546E9">
      <w:pPr>
        <w:pStyle w:val="Heading2"/>
        <w:ind w:left="0" w:firstLine="0"/>
        <w:rPr>
          <w:rFonts w:asciiTheme="minorHAnsi" w:hAnsiTheme="minorHAnsi" w:cstheme="minorHAnsi"/>
          <w:b w:val="0"/>
          <w:bCs w:val="0"/>
          <w:sz w:val="22"/>
          <w:szCs w:val="22"/>
        </w:rPr>
      </w:pPr>
      <w:r w:rsidRPr="000546E9">
        <w:rPr>
          <w:rFonts w:asciiTheme="minorHAnsi" w:hAnsiTheme="minorHAnsi" w:cstheme="minorHAnsi"/>
          <w:b w:val="0"/>
          <w:bCs w:val="0"/>
          <w:sz w:val="22"/>
          <w:szCs w:val="22"/>
        </w:rPr>
        <w:t xml:space="preserve">The certificate </w:t>
      </w:r>
      <w:r w:rsidR="00312FA5">
        <w:rPr>
          <w:rFonts w:asciiTheme="minorHAnsi" w:hAnsiTheme="minorHAnsi" w:cstheme="minorHAnsi"/>
          <w:b w:val="0"/>
          <w:bCs w:val="0"/>
          <w:sz w:val="22"/>
          <w:szCs w:val="22"/>
        </w:rPr>
        <w:t>contains</w:t>
      </w:r>
      <w:r w:rsidRPr="000546E9">
        <w:rPr>
          <w:rFonts w:asciiTheme="minorHAnsi" w:hAnsiTheme="minorHAnsi" w:cstheme="minorHAnsi"/>
          <w:b w:val="0"/>
          <w:bCs w:val="0"/>
          <w:sz w:val="22"/>
          <w:szCs w:val="22"/>
        </w:rPr>
        <w:t>:</w:t>
      </w:r>
    </w:p>
    <w:p w14:paraId="6EFCD253" w14:textId="77777777" w:rsidR="002C05D0" w:rsidRPr="000546E9" w:rsidRDefault="002C05D0" w:rsidP="002C05D0">
      <w:pPr>
        <w:pStyle w:val="Heading2"/>
        <w:numPr>
          <w:ilvl w:val="0"/>
          <w:numId w:val="17"/>
        </w:numPr>
        <w:rPr>
          <w:b w:val="0"/>
          <w:bCs w:val="0"/>
          <w:sz w:val="22"/>
          <w:szCs w:val="22"/>
        </w:rPr>
      </w:pPr>
      <w:r w:rsidRPr="000546E9">
        <w:rPr>
          <w:b w:val="0"/>
          <w:bCs w:val="0"/>
          <w:sz w:val="22"/>
          <w:szCs w:val="22"/>
        </w:rPr>
        <w:t>the number allocated to the establishment</w:t>
      </w:r>
    </w:p>
    <w:p w14:paraId="7B06AAB2" w14:textId="77777777" w:rsidR="00730C8C" w:rsidRPr="000546E9" w:rsidRDefault="00730C8C" w:rsidP="00730C8C">
      <w:pPr>
        <w:pStyle w:val="Heading2"/>
        <w:numPr>
          <w:ilvl w:val="0"/>
          <w:numId w:val="17"/>
        </w:numPr>
        <w:rPr>
          <w:b w:val="0"/>
          <w:bCs w:val="0"/>
          <w:sz w:val="22"/>
          <w:szCs w:val="22"/>
        </w:rPr>
      </w:pPr>
      <w:r w:rsidRPr="000546E9">
        <w:rPr>
          <w:b w:val="0"/>
          <w:bCs w:val="0"/>
          <w:sz w:val="22"/>
          <w:szCs w:val="22"/>
        </w:rPr>
        <w:t>the name and address of the occupier</w:t>
      </w:r>
    </w:p>
    <w:p w14:paraId="49CF5BC2" w14:textId="77777777" w:rsidR="00730C8C" w:rsidRPr="000546E9" w:rsidRDefault="00730C8C" w:rsidP="00730C8C">
      <w:pPr>
        <w:pStyle w:val="Heading2"/>
        <w:numPr>
          <w:ilvl w:val="0"/>
          <w:numId w:val="17"/>
        </w:numPr>
        <w:rPr>
          <w:b w:val="0"/>
          <w:bCs w:val="0"/>
          <w:sz w:val="22"/>
          <w:szCs w:val="22"/>
        </w:rPr>
      </w:pPr>
      <w:r w:rsidRPr="000546E9">
        <w:rPr>
          <w:b w:val="0"/>
          <w:bCs w:val="0"/>
          <w:sz w:val="22"/>
          <w:szCs w:val="22"/>
        </w:rPr>
        <w:t>the ACN and ABN number of the occupier</w:t>
      </w:r>
    </w:p>
    <w:p w14:paraId="2316698A" w14:textId="5E3FECDF" w:rsidR="00594529" w:rsidRDefault="00594529" w:rsidP="00730C8C">
      <w:pPr>
        <w:pStyle w:val="Heading2"/>
        <w:numPr>
          <w:ilvl w:val="0"/>
          <w:numId w:val="17"/>
        </w:numPr>
        <w:rPr>
          <w:b w:val="0"/>
          <w:bCs w:val="0"/>
          <w:sz w:val="22"/>
          <w:szCs w:val="22"/>
        </w:rPr>
      </w:pPr>
      <w:r>
        <w:rPr>
          <w:b w:val="0"/>
          <w:bCs w:val="0"/>
          <w:sz w:val="22"/>
          <w:szCs w:val="22"/>
        </w:rPr>
        <w:t>the date the registration takes effect</w:t>
      </w:r>
    </w:p>
    <w:p w14:paraId="260D8E57" w14:textId="748B67B4" w:rsidR="00730C8C" w:rsidRDefault="00730C8C" w:rsidP="00730C8C">
      <w:pPr>
        <w:pStyle w:val="Heading2"/>
        <w:numPr>
          <w:ilvl w:val="0"/>
          <w:numId w:val="17"/>
        </w:numPr>
        <w:rPr>
          <w:b w:val="0"/>
          <w:bCs w:val="0"/>
          <w:sz w:val="22"/>
          <w:szCs w:val="22"/>
        </w:rPr>
      </w:pPr>
      <w:r>
        <w:rPr>
          <w:b w:val="0"/>
          <w:bCs w:val="0"/>
          <w:sz w:val="22"/>
          <w:szCs w:val="22"/>
        </w:rPr>
        <w:t>t</w:t>
      </w:r>
      <w:r w:rsidRPr="00221CBE">
        <w:rPr>
          <w:b w:val="0"/>
          <w:bCs w:val="0"/>
          <w:sz w:val="22"/>
          <w:szCs w:val="22"/>
        </w:rPr>
        <w:t>hat the registration remains in force indefinitely or the expiry date for the registration</w:t>
      </w:r>
      <w:r>
        <w:rPr>
          <w:b w:val="0"/>
          <w:bCs w:val="0"/>
          <w:sz w:val="22"/>
          <w:szCs w:val="22"/>
        </w:rPr>
        <w:t xml:space="preserve"> if applicable</w:t>
      </w:r>
    </w:p>
    <w:p w14:paraId="16C40C98" w14:textId="77777777" w:rsidR="002848C4" w:rsidRDefault="002848C4" w:rsidP="000546E9">
      <w:pPr>
        <w:pStyle w:val="Heading2"/>
        <w:numPr>
          <w:ilvl w:val="0"/>
          <w:numId w:val="17"/>
        </w:numPr>
        <w:rPr>
          <w:b w:val="0"/>
          <w:bCs w:val="0"/>
          <w:sz w:val="22"/>
          <w:szCs w:val="22"/>
        </w:rPr>
      </w:pPr>
      <w:r>
        <w:rPr>
          <w:b w:val="0"/>
          <w:bCs w:val="0"/>
          <w:sz w:val="22"/>
          <w:szCs w:val="22"/>
        </w:rPr>
        <w:t>e</w:t>
      </w:r>
      <w:r w:rsidRPr="002848C4">
        <w:rPr>
          <w:b w:val="0"/>
          <w:bCs w:val="0"/>
          <w:sz w:val="22"/>
          <w:szCs w:val="22"/>
        </w:rPr>
        <w:t>ach kind of export operations and each kind of prescribed goods covered by the registration</w:t>
      </w:r>
    </w:p>
    <w:p w14:paraId="130F0EDC" w14:textId="679D4099" w:rsidR="00730C8C" w:rsidRDefault="00730C8C" w:rsidP="000546E9">
      <w:pPr>
        <w:pStyle w:val="Heading2"/>
        <w:numPr>
          <w:ilvl w:val="0"/>
          <w:numId w:val="17"/>
        </w:numPr>
        <w:rPr>
          <w:b w:val="0"/>
          <w:bCs w:val="0"/>
          <w:sz w:val="22"/>
          <w:szCs w:val="22"/>
        </w:rPr>
      </w:pPr>
      <w:r w:rsidRPr="00730C8C">
        <w:rPr>
          <w:b w:val="0"/>
          <w:bCs w:val="0"/>
          <w:sz w:val="22"/>
          <w:szCs w:val="22"/>
        </w:rPr>
        <w:t>if applicable, each place where a kind of prescribed goods covered by the registration may be exported</w:t>
      </w:r>
    </w:p>
    <w:p w14:paraId="454005C0" w14:textId="7A23E2FB" w:rsidR="00073314" w:rsidRPr="000546E9" w:rsidRDefault="00F04B21" w:rsidP="000546E9">
      <w:pPr>
        <w:pStyle w:val="Heading2"/>
        <w:numPr>
          <w:ilvl w:val="0"/>
          <w:numId w:val="17"/>
        </w:numPr>
        <w:rPr>
          <w:b w:val="0"/>
          <w:bCs w:val="0"/>
          <w:sz w:val="22"/>
          <w:szCs w:val="22"/>
        </w:rPr>
      </w:pPr>
      <w:r>
        <w:rPr>
          <w:b w:val="0"/>
          <w:bCs w:val="0"/>
          <w:sz w:val="22"/>
          <w:szCs w:val="22"/>
        </w:rPr>
        <w:t>the</w:t>
      </w:r>
      <w:r w:rsidR="002848C4">
        <w:rPr>
          <w:b w:val="0"/>
          <w:bCs w:val="0"/>
          <w:sz w:val="22"/>
          <w:szCs w:val="22"/>
        </w:rPr>
        <w:t xml:space="preserve"> </w:t>
      </w:r>
      <w:r w:rsidR="00073314" w:rsidRPr="000546E9">
        <w:rPr>
          <w:b w:val="0"/>
          <w:bCs w:val="0"/>
          <w:sz w:val="22"/>
          <w:szCs w:val="22"/>
        </w:rPr>
        <w:t>persons who manage and control the registered establishment</w:t>
      </w:r>
    </w:p>
    <w:p w14:paraId="05219EE9" w14:textId="5953765C" w:rsidR="00073314" w:rsidRDefault="00755E62" w:rsidP="00145249">
      <w:pPr>
        <w:pStyle w:val="Heading2"/>
        <w:numPr>
          <w:ilvl w:val="0"/>
          <w:numId w:val="17"/>
        </w:numPr>
      </w:pPr>
      <w:r w:rsidRPr="00755E62">
        <w:rPr>
          <w:b w:val="0"/>
          <w:bCs w:val="0"/>
          <w:sz w:val="22"/>
          <w:szCs w:val="22"/>
        </w:rPr>
        <w:t>any</w:t>
      </w:r>
      <w:r w:rsidR="00E4026E" w:rsidRPr="00755E62">
        <w:rPr>
          <w:b w:val="0"/>
          <w:bCs w:val="0"/>
          <w:sz w:val="22"/>
          <w:szCs w:val="22"/>
        </w:rPr>
        <w:t xml:space="preserve"> </w:t>
      </w:r>
      <w:r w:rsidR="00957F28" w:rsidRPr="00755E62">
        <w:rPr>
          <w:b w:val="0"/>
          <w:bCs w:val="0"/>
          <w:sz w:val="22"/>
          <w:szCs w:val="22"/>
        </w:rPr>
        <w:t>other informa</w:t>
      </w:r>
      <w:r w:rsidR="00EC2CDC" w:rsidRPr="00755E62">
        <w:rPr>
          <w:b w:val="0"/>
          <w:bCs w:val="0"/>
          <w:sz w:val="22"/>
          <w:szCs w:val="22"/>
        </w:rPr>
        <w:t xml:space="preserve">tion prescribed by the </w:t>
      </w:r>
      <w:r w:rsidRPr="00755E62">
        <w:rPr>
          <w:b w:val="0"/>
          <w:bCs w:val="0"/>
          <w:sz w:val="22"/>
          <w:szCs w:val="22"/>
        </w:rPr>
        <w:t xml:space="preserve">relevant </w:t>
      </w:r>
      <w:r w:rsidR="00EC2CDC" w:rsidRPr="00755E62">
        <w:rPr>
          <w:b w:val="0"/>
          <w:bCs w:val="0"/>
          <w:sz w:val="22"/>
          <w:szCs w:val="22"/>
        </w:rPr>
        <w:t>rules</w:t>
      </w:r>
      <w:r>
        <w:rPr>
          <w:b w:val="0"/>
          <w:bCs w:val="0"/>
          <w:sz w:val="22"/>
          <w:szCs w:val="22"/>
        </w:rPr>
        <w:t xml:space="preserve">. </w:t>
      </w:r>
    </w:p>
    <w:p w14:paraId="4FC7CE92" w14:textId="77777777" w:rsidR="00073314" w:rsidRDefault="00073314" w:rsidP="00F9189D">
      <w:pPr>
        <w:pStyle w:val="Heading2"/>
        <w:ind w:left="0" w:firstLine="0"/>
      </w:pPr>
    </w:p>
    <w:p w14:paraId="391FE887" w14:textId="4EDB57E5" w:rsidR="00B82095" w:rsidRPr="0080517C" w:rsidRDefault="000913B5" w:rsidP="0080517C">
      <w:pPr>
        <w:pStyle w:val="Heading2"/>
      </w:pPr>
      <w:r>
        <w:t>More</w:t>
      </w:r>
      <w:r w:rsidR="00B82095" w:rsidRPr="0080517C">
        <w:t xml:space="preserve"> information</w:t>
      </w:r>
    </w:p>
    <w:p w14:paraId="320FE08C" w14:textId="2567C47B" w:rsidR="003669BF" w:rsidRPr="00017ACB" w:rsidRDefault="000E7803" w:rsidP="000E7803">
      <w:pPr>
        <w:rPr>
          <w:rStyle w:val="Hyperlink"/>
          <w:lang w:eastAsia="ja-JP"/>
        </w:rPr>
      </w:pPr>
      <w:r>
        <w:rPr>
          <w:lang w:eastAsia="ja-JP"/>
        </w:rPr>
        <w:t xml:space="preserve">Learn more about </w:t>
      </w:r>
      <w:r w:rsidR="00651772">
        <w:rPr>
          <w:lang w:eastAsia="ja-JP"/>
        </w:rPr>
        <w:t>i</w:t>
      </w:r>
      <w:r w:rsidR="00651772" w:rsidRPr="00651772">
        <w:rPr>
          <w:lang w:eastAsia="ja-JP"/>
        </w:rPr>
        <w:t>mproved agricultural export legislation</w:t>
      </w:r>
      <w:r w:rsidR="00651772">
        <w:rPr>
          <w:lang w:eastAsia="ja-JP"/>
        </w:rPr>
        <w:t xml:space="preserve"> here: </w:t>
      </w:r>
      <w:hyperlink r:id="rId14" w:history="1">
        <w:r w:rsidRPr="00017ACB">
          <w:rPr>
            <w:rStyle w:val="Hyperlink"/>
            <w:lang w:eastAsia="ja-JP"/>
          </w:rPr>
          <w:t>agriculture.gov.au/market-access-trade/improving-export-legislation</w:t>
        </w:r>
      </w:hyperlink>
      <w:r w:rsidR="00651772">
        <w:rPr>
          <w:rStyle w:val="Hyperlink"/>
          <w:lang w:eastAsia="ja-JP"/>
        </w:rPr>
        <w:t>.</w:t>
      </w:r>
    </w:p>
    <w:p w14:paraId="4A269DDC" w14:textId="29AA78C6" w:rsidR="00D974D2" w:rsidRDefault="003669BF" w:rsidP="003669BF">
      <w:pPr>
        <w:rPr>
          <w:lang w:eastAsia="ja-JP"/>
        </w:rPr>
      </w:pPr>
      <w:r>
        <w:rPr>
          <w:lang w:eastAsia="ja-JP"/>
        </w:rPr>
        <w:t xml:space="preserve">Learn more about </w:t>
      </w:r>
      <w:r w:rsidR="00D974D2">
        <w:rPr>
          <w:lang w:eastAsia="ja-JP"/>
        </w:rPr>
        <w:t xml:space="preserve">submitting an </w:t>
      </w:r>
      <w:r w:rsidR="00651772">
        <w:rPr>
          <w:lang w:eastAsia="ja-JP"/>
        </w:rPr>
        <w:t>a</w:t>
      </w:r>
      <w:r w:rsidR="00651772" w:rsidRPr="00651772">
        <w:rPr>
          <w:lang w:eastAsia="ja-JP"/>
        </w:rPr>
        <w:t xml:space="preserve">pplication </w:t>
      </w:r>
      <w:r w:rsidR="00651772" w:rsidRPr="00651772">
        <w:rPr>
          <w:lang w:eastAsia="ja-JP"/>
        </w:rPr>
        <w:t>to register, vary or revoke an export establishment</w:t>
      </w:r>
      <w:r w:rsidR="00651772">
        <w:rPr>
          <w:lang w:eastAsia="ja-JP"/>
        </w:rPr>
        <w:t xml:space="preserve"> here: </w:t>
      </w:r>
      <w:hyperlink r:id="rId15" w:anchor="daff-page-main" w:history="1">
        <w:r w:rsidR="00D974D2">
          <w:rPr>
            <w:rStyle w:val="Hyperlink"/>
            <w:lang w:eastAsia="ja-JP"/>
          </w:rPr>
          <w:t>agriculture.gov.au/biosecurity-trade/export/from-australia/ex26#daff-page-main</w:t>
        </w:r>
      </w:hyperlink>
      <w:r w:rsidR="00651772">
        <w:rPr>
          <w:lang w:eastAsia="ja-JP"/>
        </w:rPr>
        <w:t>.</w:t>
      </w:r>
    </w:p>
    <w:p w14:paraId="633EBCAF" w14:textId="5C126E84" w:rsidR="003669BF" w:rsidRDefault="00B82095" w:rsidP="003669BF">
      <w:r w:rsidRPr="00017ACB">
        <w:rPr>
          <w:lang w:eastAsia="ja-JP"/>
        </w:rPr>
        <w:t xml:space="preserve">Email </w:t>
      </w:r>
      <w:hyperlink r:id="rId16" w:history="1">
        <w:r w:rsidR="00F9189D" w:rsidRPr="00B02AD9">
          <w:rPr>
            <w:rStyle w:val="Hyperlink"/>
          </w:rPr>
          <w:t>exportestablishment@aff.gov.au</w:t>
        </w:r>
      </w:hyperlink>
      <w:r w:rsidR="00073314">
        <w:t xml:space="preserve"> </w:t>
      </w:r>
    </w:p>
    <w:p w14:paraId="20BC7C85" w14:textId="0EE0DB03" w:rsidR="00F9189D" w:rsidRDefault="00F9189D" w:rsidP="000E7803">
      <w:pPr>
        <w:spacing w:after="360"/>
      </w:pPr>
      <w:r>
        <w:t>Phone</w:t>
      </w:r>
      <w:r w:rsidR="003669BF">
        <w:t>: 1800 900 090</w:t>
      </w:r>
    </w:p>
    <w:p w14:paraId="185B564D" w14:textId="77777777" w:rsidR="000A5BA0" w:rsidRDefault="000A5BA0" w:rsidP="000A5BA0">
      <w:pPr>
        <w:pStyle w:val="Normalsmall"/>
      </w:pPr>
      <w:r>
        <w:rPr>
          <w:rStyle w:val="Strong"/>
        </w:rPr>
        <w:t>Acknowledgement of Country</w:t>
      </w:r>
    </w:p>
    <w:p w14:paraId="030A9694"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83F4DA2" w14:textId="77777777" w:rsidR="00E9781D" w:rsidRDefault="00E9781D" w:rsidP="00E9781D">
      <w:pPr>
        <w:pStyle w:val="Normalsmall"/>
        <w:spacing w:before="360"/>
      </w:pPr>
      <w:r>
        <w:t>© Commonwealth of Australia 202</w:t>
      </w:r>
      <w:r w:rsidR="00143A7B">
        <w:t>4</w:t>
      </w:r>
    </w:p>
    <w:p w14:paraId="3F921D9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385FD40"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26516076"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35223" w14:textId="77777777" w:rsidR="00A570DB" w:rsidRDefault="00A570DB">
      <w:r>
        <w:separator/>
      </w:r>
    </w:p>
    <w:p w14:paraId="0FA2D79E" w14:textId="77777777" w:rsidR="00A570DB" w:rsidRDefault="00A570DB"/>
    <w:p w14:paraId="75368623" w14:textId="77777777" w:rsidR="00A570DB" w:rsidRDefault="00A570DB"/>
  </w:endnote>
  <w:endnote w:type="continuationSeparator" w:id="0">
    <w:p w14:paraId="66DEDAD8" w14:textId="77777777" w:rsidR="00A570DB" w:rsidRDefault="00A570DB">
      <w:r>
        <w:continuationSeparator/>
      </w:r>
    </w:p>
    <w:p w14:paraId="0E7E72A1" w14:textId="77777777" w:rsidR="00A570DB" w:rsidRDefault="00A570DB"/>
    <w:p w14:paraId="24003C05" w14:textId="77777777" w:rsidR="00A570DB" w:rsidRDefault="00A570DB"/>
  </w:endnote>
  <w:endnote w:type="continuationNotice" w:id="1">
    <w:p w14:paraId="22E6CDA7" w14:textId="77777777" w:rsidR="00A570DB" w:rsidRDefault="00A570DB">
      <w:pPr>
        <w:pStyle w:val="Footer"/>
      </w:pPr>
    </w:p>
    <w:p w14:paraId="0B6C4428" w14:textId="77777777" w:rsidR="00A570DB" w:rsidRDefault="00A570DB"/>
    <w:p w14:paraId="537F66C1" w14:textId="77777777" w:rsidR="00A570DB" w:rsidRDefault="00A57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C23F"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452B13C2" wp14:editId="20A1DA70">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22F8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B13C2"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C22F8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D83C4" w14:textId="77777777" w:rsidR="00863E83" w:rsidRDefault="00F637B6" w:rsidP="00863E83">
    <w:pPr>
      <w:pStyle w:val="Footer"/>
    </w:pPr>
    <w:r>
      <w:rPr>
        <w:noProof/>
      </w:rPr>
      <mc:AlternateContent>
        <mc:Choice Requires="wps">
          <w:drawing>
            <wp:anchor distT="0" distB="0" distL="0" distR="0" simplePos="0" relativeHeight="251665408" behindDoc="0" locked="0" layoutInCell="1" allowOverlap="1" wp14:anchorId="7C45AFCF" wp14:editId="18769016">
              <wp:simplePos x="635" y="635"/>
              <wp:positionH relativeFrom="page">
                <wp:align>center</wp:align>
              </wp:positionH>
              <wp:positionV relativeFrom="page">
                <wp:align>bottom</wp:align>
              </wp:positionV>
              <wp:extent cx="443865" cy="443865"/>
              <wp:effectExtent l="0" t="0" r="635" b="0"/>
              <wp:wrapNone/>
              <wp:docPr id="1152682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4CD2C"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5AFCF"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3A4CD2C"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2EB4B6DE"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E8B2"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0FCAD2A1"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31A7F" w14:textId="77777777" w:rsidR="00A570DB" w:rsidRDefault="00A570DB">
      <w:r>
        <w:separator/>
      </w:r>
    </w:p>
    <w:p w14:paraId="3CCC612A" w14:textId="77777777" w:rsidR="00A570DB" w:rsidRDefault="00A570DB"/>
    <w:p w14:paraId="07B858BC" w14:textId="77777777" w:rsidR="00A570DB" w:rsidRDefault="00A570DB"/>
  </w:footnote>
  <w:footnote w:type="continuationSeparator" w:id="0">
    <w:p w14:paraId="5B4B532B" w14:textId="77777777" w:rsidR="00A570DB" w:rsidRDefault="00A570DB">
      <w:r>
        <w:continuationSeparator/>
      </w:r>
    </w:p>
    <w:p w14:paraId="73C284BD" w14:textId="77777777" w:rsidR="00A570DB" w:rsidRDefault="00A570DB"/>
    <w:p w14:paraId="086B4AFD" w14:textId="77777777" w:rsidR="00A570DB" w:rsidRDefault="00A570DB"/>
  </w:footnote>
  <w:footnote w:type="continuationNotice" w:id="1">
    <w:p w14:paraId="0669D920" w14:textId="77777777" w:rsidR="00A570DB" w:rsidRDefault="00A570DB">
      <w:pPr>
        <w:pStyle w:val="Footer"/>
      </w:pPr>
    </w:p>
    <w:p w14:paraId="25BB54DA" w14:textId="77777777" w:rsidR="00A570DB" w:rsidRDefault="00A570DB"/>
    <w:p w14:paraId="1EB2F9D4" w14:textId="77777777" w:rsidR="00A570DB" w:rsidRDefault="00A57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229D"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0C304746" wp14:editId="332B124F">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CE71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04746"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5CE71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7E07" w14:textId="3B17AD3E" w:rsidR="000542B4" w:rsidRDefault="00F637B6">
    <w:pPr>
      <w:pStyle w:val="Header"/>
    </w:pPr>
    <w:r>
      <w:rPr>
        <w:noProof/>
      </w:rPr>
      <mc:AlternateContent>
        <mc:Choice Requires="wps">
          <w:drawing>
            <wp:anchor distT="0" distB="0" distL="0" distR="0" simplePos="0" relativeHeight="251662336" behindDoc="0" locked="0" layoutInCell="1" allowOverlap="1" wp14:anchorId="166A3E4A" wp14:editId="04E44B58">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DB9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6A3E4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3BDB9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r w:rsidR="00271C6B">
      <w:t>Export Establishment Registration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0940"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7826773" wp14:editId="00C756E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3382"/>
    <w:multiLevelType w:val="hybridMultilevel"/>
    <w:tmpl w:val="BF6C0378"/>
    <w:lvl w:ilvl="0" w:tplc="8A72B070">
      <w:numFmt w:val="bullet"/>
      <w:lvlText w:val="•"/>
      <w:lvlJc w:val="left"/>
      <w:pPr>
        <w:ind w:left="720" w:hanging="72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A323708"/>
    <w:multiLevelType w:val="multilevel"/>
    <w:tmpl w:val="B9F2056C"/>
    <w:lvl w:ilvl="0">
      <w:start w:val="1"/>
      <w:numFmt w:val="bullet"/>
      <w:lvlText w:val=""/>
      <w:lvlJc w:val="left"/>
      <w:pPr>
        <w:ind w:left="425" w:hanging="425"/>
      </w:pPr>
      <w:rPr>
        <w:rFonts w:ascii="Symbol" w:hAnsi="Symbol" w:hint="default"/>
        <w:color w:val="auto"/>
      </w:rPr>
    </w:lvl>
    <w:lvl w:ilvl="1">
      <w:start w:val="1"/>
      <w:numFmt w:val="bullet"/>
      <w:lvlText w:val=""/>
      <w:lvlJc w:val="left"/>
      <w:pPr>
        <w:ind w:left="785" w:hanging="360"/>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447C9D"/>
    <w:multiLevelType w:val="hybridMultilevel"/>
    <w:tmpl w:val="A7FE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9F600D1"/>
    <w:multiLevelType w:val="hybridMultilevel"/>
    <w:tmpl w:val="F8C42F5C"/>
    <w:lvl w:ilvl="0" w:tplc="22F80E84">
      <w:numFmt w:val="bullet"/>
      <w:lvlText w:val="•"/>
      <w:lvlJc w:val="left"/>
      <w:pPr>
        <w:ind w:left="720" w:hanging="720"/>
      </w:pPr>
      <w:rPr>
        <w:rFonts w:ascii="Calibri" w:eastAsiaTheme="minorEastAsia" w:hAnsi="Calibri" w:cs="Calibri"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BDB0DBA"/>
    <w:multiLevelType w:val="hybridMultilevel"/>
    <w:tmpl w:val="726C1F16"/>
    <w:lvl w:ilvl="0" w:tplc="0BA2B0F2">
      <w:start w:val="1"/>
      <w:numFmt w:val="lowerLetter"/>
      <w:lvlText w:val="%1)"/>
      <w:lvlJc w:val="left"/>
      <w:pPr>
        <w:ind w:left="1020" w:hanging="360"/>
      </w:pPr>
    </w:lvl>
    <w:lvl w:ilvl="1" w:tplc="C2EC85A2">
      <w:start w:val="1"/>
      <w:numFmt w:val="lowerLetter"/>
      <w:lvlText w:val="%2)"/>
      <w:lvlJc w:val="left"/>
      <w:pPr>
        <w:ind w:left="1020" w:hanging="360"/>
      </w:pPr>
    </w:lvl>
    <w:lvl w:ilvl="2" w:tplc="FB4E7994">
      <w:start w:val="1"/>
      <w:numFmt w:val="lowerLetter"/>
      <w:lvlText w:val="%3)"/>
      <w:lvlJc w:val="left"/>
      <w:pPr>
        <w:ind w:left="1020" w:hanging="360"/>
      </w:pPr>
    </w:lvl>
    <w:lvl w:ilvl="3" w:tplc="B57AB9E6">
      <w:start w:val="1"/>
      <w:numFmt w:val="lowerLetter"/>
      <w:lvlText w:val="%4)"/>
      <w:lvlJc w:val="left"/>
      <w:pPr>
        <w:ind w:left="1020" w:hanging="360"/>
      </w:pPr>
    </w:lvl>
    <w:lvl w:ilvl="4" w:tplc="2868664E">
      <w:start w:val="1"/>
      <w:numFmt w:val="lowerLetter"/>
      <w:lvlText w:val="%5)"/>
      <w:lvlJc w:val="left"/>
      <w:pPr>
        <w:ind w:left="1020" w:hanging="360"/>
      </w:pPr>
    </w:lvl>
    <w:lvl w:ilvl="5" w:tplc="55448DD0">
      <w:start w:val="1"/>
      <w:numFmt w:val="lowerLetter"/>
      <w:lvlText w:val="%6)"/>
      <w:lvlJc w:val="left"/>
      <w:pPr>
        <w:ind w:left="1020" w:hanging="360"/>
      </w:pPr>
    </w:lvl>
    <w:lvl w:ilvl="6" w:tplc="11BA628A">
      <w:start w:val="1"/>
      <w:numFmt w:val="lowerLetter"/>
      <w:lvlText w:val="%7)"/>
      <w:lvlJc w:val="left"/>
      <w:pPr>
        <w:ind w:left="1020" w:hanging="360"/>
      </w:pPr>
    </w:lvl>
    <w:lvl w:ilvl="7" w:tplc="C934767C">
      <w:start w:val="1"/>
      <w:numFmt w:val="lowerLetter"/>
      <w:lvlText w:val="%8)"/>
      <w:lvlJc w:val="left"/>
      <w:pPr>
        <w:ind w:left="1020" w:hanging="360"/>
      </w:pPr>
    </w:lvl>
    <w:lvl w:ilvl="8" w:tplc="16F28464">
      <w:start w:val="1"/>
      <w:numFmt w:val="lowerLetter"/>
      <w:lvlText w:val="%9)"/>
      <w:lvlJc w:val="left"/>
      <w:pPr>
        <w:ind w:left="1020" w:hanging="360"/>
      </w:pPr>
    </w:lvl>
  </w:abstractNum>
  <w:abstractNum w:abstractNumId="13"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6"/>
  </w:num>
  <w:num w:numId="2" w16cid:durableId="1209954464">
    <w:abstractNumId w:val="4"/>
  </w:num>
  <w:num w:numId="3" w16cid:durableId="211696695">
    <w:abstractNumId w:val="10"/>
  </w:num>
  <w:num w:numId="4" w16cid:durableId="1550148830">
    <w:abstractNumId w:val="11"/>
  </w:num>
  <w:num w:numId="5" w16cid:durableId="1460108156">
    <w:abstractNumId w:val="1"/>
  </w:num>
  <w:num w:numId="6" w16cid:durableId="1934704985">
    <w:abstractNumId w:val="7"/>
  </w:num>
  <w:num w:numId="7" w16cid:durableId="1013073201">
    <w:abstractNumId w:val="8"/>
  </w:num>
  <w:num w:numId="8" w16cid:durableId="524289160">
    <w:abstractNumId w:val="2"/>
  </w:num>
  <w:num w:numId="9" w16cid:durableId="94401862">
    <w:abstractNumId w:val="13"/>
  </w:num>
  <w:num w:numId="10" w16cid:durableId="1262253482">
    <w:abstractNumId w:val="13"/>
  </w:num>
  <w:num w:numId="11" w16cid:durableId="1504468562">
    <w:abstractNumId w:val="13"/>
  </w:num>
  <w:num w:numId="12" w16cid:durableId="1296328144">
    <w:abstractNumId w:val="13"/>
  </w:num>
  <w:num w:numId="13" w16cid:durableId="1835338463">
    <w:abstractNumId w:val="3"/>
  </w:num>
  <w:num w:numId="14" w16cid:durableId="1550871910">
    <w:abstractNumId w:val="10"/>
  </w:num>
  <w:num w:numId="15" w16cid:durableId="701132682">
    <w:abstractNumId w:val="10"/>
  </w:num>
  <w:num w:numId="16" w16cid:durableId="1950817616">
    <w:abstractNumId w:val="5"/>
  </w:num>
  <w:num w:numId="17" w16cid:durableId="787547511">
    <w:abstractNumId w:val="9"/>
  </w:num>
  <w:num w:numId="18" w16cid:durableId="492992556">
    <w:abstractNumId w:val="0"/>
  </w:num>
  <w:num w:numId="19" w16cid:durableId="9312845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EE"/>
    <w:rsid w:val="0000059E"/>
    <w:rsid w:val="0000066F"/>
    <w:rsid w:val="00001B53"/>
    <w:rsid w:val="00002731"/>
    <w:rsid w:val="00017ACB"/>
    <w:rsid w:val="00020052"/>
    <w:rsid w:val="00021590"/>
    <w:rsid w:val="00025D1B"/>
    <w:rsid w:val="000266C4"/>
    <w:rsid w:val="00027B15"/>
    <w:rsid w:val="00037A47"/>
    <w:rsid w:val="000542B4"/>
    <w:rsid w:val="000546E9"/>
    <w:rsid w:val="000618F3"/>
    <w:rsid w:val="00066D0B"/>
    <w:rsid w:val="000717D2"/>
    <w:rsid w:val="00073314"/>
    <w:rsid w:val="00074A56"/>
    <w:rsid w:val="00080827"/>
    <w:rsid w:val="0008277A"/>
    <w:rsid w:val="000904C1"/>
    <w:rsid w:val="000913B5"/>
    <w:rsid w:val="000A5BA0"/>
    <w:rsid w:val="000B3924"/>
    <w:rsid w:val="000B3C44"/>
    <w:rsid w:val="000C0412"/>
    <w:rsid w:val="000C39A7"/>
    <w:rsid w:val="000C4558"/>
    <w:rsid w:val="000D0781"/>
    <w:rsid w:val="000E455C"/>
    <w:rsid w:val="000E4D74"/>
    <w:rsid w:val="000E5DAC"/>
    <w:rsid w:val="000E7803"/>
    <w:rsid w:val="000F0491"/>
    <w:rsid w:val="000F24B8"/>
    <w:rsid w:val="000F3EBC"/>
    <w:rsid w:val="00104AC2"/>
    <w:rsid w:val="00115D52"/>
    <w:rsid w:val="001215D9"/>
    <w:rsid w:val="001233A8"/>
    <w:rsid w:val="0013173D"/>
    <w:rsid w:val="00136E78"/>
    <w:rsid w:val="00143A7B"/>
    <w:rsid w:val="00144601"/>
    <w:rsid w:val="00176DAE"/>
    <w:rsid w:val="0018097D"/>
    <w:rsid w:val="00184D7A"/>
    <w:rsid w:val="00190D7E"/>
    <w:rsid w:val="001929D2"/>
    <w:rsid w:val="0019553D"/>
    <w:rsid w:val="001A5BCF"/>
    <w:rsid w:val="001A6968"/>
    <w:rsid w:val="001D0EF3"/>
    <w:rsid w:val="001D3CCD"/>
    <w:rsid w:val="001E1A8F"/>
    <w:rsid w:val="00201BFB"/>
    <w:rsid w:val="00203DE1"/>
    <w:rsid w:val="00213354"/>
    <w:rsid w:val="0021495F"/>
    <w:rsid w:val="00220618"/>
    <w:rsid w:val="00221CBE"/>
    <w:rsid w:val="00222CDB"/>
    <w:rsid w:val="00224829"/>
    <w:rsid w:val="00236915"/>
    <w:rsid w:val="00237A69"/>
    <w:rsid w:val="002468BF"/>
    <w:rsid w:val="0025224F"/>
    <w:rsid w:val="00271C6B"/>
    <w:rsid w:val="00275B58"/>
    <w:rsid w:val="00282080"/>
    <w:rsid w:val="0028252C"/>
    <w:rsid w:val="002848C4"/>
    <w:rsid w:val="00284B53"/>
    <w:rsid w:val="002A4DEE"/>
    <w:rsid w:val="002A5D78"/>
    <w:rsid w:val="002B1C7E"/>
    <w:rsid w:val="002B1FAF"/>
    <w:rsid w:val="002C05D0"/>
    <w:rsid w:val="002C439D"/>
    <w:rsid w:val="002D607E"/>
    <w:rsid w:val="002E3FD4"/>
    <w:rsid w:val="002F4595"/>
    <w:rsid w:val="00300AFD"/>
    <w:rsid w:val="003032C0"/>
    <w:rsid w:val="0030558A"/>
    <w:rsid w:val="00305FF7"/>
    <w:rsid w:val="00312FA5"/>
    <w:rsid w:val="00313C42"/>
    <w:rsid w:val="0032309E"/>
    <w:rsid w:val="00336B60"/>
    <w:rsid w:val="00342486"/>
    <w:rsid w:val="0035108D"/>
    <w:rsid w:val="003569F9"/>
    <w:rsid w:val="00366721"/>
    <w:rsid w:val="003669BF"/>
    <w:rsid w:val="00370990"/>
    <w:rsid w:val="00373C19"/>
    <w:rsid w:val="0037698A"/>
    <w:rsid w:val="00392124"/>
    <w:rsid w:val="003937B8"/>
    <w:rsid w:val="003950B8"/>
    <w:rsid w:val="003A2C3E"/>
    <w:rsid w:val="003A7B94"/>
    <w:rsid w:val="003B2598"/>
    <w:rsid w:val="003B6232"/>
    <w:rsid w:val="003B6B55"/>
    <w:rsid w:val="003B6D8B"/>
    <w:rsid w:val="003C751B"/>
    <w:rsid w:val="003F0AB3"/>
    <w:rsid w:val="003F3E2C"/>
    <w:rsid w:val="003F73D7"/>
    <w:rsid w:val="00400FCB"/>
    <w:rsid w:val="00401A2E"/>
    <w:rsid w:val="0040526D"/>
    <w:rsid w:val="00411260"/>
    <w:rsid w:val="004160E5"/>
    <w:rsid w:val="00417943"/>
    <w:rsid w:val="00426217"/>
    <w:rsid w:val="00442630"/>
    <w:rsid w:val="0044304D"/>
    <w:rsid w:val="00446CB3"/>
    <w:rsid w:val="00463BFC"/>
    <w:rsid w:val="004738EB"/>
    <w:rsid w:val="0047481C"/>
    <w:rsid w:val="00474BB1"/>
    <w:rsid w:val="00475B1A"/>
    <w:rsid w:val="00476899"/>
    <w:rsid w:val="00477888"/>
    <w:rsid w:val="00485143"/>
    <w:rsid w:val="00493263"/>
    <w:rsid w:val="00495068"/>
    <w:rsid w:val="004965DD"/>
    <w:rsid w:val="00496862"/>
    <w:rsid w:val="004B38E1"/>
    <w:rsid w:val="004B66A9"/>
    <w:rsid w:val="004C2DA2"/>
    <w:rsid w:val="004C3E31"/>
    <w:rsid w:val="004D0888"/>
    <w:rsid w:val="004E6316"/>
    <w:rsid w:val="004F167C"/>
    <w:rsid w:val="005019C1"/>
    <w:rsid w:val="005070C8"/>
    <w:rsid w:val="00507393"/>
    <w:rsid w:val="00513EE3"/>
    <w:rsid w:val="00514CEE"/>
    <w:rsid w:val="00515287"/>
    <w:rsid w:val="005157CF"/>
    <w:rsid w:val="005166E2"/>
    <w:rsid w:val="00531B5A"/>
    <w:rsid w:val="0053550C"/>
    <w:rsid w:val="00542875"/>
    <w:rsid w:val="005500D4"/>
    <w:rsid w:val="00553E9D"/>
    <w:rsid w:val="0055447F"/>
    <w:rsid w:val="00554C30"/>
    <w:rsid w:val="0055543E"/>
    <w:rsid w:val="00567DFC"/>
    <w:rsid w:val="005706FC"/>
    <w:rsid w:val="00577F29"/>
    <w:rsid w:val="00585B8D"/>
    <w:rsid w:val="00594529"/>
    <w:rsid w:val="005A2AA6"/>
    <w:rsid w:val="005A48A6"/>
    <w:rsid w:val="005B3E81"/>
    <w:rsid w:val="005B613F"/>
    <w:rsid w:val="005B656B"/>
    <w:rsid w:val="005C2BFD"/>
    <w:rsid w:val="005C432A"/>
    <w:rsid w:val="005C494F"/>
    <w:rsid w:val="005D7F20"/>
    <w:rsid w:val="005E0D09"/>
    <w:rsid w:val="005F3F9A"/>
    <w:rsid w:val="00601ACF"/>
    <w:rsid w:val="00607A21"/>
    <w:rsid w:val="00607A36"/>
    <w:rsid w:val="006156DF"/>
    <w:rsid w:val="00625D8D"/>
    <w:rsid w:val="006360F9"/>
    <w:rsid w:val="00642F36"/>
    <w:rsid w:val="0064446F"/>
    <w:rsid w:val="00646917"/>
    <w:rsid w:val="0065117E"/>
    <w:rsid w:val="00651772"/>
    <w:rsid w:val="006526B0"/>
    <w:rsid w:val="00656587"/>
    <w:rsid w:val="006724CB"/>
    <w:rsid w:val="00693C10"/>
    <w:rsid w:val="00696682"/>
    <w:rsid w:val="006B0030"/>
    <w:rsid w:val="006B34A5"/>
    <w:rsid w:val="006B49DE"/>
    <w:rsid w:val="006C6921"/>
    <w:rsid w:val="006D413F"/>
    <w:rsid w:val="006D58C8"/>
    <w:rsid w:val="006E353E"/>
    <w:rsid w:val="006E5775"/>
    <w:rsid w:val="006F6FE8"/>
    <w:rsid w:val="00700A80"/>
    <w:rsid w:val="0070464B"/>
    <w:rsid w:val="00721291"/>
    <w:rsid w:val="007258B1"/>
    <w:rsid w:val="00725C8B"/>
    <w:rsid w:val="00727900"/>
    <w:rsid w:val="00730C8C"/>
    <w:rsid w:val="00736C0F"/>
    <w:rsid w:val="00745246"/>
    <w:rsid w:val="007524B0"/>
    <w:rsid w:val="00754CA3"/>
    <w:rsid w:val="00755E62"/>
    <w:rsid w:val="0076549B"/>
    <w:rsid w:val="007826B5"/>
    <w:rsid w:val="00790221"/>
    <w:rsid w:val="0079148A"/>
    <w:rsid w:val="00793E18"/>
    <w:rsid w:val="00796AC3"/>
    <w:rsid w:val="007A198D"/>
    <w:rsid w:val="007B0D49"/>
    <w:rsid w:val="007B4C63"/>
    <w:rsid w:val="007B5EEA"/>
    <w:rsid w:val="007C0010"/>
    <w:rsid w:val="007C43AF"/>
    <w:rsid w:val="007E5AF6"/>
    <w:rsid w:val="007E69AF"/>
    <w:rsid w:val="007E761F"/>
    <w:rsid w:val="007F028D"/>
    <w:rsid w:val="007F1D97"/>
    <w:rsid w:val="007F4986"/>
    <w:rsid w:val="00801577"/>
    <w:rsid w:val="0080517C"/>
    <w:rsid w:val="00830EBE"/>
    <w:rsid w:val="00832638"/>
    <w:rsid w:val="008501EE"/>
    <w:rsid w:val="00861887"/>
    <w:rsid w:val="00863E83"/>
    <w:rsid w:val="00865130"/>
    <w:rsid w:val="00865323"/>
    <w:rsid w:val="00892F53"/>
    <w:rsid w:val="0089321A"/>
    <w:rsid w:val="00895341"/>
    <w:rsid w:val="008A2F19"/>
    <w:rsid w:val="008C157C"/>
    <w:rsid w:val="008C40D3"/>
    <w:rsid w:val="008E17DF"/>
    <w:rsid w:val="008E1FAF"/>
    <w:rsid w:val="008E3B54"/>
    <w:rsid w:val="008F1712"/>
    <w:rsid w:val="008F382A"/>
    <w:rsid w:val="008F43CA"/>
    <w:rsid w:val="00902E92"/>
    <w:rsid w:val="00903BB9"/>
    <w:rsid w:val="009041C1"/>
    <w:rsid w:val="0090743D"/>
    <w:rsid w:val="00911F4A"/>
    <w:rsid w:val="0091391C"/>
    <w:rsid w:val="00916FC3"/>
    <w:rsid w:val="009174AF"/>
    <w:rsid w:val="00922841"/>
    <w:rsid w:val="00931508"/>
    <w:rsid w:val="00940C90"/>
    <w:rsid w:val="00943779"/>
    <w:rsid w:val="0095002A"/>
    <w:rsid w:val="00956099"/>
    <w:rsid w:val="009563F6"/>
    <w:rsid w:val="00957F28"/>
    <w:rsid w:val="0096019F"/>
    <w:rsid w:val="009607E8"/>
    <w:rsid w:val="00974CD6"/>
    <w:rsid w:val="009844EA"/>
    <w:rsid w:val="00985537"/>
    <w:rsid w:val="009C0682"/>
    <w:rsid w:val="009C206F"/>
    <w:rsid w:val="009C37F9"/>
    <w:rsid w:val="009C3FA3"/>
    <w:rsid w:val="009C5CE4"/>
    <w:rsid w:val="009C66B1"/>
    <w:rsid w:val="009D22B7"/>
    <w:rsid w:val="009D7044"/>
    <w:rsid w:val="009F1646"/>
    <w:rsid w:val="00A0018B"/>
    <w:rsid w:val="00A03F44"/>
    <w:rsid w:val="00A04AFD"/>
    <w:rsid w:val="00A130F7"/>
    <w:rsid w:val="00A140C9"/>
    <w:rsid w:val="00A25FAD"/>
    <w:rsid w:val="00A3183D"/>
    <w:rsid w:val="00A32860"/>
    <w:rsid w:val="00A570DB"/>
    <w:rsid w:val="00A57AB6"/>
    <w:rsid w:val="00A62CD6"/>
    <w:rsid w:val="00A62F99"/>
    <w:rsid w:val="00A65D84"/>
    <w:rsid w:val="00A662C0"/>
    <w:rsid w:val="00A73C8D"/>
    <w:rsid w:val="00A77E8E"/>
    <w:rsid w:val="00A8157A"/>
    <w:rsid w:val="00A96FC4"/>
    <w:rsid w:val="00AA1D89"/>
    <w:rsid w:val="00AA5E0F"/>
    <w:rsid w:val="00AB4CC3"/>
    <w:rsid w:val="00AC415F"/>
    <w:rsid w:val="00AD044A"/>
    <w:rsid w:val="00AD64DF"/>
    <w:rsid w:val="00AE1E6E"/>
    <w:rsid w:val="00AE40DE"/>
    <w:rsid w:val="00AE4763"/>
    <w:rsid w:val="00AE55D1"/>
    <w:rsid w:val="00AF5911"/>
    <w:rsid w:val="00AF6670"/>
    <w:rsid w:val="00AF7C55"/>
    <w:rsid w:val="00B0121B"/>
    <w:rsid w:val="00B01329"/>
    <w:rsid w:val="00B0455B"/>
    <w:rsid w:val="00B11E02"/>
    <w:rsid w:val="00B24E37"/>
    <w:rsid w:val="00B3476F"/>
    <w:rsid w:val="00B404AB"/>
    <w:rsid w:val="00B43568"/>
    <w:rsid w:val="00B55AC9"/>
    <w:rsid w:val="00B613F4"/>
    <w:rsid w:val="00B65901"/>
    <w:rsid w:val="00B755CE"/>
    <w:rsid w:val="00B82095"/>
    <w:rsid w:val="00B90975"/>
    <w:rsid w:val="00B93571"/>
    <w:rsid w:val="00B944AA"/>
    <w:rsid w:val="00B94CBD"/>
    <w:rsid w:val="00BA2806"/>
    <w:rsid w:val="00BC321A"/>
    <w:rsid w:val="00BC44C6"/>
    <w:rsid w:val="00BD4F8E"/>
    <w:rsid w:val="00BE293C"/>
    <w:rsid w:val="00BE345B"/>
    <w:rsid w:val="00BE53F8"/>
    <w:rsid w:val="00C0212D"/>
    <w:rsid w:val="00C06280"/>
    <w:rsid w:val="00C2161A"/>
    <w:rsid w:val="00C26DC8"/>
    <w:rsid w:val="00C4278F"/>
    <w:rsid w:val="00C450C8"/>
    <w:rsid w:val="00C5065D"/>
    <w:rsid w:val="00C5136C"/>
    <w:rsid w:val="00C6128D"/>
    <w:rsid w:val="00C6243B"/>
    <w:rsid w:val="00C73278"/>
    <w:rsid w:val="00C765C8"/>
    <w:rsid w:val="00C82029"/>
    <w:rsid w:val="00C82699"/>
    <w:rsid w:val="00C84E1A"/>
    <w:rsid w:val="00C86272"/>
    <w:rsid w:val="00C869DE"/>
    <w:rsid w:val="00C9283A"/>
    <w:rsid w:val="00C95039"/>
    <w:rsid w:val="00C9547E"/>
    <w:rsid w:val="00CA0F6A"/>
    <w:rsid w:val="00CA3390"/>
    <w:rsid w:val="00CA4615"/>
    <w:rsid w:val="00CA7C6F"/>
    <w:rsid w:val="00CC4B26"/>
    <w:rsid w:val="00CD1A96"/>
    <w:rsid w:val="00CD3A6F"/>
    <w:rsid w:val="00CD6263"/>
    <w:rsid w:val="00CE261E"/>
    <w:rsid w:val="00CE7F36"/>
    <w:rsid w:val="00CF01DD"/>
    <w:rsid w:val="00CF7D08"/>
    <w:rsid w:val="00D01A77"/>
    <w:rsid w:val="00D04A3C"/>
    <w:rsid w:val="00D06C32"/>
    <w:rsid w:val="00D164AC"/>
    <w:rsid w:val="00D22097"/>
    <w:rsid w:val="00D333B6"/>
    <w:rsid w:val="00D36C41"/>
    <w:rsid w:val="00D4039B"/>
    <w:rsid w:val="00D5115B"/>
    <w:rsid w:val="00D55A85"/>
    <w:rsid w:val="00D67F02"/>
    <w:rsid w:val="00D750D0"/>
    <w:rsid w:val="00D81CA5"/>
    <w:rsid w:val="00D87480"/>
    <w:rsid w:val="00D974D2"/>
    <w:rsid w:val="00DB71FD"/>
    <w:rsid w:val="00DC0752"/>
    <w:rsid w:val="00DC453F"/>
    <w:rsid w:val="00DC57F0"/>
    <w:rsid w:val="00DE0C8B"/>
    <w:rsid w:val="00DE546F"/>
    <w:rsid w:val="00DF241E"/>
    <w:rsid w:val="00DF28C8"/>
    <w:rsid w:val="00DF3531"/>
    <w:rsid w:val="00DF4156"/>
    <w:rsid w:val="00DF5DFB"/>
    <w:rsid w:val="00E25A07"/>
    <w:rsid w:val="00E333DF"/>
    <w:rsid w:val="00E35736"/>
    <w:rsid w:val="00E4026E"/>
    <w:rsid w:val="00E44E91"/>
    <w:rsid w:val="00E71AE1"/>
    <w:rsid w:val="00E72D98"/>
    <w:rsid w:val="00E82532"/>
    <w:rsid w:val="00E83C41"/>
    <w:rsid w:val="00E87842"/>
    <w:rsid w:val="00E9781D"/>
    <w:rsid w:val="00EA5D76"/>
    <w:rsid w:val="00EC2925"/>
    <w:rsid w:val="00EC2CDC"/>
    <w:rsid w:val="00EC5579"/>
    <w:rsid w:val="00EC5C40"/>
    <w:rsid w:val="00ED198D"/>
    <w:rsid w:val="00ED27AA"/>
    <w:rsid w:val="00ED5C81"/>
    <w:rsid w:val="00ED774B"/>
    <w:rsid w:val="00EE0118"/>
    <w:rsid w:val="00EE1549"/>
    <w:rsid w:val="00EE49CE"/>
    <w:rsid w:val="00EE7C8D"/>
    <w:rsid w:val="00EF24B1"/>
    <w:rsid w:val="00EF3918"/>
    <w:rsid w:val="00F028DA"/>
    <w:rsid w:val="00F04B21"/>
    <w:rsid w:val="00F12E85"/>
    <w:rsid w:val="00F166C8"/>
    <w:rsid w:val="00F222C4"/>
    <w:rsid w:val="00F23AF2"/>
    <w:rsid w:val="00F24BAB"/>
    <w:rsid w:val="00F30857"/>
    <w:rsid w:val="00F330C3"/>
    <w:rsid w:val="00F3602D"/>
    <w:rsid w:val="00F637B6"/>
    <w:rsid w:val="00F66FD8"/>
    <w:rsid w:val="00F7189F"/>
    <w:rsid w:val="00F72C22"/>
    <w:rsid w:val="00F73397"/>
    <w:rsid w:val="00F75F33"/>
    <w:rsid w:val="00F8082D"/>
    <w:rsid w:val="00F81663"/>
    <w:rsid w:val="00F84236"/>
    <w:rsid w:val="00F87B94"/>
    <w:rsid w:val="00F9189D"/>
    <w:rsid w:val="00FA275F"/>
    <w:rsid w:val="00FA48E4"/>
    <w:rsid w:val="00FB6AAD"/>
    <w:rsid w:val="00FC2CE4"/>
    <w:rsid w:val="00FC379E"/>
    <w:rsid w:val="00FC59C9"/>
    <w:rsid w:val="00FD337C"/>
    <w:rsid w:val="00FD3BAE"/>
    <w:rsid w:val="00FD3C48"/>
    <w:rsid w:val="00FD5236"/>
    <w:rsid w:val="00FD7D5B"/>
    <w:rsid w:val="00FE0F23"/>
    <w:rsid w:val="00FE39A7"/>
    <w:rsid w:val="00FE43C7"/>
    <w:rsid w:val="00FE54EB"/>
    <w:rsid w:val="00FF091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0212"/>
  <w15:docId w15:val="{9F793DDE-D5DE-4862-B77A-F00E0E8A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99"/>
    <w:qFormat/>
    <w:rsid w:val="00745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fees/charging-guideli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export/from-australia/ex26"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xportestablishment@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legisl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export/from-australia/ex2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market-access-trade/improving-export-legislation"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161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10048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Ferfolja, Veronika</dc:creator>
  <cp:lastModifiedBy>Ferfolja, Veronika</cp:lastModifiedBy>
  <cp:revision>51</cp:revision>
  <cp:lastPrinted>2022-10-26T05:30:00Z</cp:lastPrinted>
  <dcterms:created xsi:type="dcterms:W3CDTF">2024-09-15T23:26:00Z</dcterms:created>
  <dcterms:modified xsi:type="dcterms:W3CDTF">2024-09-16T03:37:00Z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