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37EB94B5" w:rsidR="00ED0614" w:rsidRPr="009016B5" w:rsidRDefault="003F7380">
      <w:pPr>
        <w:pStyle w:val="Heading1"/>
      </w:pPr>
      <w:r w:rsidRPr="003F7380">
        <w:t>Epizootic haematopoietic necrosis (EHN)</w:t>
      </w:r>
    </w:p>
    <w:p w14:paraId="0E538D58" w14:textId="535EB5B3" w:rsidR="007945B1" w:rsidRPr="007945B1" w:rsidRDefault="007945B1">
      <w:pPr>
        <w:pStyle w:val="Subtitle"/>
        <w:rPr>
          <w:sz w:val="24"/>
          <w:szCs w:val="24"/>
        </w:rPr>
      </w:pPr>
      <w:r>
        <w:rPr>
          <w:sz w:val="24"/>
          <w:szCs w:val="24"/>
        </w:rPr>
        <w:t xml:space="preserve">Also known as </w:t>
      </w:r>
      <w:r w:rsidRPr="007945B1">
        <w:rPr>
          <w:sz w:val="24"/>
          <w:szCs w:val="24"/>
        </w:rPr>
        <w:t>infection with epizootic haematopoietic necrosis virus (EHNV)</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674FBD35"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DA4A24">
        <w:rPr>
          <w:noProof/>
        </w:rPr>
        <w:t>1</w:t>
      </w:r>
      <w:r>
        <w:rPr>
          <w:noProof/>
        </w:rPr>
        <w:fldChar w:fldCharType="end"/>
      </w:r>
      <w:r>
        <w:t xml:space="preserve"> </w:t>
      </w:r>
      <w:r w:rsidR="003F7380" w:rsidRPr="003F7380">
        <w:t>Mass mortality of redfin perch (</w:t>
      </w:r>
      <w:r w:rsidR="003F7380" w:rsidRPr="00801CBF">
        <w:rPr>
          <w:rStyle w:val="Emphasis"/>
        </w:rPr>
        <w:t>Perca fluviatilis</w:t>
      </w:r>
      <w:r w:rsidR="003F7380" w:rsidRPr="003F7380">
        <w:t xml:space="preserve">) due to </w:t>
      </w:r>
      <w:r w:rsidR="00801CBF">
        <w:t>EHN</w:t>
      </w:r>
    </w:p>
    <w:p w14:paraId="0EFF3543" w14:textId="38E49319" w:rsidR="00ED0614" w:rsidRPr="009016B5" w:rsidRDefault="009016B5">
      <w:r>
        <w:rPr>
          <w:noProof/>
          <w:lang w:eastAsia="en-AU"/>
        </w:rPr>
        <w:drawing>
          <wp:inline distT="0" distB="0" distL="0" distR="0" wp14:anchorId="20E4A66D" wp14:editId="33EBED91">
            <wp:extent cx="3960000" cy="2750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2750400"/>
                    </a:xfrm>
                    <a:prstGeom prst="rect">
                      <a:avLst/>
                    </a:prstGeom>
                    <a:noFill/>
                    <a:ln>
                      <a:noFill/>
                    </a:ln>
                  </pic:spPr>
                </pic:pic>
              </a:graphicData>
            </a:graphic>
          </wp:inline>
        </w:drawing>
      </w:r>
    </w:p>
    <w:p w14:paraId="5EC68016" w14:textId="32C13DCD" w:rsidR="003F7380" w:rsidRDefault="00E260DC" w:rsidP="003F7380">
      <w:pPr>
        <w:pStyle w:val="FigureTableNoteSource"/>
      </w:pPr>
      <w:r>
        <w:t xml:space="preserve">Note: </w:t>
      </w:r>
      <w:r w:rsidR="009016B5">
        <w:t>Affected individuals showing signs of EHN including swollen abdomen (a) and small size.</w:t>
      </w:r>
    </w:p>
    <w:p w14:paraId="0FE7139E" w14:textId="002CC29C" w:rsidR="00ED0614" w:rsidRPr="009016B5" w:rsidRDefault="003F7380" w:rsidP="003F7380">
      <w:pPr>
        <w:pStyle w:val="FigureTableNoteSource"/>
      </w:pPr>
      <w:r>
        <w:t>Source: J Humphrey</w:t>
      </w:r>
    </w:p>
    <w:p w14:paraId="2EE83D63" w14:textId="2C6FE602" w:rsidR="00ED0614" w:rsidRPr="009016B5"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DA4A24">
        <w:rPr>
          <w:noProof/>
        </w:rPr>
        <w:t>2</w:t>
      </w:r>
      <w:r>
        <w:rPr>
          <w:noProof/>
        </w:rPr>
        <w:fldChar w:fldCharType="end"/>
      </w:r>
      <w:r>
        <w:t xml:space="preserve"> </w:t>
      </w:r>
      <w:r w:rsidR="003F7380" w:rsidRPr="003F7380">
        <w:t>Redfin perch (</w:t>
      </w:r>
      <w:r w:rsidR="003F7380" w:rsidRPr="00801CBF">
        <w:rPr>
          <w:rStyle w:val="Emphasis"/>
        </w:rPr>
        <w:t>Perca fluviatilis</w:t>
      </w:r>
      <w:r w:rsidR="003F7380" w:rsidRPr="003F7380">
        <w:t>) experimentally infected with EHNV</w:t>
      </w:r>
    </w:p>
    <w:p w14:paraId="1E87C028" w14:textId="02DE9369" w:rsidR="00ED0614" w:rsidRPr="009016B5" w:rsidRDefault="003F7380">
      <w:r w:rsidRPr="005E50E5">
        <w:rPr>
          <w:noProof/>
          <w:lang w:eastAsia="en-AU"/>
        </w:rPr>
        <w:drawing>
          <wp:inline distT="0" distB="0" distL="0" distR="0" wp14:anchorId="2FC9CBD5" wp14:editId="5FD100EC">
            <wp:extent cx="3960000" cy="2433600"/>
            <wp:effectExtent l="0" t="0" r="2540" b="508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nv1 Whittington resized.jpg"/>
                    <pic:cNvPicPr/>
                  </pic:nvPicPr>
                  <pic:blipFill rotWithShape="1">
                    <a:blip r:embed="rId12" cstate="print"/>
                    <a:srcRect l="25714" t="34384" r="23636" b="7077"/>
                    <a:stretch/>
                  </pic:blipFill>
                  <pic:spPr bwMode="auto">
                    <a:xfrm>
                      <a:off x="0" y="0"/>
                      <a:ext cx="3960000" cy="2433600"/>
                    </a:xfrm>
                    <a:prstGeom prst="rect">
                      <a:avLst/>
                    </a:prstGeom>
                    <a:ln>
                      <a:noFill/>
                    </a:ln>
                    <a:extLst>
                      <a:ext uri="{53640926-AAD7-44D8-BBD7-CCE9431645EC}">
                        <a14:shadowObscured xmlns:a14="http://schemas.microsoft.com/office/drawing/2010/main"/>
                      </a:ext>
                    </a:extLst>
                  </pic:spPr>
                </pic:pic>
              </a:graphicData>
            </a:graphic>
          </wp:inline>
        </w:drawing>
      </w:r>
    </w:p>
    <w:p w14:paraId="76CFE6BE" w14:textId="77777777" w:rsidR="003F7380" w:rsidRDefault="00E260DC" w:rsidP="003F7380">
      <w:pPr>
        <w:pStyle w:val="FigureTableNoteSource"/>
      </w:pPr>
      <w:r>
        <w:t xml:space="preserve">Note: </w:t>
      </w:r>
      <w:r w:rsidR="003F7380">
        <w:t>Grossly visible multifocal necrotic foci in the liver.</w:t>
      </w:r>
    </w:p>
    <w:p w14:paraId="2499A18D" w14:textId="74E50AF0" w:rsidR="00ED0614" w:rsidRDefault="003F7380" w:rsidP="003F7380">
      <w:pPr>
        <w:pStyle w:val="FigureTableNoteSource"/>
      </w:pPr>
      <w:r>
        <w:t xml:space="preserve">Source: R </w:t>
      </w:r>
      <w:r w:rsidRPr="003F7380">
        <w:t>Whittington</w:t>
      </w:r>
    </w:p>
    <w:p w14:paraId="34D7581A" w14:textId="77777777" w:rsidR="00ED0614" w:rsidRDefault="00E260DC" w:rsidP="00801CBF">
      <w:pPr>
        <w:pStyle w:val="Heading2"/>
        <w:pageBreakBefore/>
      </w:pPr>
      <w:r>
        <w:lastRenderedPageBreak/>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09B91F91" w14:textId="3F56A838" w:rsidR="003F7380" w:rsidRDefault="003F7380" w:rsidP="003F7380">
      <w:pPr>
        <w:pStyle w:val="ListBullet"/>
        <w:rPr>
          <w:lang w:eastAsia="ja-JP"/>
        </w:rPr>
      </w:pPr>
      <w:r>
        <w:rPr>
          <w:lang w:eastAsia="ja-JP"/>
        </w:rPr>
        <w:t>hundreds or thousands</w:t>
      </w:r>
      <w:r w:rsidR="009016B5">
        <w:rPr>
          <w:lang w:eastAsia="ja-JP"/>
        </w:rPr>
        <w:t xml:space="preserve"> of</w:t>
      </w:r>
      <w:r>
        <w:rPr>
          <w:lang w:eastAsia="ja-JP"/>
        </w:rPr>
        <w:t xml:space="preserve"> small</w:t>
      </w:r>
      <w:r w:rsidR="007945B1">
        <w:rPr>
          <w:lang w:eastAsia="ja-JP"/>
        </w:rPr>
        <w:t xml:space="preserve"> (less than 10cm long)</w:t>
      </w:r>
      <w:r>
        <w:rPr>
          <w:lang w:eastAsia="ja-JP"/>
        </w:rPr>
        <w:t>, dead fish found on the downwind bank of the water body</w:t>
      </w:r>
    </w:p>
    <w:p w14:paraId="1DFCB43A" w14:textId="7A8045A8" w:rsidR="003F7380" w:rsidRDefault="003F7380" w:rsidP="003F7380">
      <w:pPr>
        <w:pStyle w:val="ListBullet"/>
        <w:rPr>
          <w:lang w:eastAsia="ja-JP"/>
        </w:rPr>
      </w:pPr>
      <w:r>
        <w:rPr>
          <w:lang w:eastAsia="ja-JP"/>
        </w:rPr>
        <w:t>large numbers of fish-eating birds (</w:t>
      </w:r>
      <w:r w:rsidR="007945B1">
        <w:rPr>
          <w:lang w:eastAsia="ja-JP"/>
        </w:rPr>
        <w:t>such as</w:t>
      </w:r>
      <w:r>
        <w:rPr>
          <w:lang w:eastAsia="ja-JP"/>
        </w:rPr>
        <w:t xml:space="preserve"> seagulls) at the water surface</w:t>
      </w:r>
    </w:p>
    <w:p w14:paraId="029ADFEB" w14:textId="77777777" w:rsidR="003F7380" w:rsidRDefault="003F7380" w:rsidP="003F7380">
      <w:pPr>
        <w:pStyle w:val="ListBullet"/>
        <w:rPr>
          <w:lang w:eastAsia="ja-JP"/>
        </w:rPr>
      </w:pPr>
      <w:r>
        <w:rPr>
          <w:lang w:eastAsia="ja-JP"/>
        </w:rPr>
        <w:t>loss of appetite</w:t>
      </w:r>
    </w:p>
    <w:p w14:paraId="0A8CF036" w14:textId="672D00F8" w:rsidR="003F7380" w:rsidRDefault="003F7380" w:rsidP="003F7380">
      <w:pPr>
        <w:pStyle w:val="ListBullet"/>
        <w:rPr>
          <w:lang w:eastAsia="ja-JP"/>
        </w:rPr>
      </w:pPr>
      <w:r>
        <w:rPr>
          <w:lang w:eastAsia="ja-JP"/>
        </w:rPr>
        <w:t>juveniles (</w:t>
      </w:r>
      <w:r w:rsidR="007945B1">
        <w:rPr>
          <w:lang w:eastAsia="ja-JP"/>
        </w:rPr>
        <w:t xml:space="preserve">less than </w:t>
      </w:r>
      <w:r>
        <w:rPr>
          <w:lang w:eastAsia="ja-JP"/>
        </w:rPr>
        <w:t>25mm long) swimming in a disorientated fashion at the surface</w:t>
      </w:r>
    </w:p>
    <w:p w14:paraId="64631B6C" w14:textId="5BE7FB6E" w:rsidR="00ED0614" w:rsidRDefault="003F7380" w:rsidP="003F7380">
      <w:pPr>
        <w:pStyle w:val="ListBullet"/>
        <w:rPr>
          <w:lang w:eastAsia="ja-JP"/>
        </w:rPr>
      </w:pPr>
      <w:r>
        <w:rPr>
          <w:lang w:eastAsia="ja-JP"/>
        </w:rPr>
        <w:t>occasional adults affected when the disease first arrives in an area</w:t>
      </w:r>
      <w:r w:rsidR="00E260DC">
        <w:rPr>
          <w:lang w:eastAsia="ja-JP"/>
        </w:rPr>
        <w:t>.</w:t>
      </w:r>
    </w:p>
    <w:p w14:paraId="7418287E" w14:textId="77777777" w:rsidR="00CD0FA5" w:rsidRDefault="00DF2031" w:rsidP="00DF2031">
      <w:pPr>
        <w:rPr>
          <w:lang w:eastAsia="ja-JP"/>
        </w:rPr>
      </w:pPr>
      <w:r>
        <w:rPr>
          <w:lang w:eastAsia="ja-JP"/>
        </w:rPr>
        <w:t xml:space="preserve">Gross </w:t>
      </w:r>
      <w:r w:rsidRPr="00DF2031">
        <w:t>pathological</w:t>
      </w:r>
      <w:r>
        <w:rPr>
          <w:lang w:eastAsia="ja-JP"/>
        </w:rPr>
        <w:t xml:space="preserve"> signs </w:t>
      </w:r>
      <w:r w:rsidR="00CD0FA5">
        <w:rPr>
          <w:lang w:eastAsia="ja-JP"/>
        </w:rPr>
        <w:t>are:</w:t>
      </w:r>
    </w:p>
    <w:p w14:paraId="686B59FC" w14:textId="77777777" w:rsidR="003F7380" w:rsidRDefault="003F7380" w:rsidP="003F7380">
      <w:pPr>
        <w:pStyle w:val="ListBullet"/>
        <w:rPr>
          <w:lang w:eastAsia="ja-JP"/>
        </w:rPr>
      </w:pPr>
      <w:r>
        <w:rPr>
          <w:lang w:eastAsia="ja-JP"/>
        </w:rPr>
        <w:t>swollen abdomen</w:t>
      </w:r>
    </w:p>
    <w:p w14:paraId="79680B2F" w14:textId="77777777" w:rsidR="003F7380" w:rsidRDefault="003F7380" w:rsidP="003F7380">
      <w:pPr>
        <w:pStyle w:val="ListBullet"/>
        <w:rPr>
          <w:lang w:eastAsia="ja-JP"/>
        </w:rPr>
      </w:pPr>
      <w:r>
        <w:rPr>
          <w:lang w:eastAsia="ja-JP"/>
        </w:rPr>
        <w:t>darkened skin colour</w:t>
      </w:r>
    </w:p>
    <w:p w14:paraId="278206D5" w14:textId="77777777" w:rsidR="003F7380" w:rsidRDefault="003F7380" w:rsidP="003F7380">
      <w:pPr>
        <w:pStyle w:val="ListBullet"/>
        <w:rPr>
          <w:lang w:eastAsia="ja-JP"/>
        </w:rPr>
      </w:pPr>
      <w:r>
        <w:rPr>
          <w:lang w:eastAsia="ja-JP"/>
        </w:rPr>
        <w:t>petechial (pinpoint) haemorrhages at the base of the fins</w:t>
      </w:r>
    </w:p>
    <w:p w14:paraId="424CDD7D" w14:textId="77777777" w:rsidR="003F7380" w:rsidRDefault="003F7380" w:rsidP="003F7380">
      <w:pPr>
        <w:pStyle w:val="ListBullet"/>
        <w:rPr>
          <w:lang w:eastAsia="ja-JP"/>
        </w:rPr>
      </w:pPr>
      <w:r>
        <w:rPr>
          <w:lang w:eastAsia="ja-JP"/>
        </w:rPr>
        <w:t>haemorrhaging of the gills</w:t>
      </w:r>
    </w:p>
    <w:p w14:paraId="19D9E286" w14:textId="77777777" w:rsidR="003F7380" w:rsidRDefault="003F7380" w:rsidP="003F7380">
      <w:pPr>
        <w:pStyle w:val="ListBullet"/>
        <w:rPr>
          <w:lang w:eastAsia="ja-JP"/>
        </w:rPr>
      </w:pPr>
      <w:r>
        <w:rPr>
          <w:lang w:eastAsia="ja-JP"/>
        </w:rPr>
        <w:t>dead fish</w:t>
      </w:r>
    </w:p>
    <w:p w14:paraId="56D3E78D" w14:textId="77777777" w:rsidR="003F7380" w:rsidRDefault="003F7380" w:rsidP="003F7380">
      <w:pPr>
        <w:pStyle w:val="ListBullet"/>
        <w:rPr>
          <w:lang w:eastAsia="ja-JP"/>
        </w:rPr>
      </w:pPr>
      <w:r>
        <w:rPr>
          <w:lang w:eastAsia="ja-JP"/>
        </w:rPr>
        <w:t>enlargement of the kidney, liver and spleen</w:t>
      </w:r>
    </w:p>
    <w:p w14:paraId="06EC2B36" w14:textId="77442D61" w:rsidR="00ED0614" w:rsidRDefault="003F7380" w:rsidP="003F7380">
      <w:pPr>
        <w:pStyle w:val="ListBullet"/>
        <w:rPr>
          <w:lang w:eastAsia="ja-JP"/>
        </w:rPr>
      </w:pPr>
      <w:r>
        <w:rPr>
          <w:lang w:eastAsia="ja-JP"/>
        </w:rPr>
        <w:t>focal white to yellow liver lesions.</w:t>
      </w:r>
    </w:p>
    <w:p w14:paraId="2D426F0A" w14:textId="77777777" w:rsidR="00ED0614" w:rsidRDefault="00E260DC">
      <w:pPr>
        <w:rPr>
          <w:lang w:eastAsia="ja-JP"/>
        </w:rPr>
      </w:pPr>
      <w:r>
        <w:rPr>
          <w:lang w:eastAsia="ja-JP"/>
        </w:rPr>
        <w:t>Microscopic pathological signs are:</w:t>
      </w:r>
    </w:p>
    <w:p w14:paraId="26CBFF2F" w14:textId="77777777" w:rsidR="003F7380" w:rsidRPr="003F7380" w:rsidRDefault="003F7380" w:rsidP="003F7380">
      <w:pPr>
        <w:pStyle w:val="ListBullet"/>
        <w:rPr>
          <w:lang w:val="en-US"/>
        </w:rPr>
      </w:pPr>
      <w:r w:rsidRPr="003F7380">
        <w:rPr>
          <w:lang w:val="en-US"/>
        </w:rPr>
        <w:t>coagulative or liquefactive necrosis of the liver, kidney and spleen</w:t>
      </w:r>
    </w:p>
    <w:p w14:paraId="7B0968BD" w14:textId="77777777" w:rsidR="003F7380" w:rsidRPr="003F7380" w:rsidRDefault="003F7380" w:rsidP="003F7380">
      <w:pPr>
        <w:pStyle w:val="ListBullet"/>
        <w:rPr>
          <w:lang w:val="en-US"/>
        </w:rPr>
      </w:pPr>
      <w:r w:rsidRPr="003F7380">
        <w:rPr>
          <w:lang w:val="en-US"/>
        </w:rPr>
        <w:t>necrotic lesions in the heart, pancreas, gastrointestinal tract and gills</w:t>
      </w:r>
    </w:p>
    <w:p w14:paraId="68AAA3DA" w14:textId="3304237B" w:rsidR="00ED0614" w:rsidRDefault="003F7380" w:rsidP="003F7380">
      <w:pPr>
        <w:pStyle w:val="ListBullet"/>
        <w:rPr>
          <w:lang w:val="en-US"/>
        </w:rPr>
      </w:pPr>
      <w:r w:rsidRPr="003F7380">
        <w:rPr>
          <w:lang w:val="en-US"/>
        </w:rPr>
        <w:t>small numbers of basophilic intracytoplasmic inclusion bodies surrounding necrotic areas of the liver and kidney</w:t>
      </w:r>
      <w:r w:rsidR="00E260DC">
        <w:rPr>
          <w:lang w:val="en-US"/>
        </w:rPr>
        <w:t>.</w:t>
      </w:r>
    </w:p>
    <w:p w14:paraId="755CDE80" w14:textId="77777777" w:rsidR="00ED0614" w:rsidRDefault="00E260DC">
      <w:pPr>
        <w:pStyle w:val="Heading2"/>
      </w:pPr>
      <w:r>
        <w:t>Disease agent</w:t>
      </w:r>
    </w:p>
    <w:p w14:paraId="06D0BB75" w14:textId="251FAE1E" w:rsidR="00ED0614" w:rsidRDefault="00FF2CC4" w:rsidP="008B4009">
      <w:r>
        <w:t>EHN</w:t>
      </w:r>
      <w:r w:rsidR="003F7380" w:rsidRPr="003F7380">
        <w:t xml:space="preserve"> is caused by </w:t>
      </w:r>
      <w:r w:rsidR="003F7380" w:rsidRPr="007945B1">
        <w:t>infection with epizootic haematopoietic necrosis virus (EHNV</w:t>
      </w:r>
      <w:r w:rsidR="003F7380" w:rsidRPr="003F7380">
        <w:t xml:space="preserve">), belonging to the genus </w:t>
      </w:r>
      <w:r w:rsidR="003F7380" w:rsidRPr="003F7380">
        <w:rPr>
          <w:rStyle w:val="Emphasis"/>
        </w:rPr>
        <w:t>Ranavirus</w:t>
      </w:r>
      <w:r w:rsidR="003F7380" w:rsidRPr="003F7380">
        <w:t xml:space="preserve"> within the family </w:t>
      </w:r>
      <w:r w:rsidR="003F7380" w:rsidRPr="003F7380">
        <w:rPr>
          <w:rStyle w:val="Emphasis"/>
        </w:rPr>
        <w:t>Iridoviridae</w:t>
      </w:r>
      <w:r w:rsidR="003F7380" w:rsidRPr="003F7380">
        <w:t>. Closely related ranaviruses cause similar systemic necrotising iridovirus syndromes in sheatfish and catfish in Europe (European sheatfish virus and European catfish virus</w:t>
      </w:r>
      <w:r w:rsidR="007945B1">
        <w:t>; also in this guide</w:t>
      </w:r>
      <w:r w:rsidR="003F7380" w:rsidRPr="003F7380">
        <w:t>).</w:t>
      </w:r>
    </w:p>
    <w:p w14:paraId="10B41ACC" w14:textId="77777777" w:rsidR="00ED0614" w:rsidRDefault="00E260DC" w:rsidP="00992F56">
      <w:pPr>
        <w:pStyle w:val="Heading2"/>
        <w:keepLines/>
        <w:pageBreakBefore/>
      </w:pPr>
      <w:r>
        <w:lastRenderedPageBreak/>
        <w:t>Host range</w:t>
      </w:r>
    </w:p>
    <w:p w14:paraId="63E14290" w14:textId="2E981282"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DA4A24">
        <w:rPr>
          <w:noProof/>
        </w:rPr>
        <w:t>1</w:t>
      </w:r>
      <w:r>
        <w:rPr>
          <w:noProof/>
        </w:rPr>
        <w:fldChar w:fldCharType="end"/>
      </w:r>
      <w:r>
        <w:t xml:space="preserve"> </w:t>
      </w:r>
      <w:r w:rsidR="008B4009" w:rsidRPr="008B4009">
        <w:t xml:space="preserve">Species </w:t>
      </w:r>
      <w:r w:rsidR="00DF2031" w:rsidRPr="00DF2031">
        <w:t>known to be susceptible to</w:t>
      </w:r>
      <w:r w:rsidR="003F7380">
        <w:t xml:space="preserve"> EHN</w:t>
      </w:r>
      <w:r w:rsidR="00FF2CC4">
        <w:t>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3F7380" w14:paraId="3B818FD2" w14:textId="77777777">
        <w:trPr>
          <w:cantSplit/>
          <w:trHeight w:val="315"/>
        </w:trPr>
        <w:tc>
          <w:tcPr>
            <w:tcW w:w="2500" w:type="pct"/>
            <w:tcBorders>
              <w:top w:val="single" w:sz="4" w:space="0" w:color="auto"/>
            </w:tcBorders>
            <w:noWrap/>
          </w:tcPr>
          <w:p w14:paraId="2F3C0965" w14:textId="7E4D17BA" w:rsidR="003F7380" w:rsidRDefault="003F7380" w:rsidP="003F7380">
            <w:pPr>
              <w:pStyle w:val="TableText"/>
            </w:pPr>
            <w:r w:rsidRPr="000D1F36">
              <w:t>Macquarie perch</w:t>
            </w:r>
          </w:p>
        </w:tc>
        <w:tc>
          <w:tcPr>
            <w:tcW w:w="2500" w:type="pct"/>
            <w:tcBorders>
              <w:top w:val="single" w:sz="4" w:space="0" w:color="auto"/>
            </w:tcBorders>
            <w:noWrap/>
          </w:tcPr>
          <w:p w14:paraId="2D4141AF" w14:textId="45D3A45E" w:rsidR="003F7380" w:rsidRPr="003F7380" w:rsidRDefault="003F7380" w:rsidP="003F7380">
            <w:pPr>
              <w:pStyle w:val="TableText"/>
              <w:rPr>
                <w:rStyle w:val="Emphasis"/>
              </w:rPr>
            </w:pPr>
            <w:r w:rsidRPr="003F7380">
              <w:rPr>
                <w:rStyle w:val="Emphasis"/>
              </w:rPr>
              <w:t>Macquaria australasica</w:t>
            </w:r>
          </w:p>
        </w:tc>
      </w:tr>
      <w:tr w:rsidR="003F7380" w14:paraId="163A359F" w14:textId="77777777">
        <w:trPr>
          <w:cantSplit/>
          <w:trHeight w:val="315"/>
        </w:trPr>
        <w:tc>
          <w:tcPr>
            <w:tcW w:w="2500" w:type="pct"/>
            <w:noWrap/>
          </w:tcPr>
          <w:p w14:paraId="74773C6F" w14:textId="64C63AC9" w:rsidR="003F7380" w:rsidRDefault="003F7380" w:rsidP="003F7380">
            <w:pPr>
              <w:pStyle w:val="TableText"/>
            </w:pPr>
            <w:r w:rsidRPr="000D1F36">
              <w:t>Mosquito fish</w:t>
            </w:r>
          </w:p>
        </w:tc>
        <w:tc>
          <w:tcPr>
            <w:tcW w:w="2500" w:type="pct"/>
            <w:noWrap/>
          </w:tcPr>
          <w:p w14:paraId="1D5663AA" w14:textId="1A571CDA" w:rsidR="003F7380" w:rsidRPr="003F7380" w:rsidRDefault="003F7380" w:rsidP="003F7380">
            <w:pPr>
              <w:pStyle w:val="TableText"/>
              <w:rPr>
                <w:rStyle w:val="Emphasis"/>
                <w:rFonts w:eastAsia="SimSun"/>
              </w:rPr>
            </w:pPr>
            <w:r w:rsidRPr="003F7380">
              <w:rPr>
                <w:rStyle w:val="Emphasis"/>
              </w:rPr>
              <w:t>Gambusia affinis</w:t>
            </w:r>
          </w:p>
        </w:tc>
      </w:tr>
      <w:tr w:rsidR="003F7380" w14:paraId="5C3B7FD0" w14:textId="77777777">
        <w:trPr>
          <w:cantSplit/>
          <w:trHeight w:val="315"/>
        </w:trPr>
        <w:tc>
          <w:tcPr>
            <w:tcW w:w="2500" w:type="pct"/>
            <w:noWrap/>
          </w:tcPr>
          <w:p w14:paraId="5227C577" w14:textId="1CEB0904" w:rsidR="003F7380" w:rsidRDefault="003F7380" w:rsidP="003F7380">
            <w:pPr>
              <w:pStyle w:val="TableText"/>
            </w:pPr>
            <w:r w:rsidRPr="000D1F36">
              <w:t>Mountain galaxias</w:t>
            </w:r>
          </w:p>
        </w:tc>
        <w:tc>
          <w:tcPr>
            <w:tcW w:w="2500" w:type="pct"/>
            <w:noWrap/>
          </w:tcPr>
          <w:p w14:paraId="5ACF429E" w14:textId="5A735E02" w:rsidR="003F7380" w:rsidRPr="003F7380" w:rsidRDefault="003F7380" w:rsidP="003F7380">
            <w:pPr>
              <w:pStyle w:val="TableText"/>
              <w:rPr>
                <w:rStyle w:val="Emphasis"/>
                <w:rFonts w:eastAsia="SimSun"/>
              </w:rPr>
            </w:pPr>
            <w:r w:rsidRPr="003F7380">
              <w:rPr>
                <w:rStyle w:val="Emphasis"/>
              </w:rPr>
              <w:t>Galaxias olidus</w:t>
            </w:r>
          </w:p>
        </w:tc>
      </w:tr>
      <w:tr w:rsidR="003F7380" w14:paraId="42EB7617" w14:textId="77777777">
        <w:trPr>
          <w:cantSplit/>
          <w:trHeight w:val="315"/>
        </w:trPr>
        <w:tc>
          <w:tcPr>
            <w:tcW w:w="2500" w:type="pct"/>
            <w:noWrap/>
          </w:tcPr>
          <w:p w14:paraId="71A33549" w14:textId="4B677CE7" w:rsidR="003F7380" w:rsidRDefault="003F7380" w:rsidP="003F7380">
            <w:pPr>
              <w:pStyle w:val="TableText"/>
            </w:pPr>
            <w:r w:rsidRPr="000D1F36">
              <w:t>Murray cod</w:t>
            </w:r>
            <w:r w:rsidR="007945B1">
              <w:rPr>
                <w:vertAlign w:val="superscript"/>
              </w:rPr>
              <w:t>a</w:t>
            </w:r>
          </w:p>
        </w:tc>
        <w:tc>
          <w:tcPr>
            <w:tcW w:w="2500" w:type="pct"/>
            <w:noWrap/>
          </w:tcPr>
          <w:p w14:paraId="1D4032D9" w14:textId="5C2F991C" w:rsidR="003F7380" w:rsidRPr="003F7380" w:rsidRDefault="003F7380" w:rsidP="000D4AEA">
            <w:pPr>
              <w:pStyle w:val="TableText"/>
              <w:rPr>
                <w:rStyle w:val="Emphasis"/>
                <w:rFonts w:eastAsia="SimSun"/>
              </w:rPr>
            </w:pPr>
            <w:r w:rsidRPr="003F7380">
              <w:rPr>
                <w:rStyle w:val="Emphasis"/>
              </w:rPr>
              <w:t>Maccullochella peelii</w:t>
            </w:r>
          </w:p>
        </w:tc>
      </w:tr>
      <w:tr w:rsidR="003F7380" w14:paraId="2B6394AD" w14:textId="77777777">
        <w:trPr>
          <w:cantSplit/>
          <w:trHeight w:val="315"/>
        </w:trPr>
        <w:tc>
          <w:tcPr>
            <w:tcW w:w="2500" w:type="pct"/>
            <w:noWrap/>
          </w:tcPr>
          <w:p w14:paraId="5E1E203A" w14:textId="2911B64B" w:rsidR="003F7380" w:rsidRDefault="003F7380" w:rsidP="003F7380">
            <w:pPr>
              <w:pStyle w:val="TableText"/>
            </w:pPr>
            <w:r w:rsidRPr="000D1F36">
              <w:t>Rainbow trout</w:t>
            </w:r>
            <w:r w:rsidR="007945B1">
              <w:rPr>
                <w:vertAlign w:val="superscript"/>
              </w:rPr>
              <w:t>b</w:t>
            </w:r>
          </w:p>
        </w:tc>
        <w:tc>
          <w:tcPr>
            <w:tcW w:w="2500" w:type="pct"/>
            <w:noWrap/>
          </w:tcPr>
          <w:p w14:paraId="44C74309" w14:textId="21D25684" w:rsidR="003F7380" w:rsidRPr="003F7380" w:rsidRDefault="003F7380" w:rsidP="003F7380">
            <w:pPr>
              <w:pStyle w:val="TableText"/>
              <w:rPr>
                <w:rStyle w:val="Emphasis"/>
              </w:rPr>
            </w:pPr>
            <w:r w:rsidRPr="003F7380">
              <w:rPr>
                <w:rStyle w:val="Emphasis"/>
              </w:rPr>
              <w:t>Oncorhynchus mykiss</w:t>
            </w:r>
          </w:p>
        </w:tc>
      </w:tr>
      <w:tr w:rsidR="003F7380" w14:paraId="6920FABC" w14:textId="77777777">
        <w:trPr>
          <w:cantSplit/>
          <w:trHeight w:val="315"/>
        </w:trPr>
        <w:tc>
          <w:tcPr>
            <w:tcW w:w="2500" w:type="pct"/>
            <w:noWrap/>
          </w:tcPr>
          <w:p w14:paraId="264B739C" w14:textId="278B1D09" w:rsidR="003F7380" w:rsidRDefault="003F7380" w:rsidP="003F7380">
            <w:pPr>
              <w:pStyle w:val="TableText"/>
            </w:pPr>
            <w:r w:rsidRPr="000D1F36">
              <w:t>Redfin perch</w:t>
            </w:r>
            <w:r w:rsidR="007945B1">
              <w:rPr>
                <w:vertAlign w:val="superscript"/>
              </w:rPr>
              <w:t>b</w:t>
            </w:r>
            <w:r w:rsidRPr="000D1F36">
              <w:t xml:space="preserve"> or European perch</w:t>
            </w:r>
          </w:p>
        </w:tc>
        <w:tc>
          <w:tcPr>
            <w:tcW w:w="2500" w:type="pct"/>
            <w:noWrap/>
          </w:tcPr>
          <w:p w14:paraId="379EFB71" w14:textId="6E3616F3" w:rsidR="003F7380" w:rsidRPr="003F7380" w:rsidRDefault="003F7380" w:rsidP="003F7380">
            <w:pPr>
              <w:pStyle w:val="TableText"/>
              <w:rPr>
                <w:rStyle w:val="Emphasis"/>
              </w:rPr>
            </w:pPr>
            <w:r w:rsidRPr="003F7380">
              <w:rPr>
                <w:rStyle w:val="Emphasis"/>
              </w:rPr>
              <w:t>Perca fluviatilis</w:t>
            </w:r>
          </w:p>
        </w:tc>
      </w:tr>
      <w:tr w:rsidR="003F7380" w14:paraId="0D6ED91A" w14:textId="77777777">
        <w:trPr>
          <w:cantSplit/>
          <w:trHeight w:val="315"/>
        </w:trPr>
        <w:tc>
          <w:tcPr>
            <w:tcW w:w="2500" w:type="pct"/>
            <w:noWrap/>
          </w:tcPr>
          <w:p w14:paraId="3198F7CB" w14:textId="30566185" w:rsidR="003F7380" w:rsidRPr="002F7844" w:rsidRDefault="003F7380" w:rsidP="003F7380">
            <w:pPr>
              <w:pStyle w:val="TableText"/>
            </w:pPr>
            <w:r w:rsidRPr="000D1F36">
              <w:t>Silver perch</w:t>
            </w:r>
          </w:p>
        </w:tc>
        <w:tc>
          <w:tcPr>
            <w:tcW w:w="2500" w:type="pct"/>
            <w:noWrap/>
          </w:tcPr>
          <w:p w14:paraId="5466F917" w14:textId="6C29008E" w:rsidR="003F7380" w:rsidRPr="003F7380" w:rsidRDefault="003F7380" w:rsidP="003F7380">
            <w:pPr>
              <w:pStyle w:val="TableText"/>
              <w:rPr>
                <w:rStyle w:val="Emphasis"/>
              </w:rPr>
            </w:pPr>
            <w:r w:rsidRPr="003F7380">
              <w:rPr>
                <w:rStyle w:val="Emphasis"/>
              </w:rPr>
              <w:t>Bidyanus bidyanus</w:t>
            </w:r>
          </w:p>
        </w:tc>
      </w:tr>
      <w:tr w:rsidR="003F7380" w14:paraId="50940242" w14:textId="77777777">
        <w:trPr>
          <w:cantSplit/>
          <w:trHeight w:val="315"/>
        </w:trPr>
        <w:tc>
          <w:tcPr>
            <w:tcW w:w="2500" w:type="pct"/>
            <w:noWrap/>
          </w:tcPr>
          <w:p w14:paraId="708B6394" w14:textId="3B350657" w:rsidR="003F7380" w:rsidRPr="002F7844" w:rsidRDefault="003F7380" w:rsidP="003F7380">
            <w:pPr>
              <w:pStyle w:val="TableText"/>
            </w:pPr>
            <w:r w:rsidRPr="000D1F36">
              <w:t>Piscivorous birds</w:t>
            </w:r>
          </w:p>
        </w:tc>
        <w:tc>
          <w:tcPr>
            <w:tcW w:w="2500" w:type="pct"/>
            <w:noWrap/>
          </w:tcPr>
          <w:p w14:paraId="2E781A41" w14:textId="68B70388" w:rsidR="003F7380" w:rsidRPr="007945B1" w:rsidRDefault="003F7380" w:rsidP="007945B1">
            <w:pPr>
              <w:pStyle w:val="TableText"/>
              <w:rPr>
                <w:rStyle w:val="Emphasis"/>
                <w:i w:val="0"/>
                <w:iCs w:val="0"/>
              </w:rPr>
            </w:pPr>
            <w:r w:rsidRPr="000D1F36">
              <w:t>Various genera and species</w:t>
            </w:r>
          </w:p>
        </w:tc>
      </w:tr>
    </w:tbl>
    <w:p w14:paraId="1FEAD3B0" w14:textId="593C8FB4" w:rsidR="003F7380" w:rsidRPr="003F7380" w:rsidRDefault="00DF2031" w:rsidP="003F7380">
      <w:pPr>
        <w:pStyle w:val="FigureTableNoteSource"/>
      </w:pPr>
      <w:r w:rsidRPr="00DF2031">
        <w:rPr>
          <w:rStyle w:val="Strong"/>
        </w:rPr>
        <w:t>a</w:t>
      </w:r>
      <w:r w:rsidRPr="00DF2031">
        <w:t xml:space="preserve"> </w:t>
      </w:r>
      <w:r w:rsidR="007945B1" w:rsidRPr="003F7380">
        <w:t>Demonstrated to carry EHNV subclinically</w:t>
      </w:r>
      <w:r w:rsidR="007945B1">
        <w:t>.</w:t>
      </w:r>
      <w:r w:rsidR="007945B1" w:rsidRPr="00DF2031">
        <w:t xml:space="preserve"> </w:t>
      </w:r>
      <w:r w:rsidR="003F7380" w:rsidRPr="003F7380">
        <w:rPr>
          <w:rStyle w:val="Strong"/>
        </w:rPr>
        <w:t>b</w:t>
      </w:r>
      <w:r w:rsidR="003F7380" w:rsidRPr="00DF2031">
        <w:t xml:space="preserve"> </w:t>
      </w:r>
      <w:r w:rsidR="007945B1" w:rsidRPr="00DF2031">
        <w:t>Naturally susceptible</w:t>
      </w:r>
      <w:r w:rsidR="007945B1">
        <w:t>. Note:</w:t>
      </w:r>
      <w:r w:rsidR="007945B1" w:rsidRPr="00DF2031">
        <w:t xml:space="preserve"> </w:t>
      </w:r>
      <w:r w:rsidR="007945B1">
        <w:t>O</w:t>
      </w:r>
      <w:r w:rsidR="007945B1" w:rsidRPr="00DF2031">
        <w:t>ther species have been shown to be experimentally susceptible</w:t>
      </w:r>
      <w:r w:rsidR="007945B1">
        <w:t>.</w:t>
      </w:r>
    </w:p>
    <w:p w14:paraId="07189146" w14:textId="77777777" w:rsidR="00ED0614" w:rsidRDefault="00E260DC">
      <w:pPr>
        <w:pStyle w:val="Heading2"/>
      </w:pPr>
      <w:r>
        <w:t>Presence in Australia</w:t>
      </w:r>
    </w:p>
    <w:p w14:paraId="12DFE40E" w14:textId="1F2B2D8C" w:rsidR="00FD7D78" w:rsidRDefault="003F7380">
      <w:pPr>
        <w:keepNext/>
        <w:keepLines/>
      </w:pPr>
      <w:r w:rsidRPr="003F7380">
        <w:t>EHN has been officially reported from the Australian Capital Territory, New South Wales, South Australia and Victoria.</w:t>
      </w:r>
    </w:p>
    <w:p w14:paraId="55B0F228" w14:textId="3AE86B0B"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DA4A24">
        <w:rPr>
          <w:noProof/>
        </w:rPr>
        <w:t>1</w:t>
      </w:r>
      <w:r>
        <w:rPr>
          <w:noProof/>
        </w:rPr>
        <w:fldChar w:fldCharType="end"/>
      </w:r>
      <w:r>
        <w:t xml:space="preserve"> Presence of</w:t>
      </w:r>
      <w:r w:rsidR="003F7380">
        <w:t xml:space="preserve"> EHN</w:t>
      </w:r>
      <w:r>
        <w:t>, by jurisdiction</w:t>
      </w:r>
    </w:p>
    <w:p w14:paraId="0046BA22" w14:textId="77777777" w:rsidR="00ED0614" w:rsidRDefault="00E260DC">
      <w:r>
        <w:rPr>
          <w:noProof/>
          <w:lang w:eastAsia="en-AU"/>
        </w:rPr>
        <w:drawing>
          <wp:inline distT="0" distB="0" distL="0" distR="0" wp14:anchorId="1C3B5809" wp14:editId="07122B08">
            <wp:extent cx="4137772" cy="2946411"/>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7772" cy="2946411"/>
                    </a:xfrm>
                    <a:prstGeom prst="rect">
                      <a:avLst/>
                    </a:prstGeom>
                  </pic:spPr>
                </pic:pic>
              </a:graphicData>
            </a:graphic>
          </wp:inline>
        </w:drawing>
      </w:r>
    </w:p>
    <w:p w14:paraId="345F5669" w14:textId="77777777" w:rsidR="00ED0614" w:rsidRDefault="00E260DC" w:rsidP="00992F56">
      <w:pPr>
        <w:pStyle w:val="Heading2"/>
        <w:keepLines/>
        <w:pageBreakBefore/>
      </w:pPr>
      <w:r>
        <w:lastRenderedPageBreak/>
        <w:t>Epidemiology</w:t>
      </w:r>
    </w:p>
    <w:p w14:paraId="5AF58E13" w14:textId="77777777" w:rsidR="003F7380" w:rsidRDefault="003F7380" w:rsidP="003F7380">
      <w:pPr>
        <w:pStyle w:val="ListBullet"/>
      </w:pPr>
      <w:r>
        <w:t>EHN is usually seen in Australia as large kills of small redfin perch. High mortality can also occur among older perch in newly affected areas.</w:t>
      </w:r>
    </w:p>
    <w:p w14:paraId="195853E9" w14:textId="0361CE1A" w:rsidR="003F7380" w:rsidRDefault="003F7380" w:rsidP="003F7380">
      <w:pPr>
        <w:pStyle w:val="ListBullet"/>
      </w:pPr>
      <w:r>
        <w:t>Clinical outbreaks are typically seen in fingerlings and juvenile fish, associated with poor water quality and/or certain water temperatures (between 11°C and 17°C in rainbow trout and above</w:t>
      </w:r>
      <w:r w:rsidR="007945B1">
        <w:t> </w:t>
      </w:r>
      <w:r>
        <w:t>12°C in redfin perch).</w:t>
      </w:r>
    </w:p>
    <w:p w14:paraId="6C97BF6C" w14:textId="77777777" w:rsidR="003F7380" w:rsidRDefault="003F7380" w:rsidP="003F7380">
      <w:pPr>
        <w:pStyle w:val="ListBullet"/>
      </w:pPr>
      <w:r>
        <w:t>Mortalities occur over a short period (several weeks) in summer, and then the disease may disappear from an area for years.</w:t>
      </w:r>
    </w:p>
    <w:p w14:paraId="149791C4" w14:textId="77777777" w:rsidR="003F7380" w:rsidRDefault="003F7380" w:rsidP="003F7380">
      <w:pPr>
        <w:pStyle w:val="ListBullet"/>
      </w:pPr>
      <w:r>
        <w:t>Low mortality rates over a period of months have been reported in young, farmed rainbow trout.</w:t>
      </w:r>
    </w:p>
    <w:p w14:paraId="15BFC5AD" w14:textId="74D92EB7" w:rsidR="003F7380" w:rsidRDefault="003F7380" w:rsidP="003F7380">
      <w:pPr>
        <w:pStyle w:val="ListBullet"/>
      </w:pPr>
      <w:r>
        <w:t xml:space="preserve">Infectivity is less severe in rainbow trout than in redfin perch, with the disease mainly affecting fingerlings </w:t>
      </w:r>
      <w:r w:rsidR="007945B1">
        <w:t xml:space="preserve">less than </w:t>
      </w:r>
      <w:r>
        <w:t>125mm long.</w:t>
      </w:r>
    </w:p>
    <w:p w14:paraId="790F3D89" w14:textId="7195DECE" w:rsidR="003F7380" w:rsidRDefault="003F7380" w:rsidP="003F7380">
      <w:pPr>
        <w:pStyle w:val="ListBullet"/>
      </w:pPr>
      <w:r>
        <w:t>Low-grade mortalities with covert EHNV infection can also occur in juvenile fish.</w:t>
      </w:r>
      <w:r w:rsidR="009016B5">
        <w:t xml:space="preserve"> C</w:t>
      </w:r>
      <w:r>
        <w:t xml:space="preserve">are must be taken when moving redfin perch and rainbow trout from the known geographical range of EHNV to areas where it is exotic, unless freedom </w:t>
      </w:r>
      <w:r w:rsidR="00352498">
        <w:t xml:space="preserve">from disease </w:t>
      </w:r>
      <w:r>
        <w:t>can be adequately demonstrated.</w:t>
      </w:r>
    </w:p>
    <w:p w14:paraId="58B899BE" w14:textId="4F634298" w:rsidR="003F7380" w:rsidRDefault="003F7380" w:rsidP="003F7380">
      <w:pPr>
        <w:pStyle w:val="ListBullet"/>
      </w:pPr>
      <w:r>
        <w:t xml:space="preserve">EHN is a resistant virus, surviving for months in water, persisting in frozen fish tissues for more than two years and in </w:t>
      </w:r>
      <w:r w:rsidR="00352498">
        <w:t xml:space="preserve">frozen </w:t>
      </w:r>
      <w:r>
        <w:t>fish carcases for at least one year.</w:t>
      </w:r>
    </w:p>
    <w:p w14:paraId="45CF7725" w14:textId="44BFF019" w:rsidR="00ED0614" w:rsidRDefault="003F7380" w:rsidP="003F7380">
      <w:pPr>
        <w:pStyle w:val="ListBullet"/>
      </w:pPr>
      <w:r>
        <w:t>EHNV may be carried on equipment including nets and boats, in fish (live or dead) used for bait and via the gut, feathers, feet and bill of piscivorous birds</w:t>
      </w:r>
      <w:r w:rsidR="005C17C2">
        <w:t>.</w:t>
      </w:r>
    </w:p>
    <w:p w14:paraId="431A90C5" w14:textId="77777777" w:rsidR="00ED0614" w:rsidRDefault="00E260DC">
      <w:pPr>
        <w:pStyle w:val="Heading2"/>
      </w:pPr>
      <w:r>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33E5484F" w:rsidR="00ED0614" w:rsidRDefault="003F7380">
      <w:r w:rsidRPr="003F7380">
        <w:t xml:space="preserve">Enteric red mouth disease, </w:t>
      </w:r>
      <w:r w:rsidR="009016B5">
        <w:t>f</w:t>
      </w:r>
      <w:r w:rsidRPr="003F7380">
        <w:t>urunculosis, infection with HPR-deleted or HPR0 infectious salmon anaemia virus, infectious haematopoietic necrosis (IHN), infectious pancreatic necrosis (IPN), viral haemorrhagic septicaemia (VHS)</w:t>
      </w:r>
      <w:r w:rsidR="002C1362">
        <w:t xml:space="preserve"> and</w:t>
      </w:r>
      <w:r w:rsidRPr="003F7380">
        <w:t xml:space="preserve"> whirling disease</w:t>
      </w:r>
      <w:r w:rsidR="002C1362">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lastRenderedPageBreak/>
        <w:t>Emergency disease hotline</w:t>
      </w:r>
    </w:p>
    <w:p w14:paraId="4FF13930" w14:textId="77777777" w:rsidR="00ED0614" w:rsidRDefault="00E260DC" w:rsidP="00992F56">
      <w:pPr>
        <w:keepNext/>
      </w:pPr>
      <w:r>
        <w:t>See something you think is this disease? Report it. Even if you’re not sure.</w:t>
      </w:r>
    </w:p>
    <w:p w14:paraId="742BD5A1" w14:textId="39440E2A" w:rsidR="00ED0614" w:rsidRDefault="00E260DC">
      <w:r>
        <w:t xml:space="preserve">Call the Emergency Animal Disease Watch Hotline on </w:t>
      </w:r>
      <w:r w:rsidR="00D33C2F">
        <w:rPr>
          <w:rStyle w:val="Strong"/>
        </w:rPr>
        <w:t>1800 675 888</w:t>
      </w:r>
      <w:r>
        <w:t>. They will refer you to the right state or territory agency.</w:t>
      </w:r>
    </w:p>
    <w:p w14:paraId="50AF709B"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3B71A7CA" w14:textId="1A8A37DA" w:rsidR="002C1362" w:rsidRPr="00992F56" w:rsidRDefault="002C1362">
      <w:r w:rsidRPr="00992F56">
        <w:t xml:space="preserve">CEFAS International Database on Aquatic Animal Diseases </w:t>
      </w:r>
      <w:hyperlink r:id="rId14" w:history="1">
        <w:r w:rsidRPr="002C1362">
          <w:rPr>
            <w:rStyle w:val="Hyperlink"/>
            <w:rFonts w:ascii="Calibri" w:hAnsi="Calibri" w:cs="Arial"/>
          </w:rPr>
          <w:t>E</w:t>
        </w:r>
        <w:r>
          <w:rPr>
            <w:rStyle w:val="Hyperlink"/>
            <w:rFonts w:ascii="Calibri" w:hAnsi="Calibri" w:cs="Arial"/>
          </w:rPr>
          <w:t>pizootic Haematopoietic Necrosi</w:t>
        </w:r>
        <w:r w:rsidRPr="002C1362">
          <w:rPr>
            <w:rStyle w:val="Hyperlink"/>
            <w:rFonts w:ascii="Calibri" w:hAnsi="Calibri" w:cs="Arial"/>
          </w:rPr>
          <w:t>s</w:t>
        </w:r>
      </w:hyperlink>
    </w:p>
    <w:p w14:paraId="12B39D5C" w14:textId="544842F3" w:rsidR="002C1362" w:rsidRPr="00992F56" w:rsidRDefault="002C1362">
      <w:r w:rsidRPr="00992F56">
        <w:t xml:space="preserve">World Organisation for Animal Health </w:t>
      </w:r>
      <w:hyperlink r:id="rId15" w:history="1">
        <w:r w:rsidR="0067133A">
          <w:rPr>
            <w:rStyle w:val="Hyperlink"/>
            <w:rFonts w:ascii="Calibri" w:hAnsi="Calibri" w:cs="Arial"/>
          </w:rPr>
          <w:t>Manual of d</w:t>
        </w:r>
        <w:r w:rsidRPr="002C1362">
          <w:rPr>
            <w:rStyle w:val="Hyperlink"/>
            <w:rFonts w:ascii="Calibri" w:hAnsi="Calibri" w:cs="Arial"/>
          </w:rPr>
          <w:t>i</w:t>
        </w:r>
        <w:r w:rsidR="0067133A" w:rsidRPr="002C1362">
          <w:rPr>
            <w:rStyle w:val="Hyperlink"/>
            <w:rFonts w:ascii="Calibri" w:hAnsi="Calibri" w:cs="Arial"/>
          </w:rPr>
          <w:t>agnostic tests for aquatic anim</w:t>
        </w:r>
        <w:r w:rsidRPr="002C1362">
          <w:rPr>
            <w:rStyle w:val="Hyperlink"/>
            <w:rFonts w:ascii="Calibri" w:hAnsi="Calibri" w:cs="Arial"/>
          </w:rPr>
          <w:t>als</w:t>
        </w:r>
      </w:hyperlink>
    </w:p>
    <w:p w14:paraId="5F7DA703" w14:textId="48380342" w:rsidR="00ED0614" w:rsidRDefault="00E260DC" w:rsidP="002C1362">
      <w:r>
        <w:t>These hyperlinks were correct at the time of publication.</w:t>
      </w:r>
    </w:p>
    <w:p w14:paraId="727D1659" w14:textId="77777777" w:rsidR="00ED0614" w:rsidRDefault="00E260DC">
      <w:pPr>
        <w:pStyle w:val="Heading2"/>
        <w:ind w:left="0" w:firstLine="0"/>
      </w:pPr>
      <w:r>
        <w:t>Contact details</w:t>
      </w:r>
    </w:p>
    <w:p w14:paraId="43CF42A0" w14:textId="77777777" w:rsidR="00ED0614" w:rsidRDefault="00E260DC">
      <w:pPr>
        <w:spacing w:after="0"/>
      </w:pPr>
      <w:r>
        <w:t>Emergency Animal Disease Watch Hotline 1800 675 888</w:t>
      </w:r>
    </w:p>
    <w:p w14:paraId="013BDC5B" w14:textId="77777777" w:rsidR="00ED0614" w:rsidRDefault="00E260DC">
      <w:r>
        <w:t xml:space="preserve">Email </w:t>
      </w:r>
      <w:hyperlink r:id="rId16" w:history="1">
        <w:r>
          <w:rPr>
            <w:rStyle w:val="Hyperlink"/>
          </w:rPr>
          <w:t>AAH@agriculture.gov.au</w:t>
        </w:r>
      </w:hyperlink>
      <w:r>
        <w:cr/>
        <w:t xml:space="preserve">Website </w:t>
      </w:r>
      <w:hyperlink r:id="rId17" w:history="1">
        <w:r>
          <w:rPr>
            <w:rStyle w:val="Hyperlink"/>
          </w:rPr>
          <w:t>agriculture.gov.au/pests-diseases-weeds/aquatic</w:t>
        </w:r>
      </w:hyperlink>
    </w:p>
    <w:p w14:paraId="70813592" w14:textId="1E793C54" w:rsidR="00ED0614" w:rsidRDefault="00E260DC">
      <w:pPr>
        <w:pStyle w:val="Normalsmall"/>
      </w:pPr>
      <w:r>
        <w:t>© Commonwealth of Australia 20</w:t>
      </w:r>
      <w:r w:rsidR="00DA4A24">
        <w:t>20</w:t>
      </w:r>
      <w:bookmarkStart w:id="1" w:name="_GoBack"/>
      <w:bookmarkEnd w:id="1"/>
    </w:p>
    <w:p w14:paraId="783F07B8" w14:textId="4E5FEA66" w:rsidR="00ED0614" w:rsidRDefault="00E260DC" w:rsidP="003F7380">
      <w:pPr>
        <w:pStyle w:val="Normalsmall"/>
      </w:pPr>
      <w:r>
        <w:t>This work is copyright. It may be reproduced in whole or in part subject to the inclusion of an acknowledgement of the source and no commercial usage or sale.</w:t>
      </w:r>
    </w:p>
    <w:sectPr w:rsidR="00ED0614">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4707EC51" w:rsidR="00ED0614" w:rsidRDefault="00DA4A24">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1D1A8A">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7E6EFFEC" w:rsidR="00ED0614" w:rsidRPr="003F7380" w:rsidRDefault="003F7380" w:rsidP="003F7380">
    <w:pPr>
      <w:pStyle w:val="Header"/>
    </w:pPr>
    <w:r w:rsidRPr="003F7380">
      <w:t>Epizootic haematopoietic necrosis (EHN)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413E4191">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C051E"/>
    <w:rsid w:val="000D05F1"/>
    <w:rsid w:val="000D38F7"/>
    <w:rsid w:val="000D4AEA"/>
    <w:rsid w:val="001413A7"/>
    <w:rsid w:val="00144359"/>
    <w:rsid w:val="001474D1"/>
    <w:rsid w:val="001948A6"/>
    <w:rsid w:val="001A7824"/>
    <w:rsid w:val="001D1A8A"/>
    <w:rsid w:val="001E366B"/>
    <w:rsid w:val="001E6330"/>
    <w:rsid w:val="001F30EF"/>
    <w:rsid w:val="00274A52"/>
    <w:rsid w:val="002C1362"/>
    <w:rsid w:val="00352498"/>
    <w:rsid w:val="003B7360"/>
    <w:rsid w:val="003C1CD9"/>
    <w:rsid w:val="003F4E8E"/>
    <w:rsid w:val="003F7380"/>
    <w:rsid w:val="0045639F"/>
    <w:rsid w:val="0045792C"/>
    <w:rsid w:val="004A6D44"/>
    <w:rsid w:val="004E3720"/>
    <w:rsid w:val="005312B5"/>
    <w:rsid w:val="00583B3C"/>
    <w:rsid w:val="005A359A"/>
    <w:rsid w:val="005B0B25"/>
    <w:rsid w:val="005B5670"/>
    <w:rsid w:val="005C17C2"/>
    <w:rsid w:val="005E698C"/>
    <w:rsid w:val="0067133A"/>
    <w:rsid w:val="006D51D3"/>
    <w:rsid w:val="00742002"/>
    <w:rsid w:val="007757E1"/>
    <w:rsid w:val="00793DD5"/>
    <w:rsid w:val="007945B1"/>
    <w:rsid w:val="007D3F64"/>
    <w:rsid w:val="007E3043"/>
    <w:rsid w:val="00801CBF"/>
    <w:rsid w:val="00844BA3"/>
    <w:rsid w:val="00853ED4"/>
    <w:rsid w:val="00870B8B"/>
    <w:rsid w:val="008B4009"/>
    <w:rsid w:val="009016B5"/>
    <w:rsid w:val="00916115"/>
    <w:rsid w:val="00952133"/>
    <w:rsid w:val="0095639C"/>
    <w:rsid w:val="00992F56"/>
    <w:rsid w:val="009C7070"/>
    <w:rsid w:val="00A7371F"/>
    <w:rsid w:val="00A94C32"/>
    <w:rsid w:val="00C10318"/>
    <w:rsid w:val="00C36630"/>
    <w:rsid w:val="00C605BC"/>
    <w:rsid w:val="00CD0FA5"/>
    <w:rsid w:val="00D1126F"/>
    <w:rsid w:val="00D12B64"/>
    <w:rsid w:val="00D33C2F"/>
    <w:rsid w:val="00D467E7"/>
    <w:rsid w:val="00DA4A24"/>
    <w:rsid w:val="00DD769F"/>
    <w:rsid w:val="00DF2031"/>
    <w:rsid w:val="00E260DC"/>
    <w:rsid w:val="00E263C9"/>
    <w:rsid w:val="00E84766"/>
    <w:rsid w:val="00ED0614"/>
    <w:rsid w:val="00F03FC2"/>
    <w:rsid w:val="00F06A73"/>
    <w:rsid w:val="00F61820"/>
    <w:rsid w:val="00F72EFE"/>
    <w:rsid w:val="00FD7D78"/>
    <w:rsid w:val="00FF2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griculture.gov.au/pests-diseases-weeds/aquatic" TargetMode="External"/><Relationship Id="rId2" Type="http://schemas.openxmlformats.org/officeDocument/2006/relationships/customXml" Target="../customXml/item2.xml"/><Relationship Id="rId16" Type="http://schemas.openxmlformats.org/officeDocument/2006/relationships/hyperlink" Target="mailto:AAH@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oie.int/en/international-standard-setting/aquatic-manual/access-onlin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fas.co.uk/international-database-on-aquatic-animal-diseases/disease-data/?id=44"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CD90C-B7D8-4D96-B1DA-056B907ED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TotalTime>
  <Pages>5</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Epizootic haematopoietic necrosis (EHN)</vt:lpstr>
    </vt:vector>
  </TitlesOfParts>
  <Company>Department of Agriculture Fisheries &amp; Forestry</Company>
  <LinksUpToDate>false</LinksUpToDate>
  <CharactersWithSpaces>6498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Epizootic haematopoietic necrosis (EHN)</dc:title>
  <dc:creator>Department of Agriculture</dc:creator>
  <cp:lastModifiedBy>Caldwell, Louise</cp:lastModifiedBy>
  <cp:revision>11</cp:revision>
  <cp:lastPrinted>2020-03-11T06:01:00Z</cp:lastPrinted>
  <dcterms:created xsi:type="dcterms:W3CDTF">2019-08-30T06:11:00Z</dcterms:created>
  <dcterms:modified xsi:type="dcterms:W3CDTF">2020-03-11T06:01:00Z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