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0BE73" w14:textId="77777777" w:rsidR="00BF7C64" w:rsidRDefault="007D73C0" w:rsidP="00BF7C64">
      <w:pPr>
        <w:spacing w:before="23" w:line="300" w:lineRule="exact"/>
        <w:textAlignment w:val="baseline"/>
        <w:rPr>
          <w:rFonts w:ascii="Tahoma" w:eastAsia="Tahoma" w:hAnsi="Tahoma"/>
          <w:b/>
          <w:color w:val="FFFFFF"/>
          <w:spacing w:val="19"/>
          <w:w w:val="85"/>
          <w:sz w:val="48"/>
          <w:szCs w:val="48"/>
        </w:rPr>
      </w:pPr>
      <w:r w:rsidRPr="00A0739E">
        <w:rPr>
          <w:noProof/>
        </w:rPr>
        <w:drawing>
          <wp:anchor distT="0" distB="0" distL="114300" distR="114300" simplePos="0" relativeHeight="251660288" behindDoc="1" locked="0" layoutInCell="1" allowOverlap="1" wp14:anchorId="6960B95E" wp14:editId="72DCC8C5">
            <wp:simplePos x="0" y="0"/>
            <wp:positionH relativeFrom="column">
              <wp:posOffset>-7279</wp:posOffset>
            </wp:positionH>
            <wp:positionV relativeFrom="paragraph">
              <wp:posOffset>205495</wp:posOffset>
            </wp:positionV>
            <wp:extent cx="7562215" cy="2837180"/>
            <wp:effectExtent l="0" t="0" r="635" b="1270"/>
            <wp:wrapNone/>
            <wp:docPr id="16" name="Picture" descr="Banner with a collage of agricultural images.">
              <a:extLst xmlns:a="http://schemas.openxmlformats.org/drawingml/2006/main">
                <a:ext uri="{FF2B5EF4-FFF2-40B4-BE49-F238E27FC236}">
                  <a16:creationId xmlns:a16="http://schemas.microsoft.com/office/drawing/2014/main" id="{80EF83BC-990A-452A-BD2E-0CBF6F3F8FA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" descr="Banner with a collage of agricultural images.">
                      <a:extLst>
                        <a:ext uri="{FF2B5EF4-FFF2-40B4-BE49-F238E27FC236}">
                          <a16:creationId xmlns:a16="http://schemas.microsoft.com/office/drawing/2014/main" id="{80EF83BC-990A-452A-BD2E-0CBF6F3F8FAE}"/>
                        </a:ext>
                      </a:extLst>
                    </pic:cNvPr>
                    <pic:cNvPicPr/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ackgroundRemoval t="9677" b="89677" l="9992" r="93956">
                                  <a14:foregroundMark x1="74134" y1="92258" x2="85576" y2="79785"/>
                                  <a14:foregroundMark x1="85576" y1="79785" x2="90089" y2="62581"/>
                                  <a14:foregroundMark x1="90089" y1="62581" x2="90975" y2="41290"/>
                                  <a14:foregroundMark x1="90975" y1="41290" x2="88074" y2="22796"/>
                                  <a14:foregroundMark x1="88074" y1="22796" x2="77840" y2="12258"/>
                                  <a14:foregroundMark x1="77840" y1="12258" x2="68654" y2="27097"/>
                                  <a14:foregroundMark x1="68654" y1="27097" x2="68896" y2="81290"/>
                                  <a14:foregroundMark x1="68896" y1="81290" x2="75101" y2="88817"/>
                                  <a14:foregroundMark x1="75101" y1="88817" x2="76551" y2="89032"/>
                                  <a14:foregroundMark x1="88719" y1="16559" x2="90653" y2="27097"/>
                                  <a14:foregroundMark x1="93554" y1="38495" x2="93956" y2="61935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2215" cy="2837180"/>
                    </a:xfrm>
                    <a:prstGeom prst="rect">
                      <a:avLst/>
                    </a:prstGeom>
                    <a:solidFill>
                      <a:srgbClr val="003150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132BEC" w14:textId="6EC3F812" w:rsidR="007D73C0" w:rsidRPr="00BF7C64" w:rsidRDefault="007D73C0" w:rsidP="00BF7C64">
      <w:pPr>
        <w:spacing w:before="23" w:line="610" w:lineRule="exact"/>
        <w:ind w:left="1985" w:right="4536"/>
        <w:textAlignment w:val="baseline"/>
        <w:rPr>
          <w:rFonts w:ascii="Tahoma" w:eastAsia="Tahoma" w:hAnsi="Tahoma"/>
          <w:b/>
          <w:color w:val="FFFFFF" w:themeColor="background1"/>
          <w:spacing w:val="19"/>
          <w:w w:val="85"/>
          <w:sz w:val="48"/>
          <w:szCs w:val="48"/>
        </w:rPr>
      </w:pPr>
      <w:r w:rsidRPr="00BF7C64">
        <w:rPr>
          <w:rFonts w:ascii="Tahoma" w:eastAsia="Tahoma" w:hAnsi="Tahoma"/>
          <w:b/>
          <w:color w:val="FFFFFF" w:themeColor="background1"/>
          <w:spacing w:val="19"/>
          <w:w w:val="85"/>
          <w:sz w:val="48"/>
          <w:szCs w:val="48"/>
        </w:rPr>
        <w:t>Export Meat Operational Guideline</w:t>
      </w:r>
    </w:p>
    <w:p w14:paraId="0988F599" w14:textId="1A1723C1" w:rsidR="007D73C0" w:rsidRDefault="007D73C0" w:rsidP="007D73C0">
      <w:pPr>
        <w:pStyle w:val="Heading1"/>
        <w:ind w:left="1985" w:right="4821"/>
      </w:pPr>
      <w:bookmarkStart w:id="0" w:name="_Toc131088657"/>
      <w:r>
        <w:t>3.17 Interruption to production</w:t>
      </w:r>
      <w:bookmarkEnd w:id="0"/>
    </w:p>
    <w:p w14:paraId="3C118594" w14:textId="2369288C" w:rsidR="00BF7C64" w:rsidRDefault="00BF7C64" w:rsidP="00BF7C64">
      <w:pPr>
        <w:spacing w:before="200" w:after="100"/>
        <w:ind w:left="1985"/>
        <w:rPr>
          <w:rFonts w:ascii="Cambria" w:hAnsi="Cambria"/>
          <w:b/>
          <w:bCs/>
          <w:color w:val="165788"/>
          <w:sz w:val="33"/>
          <w:szCs w:val="33"/>
        </w:rPr>
      </w:pPr>
    </w:p>
    <w:p w14:paraId="368F8A78" w14:textId="79CC9FAC" w:rsidR="00BF7C64" w:rsidRDefault="00BF7C64" w:rsidP="00BF7C64">
      <w:pPr>
        <w:spacing w:before="200" w:after="100"/>
        <w:ind w:left="1985"/>
        <w:rPr>
          <w:rFonts w:ascii="Cambria" w:hAnsi="Cambria"/>
          <w:b/>
          <w:bCs/>
          <w:color w:val="165788"/>
          <w:sz w:val="33"/>
          <w:szCs w:val="33"/>
        </w:rPr>
      </w:pPr>
    </w:p>
    <w:p w14:paraId="3A16833E" w14:textId="77777777" w:rsidR="00BF7C64" w:rsidRDefault="00BF7C64" w:rsidP="00BF7C64">
      <w:pPr>
        <w:ind w:left="1985"/>
        <w:rPr>
          <w:rFonts w:ascii="Cambria" w:hAnsi="Cambria"/>
          <w:b/>
          <w:bCs/>
          <w:color w:val="165788"/>
          <w:sz w:val="33"/>
          <w:szCs w:val="33"/>
        </w:rPr>
      </w:pPr>
    </w:p>
    <w:p w14:paraId="5D34E517" w14:textId="55C6860D" w:rsidR="000A048C" w:rsidRPr="0080496A" w:rsidRDefault="00014181" w:rsidP="00C03F16">
      <w:pPr>
        <w:spacing w:before="200"/>
        <w:ind w:left="1985"/>
        <w:rPr>
          <w:rFonts w:ascii="Cambria" w:hAnsi="Cambria"/>
          <w:b/>
          <w:bCs/>
          <w:color w:val="165788"/>
          <w:sz w:val="33"/>
          <w:szCs w:val="33"/>
        </w:rPr>
      </w:pPr>
      <w:r w:rsidRPr="00C03F16">
        <w:rPr>
          <w:rFonts w:ascii="Cambria" w:hAnsi="Cambria"/>
          <w:b/>
          <w:bCs/>
          <w:noProof/>
          <w:color w:val="165788"/>
          <w:sz w:val="33"/>
          <w:szCs w:val="33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4DB52DE" wp14:editId="253BCC07">
                <wp:simplePos x="0" y="0"/>
                <wp:positionH relativeFrom="page">
                  <wp:posOffset>453224</wp:posOffset>
                </wp:positionH>
                <wp:positionV relativeFrom="page">
                  <wp:posOffset>1327868</wp:posOffset>
                </wp:positionV>
                <wp:extent cx="675171" cy="238760"/>
                <wp:effectExtent l="0" t="0" r="10795" b="8890"/>
                <wp:wrapSquare wrapText="bothSides"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171" cy="238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4F86A8" w14:textId="328DADD1" w:rsidR="009F3243" w:rsidRPr="006931FD" w:rsidRDefault="006931FD">
                            <w:pPr>
                              <w:spacing w:before="16" w:line="168" w:lineRule="exact"/>
                              <w:jc w:val="right"/>
                              <w:textAlignment w:val="baseline"/>
                              <w:rPr>
                                <w:rFonts w:ascii="Arial Narrow" w:eastAsia="Arial Narrow" w:hAnsi="Arial Narrow"/>
                                <w:color w:val="FFFFFF"/>
                                <w:spacing w:val="24"/>
                                <w:sz w:val="16"/>
                              </w:rPr>
                            </w:pPr>
                            <w:r w:rsidRPr="006931FD">
                              <w:rPr>
                                <w:rFonts w:ascii="Arial Narrow" w:eastAsia="Arial Narrow" w:hAnsi="Arial Narrow"/>
                                <w:color w:val="FFFFFF"/>
                                <w:spacing w:val="24"/>
                                <w:sz w:val="16"/>
                              </w:rPr>
                              <w:t>March</w:t>
                            </w:r>
                          </w:p>
                          <w:p w14:paraId="63EDC8E0" w14:textId="6D7A92D4" w:rsidR="009F3243" w:rsidRDefault="009F3243">
                            <w:pPr>
                              <w:spacing w:before="24" w:line="160" w:lineRule="exact"/>
                              <w:jc w:val="right"/>
                              <w:textAlignment w:val="baseline"/>
                              <w:rPr>
                                <w:rFonts w:ascii="Arial Narrow" w:eastAsia="Arial Narrow" w:hAnsi="Arial Narrow"/>
                                <w:color w:val="FFFFFF"/>
                                <w:spacing w:val="24"/>
                                <w:sz w:val="16"/>
                              </w:rPr>
                            </w:pPr>
                            <w:r>
                              <w:rPr>
                                <w:rFonts w:ascii="Arial Narrow" w:eastAsia="Arial Narrow" w:hAnsi="Arial Narrow"/>
                                <w:color w:val="FFFFFF"/>
                                <w:spacing w:val="24"/>
                                <w:sz w:val="16"/>
                              </w:rPr>
                              <w:t>20</w:t>
                            </w:r>
                            <w:r w:rsidR="003E2271">
                              <w:rPr>
                                <w:rFonts w:ascii="Arial Narrow" w:eastAsia="Arial Narrow" w:hAnsi="Arial Narrow"/>
                                <w:color w:val="FFFFFF"/>
                                <w:spacing w:val="24"/>
                                <w:sz w:val="16"/>
                              </w:rPr>
                              <w:t>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DB52D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5.7pt;margin-top:104.55pt;width:53.15pt;height:18.8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" filled="f" stroked="f">
                <v:textbox inset="0,0,0,0">
                  <w:txbxContent>
                    <w:p w14:paraId="764F86A8" w14:textId="328DADD1" w:rsidR="009F3243" w:rsidRPr="006931FD" w:rsidRDefault="006931FD">
                      <w:pPr>
                        <w:spacing w:before="16" w:line="168" w:lineRule="exact"/>
                        <w:jc w:val="right"/>
                        <w:textAlignment w:val="baseline"/>
                        <w:rPr>
                          <w:rFonts w:ascii="Arial Narrow" w:eastAsia="Arial Narrow" w:hAnsi="Arial Narrow"/>
                          <w:color w:val="FFFFFF"/>
                          <w:spacing w:val="24"/>
                          <w:sz w:val="16"/>
                        </w:rPr>
                      </w:pPr>
                      <w:r w:rsidRPr="006931FD">
                        <w:rPr>
                          <w:rFonts w:ascii="Arial Narrow" w:eastAsia="Arial Narrow" w:hAnsi="Arial Narrow"/>
                          <w:color w:val="FFFFFF"/>
                          <w:spacing w:val="24"/>
                          <w:sz w:val="16"/>
                        </w:rPr>
                        <w:t>March</w:t>
                      </w:r>
                    </w:p>
                    <w:p w14:paraId="63EDC8E0" w14:textId="6D7A92D4" w:rsidR="009F3243" w:rsidRDefault="009F3243">
                      <w:pPr>
                        <w:spacing w:before="24" w:line="160" w:lineRule="exact"/>
                        <w:jc w:val="right"/>
                        <w:textAlignment w:val="baseline"/>
                        <w:rPr>
                          <w:rFonts w:ascii="Arial Narrow" w:eastAsia="Arial Narrow" w:hAnsi="Arial Narrow"/>
                          <w:color w:val="FFFFFF"/>
                          <w:spacing w:val="24"/>
                          <w:sz w:val="16"/>
                        </w:rPr>
                      </w:pPr>
                      <w:r>
                        <w:rPr>
                          <w:rFonts w:ascii="Arial Narrow" w:eastAsia="Arial Narrow" w:hAnsi="Arial Narrow"/>
                          <w:color w:val="FFFFFF"/>
                          <w:spacing w:val="24"/>
                          <w:sz w:val="16"/>
                        </w:rPr>
                        <w:t>20</w:t>
                      </w:r>
                      <w:r w:rsidR="003E2271">
                        <w:rPr>
                          <w:rFonts w:ascii="Arial Narrow" w:eastAsia="Arial Narrow" w:hAnsi="Arial Narrow"/>
                          <w:color w:val="FFFFFF"/>
                          <w:spacing w:val="24"/>
                          <w:sz w:val="16"/>
                        </w:rPr>
                        <w:t>23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4F3F12" w:rsidRPr="00C03F16">
        <w:rPr>
          <w:rFonts w:ascii="Cambria" w:hAnsi="Cambria"/>
          <w:b/>
          <w:bCs/>
          <w:noProof/>
          <w:color w:val="165788"/>
          <w:sz w:val="33"/>
          <w:szCs w:val="33"/>
        </w:rPr>
        <mc:AlternateContent>
          <mc:Choice Requires="wps">
            <w:drawing>
              <wp:anchor distT="0" distB="0" distL="0" distR="0" simplePos="0" relativeHeight="251656192" behindDoc="1" locked="0" layoutInCell="1" allowOverlap="1" wp14:anchorId="55A0B14A" wp14:editId="13B360C8">
                <wp:simplePos x="0" y="0"/>
                <wp:positionH relativeFrom="margin">
                  <wp:align>right</wp:align>
                </wp:positionH>
                <wp:positionV relativeFrom="page">
                  <wp:posOffset>8626</wp:posOffset>
                </wp:positionV>
                <wp:extent cx="7561856" cy="1098239"/>
                <wp:effectExtent l="0" t="0" r="1270" b="6985"/>
                <wp:wrapSquare wrapText="bothSides"/>
                <wp:docPr id="9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1856" cy="1098239"/>
                        </a:xfrm>
                        <a:prstGeom prst="rect">
                          <a:avLst/>
                        </a:prstGeom>
                        <a:solidFill>
                          <a:srgbClr val="DBD6D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8F0B59" w14:textId="7BF59E7F" w:rsidR="009F3243" w:rsidRDefault="009916E0" w:rsidP="00A34968">
                            <w:pPr>
                              <w:spacing w:before="360" w:after="600"/>
                            </w:pPr>
                            <w:r>
                              <w:t xml:space="preserve">             </w:t>
                            </w:r>
                            <w:r w:rsidR="00D478A8">
                              <w:rPr>
                                <w:noProof/>
                              </w:rPr>
                              <w:drawing>
                                <wp:inline distT="0" distB="0" distL="0" distR="0" wp14:anchorId="18CE7516" wp14:editId="74545974">
                                  <wp:extent cx="2412000" cy="746453"/>
                                  <wp:effectExtent l="0" t="0" r="7620" b="0"/>
                                  <wp:docPr id="2" name="Picture 2" descr="Departmental logo&#10;Australian Government Department of Agriculture, Fisheries and Forestry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 descr="Departmental logo&#10;Australian Government Department of Agriculture, Fisheries and Forestry"/>
                                          <pic:cNvPicPr/>
                                        </pic:nvPicPr>
                                        <pic:blipFill rotWithShape="1"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5466" t="15744" r="7557" b="14107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12000" cy="74645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A0B14A" id="_x0000_s0" o:spid="_x0000_s1027" type="#_x0000_t202" style="position:absolute;left:0;text-align:left;margin-left:544.2pt;margin-top:.7pt;width:595.4pt;height:86.5pt;z-index:-251660288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" fillcolor="#dbd6d2" stroked="f">
                <v:textbox inset="0,0,0,0">
                  <w:txbxContent>
                    <w:p w14:paraId="098F0B59" w14:textId="7BF59E7F" w:rsidR="009F3243" w:rsidRDefault="009916E0" w:rsidP="00A34968">
                      <w:pPr>
                        <w:spacing w:before="360" w:after="600"/>
                      </w:pPr>
                      <w:r>
                        <w:t xml:space="preserve">             </w:t>
                      </w:r>
                      <w:r w:rsidR="00D478A8">
                        <w:rPr>
                          <w:noProof/>
                        </w:rPr>
                        <w:drawing>
                          <wp:inline distT="0" distB="0" distL="0" distR="0" wp14:anchorId="18CE7516" wp14:editId="74545974">
                            <wp:extent cx="2412000" cy="746453"/>
                            <wp:effectExtent l="0" t="0" r="7620" b="0"/>
                            <wp:docPr id="2" name="Picture 2" descr="Departmental logo&#10;Australian Government Department of Agriculture, Fisheries and Forestry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2" descr="Departmental logo&#10;Australian Government Department of Agriculture, Fisheries and Forestry"/>
                                    <pic:cNvPicPr/>
                                  </pic:nvPicPr>
                                  <pic:blipFill rotWithShape="1"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5466" t="15744" r="7557" b="14107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412000" cy="746453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0F14CA">
        <w:rPr>
          <w:rFonts w:ascii="Cambria" w:hAnsi="Cambria"/>
          <w:b/>
          <w:bCs/>
          <w:color w:val="165788"/>
          <w:sz w:val="33"/>
          <w:szCs w:val="33"/>
        </w:rPr>
        <w:t>Purpose</w:t>
      </w:r>
    </w:p>
    <w:p w14:paraId="0462F030" w14:textId="7F6FD09E" w:rsidR="00181A3D" w:rsidRDefault="00FC3E40" w:rsidP="00217C82">
      <w:pPr>
        <w:pStyle w:val="Frontpage-bodytext"/>
      </w:pPr>
      <w:r w:rsidRPr="00FC3E40">
        <w:t xml:space="preserve">This document describes the process that the department implements to address </w:t>
      </w:r>
      <w:r w:rsidR="00217C82">
        <w:t>situations where there are critical interruptions to production</w:t>
      </w:r>
      <w:r w:rsidR="00FF1062">
        <w:t>. The</w:t>
      </w:r>
      <w:r w:rsidR="004B05B1">
        <w:t xml:space="preserve"> department will </w:t>
      </w:r>
      <w:r w:rsidR="00DB765D">
        <w:t>work with export</w:t>
      </w:r>
      <w:r w:rsidR="00C034BC">
        <w:noBreakHyphen/>
      </w:r>
      <w:r w:rsidR="00DB765D">
        <w:t xml:space="preserve">registered meat establishments </w:t>
      </w:r>
      <w:r w:rsidR="00217C82">
        <w:t>to</w:t>
      </w:r>
      <w:r w:rsidR="00181A3D">
        <w:t>:</w:t>
      </w:r>
    </w:p>
    <w:p w14:paraId="1A879916" w14:textId="15731485" w:rsidR="00DB765D" w:rsidRDefault="00217C82" w:rsidP="00DB765D">
      <w:pPr>
        <w:pStyle w:val="Frontpage-bulletlist"/>
        <w:numPr>
          <w:ilvl w:val="0"/>
          <w:numId w:val="1"/>
        </w:numPr>
        <w:ind w:left="2269" w:hanging="284"/>
      </w:pPr>
      <w:r>
        <w:t>maintain the eligibility of product</w:t>
      </w:r>
      <w:r w:rsidR="00DA3E3C">
        <w:t xml:space="preserve"> </w:t>
      </w:r>
      <w:r w:rsidR="00DB765D">
        <w:t xml:space="preserve">to meet Australian standards and importing country requirements </w:t>
      </w:r>
      <w:r w:rsidR="00DA3E3C">
        <w:t xml:space="preserve">(including factors such as </w:t>
      </w:r>
      <w:r>
        <w:t xml:space="preserve">product integrity, product wholesomeness, </w:t>
      </w:r>
      <w:r w:rsidR="00DA3E3C">
        <w:t>food safety</w:t>
      </w:r>
      <w:r>
        <w:t>, animal welfare requirements)</w:t>
      </w:r>
    </w:p>
    <w:p w14:paraId="04BCEE00" w14:textId="1CC57D05" w:rsidR="00217C82" w:rsidRDefault="00217C82" w:rsidP="00542F8E">
      <w:pPr>
        <w:pStyle w:val="Frontpage-bulletlist"/>
        <w:numPr>
          <w:ilvl w:val="0"/>
          <w:numId w:val="1"/>
        </w:numPr>
        <w:ind w:left="2269" w:hanging="284"/>
      </w:pPr>
      <w:r>
        <w:t xml:space="preserve">ensure </w:t>
      </w:r>
      <w:r w:rsidR="004B05B1">
        <w:t xml:space="preserve">normal </w:t>
      </w:r>
      <w:r w:rsidR="00FB66B0">
        <w:t>production</w:t>
      </w:r>
      <w:r>
        <w:t xml:space="preserve"> </w:t>
      </w:r>
      <w:r w:rsidR="004B05B1">
        <w:t xml:space="preserve">can </w:t>
      </w:r>
      <w:r>
        <w:t>resume</w:t>
      </w:r>
      <w:r w:rsidR="004B05B1">
        <w:t xml:space="preserve"> as soon as possible</w:t>
      </w:r>
      <w:r w:rsidR="00FC3E40" w:rsidRPr="00FC3E40">
        <w:t xml:space="preserve">. </w:t>
      </w:r>
    </w:p>
    <w:p w14:paraId="7FC01EE4" w14:textId="10836CDF" w:rsidR="00DB765D" w:rsidRDefault="00217C82" w:rsidP="00890C0E">
      <w:pPr>
        <w:pStyle w:val="Frontpage-bodytext"/>
      </w:pPr>
      <w:r>
        <w:t>Critical interru</w:t>
      </w:r>
      <w:r w:rsidR="00DA3E3C">
        <w:t>ptions to production include:</w:t>
      </w:r>
    </w:p>
    <w:p w14:paraId="068074A1" w14:textId="5182623E" w:rsidR="00DB765D" w:rsidRDefault="00DF0F29" w:rsidP="003355EB">
      <w:pPr>
        <w:pStyle w:val="Frontpage-bulletlist"/>
        <w:numPr>
          <w:ilvl w:val="0"/>
          <w:numId w:val="1"/>
        </w:numPr>
        <w:ind w:left="2269" w:hanging="284"/>
      </w:pPr>
      <w:r>
        <w:t>mechanical failures</w:t>
      </w:r>
      <w:r w:rsidR="003355EB">
        <w:t xml:space="preserve"> such as </w:t>
      </w:r>
      <w:r w:rsidR="00DB765D">
        <w:t>refrigeration failures (product cannot be refrigerated within 2</w:t>
      </w:r>
      <w:r w:rsidR="004B05B1">
        <w:t> </w:t>
      </w:r>
      <w:r w:rsidR="00DB765D">
        <w:t xml:space="preserve">hours of slaughter, meeting </w:t>
      </w:r>
      <w:r w:rsidR="004B05B1">
        <w:t>refrigeration index (</w:t>
      </w:r>
      <w:r w:rsidR="00DB765D">
        <w:t>RI</w:t>
      </w:r>
      <w:r w:rsidR="004B05B1">
        <w:t>)</w:t>
      </w:r>
      <w:r w:rsidR="00DB765D">
        <w:t xml:space="preserve"> and </w:t>
      </w:r>
      <w:r w:rsidR="004B05B1">
        <w:t>critical control point (</w:t>
      </w:r>
      <w:r w:rsidR="00DB765D">
        <w:t>CCP</w:t>
      </w:r>
      <w:r w:rsidR="004B05B1">
        <w:t>)</w:t>
      </w:r>
      <w:r w:rsidR="00DB765D">
        <w:t xml:space="preserve"> requirements)</w:t>
      </w:r>
    </w:p>
    <w:p w14:paraId="4FB23344" w14:textId="6E937AE0" w:rsidR="003355EB" w:rsidRDefault="00E80AEE" w:rsidP="00E80AEE">
      <w:pPr>
        <w:pStyle w:val="Frontpage-bulletlist"/>
        <w:numPr>
          <w:ilvl w:val="0"/>
          <w:numId w:val="1"/>
        </w:numPr>
        <w:ind w:left="2269" w:hanging="284"/>
      </w:pPr>
      <w:r>
        <w:t xml:space="preserve">interruption to production </w:t>
      </w:r>
      <w:r w:rsidR="00DB765D">
        <w:t xml:space="preserve">from power failures, storms and floods, </w:t>
      </w:r>
      <w:r w:rsidR="004B05B1">
        <w:t xml:space="preserve">and </w:t>
      </w:r>
      <w:r w:rsidR="00DB765D">
        <w:t xml:space="preserve">fires </w:t>
      </w:r>
    </w:p>
    <w:p w14:paraId="351B56FD" w14:textId="20E958C7" w:rsidR="003355EB" w:rsidRDefault="003355EB" w:rsidP="00E80AEE">
      <w:pPr>
        <w:pStyle w:val="Frontpage-bulletlist"/>
        <w:numPr>
          <w:ilvl w:val="0"/>
          <w:numId w:val="1"/>
        </w:numPr>
        <w:ind w:left="2269" w:hanging="284"/>
      </w:pPr>
      <w:r>
        <w:t>activist interference with plant production</w:t>
      </w:r>
    </w:p>
    <w:p w14:paraId="4DEF2267" w14:textId="5C852073" w:rsidR="00DB765D" w:rsidRDefault="008C3DDE" w:rsidP="00E80AEE">
      <w:pPr>
        <w:pStyle w:val="Frontpage-bulletlist"/>
        <w:numPr>
          <w:ilvl w:val="0"/>
          <w:numId w:val="1"/>
        </w:numPr>
        <w:ind w:left="2269" w:hanging="284"/>
      </w:pPr>
      <w:r>
        <w:t xml:space="preserve">accidental or </w:t>
      </w:r>
      <w:r w:rsidR="003355EB">
        <w:t>deliberate contamination of product during production</w:t>
      </w:r>
      <w:r w:rsidR="00DB765D">
        <w:t>.</w:t>
      </w:r>
    </w:p>
    <w:p w14:paraId="4FCE1C71" w14:textId="765AC06D" w:rsidR="00DF47E8" w:rsidRPr="00C03F16" w:rsidRDefault="000F14CA" w:rsidP="00C03F16">
      <w:pPr>
        <w:spacing w:before="200"/>
        <w:ind w:left="1985"/>
        <w:rPr>
          <w:rFonts w:ascii="Cambria" w:hAnsi="Cambria"/>
          <w:b/>
          <w:bCs/>
          <w:color w:val="165788"/>
          <w:sz w:val="33"/>
          <w:szCs w:val="33"/>
        </w:rPr>
      </w:pPr>
      <w:r w:rsidRPr="41247E44">
        <w:rPr>
          <w:rFonts w:ascii="Cambria" w:hAnsi="Cambria"/>
          <w:b/>
          <w:bCs/>
          <w:color w:val="165788"/>
          <w:sz w:val="33"/>
          <w:szCs w:val="33"/>
        </w:rPr>
        <w:t>Scope</w:t>
      </w:r>
    </w:p>
    <w:p w14:paraId="637DDB03" w14:textId="42A75E18" w:rsidR="00357140" w:rsidRPr="00FC3E40" w:rsidRDefault="00357140" w:rsidP="0080496A">
      <w:pPr>
        <w:pStyle w:val="Frontpage-bodytext"/>
      </w:pPr>
      <w:r w:rsidRPr="00FC3E40">
        <w:t>The scope of th</w:t>
      </w:r>
      <w:r>
        <w:t>is</w:t>
      </w:r>
      <w:r w:rsidRPr="00FC3E40">
        <w:t xml:space="preserve"> guidelines includes:</w:t>
      </w:r>
    </w:p>
    <w:p w14:paraId="6E47F600" w14:textId="488EFC8D" w:rsidR="00357140" w:rsidRPr="00FC3E40" w:rsidRDefault="00357140" w:rsidP="0080496A">
      <w:pPr>
        <w:pStyle w:val="Frontpage-bulletlist"/>
        <w:numPr>
          <w:ilvl w:val="0"/>
          <w:numId w:val="1"/>
        </w:numPr>
        <w:ind w:left="2269" w:hanging="284"/>
      </w:pPr>
      <w:r>
        <w:t>e</w:t>
      </w:r>
      <w:r w:rsidRPr="00FC3E40">
        <w:t>xport</w:t>
      </w:r>
      <w:r>
        <w:t>-</w:t>
      </w:r>
      <w:r w:rsidRPr="00FC3E40">
        <w:t>registered red meat abattoirs (including Tier 1 establishments)</w:t>
      </w:r>
    </w:p>
    <w:p w14:paraId="2BB218BE" w14:textId="5C4CC16D" w:rsidR="194580A2" w:rsidRPr="0080496A" w:rsidRDefault="00357140" w:rsidP="0080496A">
      <w:pPr>
        <w:pStyle w:val="Frontpage-bulletlist"/>
        <w:numPr>
          <w:ilvl w:val="0"/>
          <w:numId w:val="1"/>
        </w:numPr>
        <w:ind w:left="2269" w:hanging="284"/>
      </w:pPr>
      <w:r>
        <w:t>i</w:t>
      </w:r>
      <w:r w:rsidRPr="00FC3E40">
        <w:t>ndependent boning rooms</w:t>
      </w:r>
    </w:p>
    <w:p w14:paraId="1DE8E2D8" w14:textId="28EBC3FE" w:rsidR="00357140" w:rsidRPr="00FC3E40" w:rsidRDefault="00357140" w:rsidP="0080496A">
      <w:pPr>
        <w:pStyle w:val="Frontpage-bulletlist"/>
        <w:numPr>
          <w:ilvl w:val="0"/>
          <w:numId w:val="1"/>
        </w:numPr>
        <w:ind w:left="2269" w:hanging="284"/>
      </w:pPr>
      <w:r>
        <w:t>w</w:t>
      </w:r>
      <w:r w:rsidRPr="00FC3E40">
        <w:t>ild game meat processing plants.</w:t>
      </w:r>
    </w:p>
    <w:p w14:paraId="31529989" w14:textId="2744C907" w:rsidR="009B66E1" w:rsidRPr="00FB66B0" w:rsidRDefault="009B66E1" w:rsidP="009B66E1">
      <w:pPr>
        <w:pStyle w:val="Frontpage-bodytext"/>
      </w:pPr>
      <w:r w:rsidRPr="00FB66B0">
        <w:t xml:space="preserve">Items that are not considered as </w:t>
      </w:r>
      <w:r w:rsidR="004A709D">
        <w:t>‘</w:t>
      </w:r>
      <w:r w:rsidRPr="00FB66B0">
        <w:t>interruptions to production</w:t>
      </w:r>
      <w:r w:rsidR="004A709D">
        <w:t>’</w:t>
      </w:r>
      <w:r w:rsidRPr="00FB66B0">
        <w:t xml:space="preserve"> </w:t>
      </w:r>
      <w:r w:rsidR="00DF0F29" w:rsidRPr="00FB66B0">
        <w:t xml:space="preserve">as defined in this document </w:t>
      </w:r>
      <w:r w:rsidRPr="00FB66B0">
        <w:t>and</w:t>
      </w:r>
      <w:r w:rsidR="00DF0F29" w:rsidRPr="00FB66B0">
        <w:t xml:space="preserve"> therefore</w:t>
      </w:r>
      <w:r w:rsidRPr="00FB66B0">
        <w:t xml:space="preserve"> out of scope, include:</w:t>
      </w:r>
    </w:p>
    <w:p w14:paraId="48832D85" w14:textId="6778D51B" w:rsidR="00DF0F29" w:rsidRPr="00FB66B0" w:rsidRDefault="009B66E1" w:rsidP="009B66E1">
      <w:pPr>
        <w:pStyle w:val="Frontpage-bulletlist"/>
        <w:numPr>
          <w:ilvl w:val="0"/>
          <w:numId w:val="1"/>
        </w:numPr>
        <w:ind w:left="2269" w:hanging="284"/>
      </w:pPr>
      <w:r w:rsidRPr="00FB66B0">
        <w:t>short term interruptions to production that the company is able to resolve quickly and still ensure product is produced in compliance with relevant standards</w:t>
      </w:r>
      <w:r w:rsidR="00FB66B0" w:rsidRPr="00FB66B0">
        <w:t>.</w:t>
      </w:r>
    </w:p>
    <w:p w14:paraId="01724BBF" w14:textId="61DF59F1" w:rsidR="009B66E1" w:rsidRDefault="007525BF" w:rsidP="007525BF">
      <w:pPr>
        <w:pStyle w:val="Frontpage-bulletlist"/>
        <w:ind w:left="1985" w:firstLine="0"/>
      </w:pPr>
      <w:r>
        <w:t xml:space="preserve">Where an interruption to production </w:t>
      </w:r>
      <w:r w:rsidR="003729E1">
        <w:t xml:space="preserve">relates </w:t>
      </w:r>
      <w:r>
        <w:t xml:space="preserve">to </w:t>
      </w:r>
      <w:r w:rsidR="003729E1">
        <w:t xml:space="preserve">a </w:t>
      </w:r>
      <w:r>
        <w:t xml:space="preserve">suspect </w:t>
      </w:r>
      <w:r w:rsidR="003729E1">
        <w:t xml:space="preserve">or </w:t>
      </w:r>
      <w:r>
        <w:t>confirmed emergency animal disease, this will be managed separate from this guideline through the relevant AUSVETPLAN plan and relevant state biosecurity measures.</w:t>
      </w:r>
    </w:p>
    <w:p w14:paraId="3F1EDD03" w14:textId="371DBB21" w:rsidR="00DD4CCC" w:rsidRDefault="00DD4CCC" w:rsidP="007525BF">
      <w:pPr>
        <w:pStyle w:val="Frontpage-bulletlist"/>
        <w:ind w:left="1985" w:firstLine="0"/>
      </w:pPr>
    </w:p>
    <w:p w14:paraId="212ED59F" w14:textId="77777777" w:rsidR="00DD4CCC" w:rsidRDefault="00DD4CCC" w:rsidP="007525BF">
      <w:pPr>
        <w:pStyle w:val="Frontpage-bulletlist"/>
        <w:ind w:left="1985" w:firstLine="0"/>
      </w:pPr>
    </w:p>
    <w:p w14:paraId="13B0236D" w14:textId="541A5EB5" w:rsidR="00DD4CCC" w:rsidRPr="000B1983" w:rsidRDefault="00DD4CCC" w:rsidP="000B1983">
      <w:pPr>
        <w:spacing w:before="200"/>
        <w:ind w:left="1985"/>
        <w:rPr>
          <w:b/>
          <w:bCs/>
          <w:color w:val="165788"/>
          <w:sz w:val="33"/>
          <w:szCs w:val="33"/>
        </w:rPr>
      </w:pPr>
      <w:r w:rsidRPr="000B1983">
        <w:rPr>
          <w:rFonts w:ascii="Cambria" w:hAnsi="Cambria"/>
          <w:b/>
          <w:bCs/>
          <w:color w:val="165788"/>
          <w:sz w:val="33"/>
          <w:szCs w:val="33"/>
        </w:rPr>
        <w:lastRenderedPageBreak/>
        <w:t>Legislative basis</w:t>
      </w:r>
    </w:p>
    <w:p w14:paraId="22B4221B" w14:textId="453D7992" w:rsidR="00224701" w:rsidRPr="00224701" w:rsidRDefault="00224701" w:rsidP="00224701">
      <w:pPr>
        <w:spacing w:before="86" w:line="264" w:lineRule="exact"/>
        <w:ind w:left="1985" w:right="1077"/>
        <w:textAlignment w:val="baseline"/>
        <w:rPr>
          <w:rFonts w:ascii="Cambria" w:eastAsia="Cambria" w:hAnsi="Cambria"/>
          <w:color w:val="000000"/>
        </w:rPr>
      </w:pPr>
      <w:r w:rsidRPr="00224701">
        <w:rPr>
          <w:rFonts w:ascii="Cambria" w:eastAsia="Cambria" w:hAnsi="Cambria"/>
          <w:color w:val="000000"/>
        </w:rPr>
        <w:t>Under the Export Control (Meat and Meat Products) Rules 2021</w:t>
      </w:r>
      <w:r w:rsidR="00F11373">
        <w:rPr>
          <w:rFonts w:ascii="Cambria" w:eastAsia="Cambria" w:hAnsi="Cambria"/>
          <w:color w:val="000000"/>
        </w:rPr>
        <w:t xml:space="preserve">, made under the </w:t>
      </w:r>
      <w:r w:rsidR="00F11373" w:rsidRPr="00125102">
        <w:rPr>
          <w:rFonts w:ascii="Cambria" w:eastAsia="Cambria" w:hAnsi="Cambria"/>
          <w:i/>
          <w:iCs/>
          <w:color w:val="000000"/>
        </w:rPr>
        <w:t>Export Control Act 202</w:t>
      </w:r>
      <w:r w:rsidR="00125102">
        <w:rPr>
          <w:rFonts w:ascii="Cambria" w:eastAsia="Cambria" w:hAnsi="Cambria"/>
          <w:i/>
          <w:iCs/>
          <w:color w:val="000000"/>
        </w:rPr>
        <w:t>0</w:t>
      </w:r>
      <w:r w:rsidR="00F11373">
        <w:rPr>
          <w:rFonts w:ascii="Cambria" w:eastAsia="Cambria" w:hAnsi="Cambria"/>
          <w:color w:val="000000"/>
        </w:rPr>
        <w:t xml:space="preserve"> (</w:t>
      </w:r>
      <w:r w:rsidR="00E575E1">
        <w:rPr>
          <w:rFonts w:ascii="Cambria" w:eastAsia="Cambria" w:hAnsi="Cambria"/>
          <w:color w:val="000000"/>
        </w:rPr>
        <w:t>‘</w:t>
      </w:r>
      <w:r w:rsidR="00F11373">
        <w:rPr>
          <w:rFonts w:ascii="Cambria" w:eastAsia="Cambria" w:hAnsi="Cambria"/>
          <w:color w:val="000000"/>
        </w:rPr>
        <w:t>the Act</w:t>
      </w:r>
      <w:r w:rsidR="00E575E1">
        <w:rPr>
          <w:rFonts w:ascii="Cambria" w:eastAsia="Cambria" w:hAnsi="Cambria"/>
          <w:color w:val="000000"/>
        </w:rPr>
        <w:t>’</w:t>
      </w:r>
      <w:r w:rsidR="00F11373">
        <w:rPr>
          <w:rFonts w:ascii="Cambria" w:eastAsia="Cambria" w:hAnsi="Cambria"/>
          <w:color w:val="000000"/>
        </w:rPr>
        <w:t>)</w:t>
      </w:r>
      <w:r w:rsidRPr="00224701">
        <w:rPr>
          <w:rFonts w:ascii="Cambria" w:eastAsia="Cambria" w:hAnsi="Cambria"/>
          <w:color w:val="000000"/>
        </w:rPr>
        <w:t>:</w:t>
      </w:r>
    </w:p>
    <w:p w14:paraId="6AA25CCF" w14:textId="788304A9" w:rsidR="00125102" w:rsidRDefault="00F11373" w:rsidP="00F11373">
      <w:pPr>
        <w:pStyle w:val="Frontpage-bulletlist"/>
        <w:numPr>
          <w:ilvl w:val="0"/>
          <w:numId w:val="1"/>
        </w:numPr>
        <w:ind w:left="2269" w:hanging="284"/>
      </w:pPr>
      <w:r>
        <w:t xml:space="preserve">a disposition, and any conditions specified in relation to a disposition, applied to carcase or carcase parts, or prescribed meat or meat products, by an authorised officer must be complied with (as per </w:t>
      </w:r>
      <w:r w:rsidR="00E575E1">
        <w:t>‘</w:t>
      </w:r>
      <w:r>
        <w:t>5-9 Compliance with decisions and dispositions</w:t>
      </w:r>
      <w:r w:rsidR="00E575E1">
        <w:t>’</w:t>
      </w:r>
      <w:r>
        <w:t xml:space="preserve"> made under Chapter 5, Part 1, Division 2)</w:t>
      </w:r>
    </w:p>
    <w:p w14:paraId="5E4CCA71" w14:textId="6A7EE0DD" w:rsidR="00DD4CCC" w:rsidRPr="007525BF" w:rsidRDefault="00125102" w:rsidP="00F11373">
      <w:pPr>
        <w:pStyle w:val="Frontpage-bulletlist"/>
        <w:numPr>
          <w:ilvl w:val="0"/>
          <w:numId w:val="1"/>
        </w:numPr>
        <w:ind w:left="2269" w:hanging="284"/>
      </w:pPr>
      <w:r>
        <w:t>as soon as the holder of an approved arrangement becomes aware that something has occurred at the registered establishment that has affected or could affect the wholesomeness or integrity of a prescribed meat or meat products, they must identify the meat or meat products, notify an authorised off</w:t>
      </w:r>
      <w:r w:rsidR="00C06E44">
        <w:t>ic</w:t>
      </w:r>
      <w:r>
        <w:t>er o</w:t>
      </w:r>
      <w:r w:rsidR="00C06E44">
        <w:t>f</w:t>
      </w:r>
      <w:r>
        <w:t xml:space="preserve"> the circumstance and ensure that the meat or meat products are held separately under conditions of security until an authorised officer applies a disposition or notifies the holder of action to be taken in relation to the meat or meat products (as per </w:t>
      </w:r>
      <w:r w:rsidR="00E575E1">
        <w:t>‘</w:t>
      </w:r>
      <w:r>
        <w:t>5-37 Action if prescribed meat or meat products are unwholesome or integrity etc. cannot be ensured</w:t>
      </w:r>
      <w:r w:rsidR="00E575E1">
        <w:t>’</w:t>
      </w:r>
      <w:r>
        <w:t xml:space="preserve"> made under Chapter 5, Part 1, Division 2)</w:t>
      </w:r>
      <w:r w:rsidR="00F11373">
        <w:t>.</w:t>
      </w:r>
    </w:p>
    <w:p w14:paraId="720A869D" w14:textId="3EA2E8A8" w:rsidR="00F5154F" w:rsidRPr="00C06E44" w:rsidRDefault="00F5154F">
      <w:pPr>
        <w:rPr>
          <w:rFonts w:ascii="Cambria" w:hAnsi="Cambria"/>
          <w:color w:val="000000"/>
          <w:spacing w:val="-3"/>
        </w:rPr>
      </w:pPr>
    </w:p>
    <w:p w14:paraId="6DAFBBE6" w14:textId="77777777" w:rsidR="003E2271" w:rsidRDefault="00120069">
      <w:pPr>
        <w:pStyle w:val="TOC1"/>
        <w:rPr>
          <w:b/>
          <w:bCs/>
          <w:color w:val="165788"/>
          <w:sz w:val="33"/>
          <w:szCs w:val="33"/>
        </w:rPr>
      </w:pPr>
      <w:r w:rsidRPr="00C03F16">
        <w:rPr>
          <w:b/>
          <w:bCs/>
          <w:color w:val="165788"/>
          <w:sz w:val="33"/>
          <w:szCs w:val="33"/>
        </w:rPr>
        <w:t>In this document</w:t>
      </w:r>
    </w:p>
    <w:p w14:paraId="2C66A527" w14:textId="7EF89588" w:rsidR="00DF2AB4" w:rsidRDefault="00235991" w:rsidP="00DF2AB4">
      <w:pPr>
        <w:pStyle w:val="TOC1"/>
        <w:rPr>
          <w:rFonts w:asciiTheme="minorHAnsi" w:eastAsiaTheme="minorEastAsia" w:hAnsiTheme="minorHAnsi" w:cstheme="minorBidi"/>
          <w:noProof/>
          <w:sz w:val="22"/>
          <w:lang w:val="en-AU" w:eastAsia="en-AU"/>
        </w:rPr>
      </w:pPr>
      <w:r>
        <w:rPr>
          <w:rFonts w:eastAsia="Cambria"/>
          <w:color w:val="000000"/>
        </w:rPr>
        <w:fldChar w:fldCharType="begin"/>
      </w:r>
      <w:r>
        <w:rPr>
          <w:rFonts w:eastAsia="Cambria"/>
          <w:color w:val="000000"/>
        </w:rPr>
        <w:instrText xml:space="preserve"> TOC \o "1-4" \h \z \u </w:instrText>
      </w:r>
      <w:r>
        <w:rPr>
          <w:rFonts w:eastAsia="Cambria"/>
          <w:color w:val="000000"/>
        </w:rPr>
        <w:fldChar w:fldCharType="separate"/>
      </w:r>
      <w:hyperlink w:anchor="_Toc131088658" w:history="1">
        <w:r w:rsidR="00DF2AB4" w:rsidRPr="006E3E21">
          <w:rPr>
            <w:rStyle w:val="Hyperlink"/>
            <w:noProof/>
          </w:rPr>
          <w:t>Principles</w:t>
        </w:r>
        <w:r w:rsidR="00DF2AB4">
          <w:rPr>
            <w:noProof/>
            <w:webHidden/>
          </w:rPr>
          <w:tab/>
        </w:r>
        <w:r w:rsidR="00DF2AB4">
          <w:rPr>
            <w:noProof/>
            <w:webHidden/>
          </w:rPr>
          <w:fldChar w:fldCharType="begin"/>
        </w:r>
        <w:r w:rsidR="00DF2AB4">
          <w:rPr>
            <w:noProof/>
            <w:webHidden/>
          </w:rPr>
          <w:instrText xml:space="preserve"> PAGEREF _Toc131088658 \h </w:instrText>
        </w:r>
        <w:r w:rsidR="00DF2AB4">
          <w:rPr>
            <w:noProof/>
            <w:webHidden/>
          </w:rPr>
        </w:r>
        <w:r w:rsidR="00DF2AB4">
          <w:rPr>
            <w:noProof/>
            <w:webHidden/>
          </w:rPr>
          <w:fldChar w:fldCharType="separate"/>
        </w:r>
        <w:r w:rsidR="00DF2AB4">
          <w:rPr>
            <w:noProof/>
            <w:webHidden/>
          </w:rPr>
          <w:t>3</w:t>
        </w:r>
        <w:r w:rsidR="00DF2AB4">
          <w:rPr>
            <w:noProof/>
            <w:webHidden/>
          </w:rPr>
          <w:fldChar w:fldCharType="end"/>
        </w:r>
      </w:hyperlink>
    </w:p>
    <w:p w14:paraId="78DAA374" w14:textId="1436C8B8" w:rsidR="00DF2AB4" w:rsidRDefault="00000000">
      <w:pPr>
        <w:pStyle w:val="TOC2"/>
        <w:rPr>
          <w:rFonts w:asciiTheme="minorHAnsi" w:eastAsiaTheme="minorEastAsia" w:hAnsiTheme="minorHAnsi" w:cstheme="minorBidi"/>
          <w:noProof/>
          <w:sz w:val="22"/>
          <w:lang w:val="en-AU" w:eastAsia="en-AU"/>
        </w:rPr>
      </w:pPr>
      <w:hyperlink w:anchor="_Toc131088659" w:history="1">
        <w:r w:rsidR="00DF2AB4" w:rsidRPr="006E3E21">
          <w:rPr>
            <w:rStyle w:val="Hyperlink"/>
            <w:noProof/>
          </w:rPr>
          <w:t>Workplace health and safety</w:t>
        </w:r>
        <w:r w:rsidR="00DF2AB4">
          <w:rPr>
            <w:noProof/>
            <w:webHidden/>
          </w:rPr>
          <w:tab/>
        </w:r>
        <w:r w:rsidR="00DF2AB4">
          <w:rPr>
            <w:noProof/>
            <w:webHidden/>
          </w:rPr>
          <w:fldChar w:fldCharType="begin"/>
        </w:r>
        <w:r w:rsidR="00DF2AB4">
          <w:rPr>
            <w:noProof/>
            <w:webHidden/>
          </w:rPr>
          <w:instrText xml:space="preserve"> PAGEREF _Toc131088659 \h </w:instrText>
        </w:r>
        <w:r w:rsidR="00DF2AB4">
          <w:rPr>
            <w:noProof/>
            <w:webHidden/>
          </w:rPr>
        </w:r>
        <w:r w:rsidR="00DF2AB4">
          <w:rPr>
            <w:noProof/>
            <w:webHidden/>
          </w:rPr>
          <w:fldChar w:fldCharType="separate"/>
        </w:r>
        <w:r w:rsidR="00DF2AB4">
          <w:rPr>
            <w:noProof/>
            <w:webHidden/>
          </w:rPr>
          <w:t>3</w:t>
        </w:r>
        <w:r w:rsidR="00DF2AB4">
          <w:rPr>
            <w:noProof/>
            <w:webHidden/>
          </w:rPr>
          <w:fldChar w:fldCharType="end"/>
        </w:r>
      </w:hyperlink>
    </w:p>
    <w:p w14:paraId="76BD949F" w14:textId="2A2B2BF2" w:rsidR="00DF2AB4" w:rsidRDefault="00000000">
      <w:pPr>
        <w:pStyle w:val="TOC3"/>
        <w:rPr>
          <w:rFonts w:asciiTheme="minorHAnsi" w:eastAsiaTheme="minorEastAsia" w:hAnsiTheme="minorHAnsi" w:cstheme="minorBidi"/>
          <w:noProof/>
          <w:sz w:val="22"/>
          <w:lang w:val="en-AU" w:eastAsia="en-AU"/>
        </w:rPr>
      </w:pPr>
      <w:hyperlink w:anchor="_Toc131088660" w:history="1">
        <w:r w:rsidR="00DF2AB4" w:rsidRPr="006E3E21">
          <w:rPr>
            <w:rStyle w:val="Hyperlink"/>
            <w:noProof/>
          </w:rPr>
          <w:t>Health and safety risks to departmental staff</w:t>
        </w:r>
        <w:r w:rsidR="00DF2AB4">
          <w:rPr>
            <w:noProof/>
            <w:webHidden/>
          </w:rPr>
          <w:tab/>
        </w:r>
        <w:r w:rsidR="00DF2AB4">
          <w:rPr>
            <w:noProof/>
            <w:webHidden/>
          </w:rPr>
          <w:fldChar w:fldCharType="begin"/>
        </w:r>
        <w:r w:rsidR="00DF2AB4">
          <w:rPr>
            <w:noProof/>
            <w:webHidden/>
          </w:rPr>
          <w:instrText xml:space="preserve"> PAGEREF _Toc131088660 \h </w:instrText>
        </w:r>
        <w:r w:rsidR="00DF2AB4">
          <w:rPr>
            <w:noProof/>
            <w:webHidden/>
          </w:rPr>
        </w:r>
        <w:r w:rsidR="00DF2AB4">
          <w:rPr>
            <w:noProof/>
            <w:webHidden/>
          </w:rPr>
          <w:fldChar w:fldCharType="separate"/>
        </w:r>
        <w:r w:rsidR="00DF2AB4">
          <w:rPr>
            <w:noProof/>
            <w:webHidden/>
          </w:rPr>
          <w:t>3</w:t>
        </w:r>
        <w:r w:rsidR="00DF2AB4">
          <w:rPr>
            <w:noProof/>
            <w:webHidden/>
          </w:rPr>
          <w:fldChar w:fldCharType="end"/>
        </w:r>
      </w:hyperlink>
    </w:p>
    <w:p w14:paraId="61FB7EC9" w14:textId="69F05BAF" w:rsidR="00DF2AB4" w:rsidRDefault="00000000">
      <w:pPr>
        <w:pStyle w:val="TOC2"/>
        <w:rPr>
          <w:rFonts w:asciiTheme="minorHAnsi" w:eastAsiaTheme="minorEastAsia" w:hAnsiTheme="minorHAnsi" w:cstheme="minorBidi"/>
          <w:noProof/>
          <w:sz w:val="22"/>
          <w:lang w:val="en-AU" w:eastAsia="en-AU"/>
        </w:rPr>
      </w:pPr>
      <w:hyperlink w:anchor="_Toc131088661" w:history="1">
        <w:r w:rsidR="00DF2AB4" w:rsidRPr="006E3E21">
          <w:rPr>
            <w:rStyle w:val="Hyperlink"/>
            <w:noProof/>
          </w:rPr>
          <w:t>Product integrity, safety, and wholesomeness</w:t>
        </w:r>
        <w:r w:rsidR="00DF2AB4">
          <w:rPr>
            <w:noProof/>
            <w:webHidden/>
          </w:rPr>
          <w:tab/>
        </w:r>
        <w:r w:rsidR="00DF2AB4">
          <w:rPr>
            <w:noProof/>
            <w:webHidden/>
          </w:rPr>
          <w:fldChar w:fldCharType="begin"/>
        </w:r>
        <w:r w:rsidR="00DF2AB4">
          <w:rPr>
            <w:noProof/>
            <w:webHidden/>
          </w:rPr>
          <w:instrText xml:space="preserve"> PAGEREF _Toc131088661 \h </w:instrText>
        </w:r>
        <w:r w:rsidR="00DF2AB4">
          <w:rPr>
            <w:noProof/>
            <w:webHidden/>
          </w:rPr>
        </w:r>
        <w:r w:rsidR="00DF2AB4">
          <w:rPr>
            <w:noProof/>
            <w:webHidden/>
          </w:rPr>
          <w:fldChar w:fldCharType="separate"/>
        </w:r>
        <w:r w:rsidR="00DF2AB4">
          <w:rPr>
            <w:noProof/>
            <w:webHidden/>
          </w:rPr>
          <w:t>4</w:t>
        </w:r>
        <w:r w:rsidR="00DF2AB4">
          <w:rPr>
            <w:noProof/>
            <w:webHidden/>
          </w:rPr>
          <w:fldChar w:fldCharType="end"/>
        </w:r>
      </w:hyperlink>
    </w:p>
    <w:p w14:paraId="083BDBEF" w14:textId="4876DE7A" w:rsidR="00DF2AB4" w:rsidRDefault="00000000">
      <w:pPr>
        <w:pStyle w:val="TOC3"/>
        <w:rPr>
          <w:rFonts w:asciiTheme="minorHAnsi" w:eastAsiaTheme="minorEastAsia" w:hAnsiTheme="minorHAnsi" w:cstheme="minorBidi"/>
          <w:noProof/>
          <w:sz w:val="22"/>
          <w:lang w:val="en-AU" w:eastAsia="en-AU"/>
        </w:rPr>
      </w:pPr>
      <w:hyperlink w:anchor="_Toc131088662" w:history="1">
        <w:r w:rsidR="00DF2AB4" w:rsidRPr="006E3E21">
          <w:rPr>
            <w:rStyle w:val="Hyperlink"/>
            <w:noProof/>
          </w:rPr>
          <w:t>Additional requirements to determine eligibility of product</w:t>
        </w:r>
        <w:r w:rsidR="00DF2AB4">
          <w:rPr>
            <w:noProof/>
            <w:webHidden/>
          </w:rPr>
          <w:tab/>
        </w:r>
        <w:r w:rsidR="00DF2AB4">
          <w:rPr>
            <w:noProof/>
            <w:webHidden/>
          </w:rPr>
          <w:fldChar w:fldCharType="begin"/>
        </w:r>
        <w:r w:rsidR="00DF2AB4">
          <w:rPr>
            <w:noProof/>
            <w:webHidden/>
          </w:rPr>
          <w:instrText xml:space="preserve"> PAGEREF _Toc131088662 \h </w:instrText>
        </w:r>
        <w:r w:rsidR="00DF2AB4">
          <w:rPr>
            <w:noProof/>
            <w:webHidden/>
          </w:rPr>
        </w:r>
        <w:r w:rsidR="00DF2AB4">
          <w:rPr>
            <w:noProof/>
            <w:webHidden/>
          </w:rPr>
          <w:fldChar w:fldCharType="separate"/>
        </w:r>
        <w:r w:rsidR="00DF2AB4">
          <w:rPr>
            <w:noProof/>
            <w:webHidden/>
          </w:rPr>
          <w:t>4</w:t>
        </w:r>
        <w:r w:rsidR="00DF2AB4">
          <w:rPr>
            <w:noProof/>
            <w:webHidden/>
          </w:rPr>
          <w:fldChar w:fldCharType="end"/>
        </w:r>
      </w:hyperlink>
    </w:p>
    <w:p w14:paraId="7B711D69" w14:textId="0FA1F0D0" w:rsidR="00DF2AB4" w:rsidRDefault="00000000">
      <w:pPr>
        <w:pStyle w:val="TOC2"/>
        <w:rPr>
          <w:rFonts w:asciiTheme="minorHAnsi" w:eastAsiaTheme="minorEastAsia" w:hAnsiTheme="minorHAnsi" w:cstheme="minorBidi"/>
          <w:noProof/>
          <w:sz w:val="22"/>
          <w:lang w:val="en-AU" w:eastAsia="en-AU"/>
        </w:rPr>
      </w:pPr>
      <w:hyperlink w:anchor="_Toc131088663" w:history="1">
        <w:r w:rsidR="00DF2AB4" w:rsidRPr="006E3E21">
          <w:rPr>
            <w:rStyle w:val="Hyperlink"/>
            <w:noProof/>
          </w:rPr>
          <w:t>Product recall</w:t>
        </w:r>
        <w:r w:rsidR="00DF2AB4">
          <w:rPr>
            <w:noProof/>
            <w:webHidden/>
          </w:rPr>
          <w:tab/>
        </w:r>
        <w:r w:rsidR="00DF2AB4">
          <w:rPr>
            <w:noProof/>
            <w:webHidden/>
          </w:rPr>
          <w:fldChar w:fldCharType="begin"/>
        </w:r>
        <w:r w:rsidR="00DF2AB4">
          <w:rPr>
            <w:noProof/>
            <w:webHidden/>
          </w:rPr>
          <w:instrText xml:space="preserve"> PAGEREF _Toc131088663 \h </w:instrText>
        </w:r>
        <w:r w:rsidR="00DF2AB4">
          <w:rPr>
            <w:noProof/>
            <w:webHidden/>
          </w:rPr>
        </w:r>
        <w:r w:rsidR="00DF2AB4">
          <w:rPr>
            <w:noProof/>
            <w:webHidden/>
          </w:rPr>
          <w:fldChar w:fldCharType="separate"/>
        </w:r>
        <w:r w:rsidR="00DF2AB4">
          <w:rPr>
            <w:noProof/>
            <w:webHidden/>
          </w:rPr>
          <w:t>4</w:t>
        </w:r>
        <w:r w:rsidR="00DF2AB4">
          <w:rPr>
            <w:noProof/>
            <w:webHidden/>
          </w:rPr>
          <w:fldChar w:fldCharType="end"/>
        </w:r>
      </w:hyperlink>
    </w:p>
    <w:p w14:paraId="3D825130" w14:textId="2208026D" w:rsidR="00DF2AB4" w:rsidRDefault="00000000">
      <w:pPr>
        <w:pStyle w:val="TOC2"/>
        <w:rPr>
          <w:rFonts w:asciiTheme="minorHAnsi" w:eastAsiaTheme="minorEastAsia" w:hAnsiTheme="minorHAnsi" w:cstheme="minorBidi"/>
          <w:noProof/>
          <w:sz w:val="22"/>
          <w:lang w:val="en-AU" w:eastAsia="en-AU"/>
        </w:rPr>
      </w:pPr>
      <w:hyperlink w:anchor="_Toc131088664" w:history="1">
        <w:r w:rsidR="00DF2AB4" w:rsidRPr="006E3E21">
          <w:rPr>
            <w:rStyle w:val="Hyperlink"/>
            <w:noProof/>
          </w:rPr>
          <w:t>Communication</w:t>
        </w:r>
        <w:r w:rsidR="00DF2AB4">
          <w:rPr>
            <w:noProof/>
            <w:webHidden/>
          </w:rPr>
          <w:tab/>
        </w:r>
        <w:r w:rsidR="00DF2AB4">
          <w:rPr>
            <w:noProof/>
            <w:webHidden/>
          </w:rPr>
          <w:fldChar w:fldCharType="begin"/>
        </w:r>
        <w:r w:rsidR="00DF2AB4">
          <w:rPr>
            <w:noProof/>
            <w:webHidden/>
          </w:rPr>
          <w:instrText xml:space="preserve"> PAGEREF _Toc131088664 \h </w:instrText>
        </w:r>
        <w:r w:rsidR="00DF2AB4">
          <w:rPr>
            <w:noProof/>
            <w:webHidden/>
          </w:rPr>
        </w:r>
        <w:r w:rsidR="00DF2AB4">
          <w:rPr>
            <w:noProof/>
            <w:webHidden/>
          </w:rPr>
          <w:fldChar w:fldCharType="separate"/>
        </w:r>
        <w:r w:rsidR="00DF2AB4">
          <w:rPr>
            <w:noProof/>
            <w:webHidden/>
          </w:rPr>
          <w:t>5</w:t>
        </w:r>
        <w:r w:rsidR="00DF2AB4">
          <w:rPr>
            <w:noProof/>
            <w:webHidden/>
          </w:rPr>
          <w:fldChar w:fldCharType="end"/>
        </w:r>
      </w:hyperlink>
    </w:p>
    <w:p w14:paraId="4B7164A5" w14:textId="4D128843" w:rsidR="00DF2AB4" w:rsidRDefault="00000000">
      <w:pPr>
        <w:pStyle w:val="TOC3"/>
        <w:rPr>
          <w:rFonts w:asciiTheme="minorHAnsi" w:eastAsiaTheme="minorEastAsia" w:hAnsiTheme="minorHAnsi" w:cstheme="minorBidi"/>
          <w:noProof/>
          <w:sz w:val="22"/>
          <w:lang w:val="en-AU" w:eastAsia="en-AU"/>
        </w:rPr>
      </w:pPr>
      <w:hyperlink w:anchor="_Toc131088665" w:history="1">
        <w:r w:rsidR="00DF2AB4" w:rsidRPr="006E3E21">
          <w:rPr>
            <w:rStyle w:val="Hyperlink"/>
            <w:noProof/>
          </w:rPr>
          <w:t>No risk to product integrity, product safety or wholesomeness</w:t>
        </w:r>
        <w:r w:rsidR="00DF2AB4">
          <w:rPr>
            <w:noProof/>
            <w:webHidden/>
          </w:rPr>
          <w:tab/>
        </w:r>
        <w:r w:rsidR="00DF2AB4">
          <w:rPr>
            <w:noProof/>
            <w:webHidden/>
          </w:rPr>
          <w:fldChar w:fldCharType="begin"/>
        </w:r>
        <w:r w:rsidR="00DF2AB4">
          <w:rPr>
            <w:noProof/>
            <w:webHidden/>
          </w:rPr>
          <w:instrText xml:space="preserve"> PAGEREF _Toc131088665 \h </w:instrText>
        </w:r>
        <w:r w:rsidR="00DF2AB4">
          <w:rPr>
            <w:noProof/>
            <w:webHidden/>
          </w:rPr>
        </w:r>
        <w:r w:rsidR="00DF2AB4">
          <w:rPr>
            <w:noProof/>
            <w:webHidden/>
          </w:rPr>
          <w:fldChar w:fldCharType="separate"/>
        </w:r>
        <w:r w:rsidR="00DF2AB4">
          <w:rPr>
            <w:noProof/>
            <w:webHidden/>
          </w:rPr>
          <w:t>5</w:t>
        </w:r>
        <w:r w:rsidR="00DF2AB4">
          <w:rPr>
            <w:noProof/>
            <w:webHidden/>
          </w:rPr>
          <w:fldChar w:fldCharType="end"/>
        </w:r>
      </w:hyperlink>
    </w:p>
    <w:p w14:paraId="582EEF59" w14:textId="1BD12A4A" w:rsidR="00DF2AB4" w:rsidRDefault="00000000">
      <w:pPr>
        <w:pStyle w:val="TOC3"/>
        <w:rPr>
          <w:rFonts w:asciiTheme="minorHAnsi" w:eastAsiaTheme="minorEastAsia" w:hAnsiTheme="minorHAnsi" w:cstheme="minorBidi"/>
          <w:noProof/>
          <w:sz w:val="22"/>
          <w:lang w:val="en-AU" w:eastAsia="en-AU"/>
        </w:rPr>
      </w:pPr>
      <w:hyperlink w:anchor="_Toc131088666" w:history="1">
        <w:r w:rsidR="00DF2AB4" w:rsidRPr="006E3E21">
          <w:rPr>
            <w:rStyle w:val="Hyperlink"/>
            <w:noProof/>
          </w:rPr>
          <w:t>Risk to product integrity, product safety or wholesomeness</w:t>
        </w:r>
        <w:r w:rsidR="00DF2AB4">
          <w:rPr>
            <w:noProof/>
            <w:webHidden/>
          </w:rPr>
          <w:tab/>
        </w:r>
        <w:r w:rsidR="00DF2AB4">
          <w:rPr>
            <w:noProof/>
            <w:webHidden/>
          </w:rPr>
          <w:fldChar w:fldCharType="begin"/>
        </w:r>
        <w:r w:rsidR="00DF2AB4">
          <w:rPr>
            <w:noProof/>
            <w:webHidden/>
          </w:rPr>
          <w:instrText xml:space="preserve"> PAGEREF _Toc131088666 \h </w:instrText>
        </w:r>
        <w:r w:rsidR="00DF2AB4">
          <w:rPr>
            <w:noProof/>
            <w:webHidden/>
          </w:rPr>
        </w:r>
        <w:r w:rsidR="00DF2AB4">
          <w:rPr>
            <w:noProof/>
            <w:webHidden/>
          </w:rPr>
          <w:fldChar w:fldCharType="separate"/>
        </w:r>
        <w:r w:rsidR="00DF2AB4">
          <w:rPr>
            <w:noProof/>
            <w:webHidden/>
          </w:rPr>
          <w:t>5</w:t>
        </w:r>
        <w:r w:rsidR="00DF2AB4">
          <w:rPr>
            <w:noProof/>
            <w:webHidden/>
          </w:rPr>
          <w:fldChar w:fldCharType="end"/>
        </w:r>
      </w:hyperlink>
    </w:p>
    <w:p w14:paraId="1BA10845" w14:textId="3B7748A8" w:rsidR="00DF2AB4" w:rsidRDefault="00000000">
      <w:pPr>
        <w:pStyle w:val="TOC2"/>
        <w:rPr>
          <w:rFonts w:asciiTheme="minorHAnsi" w:eastAsiaTheme="minorEastAsia" w:hAnsiTheme="minorHAnsi" w:cstheme="minorBidi"/>
          <w:noProof/>
          <w:sz w:val="22"/>
          <w:lang w:val="en-AU" w:eastAsia="en-AU"/>
        </w:rPr>
      </w:pPr>
      <w:hyperlink w:anchor="_Toc131088667" w:history="1">
        <w:r w:rsidR="00DF2AB4" w:rsidRPr="006E3E21">
          <w:rPr>
            <w:rStyle w:val="Hyperlink"/>
            <w:noProof/>
          </w:rPr>
          <w:t>Related material</w:t>
        </w:r>
        <w:r w:rsidR="00DF2AB4">
          <w:rPr>
            <w:noProof/>
            <w:webHidden/>
          </w:rPr>
          <w:tab/>
        </w:r>
        <w:r w:rsidR="00DF2AB4">
          <w:rPr>
            <w:noProof/>
            <w:webHidden/>
          </w:rPr>
          <w:fldChar w:fldCharType="begin"/>
        </w:r>
        <w:r w:rsidR="00DF2AB4">
          <w:rPr>
            <w:noProof/>
            <w:webHidden/>
          </w:rPr>
          <w:instrText xml:space="preserve"> PAGEREF _Toc131088667 \h </w:instrText>
        </w:r>
        <w:r w:rsidR="00DF2AB4">
          <w:rPr>
            <w:noProof/>
            <w:webHidden/>
          </w:rPr>
        </w:r>
        <w:r w:rsidR="00DF2AB4">
          <w:rPr>
            <w:noProof/>
            <w:webHidden/>
          </w:rPr>
          <w:fldChar w:fldCharType="separate"/>
        </w:r>
        <w:r w:rsidR="00DF2AB4">
          <w:rPr>
            <w:noProof/>
            <w:webHidden/>
          </w:rPr>
          <w:t>6</w:t>
        </w:r>
        <w:r w:rsidR="00DF2AB4">
          <w:rPr>
            <w:noProof/>
            <w:webHidden/>
          </w:rPr>
          <w:fldChar w:fldCharType="end"/>
        </w:r>
      </w:hyperlink>
    </w:p>
    <w:p w14:paraId="0BC6F7DE" w14:textId="49B42B94" w:rsidR="00DF2AB4" w:rsidRDefault="00000000">
      <w:pPr>
        <w:pStyle w:val="TOC2"/>
        <w:rPr>
          <w:rFonts w:asciiTheme="minorHAnsi" w:eastAsiaTheme="minorEastAsia" w:hAnsiTheme="minorHAnsi" w:cstheme="minorBidi"/>
          <w:noProof/>
          <w:sz w:val="22"/>
          <w:lang w:val="en-AU" w:eastAsia="en-AU"/>
        </w:rPr>
      </w:pPr>
      <w:hyperlink w:anchor="_Toc131088668" w:history="1">
        <w:r w:rsidR="00DF2AB4" w:rsidRPr="006E3E21">
          <w:rPr>
            <w:rStyle w:val="Hyperlink"/>
            <w:noProof/>
          </w:rPr>
          <w:t>Attachment 1: Roles and responsibilities</w:t>
        </w:r>
        <w:r w:rsidR="00DF2AB4">
          <w:rPr>
            <w:noProof/>
            <w:webHidden/>
          </w:rPr>
          <w:tab/>
        </w:r>
        <w:r w:rsidR="00DF2AB4">
          <w:rPr>
            <w:noProof/>
            <w:webHidden/>
          </w:rPr>
          <w:fldChar w:fldCharType="begin"/>
        </w:r>
        <w:r w:rsidR="00DF2AB4">
          <w:rPr>
            <w:noProof/>
            <w:webHidden/>
          </w:rPr>
          <w:instrText xml:space="preserve"> PAGEREF _Toc131088668 \h </w:instrText>
        </w:r>
        <w:r w:rsidR="00DF2AB4">
          <w:rPr>
            <w:noProof/>
            <w:webHidden/>
          </w:rPr>
        </w:r>
        <w:r w:rsidR="00DF2AB4">
          <w:rPr>
            <w:noProof/>
            <w:webHidden/>
          </w:rPr>
          <w:fldChar w:fldCharType="separate"/>
        </w:r>
        <w:r w:rsidR="00DF2AB4">
          <w:rPr>
            <w:noProof/>
            <w:webHidden/>
          </w:rPr>
          <w:t>7</w:t>
        </w:r>
        <w:r w:rsidR="00DF2AB4">
          <w:rPr>
            <w:noProof/>
            <w:webHidden/>
          </w:rPr>
          <w:fldChar w:fldCharType="end"/>
        </w:r>
      </w:hyperlink>
    </w:p>
    <w:p w14:paraId="6B1FA6FC" w14:textId="287AEFA7" w:rsidR="00DF2AB4" w:rsidRDefault="00000000">
      <w:pPr>
        <w:pStyle w:val="TOC3"/>
        <w:rPr>
          <w:rFonts w:asciiTheme="minorHAnsi" w:eastAsiaTheme="minorEastAsia" w:hAnsiTheme="minorHAnsi" w:cstheme="minorBidi"/>
          <w:noProof/>
          <w:sz w:val="22"/>
          <w:lang w:val="en-AU" w:eastAsia="en-AU"/>
        </w:rPr>
      </w:pPr>
      <w:hyperlink w:anchor="_Toc131088669" w:history="1">
        <w:r w:rsidR="00DF2AB4" w:rsidRPr="006E3E21">
          <w:rPr>
            <w:rStyle w:val="Hyperlink"/>
            <w:noProof/>
          </w:rPr>
          <w:t>Assistant Director (AD), Veterinary and Export Meat (VEMB)</w:t>
        </w:r>
        <w:r w:rsidR="00DF2AB4">
          <w:rPr>
            <w:noProof/>
            <w:webHidden/>
          </w:rPr>
          <w:tab/>
        </w:r>
        <w:r w:rsidR="00DF2AB4">
          <w:rPr>
            <w:noProof/>
            <w:webHidden/>
          </w:rPr>
          <w:fldChar w:fldCharType="begin"/>
        </w:r>
        <w:r w:rsidR="00DF2AB4">
          <w:rPr>
            <w:noProof/>
            <w:webHidden/>
          </w:rPr>
          <w:instrText xml:space="preserve"> PAGEREF _Toc131088669 \h </w:instrText>
        </w:r>
        <w:r w:rsidR="00DF2AB4">
          <w:rPr>
            <w:noProof/>
            <w:webHidden/>
          </w:rPr>
        </w:r>
        <w:r w:rsidR="00DF2AB4">
          <w:rPr>
            <w:noProof/>
            <w:webHidden/>
          </w:rPr>
          <w:fldChar w:fldCharType="separate"/>
        </w:r>
        <w:r w:rsidR="00DF2AB4">
          <w:rPr>
            <w:noProof/>
            <w:webHidden/>
          </w:rPr>
          <w:t>7</w:t>
        </w:r>
        <w:r w:rsidR="00DF2AB4">
          <w:rPr>
            <w:noProof/>
            <w:webHidden/>
          </w:rPr>
          <w:fldChar w:fldCharType="end"/>
        </w:r>
      </w:hyperlink>
    </w:p>
    <w:p w14:paraId="3855F940" w14:textId="49AB0F47" w:rsidR="00DF2AB4" w:rsidRDefault="00000000">
      <w:pPr>
        <w:pStyle w:val="TOC3"/>
        <w:rPr>
          <w:rFonts w:asciiTheme="minorHAnsi" w:eastAsiaTheme="minorEastAsia" w:hAnsiTheme="minorHAnsi" w:cstheme="minorBidi"/>
          <w:noProof/>
          <w:sz w:val="22"/>
          <w:lang w:val="en-AU" w:eastAsia="en-AU"/>
        </w:rPr>
      </w:pPr>
      <w:hyperlink w:anchor="_Toc131088670" w:history="1">
        <w:r w:rsidR="00DF2AB4" w:rsidRPr="006E3E21">
          <w:rPr>
            <w:rStyle w:val="Hyperlink"/>
            <w:noProof/>
          </w:rPr>
          <w:t>Establishment Area Technical Manager (ATM)</w:t>
        </w:r>
        <w:r w:rsidR="00DF2AB4">
          <w:rPr>
            <w:noProof/>
            <w:webHidden/>
          </w:rPr>
          <w:tab/>
        </w:r>
        <w:r w:rsidR="00DF2AB4">
          <w:rPr>
            <w:noProof/>
            <w:webHidden/>
          </w:rPr>
          <w:fldChar w:fldCharType="begin"/>
        </w:r>
        <w:r w:rsidR="00DF2AB4">
          <w:rPr>
            <w:noProof/>
            <w:webHidden/>
          </w:rPr>
          <w:instrText xml:space="preserve"> PAGEREF _Toc131088670 \h </w:instrText>
        </w:r>
        <w:r w:rsidR="00DF2AB4">
          <w:rPr>
            <w:noProof/>
            <w:webHidden/>
          </w:rPr>
        </w:r>
        <w:r w:rsidR="00DF2AB4">
          <w:rPr>
            <w:noProof/>
            <w:webHidden/>
          </w:rPr>
          <w:fldChar w:fldCharType="separate"/>
        </w:r>
        <w:r w:rsidR="00DF2AB4">
          <w:rPr>
            <w:noProof/>
            <w:webHidden/>
          </w:rPr>
          <w:t>7</w:t>
        </w:r>
        <w:r w:rsidR="00DF2AB4">
          <w:rPr>
            <w:noProof/>
            <w:webHidden/>
          </w:rPr>
          <w:fldChar w:fldCharType="end"/>
        </w:r>
      </w:hyperlink>
    </w:p>
    <w:p w14:paraId="5547CEB6" w14:textId="2642AFA3" w:rsidR="00DF2AB4" w:rsidRDefault="00000000">
      <w:pPr>
        <w:pStyle w:val="TOC3"/>
        <w:rPr>
          <w:rFonts w:asciiTheme="minorHAnsi" w:eastAsiaTheme="minorEastAsia" w:hAnsiTheme="minorHAnsi" w:cstheme="minorBidi"/>
          <w:noProof/>
          <w:sz w:val="22"/>
          <w:lang w:val="en-AU" w:eastAsia="en-AU"/>
        </w:rPr>
      </w:pPr>
      <w:hyperlink w:anchor="_Toc131088671" w:history="1">
        <w:r w:rsidR="00DF2AB4" w:rsidRPr="006E3E21">
          <w:rPr>
            <w:rStyle w:val="Hyperlink"/>
            <w:noProof/>
          </w:rPr>
          <w:t>Establishment Management</w:t>
        </w:r>
        <w:r w:rsidR="00DF2AB4">
          <w:rPr>
            <w:noProof/>
            <w:webHidden/>
          </w:rPr>
          <w:tab/>
        </w:r>
        <w:r w:rsidR="00DF2AB4">
          <w:rPr>
            <w:noProof/>
            <w:webHidden/>
          </w:rPr>
          <w:fldChar w:fldCharType="begin"/>
        </w:r>
        <w:r w:rsidR="00DF2AB4">
          <w:rPr>
            <w:noProof/>
            <w:webHidden/>
          </w:rPr>
          <w:instrText xml:space="preserve"> PAGEREF _Toc131088671 \h </w:instrText>
        </w:r>
        <w:r w:rsidR="00DF2AB4">
          <w:rPr>
            <w:noProof/>
            <w:webHidden/>
          </w:rPr>
        </w:r>
        <w:r w:rsidR="00DF2AB4">
          <w:rPr>
            <w:noProof/>
            <w:webHidden/>
          </w:rPr>
          <w:fldChar w:fldCharType="separate"/>
        </w:r>
        <w:r w:rsidR="00DF2AB4">
          <w:rPr>
            <w:noProof/>
            <w:webHidden/>
          </w:rPr>
          <w:t>7</w:t>
        </w:r>
        <w:r w:rsidR="00DF2AB4">
          <w:rPr>
            <w:noProof/>
            <w:webHidden/>
          </w:rPr>
          <w:fldChar w:fldCharType="end"/>
        </w:r>
      </w:hyperlink>
    </w:p>
    <w:p w14:paraId="3ED1FA61" w14:textId="061932A3" w:rsidR="00DF2AB4" w:rsidRDefault="00000000">
      <w:pPr>
        <w:pStyle w:val="TOC3"/>
        <w:rPr>
          <w:rFonts w:asciiTheme="minorHAnsi" w:eastAsiaTheme="minorEastAsia" w:hAnsiTheme="minorHAnsi" w:cstheme="minorBidi"/>
          <w:noProof/>
          <w:sz w:val="22"/>
          <w:lang w:val="en-AU" w:eastAsia="en-AU"/>
        </w:rPr>
      </w:pPr>
      <w:hyperlink w:anchor="_Toc131088672" w:history="1">
        <w:r w:rsidR="00DF2AB4" w:rsidRPr="006E3E21">
          <w:rPr>
            <w:rStyle w:val="Hyperlink"/>
            <w:noProof/>
          </w:rPr>
          <w:t>Field Operations Manager (FOM)</w:t>
        </w:r>
        <w:r w:rsidR="00DF2AB4">
          <w:rPr>
            <w:noProof/>
            <w:webHidden/>
          </w:rPr>
          <w:tab/>
        </w:r>
        <w:r w:rsidR="00DF2AB4">
          <w:rPr>
            <w:noProof/>
            <w:webHidden/>
          </w:rPr>
          <w:fldChar w:fldCharType="begin"/>
        </w:r>
        <w:r w:rsidR="00DF2AB4">
          <w:rPr>
            <w:noProof/>
            <w:webHidden/>
          </w:rPr>
          <w:instrText xml:space="preserve"> PAGEREF _Toc131088672 \h </w:instrText>
        </w:r>
        <w:r w:rsidR="00DF2AB4">
          <w:rPr>
            <w:noProof/>
            <w:webHidden/>
          </w:rPr>
        </w:r>
        <w:r w:rsidR="00DF2AB4">
          <w:rPr>
            <w:noProof/>
            <w:webHidden/>
          </w:rPr>
          <w:fldChar w:fldCharType="separate"/>
        </w:r>
        <w:r w:rsidR="00DF2AB4">
          <w:rPr>
            <w:noProof/>
            <w:webHidden/>
          </w:rPr>
          <w:t>7</w:t>
        </w:r>
        <w:r w:rsidR="00DF2AB4">
          <w:rPr>
            <w:noProof/>
            <w:webHidden/>
          </w:rPr>
          <w:fldChar w:fldCharType="end"/>
        </w:r>
      </w:hyperlink>
    </w:p>
    <w:p w14:paraId="187F220C" w14:textId="137847A0" w:rsidR="00DF2AB4" w:rsidRDefault="00000000">
      <w:pPr>
        <w:pStyle w:val="TOC3"/>
        <w:rPr>
          <w:rFonts w:asciiTheme="minorHAnsi" w:eastAsiaTheme="minorEastAsia" w:hAnsiTheme="minorHAnsi" w:cstheme="minorBidi"/>
          <w:noProof/>
          <w:sz w:val="22"/>
          <w:lang w:val="en-AU" w:eastAsia="en-AU"/>
        </w:rPr>
      </w:pPr>
      <w:hyperlink w:anchor="_Toc131088673" w:history="1">
        <w:r w:rsidR="00DF2AB4" w:rsidRPr="006E3E21">
          <w:rPr>
            <w:rStyle w:val="Hyperlink"/>
            <w:noProof/>
          </w:rPr>
          <w:t>On-plant officers (On-Plant Veterinarian and Food Safety Assessor)</w:t>
        </w:r>
        <w:r w:rsidR="00DF2AB4">
          <w:rPr>
            <w:noProof/>
            <w:webHidden/>
          </w:rPr>
          <w:tab/>
        </w:r>
        <w:r w:rsidR="00DF2AB4">
          <w:rPr>
            <w:noProof/>
            <w:webHidden/>
          </w:rPr>
          <w:fldChar w:fldCharType="begin"/>
        </w:r>
        <w:r w:rsidR="00DF2AB4">
          <w:rPr>
            <w:noProof/>
            <w:webHidden/>
          </w:rPr>
          <w:instrText xml:space="preserve"> PAGEREF _Toc131088673 \h </w:instrText>
        </w:r>
        <w:r w:rsidR="00DF2AB4">
          <w:rPr>
            <w:noProof/>
            <w:webHidden/>
          </w:rPr>
        </w:r>
        <w:r w:rsidR="00DF2AB4">
          <w:rPr>
            <w:noProof/>
            <w:webHidden/>
          </w:rPr>
          <w:fldChar w:fldCharType="separate"/>
        </w:r>
        <w:r w:rsidR="00DF2AB4">
          <w:rPr>
            <w:noProof/>
            <w:webHidden/>
          </w:rPr>
          <w:t>7</w:t>
        </w:r>
        <w:r w:rsidR="00DF2AB4">
          <w:rPr>
            <w:noProof/>
            <w:webHidden/>
          </w:rPr>
          <w:fldChar w:fldCharType="end"/>
        </w:r>
      </w:hyperlink>
    </w:p>
    <w:p w14:paraId="6049F2C9" w14:textId="3B3B6EA5" w:rsidR="00DF2AB4" w:rsidRDefault="00000000">
      <w:pPr>
        <w:pStyle w:val="TOC2"/>
        <w:rPr>
          <w:rFonts w:asciiTheme="minorHAnsi" w:eastAsiaTheme="minorEastAsia" w:hAnsiTheme="minorHAnsi" w:cstheme="minorBidi"/>
          <w:noProof/>
          <w:sz w:val="22"/>
          <w:lang w:val="en-AU" w:eastAsia="en-AU"/>
        </w:rPr>
      </w:pPr>
      <w:hyperlink w:anchor="_Toc131088674" w:history="1">
        <w:r w:rsidR="00DF2AB4" w:rsidRPr="006E3E21">
          <w:rPr>
            <w:rStyle w:val="Hyperlink"/>
            <w:noProof/>
          </w:rPr>
          <w:t>Attachment 2: Definitions</w:t>
        </w:r>
        <w:r w:rsidR="00DF2AB4">
          <w:rPr>
            <w:noProof/>
            <w:webHidden/>
          </w:rPr>
          <w:tab/>
        </w:r>
        <w:r w:rsidR="00DF2AB4">
          <w:rPr>
            <w:noProof/>
            <w:webHidden/>
          </w:rPr>
          <w:fldChar w:fldCharType="begin"/>
        </w:r>
        <w:r w:rsidR="00DF2AB4">
          <w:rPr>
            <w:noProof/>
            <w:webHidden/>
          </w:rPr>
          <w:instrText xml:space="preserve"> PAGEREF _Toc131088674 \h </w:instrText>
        </w:r>
        <w:r w:rsidR="00DF2AB4">
          <w:rPr>
            <w:noProof/>
            <w:webHidden/>
          </w:rPr>
        </w:r>
        <w:r w:rsidR="00DF2AB4">
          <w:rPr>
            <w:noProof/>
            <w:webHidden/>
          </w:rPr>
          <w:fldChar w:fldCharType="separate"/>
        </w:r>
        <w:r w:rsidR="00DF2AB4">
          <w:rPr>
            <w:noProof/>
            <w:webHidden/>
          </w:rPr>
          <w:t>8</w:t>
        </w:r>
        <w:r w:rsidR="00DF2AB4">
          <w:rPr>
            <w:noProof/>
            <w:webHidden/>
          </w:rPr>
          <w:fldChar w:fldCharType="end"/>
        </w:r>
      </w:hyperlink>
    </w:p>
    <w:p w14:paraId="62E16EF8" w14:textId="0FF3ED5A" w:rsidR="00B677B7" w:rsidRDefault="00235991" w:rsidP="00F02A12">
      <w:pPr>
        <w:tabs>
          <w:tab w:val="right" w:leader="dot" w:pos="11057"/>
        </w:tabs>
        <w:spacing w:before="86" w:after="20" w:line="264" w:lineRule="exact"/>
        <w:ind w:left="1985" w:right="1077"/>
        <w:textAlignment w:val="baseline"/>
        <w:rPr>
          <w:rFonts w:ascii="Cambria" w:eastAsia="Cambria" w:hAnsi="Cambria"/>
          <w:b/>
          <w:color w:val="00588F"/>
          <w:spacing w:val="-2"/>
          <w:sz w:val="33"/>
        </w:rPr>
        <w:sectPr w:rsidR="00B677B7" w:rsidSect="006E7F3E">
          <w:footerReference w:type="default" r:id="rId15"/>
          <w:footerReference w:type="first" r:id="rId16"/>
          <w:pgSz w:w="11909" w:h="16838"/>
          <w:pgMar w:top="1418" w:right="0" w:bottom="179" w:left="0" w:header="0" w:footer="0" w:gutter="0"/>
          <w:cols w:space="720"/>
          <w:titlePg/>
          <w:docGrid w:linePitch="299"/>
        </w:sectPr>
      </w:pPr>
      <w:r>
        <w:rPr>
          <w:rFonts w:eastAsia="Cambria"/>
          <w:color w:val="000000"/>
        </w:rPr>
        <w:fldChar w:fldCharType="end"/>
      </w:r>
      <w:r w:rsidR="007D4160">
        <w:rPr>
          <w:rFonts w:eastAsia="Cambria"/>
          <w:color w:val="000000"/>
        </w:rPr>
        <w:t xml:space="preserve"> </w:t>
      </w:r>
    </w:p>
    <w:p w14:paraId="69199550" w14:textId="6B55832A" w:rsidR="006F1EC3" w:rsidRPr="006F1EC3" w:rsidRDefault="00534BC1" w:rsidP="00C951FB">
      <w:pPr>
        <w:pStyle w:val="Heading2"/>
      </w:pPr>
      <w:bookmarkStart w:id="1" w:name="_Toc131088658"/>
      <w:r>
        <w:lastRenderedPageBreak/>
        <w:t>Principles</w:t>
      </w:r>
      <w:bookmarkEnd w:id="1"/>
    </w:p>
    <w:p w14:paraId="3B7ED8DB" w14:textId="5DF9A4CA" w:rsidR="00D71C15" w:rsidRDefault="00D71C15" w:rsidP="00FF1062">
      <w:pPr>
        <w:pStyle w:val="Documentbody-bodytext"/>
      </w:pPr>
      <w:r>
        <w:t>The following principles underpin this guideline:</w:t>
      </w:r>
    </w:p>
    <w:p w14:paraId="679F9CF0" w14:textId="21767F31" w:rsidR="00123069" w:rsidRDefault="00534BC1" w:rsidP="00A8521D">
      <w:pPr>
        <w:pStyle w:val="Bullet1"/>
        <w:numPr>
          <w:ilvl w:val="0"/>
          <w:numId w:val="1"/>
        </w:numPr>
        <w:ind w:left="1712" w:right="992" w:hanging="357"/>
        <w:textAlignment w:val="auto"/>
      </w:pPr>
      <w:r>
        <w:t xml:space="preserve">Ensuring workplace health and safety of all persons at the establishment is prioritised over any product integrity, </w:t>
      </w:r>
      <w:r w:rsidR="003E2271">
        <w:t>safety,</w:t>
      </w:r>
      <w:r>
        <w:t xml:space="preserve"> or wholesomeness concerns.</w:t>
      </w:r>
    </w:p>
    <w:p w14:paraId="2633A1C6" w14:textId="3C8D1ED2" w:rsidR="008C3DDE" w:rsidRDefault="00020813" w:rsidP="003601CA">
      <w:pPr>
        <w:pStyle w:val="Bullet1"/>
        <w:numPr>
          <w:ilvl w:val="0"/>
          <w:numId w:val="1"/>
        </w:numPr>
        <w:ind w:left="1712" w:right="992" w:hanging="357"/>
        <w:textAlignment w:val="auto"/>
      </w:pPr>
      <w:r>
        <w:t>Comprehensive</w:t>
      </w:r>
      <w:r w:rsidR="00EE712F">
        <w:t xml:space="preserve"> communication between all people on site is essential to manage interruption to production incidents.</w:t>
      </w:r>
    </w:p>
    <w:p w14:paraId="2A3FCF79" w14:textId="2C18B53E" w:rsidR="008C3DDE" w:rsidRPr="008C3DDE" w:rsidRDefault="00020813" w:rsidP="003601CA">
      <w:pPr>
        <w:pStyle w:val="Documentbody-bodytext"/>
      </w:pPr>
      <w:r>
        <w:t>Following an interruption to production incident, p</w:t>
      </w:r>
      <w:r w:rsidR="00A8521D">
        <w:t>roduct must be assessed to determine whether it is eligible for</w:t>
      </w:r>
      <w:r w:rsidR="77C368F5">
        <w:t>:</w:t>
      </w:r>
      <w:r w:rsidR="00A8521D">
        <w:t xml:space="preserve"> export</w:t>
      </w:r>
      <w:r w:rsidR="23B8BD1D">
        <w:t xml:space="preserve"> to the </w:t>
      </w:r>
      <w:r w:rsidR="650B083A">
        <w:t xml:space="preserve">destination </w:t>
      </w:r>
      <w:r w:rsidR="23B8BD1D">
        <w:t xml:space="preserve">country or other </w:t>
      </w:r>
      <w:r w:rsidR="4B30A6CF">
        <w:t xml:space="preserve">eligible </w:t>
      </w:r>
      <w:r w:rsidR="23B8BD1D">
        <w:t>countries;</w:t>
      </w:r>
      <w:r w:rsidR="00A8521D">
        <w:t xml:space="preserve"> </w:t>
      </w:r>
      <w:r w:rsidR="5782C5E7">
        <w:t xml:space="preserve">or </w:t>
      </w:r>
      <w:r w:rsidR="0F542A5C">
        <w:t xml:space="preserve">supply to the domestic market. </w:t>
      </w:r>
    </w:p>
    <w:p w14:paraId="78A64D4A" w14:textId="1F7663D0" w:rsidR="004043A8" w:rsidRDefault="00534BC1" w:rsidP="004043A8">
      <w:pPr>
        <w:pStyle w:val="Heading2"/>
      </w:pPr>
      <w:bookmarkStart w:id="2" w:name="_Toc131088659"/>
      <w:r>
        <w:t>Workplace health and safety</w:t>
      </w:r>
      <w:bookmarkEnd w:id="2"/>
    </w:p>
    <w:p w14:paraId="7D2B3E86" w14:textId="3CA475B6" w:rsidR="00361D43" w:rsidRDefault="00EE712F" w:rsidP="00A53C77">
      <w:pPr>
        <w:pStyle w:val="Documentbody-bodytext"/>
      </w:pPr>
      <w:r>
        <w:t xml:space="preserve">If workplace health and safety </w:t>
      </w:r>
      <w:r w:rsidR="005371A0">
        <w:t xml:space="preserve">(WHS) </w:t>
      </w:r>
      <w:r>
        <w:t xml:space="preserve">issues occur during an interruption to production, all </w:t>
      </w:r>
      <w:r w:rsidR="001F53F3">
        <w:t xml:space="preserve">persons </w:t>
      </w:r>
      <w:r>
        <w:t xml:space="preserve">on plant </w:t>
      </w:r>
      <w:r w:rsidR="001F53F3">
        <w:t>must ensure the health and safety of themselves and others on-site</w:t>
      </w:r>
      <w:r>
        <w:t xml:space="preserve">, prior to managing </w:t>
      </w:r>
      <w:r w:rsidR="001F53F3">
        <w:t xml:space="preserve">issues </w:t>
      </w:r>
      <w:r w:rsidR="00281075">
        <w:t>related to</w:t>
      </w:r>
      <w:r w:rsidR="001F53F3">
        <w:t xml:space="preserve"> </w:t>
      </w:r>
      <w:r>
        <w:t>product integrity, safety and</w:t>
      </w:r>
      <w:r w:rsidR="00281075">
        <w:t>/or</w:t>
      </w:r>
      <w:r>
        <w:t xml:space="preserve"> wholesomeness.</w:t>
      </w:r>
    </w:p>
    <w:p w14:paraId="502982E1" w14:textId="4745EADF" w:rsidR="00361D43" w:rsidRDefault="003D3A2E" w:rsidP="00A53C77">
      <w:pPr>
        <w:pStyle w:val="Documentbody-bodytext"/>
      </w:pPr>
      <w:r>
        <w:t xml:space="preserve">The following establishment procedures must be adhered to </w:t>
      </w:r>
      <w:r w:rsidR="005371A0">
        <w:t xml:space="preserve">by all persons on-plant </w:t>
      </w:r>
      <w:r>
        <w:t>during an interruption to production incident</w:t>
      </w:r>
      <w:r w:rsidR="00361D43">
        <w:t>:</w:t>
      </w:r>
    </w:p>
    <w:p w14:paraId="0A252C37" w14:textId="1C762CCC" w:rsidR="00361D43" w:rsidRDefault="00281075" w:rsidP="00361D43">
      <w:pPr>
        <w:pStyle w:val="Bullet1"/>
        <w:numPr>
          <w:ilvl w:val="0"/>
          <w:numId w:val="1"/>
        </w:numPr>
        <w:ind w:left="1712" w:right="992" w:hanging="357"/>
        <w:textAlignment w:val="auto"/>
      </w:pPr>
      <w:r>
        <w:t xml:space="preserve">company </w:t>
      </w:r>
      <w:r w:rsidR="00EE712F">
        <w:t>work</w:t>
      </w:r>
      <w:r w:rsidR="001F53F3">
        <w:t>place</w:t>
      </w:r>
      <w:r w:rsidR="00EE712F">
        <w:t xml:space="preserve"> health and safety procedures </w:t>
      </w:r>
    </w:p>
    <w:p w14:paraId="4A67D076" w14:textId="77777777" w:rsidR="00361D43" w:rsidRDefault="00534BC1" w:rsidP="00361D43">
      <w:pPr>
        <w:pStyle w:val="Bullet1"/>
        <w:numPr>
          <w:ilvl w:val="0"/>
          <w:numId w:val="1"/>
        </w:numPr>
        <w:ind w:left="1712" w:right="992" w:hanging="357"/>
        <w:textAlignment w:val="auto"/>
      </w:pPr>
      <w:r>
        <w:t xml:space="preserve">company emergency procedures and </w:t>
      </w:r>
    </w:p>
    <w:p w14:paraId="1CBCD076" w14:textId="2E4B6F96" w:rsidR="00361D43" w:rsidRDefault="00361D43" w:rsidP="00361D43">
      <w:pPr>
        <w:pStyle w:val="Bullet1"/>
        <w:numPr>
          <w:ilvl w:val="0"/>
          <w:numId w:val="1"/>
        </w:numPr>
        <w:ind w:left="1712" w:right="992" w:hanging="357"/>
        <w:textAlignment w:val="auto"/>
      </w:pPr>
      <w:r>
        <w:t xml:space="preserve">company </w:t>
      </w:r>
      <w:r w:rsidR="00534BC1">
        <w:t>first response strategies</w:t>
      </w:r>
      <w:r w:rsidR="009530CE">
        <w:t>.</w:t>
      </w:r>
      <w:r w:rsidR="00534BC1">
        <w:t xml:space="preserve"> </w:t>
      </w:r>
    </w:p>
    <w:p w14:paraId="18203739" w14:textId="69395C33" w:rsidR="00847DB8" w:rsidRDefault="009530CE" w:rsidP="00847DB8">
      <w:pPr>
        <w:pStyle w:val="Documentbody-bodytext"/>
      </w:pPr>
      <w:r>
        <w:t xml:space="preserve">All departmental staff are to follow direction from the company </w:t>
      </w:r>
      <w:r w:rsidR="00847DB8">
        <w:t>where there is a WHS incident</w:t>
      </w:r>
      <w:r w:rsidR="00281075">
        <w:t xml:space="preserve"> during an interruption to production</w:t>
      </w:r>
      <w:r w:rsidR="00847DB8">
        <w:t xml:space="preserve">, </w:t>
      </w:r>
      <w:r w:rsidR="00847DB8" w:rsidRPr="003601CA">
        <w:t>except where they believe their health and safety is put at risk by following the directions of the company</w:t>
      </w:r>
      <w:r w:rsidR="00281075">
        <w:t>.</w:t>
      </w:r>
    </w:p>
    <w:p w14:paraId="5C5B5CF3" w14:textId="64829059" w:rsidR="0048655A" w:rsidRDefault="00281075" w:rsidP="0048655A">
      <w:pPr>
        <w:pStyle w:val="Heading3"/>
      </w:pPr>
      <w:bookmarkStart w:id="3" w:name="_Toc131088660"/>
      <w:r>
        <w:t>Health and safety r</w:t>
      </w:r>
      <w:r w:rsidR="0048655A">
        <w:t>isk</w:t>
      </w:r>
      <w:r>
        <w:t>s</w:t>
      </w:r>
      <w:r w:rsidR="0048655A">
        <w:t xml:space="preserve"> to departmental staff</w:t>
      </w:r>
      <w:bookmarkEnd w:id="3"/>
    </w:p>
    <w:p w14:paraId="7AF00453" w14:textId="7BB71C4B" w:rsidR="00493A1B" w:rsidRDefault="0048655A" w:rsidP="008F6C8C">
      <w:pPr>
        <w:pStyle w:val="Documentbody-bodytext"/>
      </w:pPr>
      <w:r w:rsidRPr="001F191C">
        <w:t xml:space="preserve">The following table outlines the process </w:t>
      </w:r>
      <w:r>
        <w:t>where DAFF staff believe that the</w:t>
      </w:r>
      <w:r w:rsidR="00577FC6">
        <w:t>ir health or safety</w:t>
      </w:r>
      <w:r>
        <w:t xml:space="preserve"> </w:t>
      </w:r>
      <w:r w:rsidR="00281075">
        <w:t>is</w:t>
      </w:r>
      <w:r>
        <w:t xml:space="preserve"> at risk by following company directive</w:t>
      </w:r>
      <w:r w:rsidR="00322CF5">
        <w:t xml:space="preserve"> during an interruption to production incident</w:t>
      </w:r>
      <w:r>
        <w:t>.</w:t>
      </w:r>
      <w:r w:rsidRPr="001F191C">
        <w:t xml:space="preserve"> </w:t>
      </w:r>
    </w:p>
    <w:p w14:paraId="3AC57417" w14:textId="237FADE4" w:rsidR="005E37D5" w:rsidRDefault="005E37D5" w:rsidP="005E37D5">
      <w:pPr>
        <w:pStyle w:val="Tablefigurecaption"/>
      </w:pPr>
      <w:r>
        <w:t>Table 1 Health and safety risks to departmental staff</w:t>
      </w:r>
    </w:p>
    <w:tbl>
      <w:tblPr>
        <w:tblStyle w:val="TableGrid"/>
        <w:tblW w:w="8789" w:type="dxa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9"/>
        <w:gridCol w:w="6007"/>
        <w:gridCol w:w="1923"/>
      </w:tblGrid>
      <w:tr w:rsidR="0048655A" w:rsidRPr="00493A1B" w14:paraId="7D7AE3C8" w14:textId="77777777" w:rsidTr="001C2115">
        <w:trPr>
          <w:trHeight w:val="433"/>
          <w:tblHeader/>
          <w:jc w:val="center"/>
        </w:trPr>
        <w:tc>
          <w:tcPr>
            <w:tcW w:w="859" w:type="dxa"/>
            <w:vAlign w:val="center"/>
          </w:tcPr>
          <w:p w14:paraId="44147735" w14:textId="77777777" w:rsidR="0048655A" w:rsidRPr="00D55A77" w:rsidRDefault="0048655A" w:rsidP="00D55A77">
            <w:pPr>
              <w:pStyle w:val="Tableheaders"/>
              <w:jc w:val="center"/>
              <w:rPr>
                <w:rFonts w:asciiTheme="minorHAnsi" w:hAnsiTheme="minorHAnsi" w:cstheme="minorHAnsi"/>
              </w:rPr>
            </w:pPr>
            <w:r w:rsidRPr="00D55A77">
              <w:rPr>
                <w:rFonts w:asciiTheme="minorHAnsi" w:hAnsiTheme="minorHAnsi" w:cstheme="minorHAnsi"/>
              </w:rPr>
              <w:t>Stage</w:t>
            </w:r>
          </w:p>
        </w:tc>
        <w:tc>
          <w:tcPr>
            <w:tcW w:w="6007" w:type="dxa"/>
            <w:vAlign w:val="center"/>
          </w:tcPr>
          <w:p w14:paraId="602E1261" w14:textId="77777777" w:rsidR="0048655A" w:rsidRPr="00D55A77" w:rsidRDefault="0048655A" w:rsidP="00D55A77">
            <w:pPr>
              <w:pStyle w:val="Tableheaders"/>
              <w:rPr>
                <w:rFonts w:asciiTheme="minorHAnsi" w:hAnsiTheme="minorHAnsi" w:cstheme="minorHAnsi"/>
              </w:rPr>
            </w:pPr>
            <w:r w:rsidRPr="00D55A77">
              <w:rPr>
                <w:rFonts w:asciiTheme="minorHAnsi" w:hAnsiTheme="minorHAnsi" w:cstheme="minorHAnsi"/>
              </w:rPr>
              <w:t>Process</w:t>
            </w:r>
          </w:p>
        </w:tc>
        <w:tc>
          <w:tcPr>
            <w:tcW w:w="1923" w:type="dxa"/>
            <w:vAlign w:val="center"/>
          </w:tcPr>
          <w:p w14:paraId="6284032E" w14:textId="77777777" w:rsidR="0048655A" w:rsidRPr="00D55A77" w:rsidRDefault="0048655A" w:rsidP="00D55A77">
            <w:pPr>
              <w:pStyle w:val="Tableheaders"/>
              <w:jc w:val="center"/>
              <w:rPr>
                <w:rFonts w:asciiTheme="minorHAnsi" w:hAnsiTheme="minorHAnsi" w:cstheme="minorHAnsi"/>
              </w:rPr>
            </w:pPr>
            <w:r w:rsidRPr="00D55A77">
              <w:rPr>
                <w:rFonts w:asciiTheme="minorHAnsi" w:hAnsiTheme="minorHAnsi" w:cstheme="minorHAnsi"/>
              </w:rPr>
              <w:t>Responsible party</w:t>
            </w:r>
          </w:p>
        </w:tc>
      </w:tr>
      <w:tr w:rsidR="0048655A" w:rsidRPr="00493A1B" w14:paraId="190B19DE" w14:textId="77777777" w:rsidTr="001C2115">
        <w:trPr>
          <w:trHeight w:val="1068"/>
          <w:jc w:val="center"/>
        </w:trPr>
        <w:tc>
          <w:tcPr>
            <w:tcW w:w="859" w:type="dxa"/>
            <w:vAlign w:val="center"/>
          </w:tcPr>
          <w:p w14:paraId="6E817B52" w14:textId="77777777" w:rsidR="0048655A" w:rsidRPr="005E37D5" w:rsidRDefault="0048655A" w:rsidP="005E37D5">
            <w:pPr>
              <w:pStyle w:val="Tabletext"/>
              <w:jc w:val="center"/>
              <w:rPr>
                <w:rFonts w:ascii="Calibri" w:hAnsi="Calibri" w:cs="Calibri"/>
              </w:rPr>
            </w:pPr>
            <w:r w:rsidRPr="005E37D5">
              <w:rPr>
                <w:rFonts w:ascii="Calibri" w:hAnsi="Calibri" w:cs="Calibri"/>
              </w:rPr>
              <w:t>1.</w:t>
            </w:r>
          </w:p>
        </w:tc>
        <w:tc>
          <w:tcPr>
            <w:tcW w:w="6007" w:type="dxa"/>
            <w:vAlign w:val="center"/>
          </w:tcPr>
          <w:p w14:paraId="7864E8CE" w14:textId="05AABB91" w:rsidR="0048655A" w:rsidRPr="005E37D5" w:rsidRDefault="00103436" w:rsidP="005E37D5">
            <w:pPr>
              <w:pStyle w:val="Tabletext"/>
              <w:ind w:left="0"/>
              <w:rPr>
                <w:rFonts w:ascii="Calibri" w:hAnsi="Calibri" w:cs="Calibri"/>
              </w:rPr>
            </w:pPr>
            <w:r w:rsidRPr="005E37D5">
              <w:rPr>
                <w:rFonts w:ascii="Calibri" w:hAnsi="Calibri" w:cs="Calibri"/>
              </w:rPr>
              <w:t xml:space="preserve">If an officer believes their health and safety is at risk, they should take immediate action to make themselves safe. When they are safe, they must contact their </w:t>
            </w:r>
            <w:r w:rsidR="0048655A" w:rsidRPr="005E37D5">
              <w:rPr>
                <w:rFonts w:ascii="Calibri" w:hAnsi="Calibri" w:cs="Calibri"/>
              </w:rPr>
              <w:t>Assistant Director</w:t>
            </w:r>
            <w:r w:rsidR="614F33C0" w:rsidRPr="005E37D5">
              <w:rPr>
                <w:rFonts w:ascii="Calibri" w:hAnsi="Calibri" w:cs="Calibri"/>
              </w:rPr>
              <w:t xml:space="preserve"> (AD)</w:t>
            </w:r>
            <w:r w:rsidR="210B1D62" w:rsidRPr="005E37D5">
              <w:rPr>
                <w:rFonts w:ascii="Calibri" w:hAnsi="Calibri" w:cs="Calibri"/>
              </w:rPr>
              <w:t>, Veterinary and Export Meat Branch</w:t>
            </w:r>
            <w:r w:rsidR="0048655A" w:rsidRPr="005E37D5">
              <w:rPr>
                <w:rFonts w:ascii="Calibri" w:hAnsi="Calibri" w:cs="Calibri"/>
              </w:rPr>
              <w:t>.</w:t>
            </w:r>
          </w:p>
        </w:tc>
        <w:tc>
          <w:tcPr>
            <w:tcW w:w="1923" w:type="dxa"/>
            <w:vAlign w:val="center"/>
          </w:tcPr>
          <w:p w14:paraId="524415F4" w14:textId="159C1D5F" w:rsidR="0048655A" w:rsidRPr="005E37D5" w:rsidRDefault="000B1B9B" w:rsidP="005E37D5">
            <w:pPr>
              <w:pStyle w:val="Tabletext"/>
              <w:jc w:val="center"/>
              <w:rPr>
                <w:rFonts w:ascii="Calibri" w:hAnsi="Calibri" w:cs="Calibri"/>
              </w:rPr>
            </w:pPr>
            <w:r w:rsidRPr="005E37D5">
              <w:rPr>
                <w:rFonts w:ascii="Calibri" w:hAnsi="Calibri" w:cs="Calibri"/>
              </w:rPr>
              <w:t>Departmental on</w:t>
            </w:r>
            <w:r w:rsidRPr="005E37D5">
              <w:rPr>
                <w:rFonts w:ascii="Calibri" w:hAnsi="Calibri" w:cs="Calibri"/>
              </w:rPr>
              <w:noBreakHyphen/>
              <w:t>plant staff</w:t>
            </w:r>
          </w:p>
        </w:tc>
      </w:tr>
      <w:tr w:rsidR="0048655A" w:rsidRPr="00493A1B" w14:paraId="3178B1F7" w14:textId="77777777" w:rsidTr="001C2115">
        <w:trPr>
          <w:trHeight w:val="914"/>
          <w:jc w:val="center"/>
        </w:trPr>
        <w:tc>
          <w:tcPr>
            <w:tcW w:w="859" w:type="dxa"/>
            <w:vAlign w:val="center"/>
          </w:tcPr>
          <w:p w14:paraId="59EC2686" w14:textId="77777777" w:rsidR="0048655A" w:rsidRPr="005E37D5" w:rsidRDefault="0048655A" w:rsidP="005E37D5">
            <w:pPr>
              <w:pStyle w:val="Tabletext"/>
              <w:jc w:val="center"/>
              <w:rPr>
                <w:rFonts w:ascii="Calibri" w:hAnsi="Calibri" w:cs="Calibri"/>
              </w:rPr>
            </w:pPr>
            <w:r w:rsidRPr="005E37D5">
              <w:rPr>
                <w:rFonts w:ascii="Calibri" w:hAnsi="Calibri" w:cs="Calibri"/>
              </w:rPr>
              <w:t>2.</w:t>
            </w:r>
          </w:p>
        </w:tc>
        <w:tc>
          <w:tcPr>
            <w:tcW w:w="6007" w:type="dxa"/>
            <w:vAlign w:val="center"/>
          </w:tcPr>
          <w:p w14:paraId="538ECA74" w14:textId="2962F566" w:rsidR="0048655A" w:rsidRPr="005E37D5" w:rsidRDefault="0048655A" w:rsidP="005E37D5">
            <w:pPr>
              <w:pStyle w:val="Tabletext"/>
              <w:rPr>
                <w:rFonts w:ascii="Calibri" w:hAnsi="Calibri" w:cs="Calibri"/>
              </w:rPr>
            </w:pPr>
            <w:r w:rsidRPr="005E37D5">
              <w:rPr>
                <w:rFonts w:ascii="Calibri" w:hAnsi="Calibri" w:cs="Calibri"/>
              </w:rPr>
              <w:t xml:space="preserve">The AD </w:t>
            </w:r>
            <w:r w:rsidR="003729E1" w:rsidRPr="005E37D5">
              <w:rPr>
                <w:rFonts w:ascii="Calibri" w:hAnsi="Calibri" w:cs="Calibri"/>
              </w:rPr>
              <w:t xml:space="preserve">then </w:t>
            </w:r>
            <w:r w:rsidRPr="005E37D5">
              <w:rPr>
                <w:rFonts w:ascii="Calibri" w:hAnsi="Calibri" w:cs="Calibri"/>
              </w:rPr>
              <w:t xml:space="preserve">becomes the DAFF contact point with the company in relation to </w:t>
            </w:r>
            <w:r w:rsidR="00493A1B" w:rsidRPr="005E37D5">
              <w:rPr>
                <w:rFonts w:ascii="Calibri" w:hAnsi="Calibri" w:cs="Calibri"/>
              </w:rPr>
              <w:t xml:space="preserve">all departmental work, </w:t>
            </w:r>
            <w:r w:rsidR="003E2271" w:rsidRPr="005E37D5">
              <w:rPr>
                <w:rFonts w:ascii="Calibri" w:hAnsi="Calibri" w:cs="Calibri"/>
              </w:rPr>
              <w:t>health,</w:t>
            </w:r>
            <w:r w:rsidR="00493A1B" w:rsidRPr="005E37D5">
              <w:rPr>
                <w:rFonts w:ascii="Calibri" w:hAnsi="Calibri" w:cs="Calibri"/>
              </w:rPr>
              <w:t xml:space="preserve"> and safety matters </w:t>
            </w:r>
            <w:r w:rsidR="003729E1" w:rsidRPr="005E37D5">
              <w:rPr>
                <w:rFonts w:ascii="Calibri" w:hAnsi="Calibri" w:cs="Calibri"/>
              </w:rPr>
              <w:t xml:space="preserve">during the </w:t>
            </w:r>
            <w:r w:rsidRPr="005E37D5">
              <w:rPr>
                <w:rFonts w:ascii="Calibri" w:hAnsi="Calibri" w:cs="Calibri"/>
              </w:rPr>
              <w:t>interruption of production</w:t>
            </w:r>
            <w:r w:rsidR="00322CF5" w:rsidRPr="005E37D5">
              <w:rPr>
                <w:rFonts w:ascii="Calibri" w:hAnsi="Calibri" w:cs="Calibri"/>
              </w:rPr>
              <w:t xml:space="preserve"> incident</w:t>
            </w:r>
            <w:r w:rsidRPr="005E37D5">
              <w:rPr>
                <w:rFonts w:ascii="Calibri" w:hAnsi="Calibri" w:cs="Calibri"/>
              </w:rPr>
              <w:t>.</w:t>
            </w:r>
          </w:p>
        </w:tc>
        <w:tc>
          <w:tcPr>
            <w:tcW w:w="1923" w:type="dxa"/>
            <w:vAlign w:val="center"/>
          </w:tcPr>
          <w:p w14:paraId="27F9B3EF" w14:textId="05D0F82C" w:rsidR="0048655A" w:rsidRPr="005E37D5" w:rsidRDefault="000B1B9B" w:rsidP="005E37D5">
            <w:pPr>
              <w:pStyle w:val="Tabletext"/>
              <w:jc w:val="center"/>
              <w:rPr>
                <w:rFonts w:ascii="Calibri" w:hAnsi="Calibri" w:cs="Calibri"/>
              </w:rPr>
            </w:pPr>
            <w:r w:rsidRPr="005E37D5">
              <w:rPr>
                <w:rFonts w:ascii="Calibri" w:hAnsi="Calibri" w:cs="Calibri"/>
              </w:rPr>
              <w:t>AD, Veterinary and Export Meat Branch</w:t>
            </w:r>
          </w:p>
        </w:tc>
      </w:tr>
      <w:tr w:rsidR="0048655A" w:rsidRPr="00493A1B" w14:paraId="281EFDD6" w14:textId="77777777" w:rsidTr="001C2115">
        <w:trPr>
          <w:trHeight w:val="714"/>
          <w:jc w:val="center"/>
        </w:trPr>
        <w:tc>
          <w:tcPr>
            <w:tcW w:w="859" w:type="dxa"/>
            <w:vAlign w:val="center"/>
          </w:tcPr>
          <w:p w14:paraId="7E5017E9" w14:textId="77777777" w:rsidR="0048655A" w:rsidRPr="005E37D5" w:rsidRDefault="0048655A" w:rsidP="005E37D5">
            <w:pPr>
              <w:pStyle w:val="Tabletext"/>
              <w:jc w:val="center"/>
              <w:rPr>
                <w:rFonts w:ascii="Calibri" w:hAnsi="Calibri" w:cs="Calibri"/>
              </w:rPr>
            </w:pPr>
            <w:r w:rsidRPr="005E37D5">
              <w:rPr>
                <w:rFonts w:ascii="Calibri" w:hAnsi="Calibri" w:cs="Calibri"/>
              </w:rPr>
              <w:t>3.</w:t>
            </w:r>
          </w:p>
        </w:tc>
        <w:tc>
          <w:tcPr>
            <w:tcW w:w="6007" w:type="dxa"/>
            <w:vAlign w:val="center"/>
          </w:tcPr>
          <w:p w14:paraId="61B234E9" w14:textId="273F2427" w:rsidR="0048655A" w:rsidRPr="005E37D5" w:rsidRDefault="0048655A" w:rsidP="005E37D5">
            <w:pPr>
              <w:pStyle w:val="Tabletext"/>
              <w:ind w:left="0"/>
              <w:rPr>
                <w:rFonts w:ascii="Calibri" w:hAnsi="Calibri" w:cs="Calibri"/>
              </w:rPr>
            </w:pPr>
            <w:r w:rsidRPr="005E37D5">
              <w:rPr>
                <w:rFonts w:ascii="Calibri" w:hAnsi="Calibri" w:cs="Calibri"/>
              </w:rPr>
              <w:t>The AD provides the future direction to DAFF staff on</w:t>
            </w:r>
            <w:r w:rsidR="00577FC6" w:rsidRPr="005E37D5">
              <w:rPr>
                <w:rFonts w:ascii="Calibri" w:hAnsi="Calibri" w:cs="Calibri"/>
              </w:rPr>
              <w:t>-</w:t>
            </w:r>
            <w:r w:rsidRPr="005E37D5">
              <w:rPr>
                <w:rFonts w:ascii="Calibri" w:hAnsi="Calibri" w:cs="Calibri"/>
              </w:rPr>
              <w:t xml:space="preserve">plant in relation to the </w:t>
            </w:r>
            <w:r w:rsidR="00577FC6" w:rsidRPr="005E37D5">
              <w:rPr>
                <w:rFonts w:ascii="Calibri" w:hAnsi="Calibri" w:cs="Calibri"/>
              </w:rPr>
              <w:t>interruption to production incident.</w:t>
            </w:r>
          </w:p>
        </w:tc>
        <w:tc>
          <w:tcPr>
            <w:tcW w:w="1923" w:type="dxa"/>
            <w:vAlign w:val="center"/>
          </w:tcPr>
          <w:p w14:paraId="0CA4C4CF" w14:textId="31085989" w:rsidR="0048655A" w:rsidRPr="005E37D5" w:rsidRDefault="000B1B9B" w:rsidP="005E37D5">
            <w:pPr>
              <w:pStyle w:val="Tabletext"/>
              <w:jc w:val="center"/>
              <w:rPr>
                <w:rFonts w:ascii="Calibri" w:hAnsi="Calibri" w:cs="Calibri"/>
              </w:rPr>
            </w:pPr>
            <w:r w:rsidRPr="005E37D5">
              <w:rPr>
                <w:rFonts w:ascii="Calibri" w:hAnsi="Calibri" w:cs="Calibri"/>
              </w:rPr>
              <w:t>AD, Veterinary and Export Meat Branch</w:t>
            </w:r>
          </w:p>
        </w:tc>
      </w:tr>
      <w:tr w:rsidR="0048655A" w:rsidRPr="00493A1B" w14:paraId="64CDCA6F" w14:textId="77777777" w:rsidTr="001C2115">
        <w:trPr>
          <w:trHeight w:val="825"/>
          <w:jc w:val="center"/>
        </w:trPr>
        <w:tc>
          <w:tcPr>
            <w:tcW w:w="859" w:type="dxa"/>
            <w:vAlign w:val="center"/>
          </w:tcPr>
          <w:p w14:paraId="47FCBCE7" w14:textId="77777777" w:rsidR="0048655A" w:rsidRPr="005E37D5" w:rsidRDefault="0048655A" w:rsidP="005E37D5">
            <w:pPr>
              <w:pStyle w:val="Tabletext"/>
              <w:jc w:val="center"/>
              <w:rPr>
                <w:rFonts w:ascii="Calibri" w:hAnsi="Calibri" w:cs="Calibri"/>
              </w:rPr>
            </w:pPr>
            <w:r w:rsidRPr="005E37D5">
              <w:rPr>
                <w:rFonts w:ascii="Calibri" w:hAnsi="Calibri" w:cs="Calibri"/>
              </w:rPr>
              <w:t>4.</w:t>
            </w:r>
          </w:p>
        </w:tc>
        <w:tc>
          <w:tcPr>
            <w:tcW w:w="6007" w:type="dxa"/>
            <w:vAlign w:val="center"/>
          </w:tcPr>
          <w:p w14:paraId="45E7D2AB" w14:textId="500D3D5B" w:rsidR="0048655A" w:rsidRPr="005E37D5" w:rsidRDefault="0048655A" w:rsidP="005E37D5">
            <w:pPr>
              <w:pStyle w:val="Tabletext"/>
              <w:rPr>
                <w:rFonts w:ascii="Calibri" w:hAnsi="Calibri" w:cs="Calibri"/>
              </w:rPr>
            </w:pPr>
            <w:r w:rsidRPr="005E37D5">
              <w:rPr>
                <w:rFonts w:ascii="Calibri" w:hAnsi="Calibri" w:cs="Calibri"/>
              </w:rPr>
              <w:t>After</w:t>
            </w:r>
            <w:r w:rsidR="00577FC6" w:rsidRPr="005E37D5">
              <w:rPr>
                <w:rFonts w:ascii="Calibri" w:hAnsi="Calibri" w:cs="Calibri"/>
              </w:rPr>
              <w:t xml:space="preserve"> the </w:t>
            </w:r>
            <w:r w:rsidR="00322CF5" w:rsidRPr="005E37D5">
              <w:rPr>
                <w:rFonts w:ascii="Calibri" w:hAnsi="Calibri" w:cs="Calibri"/>
              </w:rPr>
              <w:t xml:space="preserve">interruption to production </w:t>
            </w:r>
            <w:r w:rsidRPr="005E37D5">
              <w:rPr>
                <w:rFonts w:ascii="Calibri" w:hAnsi="Calibri" w:cs="Calibri"/>
              </w:rPr>
              <w:t xml:space="preserve">incident </w:t>
            </w:r>
            <w:r w:rsidR="00322CF5" w:rsidRPr="005E37D5">
              <w:rPr>
                <w:rFonts w:ascii="Calibri" w:hAnsi="Calibri" w:cs="Calibri"/>
              </w:rPr>
              <w:t xml:space="preserve">is </w:t>
            </w:r>
            <w:r w:rsidRPr="005E37D5">
              <w:rPr>
                <w:rFonts w:ascii="Calibri" w:hAnsi="Calibri" w:cs="Calibri"/>
              </w:rPr>
              <w:t xml:space="preserve">resolved, </w:t>
            </w:r>
            <w:r w:rsidR="00322CF5" w:rsidRPr="005E37D5">
              <w:rPr>
                <w:rFonts w:ascii="Calibri" w:hAnsi="Calibri" w:cs="Calibri"/>
              </w:rPr>
              <w:t xml:space="preserve">a </w:t>
            </w:r>
            <w:r w:rsidRPr="005E37D5">
              <w:rPr>
                <w:rFonts w:ascii="Calibri" w:hAnsi="Calibri" w:cs="Calibri"/>
              </w:rPr>
              <w:t xml:space="preserve">debrief </w:t>
            </w:r>
            <w:r w:rsidR="00322CF5" w:rsidRPr="005E37D5">
              <w:rPr>
                <w:rFonts w:ascii="Calibri" w:hAnsi="Calibri" w:cs="Calibri"/>
              </w:rPr>
              <w:t xml:space="preserve">occurs </w:t>
            </w:r>
            <w:r w:rsidRPr="005E37D5">
              <w:rPr>
                <w:rFonts w:ascii="Calibri" w:hAnsi="Calibri" w:cs="Calibri"/>
              </w:rPr>
              <w:t xml:space="preserve">between DAFF and the company </w:t>
            </w:r>
            <w:r w:rsidR="00322CF5" w:rsidRPr="005E37D5">
              <w:rPr>
                <w:rFonts w:ascii="Calibri" w:hAnsi="Calibri" w:cs="Calibri"/>
              </w:rPr>
              <w:t xml:space="preserve">to assess how </w:t>
            </w:r>
            <w:r w:rsidRPr="005E37D5">
              <w:rPr>
                <w:rFonts w:ascii="Calibri" w:hAnsi="Calibri" w:cs="Calibri"/>
              </w:rPr>
              <w:t xml:space="preserve">effectively the interruption to production was </w:t>
            </w:r>
            <w:r w:rsidR="00322CF5" w:rsidRPr="005E37D5">
              <w:rPr>
                <w:rFonts w:ascii="Calibri" w:hAnsi="Calibri" w:cs="Calibri"/>
              </w:rPr>
              <w:t>managed</w:t>
            </w:r>
            <w:r w:rsidRPr="005E37D5">
              <w:rPr>
                <w:rFonts w:ascii="Calibri" w:hAnsi="Calibri" w:cs="Calibri"/>
              </w:rPr>
              <w:t>.</w:t>
            </w:r>
          </w:p>
        </w:tc>
        <w:tc>
          <w:tcPr>
            <w:tcW w:w="1923" w:type="dxa"/>
            <w:vAlign w:val="center"/>
          </w:tcPr>
          <w:p w14:paraId="6989C169" w14:textId="187A89A8" w:rsidR="0048655A" w:rsidRPr="005E37D5" w:rsidRDefault="0048655A" w:rsidP="005E37D5">
            <w:pPr>
              <w:pStyle w:val="Tabletext"/>
              <w:jc w:val="center"/>
              <w:rPr>
                <w:rFonts w:ascii="Calibri" w:hAnsi="Calibri" w:cs="Calibri"/>
              </w:rPr>
            </w:pPr>
            <w:r w:rsidRPr="005E37D5">
              <w:rPr>
                <w:rFonts w:ascii="Calibri" w:hAnsi="Calibri" w:cs="Calibri"/>
              </w:rPr>
              <w:t>DAFF and company</w:t>
            </w:r>
          </w:p>
        </w:tc>
      </w:tr>
    </w:tbl>
    <w:p w14:paraId="6A683A65" w14:textId="77777777" w:rsidR="0048655A" w:rsidRDefault="0048655A" w:rsidP="00890C0E">
      <w:pPr>
        <w:pStyle w:val="Documentbody-bodytext"/>
      </w:pPr>
    </w:p>
    <w:p w14:paraId="1CEFC6FE" w14:textId="3B952502" w:rsidR="00847DB8" w:rsidRPr="00847DB8" w:rsidRDefault="00847DB8" w:rsidP="00565256">
      <w:pPr>
        <w:pStyle w:val="Documentbody-bodytext"/>
      </w:pPr>
    </w:p>
    <w:p w14:paraId="1C8FC9B3" w14:textId="77777777" w:rsidR="00785991" w:rsidRDefault="00785991">
      <w:pPr>
        <w:rPr>
          <w:rFonts w:ascii="Cambria" w:eastAsia="Cambria" w:hAnsi="Cambria"/>
          <w:b/>
          <w:color w:val="165788"/>
          <w:spacing w:val="-1"/>
          <w:sz w:val="33"/>
        </w:rPr>
      </w:pPr>
      <w:r>
        <w:br w:type="page"/>
      </w:r>
    </w:p>
    <w:p w14:paraId="24F9F150" w14:textId="00AF33C9" w:rsidR="00071097" w:rsidRDefault="00534BC1" w:rsidP="00071097">
      <w:pPr>
        <w:pStyle w:val="Heading2"/>
      </w:pPr>
      <w:bookmarkStart w:id="4" w:name="_Toc131088661"/>
      <w:r>
        <w:lastRenderedPageBreak/>
        <w:t xml:space="preserve">Product integrity, </w:t>
      </w:r>
      <w:r w:rsidR="00F932DE">
        <w:t>safety,</w:t>
      </w:r>
      <w:r>
        <w:t xml:space="preserve"> and wholesomeness</w:t>
      </w:r>
      <w:bookmarkEnd w:id="4"/>
    </w:p>
    <w:p w14:paraId="65109E59" w14:textId="47DAFD3D" w:rsidR="00785991" w:rsidRDefault="00785991" w:rsidP="003601CA">
      <w:pPr>
        <w:pStyle w:val="Documentbody-bodytext"/>
      </w:pPr>
      <w:r>
        <w:t>Where an interruption to production event occurs that affects either product integrity, product safety or product wholesomeness, or a combination of these:</w:t>
      </w:r>
    </w:p>
    <w:p w14:paraId="5AD8E327" w14:textId="16CE9B38" w:rsidR="00785991" w:rsidRDefault="00785991" w:rsidP="009C5986">
      <w:pPr>
        <w:pStyle w:val="Bullet1"/>
        <w:numPr>
          <w:ilvl w:val="0"/>
          <w:numId w:val="1"/>
        </w:numPr>
        <w:ind w:left="1712" w:right="992" w:hanging="357"/>
        <w:textAlignment w:val="auto"/>
      </w:pPr>
      <w:r>
        <w:t>the establishment will manage the interruption to production as per procedures in their approved arrangement to return the establishment to normal operations</w:t>
      </w:r>
    </w:p>
    <w:p w14:paraId="75F5F1D2" w14:textId="21990B06" w:rsidR="00785991" w:rsidRDefault="00785991" w:rsidP="009C5986">
      <w:pPr>
        <w:pStyle w:val="Bullet1"/>
        <w:numPr>
          <w:ilvl w:val="0"/>
          <w:numId w:val="1"/>
        </w:numPr>
        <w:ind w:left="1712" w:right="992" w:hanging="357"/>
        <w:textAlignment w:val="auto"/>
      </w:pPr>
      <w:r>
        <w:t xml:space="preserve">the department will provide direction </w:t>
      </w:r>
      <w:r w:rsidR="00103436">
        <w:t>as to the</w:t>
      </w:r>
      <w:r>
        <w:t xml:space="preserve"> procedures required to confirm the eligibility of product </w:t>
      </w:r>
      <w:r w:rsidR="00103436">
        <w:t xml:space="preserve">for export </w:t>
      </w:r>
      <w:r w:rsidR="009155ED">
        <w:t xml:space="preserve">that has been affected by an interruption to production </w:t>
      </w:r>
    </w:p>
    <w:p w14:paraId="690526DA" w14:textId="0ED78AFE" w:rsidR="74A618C5" w:rsidRDefault="74A618C5" w:rsidP="41247E44">
      <w:pPr>
        <w:pStyle w:val="Bullet1"/>
        <w:numPr>
          <w:ilvl w:val="0"/>
          <w:numId w:val="1"/>
        </w:numPr>
        <w:ind w:left="1712" w:right="992" w:hanging="357"/>
      </w:pPr>
      <w:r>
        <w:t>the establishment must hold product that has been affected by an interruption to production until the department</w:t>
      </w:r>
      <w:r w:rsidR="009155ED">
        <w:t xml:space="preserve"> </w:t>
      </w:r>
      <w:r>
        <w:t xml:space="preserve">has made a disposition </w:t>
      </w:r>
    </w:p>
    <w:p w14:paraId="775D2C12" w14:textId="53853AE5" w:rsidR="00103436" w:rsidRDefault="00785991" w:rsidP="00785991">
      <w:pPr>
        <w:pStyle w:val="Bullet1"/>
        <w:numPr>
          <w:ilvl w:val="0"/>
          <w:numId w:val="1"/>
        </w:numPr>
        <w:ind w:left="1712" w:right="992" w:hanging="357"/>
        <w:textAlignment w:val="auto"/>
      </w:pPr>
      <w:r>
        <w:t>the department will determine the final disposition of product</w:t>
      </w:r>
      <w:r w:rsidR="008212E4">
        <w:t xml:space="preserve"> and confirm whether it is eligible for export</w:t>
      </w:r>
      <w:r w:rsidR="00B53C0C">
        <w:t xml:space="preserve"> </w:t>
      </w:r>
    </w:p>
    <w:p w14:paraId="1BAA2B25" w14:textId="7AB946ED" w:rsidR="00565256" w:rsidRDefault="009155ED" w:rsidP="003601CA">
      <w:pPr>
        <w:pStyle w:val="Documentbody-bodytext"/>
      </w:pPr>
      <w:r>
        <w:t xml:space="preserve">Note: product </w:t>
      </w:r>
      <w:r w:rsidR="00103436">
        <w:t xml:space="preserve">directed to </w:t>
      </w:r>
      <w:r>
        <w:t xml:space="preserve">the domestic market will be released after disposition </w:t>
      </w:r>
      <w:r w:rsidR="00103436">
        <w:t xml:space="preserve">is provided from </w:t>
      </w:r>
      <w:r>
        <w:t>the relevant state</w:t>
      </w:r>
      <w:r w:rsidR="00893942">
        <w:t>/territory</w:t>
      </w:r>
      <w:r>
        <w:t xml:space="preserve"> authority.</w:t>
      </w:r>
      <w:r w:rsidR="00893942">
        <w:t xml:space="preserve"> The company will provide DAFF with copies of the disposition results </w:t>
      </w:r>
      <w:r w:rsidR="004A25F4">
        <w:t xml:space="preserve">for this product </w:t>
      </w:r>
      <w:r w:rsidR="00893942">
        <w:t>from the relevant state/territory authority.</w:t>
      </w:r>
    </w:p>
    <w:p w14:paraId="56F36480" w14:textId="3D4835CC" w:rsidR="00785991" w:rsidRDefault="007525BF" w:rsidP="00785991">
      <w:pPr>
        <w:pStyle w:val="Heading3"/>
      </w:pPr>
      <w:bookmarkStart w:id="5" w:name="_Toc131088662"/>
      <w:r>
        <w:t>A</w:t>
      </w:r>
      <w:r w:rsidR="00E7426B">
        <w:t>dditional require</w:t>
      </w:r>
      <w:r w:rsidR="00156A44">
        <w:t>ments</w:t>
      </w:r>
      <w:r>
        <w:t xml:space="preserve"> to determine eligibility of product</w:t>
      </w:r>
      <w:bookmarkEnd w:id="5"/>
    </w:p>
    <w:p w14:paraId="6086C42E" w14:textId="387686CA" w:rsidR="008212E4" w:rsidRDefault="008212E4" w:rsidP="003601CA">
      <w:pPr>
        <w:pStyle w:val="Documentbody-bodytext"/>
      </w:pPr>
      <w:r>
        <w:t>To assess the condition of product affected by an interruption to production incident,</w:t>
      </w:r>
      <w:r w:rsidR="00B53C0C">
        <w:t xml:space="preserve"> and to confirm whether product is eligible for export or not, </w:t>
      </w:r>
      <w:r>
        <w:t>the following may be required (depending on the circumstances):</w:t>
      </w:r>
    </w:p>
    <w:p w14:paraId="4D255A8D" w14:textId="4FEFC9BB" w:rsidR="00785991" w:rsidRDefault="008212E4" w:rsidP="00785991">
      <w:pPr>
        <w:pStyle w:val="Bullet1"/>
        <w:numPr>
          <w:ilvl w:val="0"/>
          <w:numId w:val="1"/>
        </w:numPr>
        <w:ind w:left="1712" w:right="992" w:hanging="357"/>
        <w:textAlignment w:val="auto"/>
      </w:pPr>
      <w:r>
        <w:t>additional micro</w:t>
      </w:r>
      <w:r w:rsidR="004F43A7">
        <w:t>biological</w:t>
      </w:r>
      <w:r>
        <w:t xml:space="preserve"> testing of product</w:t>
      </w:r>
    </w:p>
    <w:p w14:paraId="2AAEF277" w14:textId="77777777" w:rsidR="00947062" w:rsidRDefault="00947062" w:rsidP="00947062">
      <w:pPr>
        <w:pStyle w:val="Bullet1"/>
        <w:numPr>
          <w:ilvl w:val="0"/>
          <w:numId w:val="1"/>
        </w:numPr>
        <w:ind w:left="1712" w:right="992" w:hanging="357"/>
        <w:textAlignment w:val="auto"/>
      </w:pPr>
      <w:r>
        <w:t>analysis of refrigeration index (RI) of affected product</w:t>
      </w:r>
    </w:p>
    <w:p w14:paraId="6CE6ECC4" w14:textId="55AE56D0" w:rsidR="00947062" w:rsidRDefault="00156A44" w:rsidP="00947062">
      <w:pPr>
        <w:pStyle w:val="Bullet1"/>
        <w:numPr>
          <w:ilvl w:val="0"/>
          <w:numId w:val="1"/>
        </w:numPr>
        <w:ind w:left="1712" w:right="992" w:hanging="357"/>
        <w:textAlignment w:val="auto"/>
      </w:pPr>
      <w:r>
        <w:t>assessment of the</w:t>
      </w:r>
      <w:r w:rsidR="00947062">
        <w:t xml:space="preserve"> measures that were taken to </w:t>
      </w:r>
      <w:r>
        <w:t xml:space="preserve">manage </w:t>
      </w:r>
      <w:r w:rsidR="00947062">
        <w:t xml:space="preserve">the product during the </w:t>
      </w:r>
      <w:r>
        <w:t>interruption to production</w:t>
      </w:r>
    </w:p>
    <w:p w14:paraId="1BAE0E72" w14:textId="453775A4" w:rsidR="00947062" w:rsidRDefault="00947062" w:rsidP="00947062">
      <w:pPr>
        <w:pStyle w:val="Bullet1"/>
        <w:numPr>
          <w:ilvl w:val="0"/>
          <w:numId w:val="1"/>
        </w:numPr>
        <w:ind w:left="1712" w:right="992" w:hanging="357"/>
        <w:textAlignment w:val="auto"/>
      </w:pPr>
      <w:r>
        <w:t xml:space="preserve">visual assessment of </w:t>
      </w:r>
      <w:r w:rsidR="00156A44">
        <w:t xml:space="preserve">the </w:t>
      </w:r>
      <w:r>
        <w:t>product</w:t>
      </w:r>
    </w:p>
    <w:p w14:paraId="4181B5D7" w14:textId="77777777" w:rsidR="007525BF" w:rsidRDefault="00947062" w:rsidP="00947062">
      <w:pPr>
        <w:pStyle w:val="Bullet1"/>
        <w:numPr>
          <w:ilvl w:val="0"/>
          <w:numId w:val="1"/>
        </w:numPr>
        <w:ind w:left="1712" w:right="992" w:hanging="357"/>
        <w:textAlignment w:val="auto"/>
      </w:pPr>
      <w:r>
        <w:t>organoleptic assessment of product</w:t>
      </w:r>
    </w:p>
    <w:p w14:paraId="4B749A83" w14:textId="1BE955F2" w:rsidR="00947062" w:rsidRDefault="007525BF" w:rsidP="00947062">
      <w:pPr>
        <w:pStyle w:val="Bullet1"/>
        <w:numPr>
          <w:ilvl w:val="0"/>
          <w:numId w:val="1"/>
        </w:numPr>
        <w:ind w:left="1712" w:right="992" w:hanging="357"/>
        <w:textAlignment w:val="auto"/>
      </w:pPr>
      <w:r>
        <w:t xml:space="preserve">where the </w:t>
      </w:r>
      <w:r w:rsidR="00156A44">
        <w:t xml:space="preserve">interruption to production involved </w:t>
      </w:r>
      <w:r>
        <w:t>refrigeration breakdown, the</w:t>
      </w:r>
      <w:r w:rsidRPr="008D066D">
        <w:t xml:space="preserve"> </w:t>
      </w:r>
      <w:hyperlink w:anchor="_Related_material_1" w:history="1">
        <w:r w:rsidRPr="008D066D">
          <w:rPr>
            <w:rStyle w:val="Hyperlink"/>
          </w:rPr>
          <w:t>Guideline for the Application of the Refrigeration Index to Refrigeration of Meat and Meat Products</w:t>
        </w:r>
      </w:hyperlink>
      <w:r>
        <w:t xml:space="preserve"> provides further advice</w:t>
      </w:r>
      <w:r w:rsidR="00A57987">
        <w:t>.</w:t>
      </w:r>
      <w:r w:rsidR="00947062">
        <w:t xml:space="preserve"> </w:t>
      </w:r>
    </w:p>
    <w:p w14:paraId="2A888240" w14:textId="6C84683F" w:rsidR="00947062" w:rsidRDefault="00947062" w:rsidP="000633AA">
      <w:pPr>
        <w:pStyle w:val="Heading2"/>
      </w:pPr>
      <w:bookmarkStart w:id="6" w:name="_Toc131088663"/>
      <w:r>
        <w:t>Product recall</w:t>
      </w:r>
      <w:bookmarkEnd w:id="6"/>
    </w:p>
    <w:p w14:paraId="6F106E90" w14:textId="69836F0D" w:rsidR="00947062" w:rsidRDefault="00947062" w:rsidP="003601CA">
      <w:pPr>
        <w:pStyle w:val="Documentbody-bodytext"/>
      </w:pPr>
      <w:r>
        <w:t xml:space="preserve">Where product </w:t>
      </w:r>
      <w:r w:rsidR="000A69FF">
        <w:t>has been</w:t>
      </w:r>
      <w:r>
        <w:t xml:space="preserve"> affected by an interruption to production incident</w:t>
      </w:r>
      <w:r w:rsidR="00216F2B">
        <w:t xml:space="preserve"> </w:t>
      </w:r>
      <w:r w:rsidR="000A69FF">
        <w:t xml:space="preserve">and </w:t>
      </w:r>
      <w:r w:rsidR="00216F2B">
        <w:t xml:space="preserve">has been exported or is in the process of being exported, the department will </w:t>
      </w:r>
      <w:proofErr w:type="gramStart"/>
      <w:r w:rsidR="00216F2B">
        <w:t>make a determination</w:t>
      </w:r>
      <w:proofErr w:type="gramEnd"/>
      <w:r w:rsidR="00216F2B">
        <w:t xml:space="preserve"> on the product and may direct any of the following</w:t>
      </w:r>
      <w:r>
        <w:t>:</w:t>
      </w:r>
    </w:p>
    <w:p w14:paraId="46FBC1FE" w14:textId="13D184F1" w:rsidR="00216F2B" w:rsidRDefault="000A69FF" w:rsidP="00947062">
      <w:pPr>
        <w:pStyle w:val="Bullet1"/>
        <w:numPr>
          <w:ilvl w:val="0"/>
          <w:numId w:val="1"/>
        </w:numPr>
        <w:ind w:left="1712" w:right="992" w:hanging="357"/>
        <w:textAlignment w:val="auto"/>
      </w:pPr>
      <w:r>
        <w:t xml:space="preserve">recall of </w:t>
      </w:r>
      <w:r w:rsidR="00A57987">
        <w:t xml:space="preserve">product </w:t>
      </w:r>
    </w:p>
    <w:p w14:paraId="412EC427" w14:textId="582F48FB" w:rsidR="00216F2B" w:rsidRDefault="00A57987" w:rsidP="00947062">
      <w:pPr>
        <w:pStyle w:val="Bullet1"/>
        <w:numPr>
          <w:ilvl w:val="0"/>
          <w:numId w:val="1"/>
        </w:numPr>
        <w:ind w:left="1712" w:right="992" w:hanging="357"/>
        <w:textAlignment w:val="auto"/>
      </w:pPr>
      <w:r>
        <w:t xml:space="preserve">product be destroyed </w:t>
      </w:r>
    </w:p>
    <w:p w14:paraId="51A20FE8" w14:textId="2A29F04E" w:rsidR="00947062" w:rsidRDefault="00A57987" w:rsidP="00947062">
      <w:pPr>
        <w:pStyle w:val="Bullet1"/>
        <w:numPr>
          <w:ilvl w:val="0"/>
          <w:numId w:val="1"/>
        </w:numPr>
        <w:ind w:left="1712" w:right="992" w:hanging="357"/>
        <w:textAlignment w:val="auto"/>
      </w:pPr>
      <w:r>
        <w:t>no action</w:t>
      </w:r>
      <w:r w:rsidR="000A69FF">
        <w:t xml:space="preserve"> required</w:t>
      </w:r>
      <w:r>
        <w:t>.</w:t>
      </w:r>
    </w:p>
    <w:p w14:paraId="625633E5" w14:textId="34B6BB4F" w:rsidR="00216F2B" w:rsidRDefault="000A69FF" w:rsidP="003601CA">
      <w:pPr>
        <w:pStyle w:val="Documentbody-bodytext"/>
      </w:pPr>
      <w:r>
        <w:t xml:space="preserve">Where product has been affected by an interruption to production incident and has been released to the </w:t>
      </w:r>
      <w:r w:rsidR="00216F2B">
        <w:t xml:space="preserve">domestic </w:t>
      </w:r>
      <w:r w:rsidR="0CB3DBF0">
        <w:t xml:space="preserve">market </w:t>
      </w:r>
      <w:r>
        <w:t xml:space="preserve">or is in the process of being released to the domestic market, </w:t>
      </w:r>
      <w:r w:rsidR="00216F2B">
        <w:t xml:space="preserve">state authorities will determine </w:t>
      </w:r>
      <w:r>
        <w:t xml:space="preserve">action required in relation to the </w:t>
      </w:r>
      <w:r w:rsidR="00216F2B">
        <w:t>product</w:t>
      </w:r>
      <w:r>
        <w:t>.</w:t>
      </w:r>
    </w:p>
    <w:p w14:paraId="778BF250" w14:textId="32E3F9FE" w:rsidR="005F029F" w:rsidRDefault="005F029F">
      <w:pPr>
        <w:rPr>
          <w:rFonts w:ascii="Cambria" w:eastAsia="Cambria" w:hAnsi="Cambria"/>
          <w:b/>
          <w:color w:val="165788"/>
          <w:spacing w:val="-1"/>
          <w:sz w:val="33"/>
        </w:rPr>
      </w:pPr>
      <w:r>
        <w:br w:type="page"/>
      </w:r>
    </w:p>
    <w:p w14:paraId="0C975030" w14:textId="78423B58" w:rsidR="00785991" w:rsidRDefault="00785991" w:rsidP="00785991">
      <w:pPr>
        <w:pStyle w:val="Heading2"/>
      </w:pPr>
      <w:bookmarkStart w:id="7" w:name="_Toc131088664"/>
      <w:r>
        <w:lastRenderedPageBreak/>
        <w:t>Communication</w:t>
      </w:r>
      <w:bookmarkEnd w:id="7"/>
    </w:p>
    <w:p w14:paraId="4D430FDF" w14:textId="6E42A983" w:rsidR="00F32950" w:rsidRDefault="00826D64" w:rsidP="00785991">
      <w:pPr>
        <w:pStyle w:val="Heading3"/>
      </w:pPr>
      <w:bookmarkStart w:id="8" w:name="_Toc131088665"/>
      <w:r>
        <w:t>N</w:t>
      </w:r>
      <w:r w:rsidR="00F32950">
        <w:t>o risk to product integrity, product safety or wholesomeness</w:t>
      </w:r>
      <w:bookmarkEnd w:id="8"/>
    </w:p>
    <w:p w14:paraId="2AAB0212" w14:textId="77777777" w:rsidR="00826D64" w:rsidRDefault="00826D64" w:rsidP="003601CA">
      <w:pPr>
        <w:pStyle w:val="Documentbody-bodytext"/>
      </w:pPr>
      <w:r>
        <w:t>Where there is no risk to product integrity, product safety or wholesomeness related to an interruption to production incident:</w:t>
      </w:r>
    </w:p>
    <w:p w14:paraId="5F9B83A2" w14:textId="7C2575F8" w:rsidR="00565256" w:rsidRPr="00F32950" w:rsidRDefault="00826D64" w:rsidP="00826D64">
      <w:pPr>
        <w:pStyle w:val="Bullet1"/>
        <w:numPr>
          <w:ilvl w:val="0"/>
          <w:numId w:val="1"/>
        </w:numPr>
        <w:ind w:left="1712" w:right="992" w:hanging="357"/>
        <w:textAlignment w:val="auto"/>
      </w:pPr>
      <w:r>
        <w:t>t</w:t>
      </w:r>
      <w:r w:rsidR="00785991">
        <w:t>he OPV will n</w:t>
      </w:r>
      <w:r w:rsidR="00F32950">
        <w:t>otify the ATM and AD in the weekly report.</w:t>
      </w:r>
    </w:p>
    <w:p w14:paraId="75F3B011" w14:textId="59E622DC" w:rsidR="00F32950" w:rsidRDefault="00F32950" w:rsidP="009530CE">
      <w:pPr>
        <w:pStyle w:val="Heading3"/>
      </w:pPr>
      <w:bookmarkStart w:id="9" w:name="_Toc131088666"/>
      <w:r>
        <w:t>Risk to product integrity, product safety or wholesomeness</w:t>
      </w:r>
      <w:bookmarkEnd w:id="9"/>
    </w:p>
    <w:p w14:paraId="5D142F1F" w14:textId="6BAF942E" w:rsidR="00493A1B" w:rsidRDefault="00565256" w:rsidP="008F6C8C">
      <w:pPr>
        <w:pStyle w:val="Documentbody-bodytext"/>
      </w:pPr>
      <w:r w:rsidRPr="001F191C">
        <w:t xml:space="preserve">The following table outlines the process for </w:t>
      </w:r>
      <w:r w:rsidR="00785991">
        <w:t xml:space="preserve">communication in the event of an interruption to production, where there is a risk to </w:t>
      </w:r>
      <w:r w:rsidR="00FC329B">
        <w:t xml:space="preserve">export </w:t>
      </w:r>
      <w:r w:rsidR="00785991">
        <w:t>product integrity, product safety or wholesomeness</w:t>
      </w:r>
      <w:r w:rsidRPr="001F191C">
        <w:t>.</w:t>
      </w:r>
    </w:p>
    <w:p w14:paraId="49D499ED" w14:textId="62B27945" w:rsidR="00C97608" w:rsidRDefault="00C97608" w:rsidP="00C97608">
      <w:pPr>
        <w:pStyle w:val="Tablefigurecaption"/>
      </w:pPr>
      <w:r>
        <w:t xml:space="preserve">Table 2 Communication process where there is a risk to product integrity, product safety or </w:t>
      </w:r>
      <w:proofErr w:type="gramStart"/>
      <w:r>
        <w:t>wholesomeness</w:t>
      </w:r>
      <w:proofErr w:type="gramEnd"/>
    </w:p>
    <w:tbl>
      <w:tblPr>
        <w:tblStyle w:val="TableGrid"/>
        <w:tblW w:w="8789" w:type="dxa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6"/>
        <w:gridCol w:w="6170"/>
        <w:gridCol w:w="1763"/>
      </w:tblGrid>
      <w:tr w:rsidR="00565256" w:rsidRPr="00350D6C" w14:paraId="026703D5" w14:textId="77777777" w:rsidTr="001C2115">
        <w:trPr>
          <w:trHeight w:val="521"/>
          <w:tblHeader/>
          <w:jc w:val="center"/>
        </w:trPr>
        <w:tc>
          <w:tcPr>
            <w:tcW w:w="856" w:type="dxa"/>
            <w:vAlign w:val="center"/>
          </w:tcPr>
          <w:p w14:paraId="4A4E3506" w14:textId="77777777" w:rsidR="00565256" w:rsidRPr="00D55A77" w:rsidRDefault="00565256" w:rsidP="001C2115">
            <w:pPr>
              <w:pStyle w:val="Tableheaders"/>
              <w:jc w:val="center"/>
              <w:rPr>
                <w:rFonts w:asciiTheme="minorHAnsi" w:hAnsiTheme="minorHAnsi" w:cstheme="minorHAnsi"/>
              </w:rPr>
            </w:pPr>
            <w:r w:rsidRPr="00D55A77">
              <w:rPr>
                <w:rFonts w:asciiTheme="minorHAnsi" w:hAnsiTheme="minorHAnsi" w:cstheme="minorHAnsi"/>
              </w:rPr>
              <w:t>Stage</w:t>
            </w:r>
          </w:p>
        </w:tc>
        <w:tc>
          <w:tcPr>
            <w:tcW w:w="6170" w:type="dxa"/>
            <w:vAlign w:val="center"/>
          </w:tcPr>
          <w:p w14:paraId="3554FD93" w14:textId="77777777" w:rsidR="00565256" w:rsidRPr="00D55A77" w:rsidRDefault="00565256" w:rsidP="001C2115">
            <w:pPr>
              <w:pStyle w:val="Tableheaders"/>
              <w:rPr>
                <w:rFonts w:asciiTheme="minorHAnsi" w:hAnsiTheme="minorHAnsi" w:cstheme="minorHAnsi"/>
              </w:rPr>
            </w:pPr>
            <w:r w:rsidRPr="00D55A77">
              <w:rPr>
                <w:rFonts w:asciiTheme="minorHAnsi" w:hAnsiTheme="minorHAnsi" w:cstheme="minorHAnsi"/>
              </w:rPr>
              <w:t>Process</w:t>
            </w:r>
          </w:p>
        </w:tc>
        <w:tc>
          <w:tcPr>
            <w:tcW w:w="1763" w:type="dxa"/>
            <w:vAlign w:val="center"/>
          </w:tcPr>
          <w:p w14:paraId="1890B471" w14:textId="77777777" w:rsidR="00565256" w:rsidRPr="00D55A77" w:rsidRDefault="00565256" w:rsidP="001C2115">
            <w:pPr>
              <w:pStyle w:val="Tableheaders"/>
              <w:rPr>
                <w:rFonts w:asciiTheme="minorHAnsi" w:hAnsiTheme="minorHAnsi" w:cstheme="minorHAnsi"/>
              </w:rPr>
            </w:pPr>
            <w:r w:rsidRPr="00D55A77">
              <w:rPr>
                <w:rFonts w:asciiTheme="minorHAnsi" w:hAnsiTheme="minorHAnsi" w:cstheme="minorHAnsi"/>
              </w:rPr>
              <w:t>Responsible party</w:t>
            </w:r>
          </w:p>
        </w:tc>
      </w:tr>
      <w:tr w:rsidR="00565256" w:rsidRPr="00103436" w14:paraId="61D8B2E1" w14:textId="77777777" w:rsidTr="001C2115">
        <w:trPr>
          <w:trHeight w:val="557"/>
          <w:jc w:val="center"/>
        </w:trPr>
        <w:tc>
          <w:tcPr>
            <w:tcW w:w="856" w:type="dxa"/>
            <w:vAlign w:val="center"/>
          </w:tcPr>
          <w:p w14:paraId="450ABF5F" w14:textId="77777777" w:rsidR="00565256" w:rsidRPr="00D55A77" w:rsidRDefault="00565256" w:rsidP="001C2115">
            <w:pPr>
              <w:pStyle w:val="Tabletext"/>
              <w:jc w:val="center"/>
              <w:rPr>
                <w:rFonts w:ascii="Calibri" w:hAnsi="Calibri" w:cs="Calibri"/>
              </w:rPr>
            </w:pPr>
            <w:r w:rsidRPr="00D55A77">
              <w:rPr>
                <w:rFonts w:ascii="Calibri" w:hAnsi="Calibri" w:cs="Calibri"/>
              </w:rPr>
              <w:t>1.</w:t>
            </w:r>
          </w:p>
        </w:tc>
        <w:tc>
          <w:tcPr>
            <w:tcW w:w="6170" w:type="dxa"/>
            <w:vAlign w:val="center"/>
          </w:tcPr>
          <w:p w14:paraId="3AEC841E" w14:textId="127D63E2" w:rsidR="00565256" w:rsidRPr="00D55A77" w:rsidRDefault="00D05ED4" w:rsidP="001C2115">
            <w:pPr>
              <w:pStyle w:val="Tabletext"/>
              <w:rPr>
                <w:rFonts w:ascii="Calibri" w:hAnsi="Calibri" w:cs="Calibri"/>
              </w:rPr>
            </w:pPr>
            <w:r w:rsidRPr="00D55A77">
              <w:rPr>
                <w:rFonts w:ascii="Calibri" w:hAnsi="Calibri" w:cs="Calibri"/>
              </w:rPr>
              <w:t xml:space="preserve">OPV </w:t>
            </w:r>
            <w:r w:rsidR="004F43A7" w:rsidRPr="00D55A77">
              <w:rPr>
                <w:rFonts w:ascii="Calibri" w:hAnsi="Calibri" w:cs="Calibri"/>
              </w:rPr>
              <w:t>(</w:t>
            </w:r>
            <w:r w:rsidRPr="00D55A77">
              <w:rPr>
                <w:rFonts w:ascii="Calibri" w:hAnsi="Calibri" w:cs="Calibri"/>
              </w:rPr>
              <w:t>or in their absence the FSMA</w:t>
            </w:r>
            <w:r w:rsidR="004F43A7" w:rsidRPr="00D55A77">
              <w:rPr>
                <w:rFonts w:ascii="Calibri" w:hAnsi="Calibri" w:cs="Calibri"/>
              </w:rPr>
              <w:t>)</w:t>
            </w:r>
            <w:r w:rsidRPr="00D55A77">
              <w:rPr>
                <w:rFonts w:ascii="Calibri" w:hAnsi="Calibri" w:cs="Calibri"/>
              </w:rPr>
              <w:t xml:space="preserve"> </w:t>
            </w:r>
            <w:r w:rsidR="00493A1B" w:rsidRPr="00D55A77">
              <w:rPr>
                <w:rFonts w:ascii="Calibri" w:hAnsi="Calibri" w:cs="Calibri"/>
              </w:rPr>
              <w:t xml:space="preserve">to </w:t>
            </w:r>
            <w:r w:rsidRPr="00D55A77">
              <w:rPr>
                <w:rFonts w:ascii="Calibri" w:hAnsi="Calibri" w:cs="Calibri"/>
              </w:rPr>
              <w:t xml:space="preserve">notify the </w:t>
            </w:r>
            <w:r w:rsidR="004F43A7" w:rsidRPr="00D55A77">
              <w:rPr>
                <w:rFonts w:ascii="Calibri" w:hAnsi="Calibri" w:cs="Calibri"/>
              </w:rPr>
              <w:t xml:space="preserve">Establishment </w:t>
            </w:r>
            <w:r w:rsidRPr="00D55A77">
              <w:rPr>
                <w:rFonts w:ascii="Calibri" w:hAnsi="Calibri" w:cs="Calibri"/>
              </w:rPr>
              <w:t>ATM and the AD of the interruption to production</w:t>
            </w:r>
          </w:p>
        </w:tc>
        <w:tc>
          <w:tcPr>
            <w:tcW w:w="1763" w:type="dxa"/>
            <w:vAlign w:val="center"/>
          </w:tcPr>
          <w:p w14:paraId="1E955488" w14:textId="13C9B4CA" w:rsidR="00D05ED4" w:rsidRPr="00D55A77" w:rsidRDefault="00D05ED4" w:rsidP="001C2115">
            <w:pPr>
              <w:pStyle w:val="Tabletext"/>
              <w:jc w:val="center"/>
              <w:rPr>
                <w:rFonts w:ascii="Calibri" w:hAnsi="Calibri" w:cs="Calibri"/>
              </w:rPr>
            </w:pPr>
            <w:r w:rsidRPr="00D55A77">
              <w:rPr>
                <w:rFonts w:ascii="Calibri" w:hAnsi="Calibri" w:cs="Calibri"/>
              </w:rPr>
              <w:t xml:space="preserve">OPV </w:t>
            </w:r>
            <w:r w:rsidR="00103436" w:rsidRPr="00D55A77">
              <w:rPr>
                <w:rFonts w:ascii="Calibri" w:hAnsi="Calibri" w:cs="Calibri"/>
              </w:rPr>
              <w:t xml:space="preserve">or </w:t>
            </w:r>
            <w:r w:rsidRPr="00D55A77">
              <w:rPr>
                <w:rFonts w:ascii="Calibri" w:hAnsi="Calibri" w:cs="Calibri"/>
              </w:rPr>
              <w:t xml:space="preserve">FSMA </w:t>
            </w:r>
            <w:r w:rsidR="00103436" w:rsidRPr="00D55A77">
              <w:rPr>
                <w:rFonts w:ascii="Calibri" w:hAnsi="Calibri" w:cs="Calibri"/>
              </w:rPr>
              <w:t>(</w:t>
            </w:r>
            <w:r w:rsidRPr="00D55A77">
              <w:rPr>
                <w:rFonts w:ascii="Calibri" w:hAnsi="Calibri" w:cs="Calibri"/>
              </w:rPr>
              <w:t>in absence of OPV)</w:t>
            </w:r>
          </w:p>
        </w:tc>
      </w:tr>
      <w:tr w:rsidR="00565256" w:rsidRPr="00103436" w14:paraId="60EFFA3F" w14:textId="77777777" w:rsidTr="001C2115">
        <w:trPr>
          <w:trHeight w:val="806"/>
          <w:jc w:val="center"/>
        </w:trPr>
        <w:tc>
          <w:tcPr>
            <w:tcW w:w="856" w:type="dxa"/>
            <w:vAlign w:val="center"/>
          </w:tcPr>
          <w:p w14:paraId="51535AE6" w14:textId="77777777" w:rsidR="00565256" w:rsidRPr="00D55A77" w:rsidRDefault="00565256" w:rsidP="001C2115">
            <w:pPr>
              <w:pStyle w:val="Tabletext"/>
              <w:jc w:val="center"/>
              <w:rPr>
                <w:rFonts w:ascii="Calibri" w:hAnsi="Calibri" w:cs="Calibri"/>
              </w:rPr>
            </w:pPr>
            <w:r w:rsidRPr="00D55A77">
              <w:rPr>
                <w:rFonts w:ascii="Calibri" w:hAnsi="Calibri" w:cs="Calibri"/>
              </w:rPr>
              <w:t>2.</w:t>
            </w:r>
          </w:p>
        </w:tc>
        <w:tc>
          <w:tcPr>
            <w:tcW w:w="6170" w:type="dxa"/>
            <w:vAlign w:val="center"/>
          </w:tcPr>
          <w:p w14:paraId="05D2F862" w14:textId="7A7F8379" w:rsidR="00565256" w:rsidRPr="00D55A77" w:rsidRDefault="004F43A7" w:rsidP="001C2115">
            <w:pPr>
              <w:pStyle w:val="Tabletext"/>
              <w:rPr>
                <w:rFonts w:ascii="Calibri" w:hAnsi="Calibri" w:cs="Calibri"/>
              </w:rPr>
            </w:pPr>
            <w:r w:rsidRPr="00D55A77">
              <w:rPr>
                <w:rFonts w:ascii="Calibri" w:hAnsi="Calibri" w:cs="Calibri"/>
              </w:rPr>
              <w:t xml:space="preserve">Establishment </w:t>
            </w:r>
            <w:r w:rsidR="00D05ED4" w:rsidRPr="00D55A77">
              <w:rPr>
                <w:rFonts w:ascii="Calibri" w:hAnsi="Calibri" w:cs="Calibri"/>
              </w:rPr>
              <w:t xml:space="preserve">ATM </w:t>
            </w:r>
            <w:r w:rsidRPr="00D55A77">
              <w:rPr>
                <w:rFonts w:ascii="Calibri" w:hAnsi="Calibri" w:cs="Calibri"/>
              </w:rPr>
              <w:t>(</w:t>
            </w:r>
            <w:r w:rsidR="00D05ED4" w:rsidRPr="00D55A77">
              <w:rPr>
                <w:rFonts w:ascii="Calibri" w:hAnsi="Calibri" w:cs="Calibri"/>
              </w:rPr>
              <w:t>or in their absence the FOM</w:t>
            </w:r>
            <w:r w:rsidRPr="00D55A77">
              <w:rPr>
                <w:rFonts w:ascii="Calibri" w:hAnsi="Calibri" w:cs="Calibri"/>
              </w:rPr>
              <w:t>)</w:t>
            </w:r>
            <w:r w:rsidR="00D05ED4" w:rsidRPr="00D55A77">
              <w:rPr>
                <w:rFonts w:ascii="Calibri" w:hAnsi="Calibri" w:cs="Calibri"/>
              </w:rPr>
              <w:t xml:space="preserve"> becomes the DAFF point of contact with the establishment in relation to </w:t>
            </w:r>
            <w:r w:rsidR="00493A1B" w:rsidRPr="00D55A77">
              <w:rPr>
                <w:rFonts w:ascii="Calibri" w:hAnsi="Calibri" w:cs="Calibri"/>
              </w:rPr>
              <w:t xml:space="preserve">all technical matters </w:t>
            </w:r>
            <w:r w:rsidR="00462676" w:rsidRPr="00D55A77">
              <w:rPr>
                <w:rFonts w:ascii="Calibri" w:hAnsi="Calibri" w:cs="Calibri"/>
              </w:rPr>
              <w:t>pertaining to</w:t>
            </w:r>
            <w:r w:rsidR="00493A1B" w:rsidRPr="00D55A77">
              <w:rPr>
                <w:rFonts w:ascii="Calibri" w:hAnsi="Calibri" w:cs="Calibri"/>
              </w:rPr>
              <w:t xml:space="preserve"> </w:t>
            </w:r>
            <w:r w:rsidR="00D05ED4" w:rsidRPr="00D55A77">
              <w:rPr>
                <w:rFonts w:ascii="Calibri" w:hAnsi="Calibri" w:cs="Calibri"/>
              </w:rPr>
              <w:t>interruption to production.</w:t>
            </w:r>
          </w:p>
        </w:tc>
        <w:tc>
          <w:tcPr>
            <w:tcW w:w="1763" w:type="dxa"/>
            <w:vAlign w:val="center"/>
          </w:tcPr>
          <w:p w14:paraId="098F7E61" w14:textId="19271DBE" w:rsidR="00D05ED4" w:rsidRPr="00D55A77" w:rsidRDefault="00D05ED4" w:rsidP="001C2115">
            <w:pPr>
              <w:pStyle w:val="Tabletext"/>
              <w:jc w:val="center"/>
              <w:rPr>
                <w:rFonts w:ascii="Calibri" w:hAnsi="Calibri" w:cs="Calibri"/>
              </w:rPr>
            </w:pPr>
            <w:r w:rsidRPr="00D55A77">
              <w:rPr>
                <w:rFonts w:ascii="Calibri" w:hAnsi="Calibri" w:cs="Calibri"/>
              </w:rPr>
              <w:t>ATM</w:t>
            </w:r>
            <w:r w:rsidR="00103436" w:rsidRPr="00D55A77">
              <w:rPr>
                <w:rFonts w:ascii="Calibri" w:hAnsi="Calibri" w:cs="Calibri"/>
              </w:rPr>
              <w:t xml:space="preserve"> or FOM (</w:t>
            </w:r>
            <w:r w:rsidRPr="00D55A77">
              <w:rPr>
                <w:rFonts w:ascii="Calibri" w:hAnsi="Calibri" w:cs="Calibri"/>
              </w:rPr>
              <w:t>in absence of ATM)</w:t>
            </w:r>
          </w:p>
        </w:tc>
      </w:tr>
      <w:tr w:rsidR="00565256" w:rsidRPr="00103436" w14:paraId="0E622AAB" w14:textId="77777777" w:rsidTr="001C2115">
        <w:trPr>
          <w:trHeight w:val="493"/>
          <w:jc w:val="center"/>
        </w:trPr>
        <w:tc>
          <w:tcPr>
            <w:tcW w:w="856" w:type="dxa"/>
            <w:vAlign w:val="center"/>
          </w:tcPr>
          <w:p w14:paraId="716026C3" w14:textId="77777777" w:rsidR="00565256" w:rsidRPr="00D55A77" w:rsidRDefault="00565256" w:rsidP="001C2115">
            <w:pPr>
              <w:pStyle w:val="Tabletext"/>
              <w:jc w:val="center"/>
              <w:rPr>
                <w:rFonts w:ascii="Calibri" w:hAnsi="Calibri" w:cs="Calibri"/>
              </w:rPr>
            </w:pPr>
            <w:r w:rsidRPr="00D55A77">
              <w:rPr>
                <w:rFonts w:ascii="Calibri" w:hAnsi="Calibri" w:cs="Calibri"/>
              </w:rPr>
              <w:t>3.</w:t>
            </w:r>
          </w:p>
        </w:tc>
        <w:tc>
          <w:tcPr>
            <w:tcW w:w="6170" w:type="dxa"/>
            <w:vAlign w:val="center"/>
          </w:tcPr>
          <w:p w14:paraId="42BF1667" w14:textId="70A6AD53" w:rsidR="00565256" w:rsidRPr="00D55A77" w:rsidRDefault="00D05ED4" w:rsidP="001C2115">
            <w:pPr>
              <w:pStyle w:val="Tabletext"/>
              <w:rPr>
                <w:rFonts w:ascii="Calibri" w:hAnsi="Calibri" w:cs="Calibri"/>
              </w:rPr>
            </w:pPr>
            <w:r w:rsidRPr="00D55A77">
              <w:rPr>
                <w:rFonts w:ascii="Calibri" w:hAnsi="Calibri" w:cs="Calibri"/>
              </w:rPr>
              <w:t>ATM copies the AD into all correspondence regarding th</w:t>
            </w:r>
            <w:r w:rsidR="00493A1B" w:rsidRPr="00D55A77">
              <w:rPr>
                <w:rFonts w:ascii="Calibri" w:hAnsi="Calibri" w:cs="Calibri"/>
              </w:rPr>
              <w:t xml:space="preserve">e </w:t>
            </w:r>
            <w:r w:rsidRPr="00D55A77">
              <w:rPr>
                <w:rFonts w:ascii="Calibri" w:hAnsi="Calibri" w:cs="Calibri"/>
              </w:rPr>
              <w:t>interruption</w:t>
            </w:r>
          </w:p>
        </w:tc>
        <w:tc>
          <w:tcPr>
            <w:tcW w:w="1763" w:type="dxa"/>
            <w:vAlign w:val="center"/>
          </w:tcPr>
          <w:p w14:paraId="37CB53FF" w14:textId="622E83A0" w:rsidR="00565256" w:rsidRPr="00D55A77" w:rsidRDefault="00D05ED4" w:rsidP="001C2115">
            <w:pPr>
              <w:pStyle w:val="Tabletext"/>
              <w:jc w:val="center"/>
              <w:rPr>
                <w:rFonts w:ascii="Calibri" w:hAnsi="Calibri" w:cs="Calibri"/>
              </w:rPr>
            </w:pPr>
            <w:r w:rsidRPr="00D55A77">
              <w:rPr>
                <w:rFonts w:ascii="Calibri" w:hAnsi="Calibri" w:cs="Calibri"/>
              </w:rPr>
              <w:t>ATM</w:t>
            </w:r>
          </w:p>
        </w:tc>
      </w:tr>
      <w:tr w:rsidR="00565256" w:rsidRPr="00103436" w14:paraId="11A5D334" w14:textId="77777777" w:rsidTr="001C2115">
        <w:trPr>
          <w:trHeight w:val="1279"/>
          <w:jc w:val="center"/>
        </w:trPr>
        <w:tc>
          <w:tcPr>
            <w:tcW w:w="856" w:type="dxa"/>
            <w:vAlign w:val="center"/>
          </w:tcPr>
          <w:p w14:paraId="670B8B1B" w14:textId="77777777" w:rsidR="00565256" w:rsidRPr="00D55A77" w:rsidRDefault="00565256" w:rsidP="001C2115">
            <w:pPr>
              <w:pStyle w:val="Tabletext"/>
              <w:jc w:val="center"/>
              <w:rPr>
                <w:rFonts w:ascii="Calibri" w:hAnsi="Calibri" w:cs="Calibri"/>
              </w:rPr>
            </w:pPr>
            <w:r w:rsidRPr="00D55A77">
              <w:rPr>
                <w:rFonts w:ascii="Calibri" w:hAnsi="Calibri" w:cs="Calibri"/>
              </w:rPr>
              <w:t>4.</w:t>
            </w:r>
          </w:p>
        </w:tc>
        <w:tc>
          <w:tcPr>
            <w:tcW w:w="6170" w:type="dxa"/>
            <w:vAlign w:val="center"/>
          </w:tcPr>
          <w:p w14:paraId="40E4725C" w14:textId="0CC56288" w:rsidR="00565256" w:rsidRPr="00D55A77" w:rsidRDefault="00D05ED4" w:rsidP="001C2115">
            <w:pPr>
              <w:pStyle w:val="Tabletext"/>
              <w:rPr>
                <w:rFonts w:ascii="Calibri" w:hAnsi="Calibri" w:cs="Calibri"/>
              </w:rPr>
            </w:pPr>
            <w:r w:rsidRPr="00D55A77">
              <w:rPr>
                <w:rFonts w:ascii="Calibri" w:hAnsi="Calibri" w:cs="Calibri"/>
              </w:rPr>
              <w:t xml:space="preserve">The ATM/FOM provides written instruction to the company and DAFF staff as to the </w:t>
            </w:r>
            <w:r w:rsidR="003355EB" w:rsidRPr="00D55A77">
              <w:rPr>
                <w:rFonts w:ascii="Calibri" w:hAnsi="Calibri" w:cs="Calibri"/>
              </w:rPr>
              <w:t>short</w:t>
            </w:r>
            <w:r w:rsidR="00C46278" w:rsidRPr="00D55A77">
              <w:rPr>
                <w:rFonts w:ascii="Calibri" w:hAnsi="Calibri" w:cs="Calibri"/>
              </w:rPr>
              <w:t>-</w:t>
            </w:r>
            <w:r w:rsidR="003355EB" w:rsidRPr="00D55A77">
              <w:rPr>
                <w:rFonts w:ascii="Calibri" w:hAnsi="Calibri" w:cs="Calibri"/>
              </w:rPr>
              <w:t>term corrective actions (</w:t>
            </w:r>
            <w:r w:rsidRPr="00D55A77">
              <w:rPr>
                <w:rFonts w:ascii="Calibri" w:hAnsi="Calibri" w:cs="Calibri"/>
              </w:rPr>
              <w:t>STCAs</w:t>
            </w:r>
            <w:r w:rsidR="003355EB" w:rsidRPr="00D55A77">
              <w:rPr>
                <w:rFonts w:ascii="Calibri" w:hAnsi="Calibri" w:cs="Calibri"/>
              </w:rPr>
              <w:t>)</w:t>
            </w:r>
            <w:r w:rsidRPr="00D55A77">
              <w:rPr>
                <w:rFonts w:ascii="Calibri" w:hAnsi="Calibri" w:cs="Calibri"/>
              </w:rPr>
              <w:t xml:space="preserve">, </w:t>
            </w:r>
            <w:r w:rsidR="003355EB" w:rsidRPr="00D55A77">
              <w:rPr>
                <w:rFonts w:ascii="Calibri" w:hAnsi="Calibri" w:cs="Calibri"/>
              </w:rPr>
              <w:t>long term preventative actions (</w:t>
            </w:r>
            <w:r w:rsidRPr="00D55A77">
              <w:rPr>
                <w:rFonts w:ascii="Calibri" w:hAnsi="Calibri" w:cs="Calibri"/>
              </w:rPr>
              <w:t>LTPAs</w:t>
            </w:r>
            <w:r w:rsidR="003355EB" w:rsidRPr="00D55A77">
              <w:rPr>
                <w:rFonts w:ascii="Calibri" w:hAnsi="Calibri" w:cs="Calibri"/>
              </w:rPr>
              <w:t>)</w:t>
            </w:r>
            <w:r w:rsidRPr="00D55A77">
              <w:rPr>
                <w:rFonts w:ascii="Calibri" w:hAnsi="Calibri" w:cs="Calibri"/>
              </w:rPr>
              <w:t xml:space="preserve"> and records required to protect the integrity, food safety and wholesomeness of any product affected.</w:t>
            </w:r>
          </w:p>
        </w:tc>
        <w:tc>
          <w:tcPr>
            <w:tcW w:w="1763" w:type="dxa"/>
            <w:vAlign w:val="center"/>
          </w:tcPr>
          <w:p w14:paraId="17040E50" w14:textId="54AB470A" w:rsidR="00565256" w:rsidRPr="00D55A77" w:rsidRDefault="00D05ED4" w:rsidP="001C2115">
            <w:pPr>
              <w:pStyle w:val="Tabletext"/>
              <w:jc w:val="center"/>
              <w:rPr>
                <w:rFonts w:ascii="Calibri" w:hAnsi="Calibri" w:cs="Calibri"/>
              </w:rPr>
            </w:pPr>
            <w:r w:rsidRPr="00D55A77">
              <w:rPr>
                <w:rFonts w:ascii="Calibri" w:hAnsi="Calibri" w:cs="Calibri"/>
              </w:rPr>
              <w:t>ATM/FOM</w:t>
            </w:r>
          </w:p>
        </w:tc>
      </w:tr>
      <w:tr w:rsidR="00565256" w:rsidRPr="00103436" w14:paraId="21FB18B9" w14:textId="77777777" w:rsidTr="001C2115">
        <w:trPr>
          <w:trHeight w:val="703"/>
          <w:jc w:val="center"/>
        </w:trPr>
        <w:tc>
          <w:tcPr>
            <w:tcW w:w="856" w:type="dxa"/>
            <w:vAlign w:val="center"/>
          </w:tcPr>
          <w:p w14:paraId="21A437F3" w14:textId="77777777" w:rsidR="00565256" w:rsidRPr="00D55A77" w:rsidRDefault="00565256" w:rsidP="001C2115">
            <w:pPr>
              <w:pStyle w:val="Tabletext"/>
              <w:jc w:val="center"/>
              <w:rPr>
                <w:rFonts w:ascii="Calibri" w:hAnsi="Calibri" w:cs="Calibri"/>
              </w:rPr>
            </w:pPr>
            <w:r w:rsidRPr="00D55A77">
              <w:rPr>
                <w:rFonts w:ascii="Calibri" w:hAnsi="Calibri" w:cs="Calibri"/>
              </w:rPr>
              <w:t>5.</w:t>
            </w:r>
          </w:p>
        </w:tc>
        <w:tc>
          <w:tcPr>
            <w:tcW w:w="6170" w:type="dxa"/>
            <w:vAlign w:val="center"/>
          </w:tcPr>
          <w:p w14:paraId="340338C0" w14:textId="2E979888" w:rsidR="00565256" w:rsidRPr="00D55A77" w:rsidRDefault="00D05ED4" w:rsidP="001C2115">
            <w:pPr>
              <w:pStyle w:val="Tabletext"/>
              <w:rPr>
                <w:rFonts w:ascii="Calibri" w:hAnsi="Calibri" w:cs="Calibri"/>
              </w:rPr>
            </w:pPr>
            <w:r w:rsidRPr="00D55A77">
              <w:rPr>
                <w:rFonts w:ascii="Calibri" w:hAnsi="Calibri" w:cs="Calibri"/>
              </w:rPr>
              <w:t xml:space="preserve">The company </w:t>
            </w:r>
            <w:r w:rsidR="004F43A7" w:rsidRPr="00D55A77">
              <w:rPr>
                <w:rFonts w:ascii="Calibri" w:hAnsi="Calibri" w:cs="Calibri"/>
              </w:rPr>
              <w:t>(</w:t>
            </w:r>
            <w:r w:rsidRPr="00D55A77">
              <w:rPr>
                <w:rFonts w:ascii="Calibri" w:hAnsi="Calibri" w:cs="Calibri"/>
              </w:rPr>
              <w:t>with support of DAFF staff</w:t>
            </w:r>
            <w:r w:rsidR="004F43A7" w:rsidRPr="00D55A77">
              <w:rPr>
                <w:rFonts w:ascii="Calibri" w:hAnsi="Calibri" w:cs="Calibri"/>
              </w:rPr>
              <w:t xml:space="preserve">) </w:t>
            </w:r>
            <w:r w:rsidRPr="00D55A77">
              <w:rPr>
                <w:rFonts w:ascii="Calibri" w:hAnsi="Calibri" w:cs="Calibri"/>
              </w:rPr>
              <w:t>provide a final report to the ATM/FOM on the outcomes achieved</w:t>
            </w:r>
            <w:r w:rsidR="00882CAA" w:rsidRPr="00D55A77">
              <w:rPr>
                <w:rFonts w:ascii="Calibri" w:hAnsi="Calibri" w:cs="Calibri"/>
              </w:rPr>
              <w:t>.</w:t>
            </w:r>
          </w:p>
        </w:tc>
        <w:tc>
          <w:tcPr>
            <w:tcW w:w="1763" w:type="dxa"/>
            <w:vAlign w:val="center"/>
          </w:tcPr>
          <w:p w14:paraId="5D38880A" w14:textId="77777777" w:rsidR="00565256" w:rsidRPr="00D55A77" w:rsidRDefault="00D05ED4" w:rsidP="001C2115">
            <w:pPr>
              <w:pStyle w:val="Tabletext"/>
              <w:jc w:val="center"/>
              <w:rPr>
                <w:rFonts w:ascii="Calibri" w:hAnsi="Calibri" w:cs="Calibri"/>
              </w:rPr>
            </w:pPr>
            <w:r w:rsidRPr="00D55A77">
              <w:rPr>
                <w:rFonts w:ascii="Calibri" w:hAnsi="Calibri" w:cs="Calibri"/>
              </w:rPr>
              <w:t>Company</w:t>
            </w:r>
          </w:p>
          <w:p w14:paraId="7AA4DE8F" w14:textId="31438B2F" w:rsidR="00D05ED4" w:rsidRPr="00D55A77" w:rsidRDefault="00D05ED4" w:rsidP="001C2115">
            <w:pPr>
              <w:pStyle w:val="Tabletext"/>
              <w:jc w:val="center"/>
              <w:rPr>
                <w:rFonts w:ascii="Calibri" w:hAnsi="Calibri" w:cs="Calibri"/>
              </w:rPr>
            </w:pPr>
          </w:p>
        </w:tc>
      </w:tr>
      <w:tr w:rsidR="00565256" w:rsidRPr="00103436" w14:paraId="381EC51F" w14:textId="77777777" w:rsidTr="001C2115">
        <w:trPr>
          <w:trHeight w:val="685"/>
          <w:jc w:val="center"/>
        </w:trPr>
        <w:tc>
          <w:tcPr>
            <w:tcW w:w="856" w:type="dxa"/>
            <w:vAlign w:val="center"/>
          </w:tcPr>
          <w:p w14:paraId="38F045F4" w14:textId="77777777" w:rsidR="00565256" w:rsidRPr="00D55A77" w:rsidRDefault="00565256" w:rsidP="001C2115">
            <w:pPr>
              <w:pStyle w:val="Tabletext"/>
              <w:jc w:val="center"/>
              <w:rPr>
                <w:rFonts w:ascii="Calibri" w:hAnsi="Calibri" w:cs="Calibri"/>
              </w:rPr>
            </w:pPr>
            <w:r w:rsidRPr="00D55A77">
              <w:rPr>
                <w:rFonts w:ascii="Calibri" w:hAnsi="Calibri" w:cs="Calibri"/>
              </w:rPr>
              <w:t>6.</w:t>
            </w:r>
          </w:p>
        </w:tc>
        <w:tc>
          <w:tcPr>
            <w:tcW w:w="6170" w:type="dxa"/>
            <w:vAlign w:val="center"/>
          </w:tcPr>
          <w:p w14:paraId="74B865D3" w14:textId="60EBA8C6" w:rsidR="00565256" w:rsidRPr="00D55A77" w:rsidRDefault="00D05ED4" w:rsidP="001C2115">
            <w:pPr>
              <w:pStyle w:val="Tabletext"/>
              <w:rPr>
                <w:rFonts w:ascii="Calibri" w:hAnsi="Calibri" w:cs="Calibri"/>
              </w:rPr>
            </w:pPr>
            <w:r w:rsidRPr="00D55A77">
              <w:rPr>
                <w:rFonts w:ascii="Calibri" w:hAnsi="Calibri" w:cs="Calibri"/>
              </w:rPr>
              <w:t>ATM/FOM make a final disposition on product affected by the interruption to production</w:t>
            </w:r>
            <w:r w:rsidR="00882CAA" w:rsidRPr="00D55A77">
              <w:rPr>
                <w:rFonts w:ascii="Calibri" w:hAnsi="Calibri" w:cs="Calibri"/>
              </w:rPr>
              <w:t>.</w:t>
            </w:r>
          </w:p>
        </w:tc>
        <w:tc>
          <w:tcPr>
            <w:tcW w:w="1763" w:type="dxa"/>
            <w:vAlign w:val="center"/>
          </w:tcPr>
          <w:p w14:paraId="612734BB" w14:textId="64A3E219" w:rsidR="00565256" w:rsidRPr="00D55A77" w:rsidRDefault="00D05ED4" w:rsidP="001C2115">
            <w:pPr>
              <w:pStyle w:val="Tabletext"/>
              <w:jc w:val="center"/>
              <w:rPr>
                <w:rFonts w:ascii="Calibri" w:hAnsi="Calibri" w:cs="Calibri"/>
              </w:rPr>
            </w:pPr>
            <w:r w:rsidRPr="00D55A77">
              <w:rPr>
                <w:rFonts w:ascii="Calibri" w:hAnsi="Calibri" w:cs="Calibri"/>
              </w:rPr>
              <w:t>ATM/FOM</w:t>
            </w:r>
          </w:p>
        </w:tc>
      </w:tr>
      <w:tr w:rsidR="00D05ED4" w:rsidRPr="00103436" w14:paraId="7DBFFEC3" w14:textId="77777777" w:rsidTr="001C2115">
        <w:trPr>
          <w:trHeight w:val="708"/>
          <w:jc w:val="center"/>
        </w:trPr>
        <w:tc>
          <w:tcPr>
            <w:tcW w:w="856" w:type="dxa"/>
            <w:vAlign w:val="center"/>
          </w:tcPr>
          <w:p w14:paraId="69DACAE9" w14:textId="3B338E54" w:rsidR="00D05ED4" w:rsidRPr="00D55A77" w:rsidRDefault="00D05ED4" w:rsidP="001C2115">
            <w:pPr>
              <w:pStyle w:val="Tabletext"/>
              <w:jc w:val="center"/>
              <w:rPr>
                <w:rFonts w:ascii="Calibri" w:hAnsi="Calibri" w:cs="Calibri"/>
              </w:rPr>
            </w:pPr>
            <w:r w:rsidRPr="00D55A77">
              <w:rPr>
                <w:rFonts w:ascii="Calibri" w:hAnsi="Calibri" w:cs="Calibri"/>
              </w:rPr>
              <w:t>7.</w:t>
            </w:r>
          </w:p>
        </w:tc>
        <w:tc>
          <w:tcPr>
            <w:tcW w:w="6170" w:type="dxa"/>
            <w:vAlign w:val="center"/>
          </w:tcPr>
          <w:p w14:paraId="09A72A3C" w14:textId="4DF84345" w:rsidR="00D05ED4" w:rsidRPr="00D55A77" w:rsidRDefault="00D05ED4" w:rsidP="001C2115">
            <w:pPr>
              <w:pStyle w:val="Tabletext"/>
              <w:rPr>
                <w:rFonts w:ascii="Calibri" w:hAnsi="Calibri" w:cs="Calibri"/>
              </w:rPr>
            </w:pPr>
            <w:r w:rsidRPr="00D55A77">
              <w:rPr>
                <w:rFonts w:ascii="Calibri" w:hAnsi="Calibri" w:cs="Calibri"/>
              </w:rPr>
              <w:t>Debrief between DAFF and the company as to how effectively the interruption to production was handled.</w:t>
            </w:r>
          </w:p>
        </w:tc>
        <w:tc>
          <w:tcPr>
            <w:tcW w:w="1763" w:type="dxa"/>
            <w:vAlign w:val="center"/>
          </w:tcPr>
          <w:p w14:paraId="6D0BEE40" w14:textId="4C674F4F" w:rsidR="00D05ED4" w:rsidRPr="00D55A77" w:rsidRDefault="00D05ED4" w:rsidP="001C2115">
            <w:pPr>
              <w:pStyle w:val="Tabletext"/>
              <w:jc w:val="center"/>
              <w:rPr>
                <w:rFonts w:ascii="Calibri" w:hAnsi="Calibri" w:cs="Calibri"/>
              </w:rPr>
            </w:pPr>
            <w:r w:rsidRPr="00D55A77">
              <w:rPr>
                <w:rFonts w:ascii="Calibri" w:hAnsi="Calibri" w:cs="Calibri"/>
              </w:rPr>
              <w:t>DAFF and Company</w:t>
            </w:r>
          </w:p>
        </w:tc>
      </w:tr>
    </w:tbl>
    <w:p w14:paraId="63AF2EFA" w14:textId="77777777" w:rsidR="00D05ED4" w:rsidRDefault="00D05ED4" w:rsidP="00890C0E">
      <w:pPr>
        <w:pStyle w:val="Documentbody-bodytext"/>
      </w:pPr>
    </w:p>
    <w:p w14:paraId="6DDF241B" w14:textId="77777777" w:rsidR="005F029F" w:rsidRDefault="005F029F">
      <w:pPr>
        <w:rPr>
          <w:rFonts w:ascii="Cambria" w:eastAsia="Cambria" w:hAnsi="Cambria"/>
          <w:b/>
          <w:color w:val="165788"/>
          <w:spacing w:val="-1"/>
          <w:sz w:val="33"/>
        </w:rPr>
      </w:pPr>
      <w:bookmarkStart w:id="10" w:name="_Related_Material"/>
      <w:bookmarkEnd w:id="10"/>
      <w:r>
        <w:br w:type="page"/>
      </w:r>
    </w:p>
    <w:p w14:paraId="29D76E2E" w14:textId="0703A217" w:rsidR="00A0739E" w:rsidRPr="00C653A0" w:rsidRDefault="00A0739E" w:rsidP="00B104D5">
      <w:pPr>
        <w:pStyle w:val="Heading2"/>
        <w:keepNext/>
        <w:keepLines/>
        <w:widowControl w:val="0"/>
        <w:rPr>
          <w:color w:val="00588F"/>
          <w:spacing w:val="-3"/>
        </w:rPr>
      </w:pPr>
      <w:bookmarkStart w:id="11" w:name="_Related_material_1"/>
      <w:bookmarkStart w:id="12" w:name="_Toc131088667"/>
      <w:bookmarkEnd w:id="11"/>
      <w:r w:rsidRPr="00C03F16">
        <w:lastRenderedPageBreak/>
        <w:t xml:space="preserve">Related </w:t>
      </w:r>
      <w:r w:rsidR="009A495A">
        <w:t>m</w:t>
      </w:r>
      <w:r w:rsidRPr="00C03F16">
        <w:t>aterial</w:t>
      </w:r>
      <w:bookmarkEnd w:id="12"/>
      <w:r w:rsidRPr="00C03F16">
        <w:t xml:space="preserve"> </w:t>
      </w:r>
    </w:p>
    <w:p w14:paraId="69D0C495" w14:textId="78CAEAD8" w:rsidR="00A0739E" w:rsidRPr="00662688" w:rsidRDefault="00A0739E" w:rsidP="00E25332">
      <w:pPr>
        <w:pStyle w:val="Documentbody-bodytext"/>
      </w:pPr>
      <w:r>
        <w:t>The following related material is available on the internet:</w:t>
      </w:r>
    </w:p>
    <w:p w14:paraId="09127B4C" w14:textId="77777777" w:rsidR="00A0739E" w:rsidRPr="00FF5449" w:rsidRDefault="00A0739E" w:rsidP="0028416A">
      <w:pPr>
        <w:pStyle w:val="Bullet1"/>
        <w:numPr>
          <w:ilvl w:val="0"/>
          <w:numId w:val="1"/>
        </w:numPr>
        <w:ind w:left="1712" w:right="992" w:hanging="357"/>
        <w:textAlignment w:val="auto"/>
        <w:rPr>
          <w:i/>
          <w:iCs/>
        </w:rPr>
      </w:pPr>
      <w:r>
        <w:t xml:space="preserve">Webpage: </w:t>
      </w:r>
      <w:hyperlink r:id="rId17" w:history="1">
        <w:r w:rsidRPr="008F6C8C">
          <w:rPr>
            <w:rStyle w:val="Hyperlink"/>
          </w:rPr>
          <w:t>Export Control Act 2020</w:t>
        </w:r>
      </w:hyperlink>
    </w:p>
    <w:p w14:paraId="2510CD0E" w14:textId="77777777" w:rsidR="00A0739E" w:rsidRDefault="00A0739E" w:rsidP="0028416A">
      <w:pPr>
        <w:pStyle w:val="Bullet1"/>
        <w:numPr>
          <w:ilvl w:val="0"/>
          <w:numId w:val="1"/>
        </w:numPr>
        <w:ind w:left="1712" w:right="992" w:hanging="357"/>
        <w:textAlignment w:val="auto"/>
      </w:pPr>
      <w:r>
        <w:t xml:space="preserve">Webpage: </w:t>
      </w:r>
      <w:hyperlink r:id="rId18" w:history="1">
        <w:r w:rsidRPr="00FF5449">
          <w:rPr>
            <w:rStyle w:val="Hyperlink"/>
          </w:rPr>
          <w:t>Export Control (Meat and Meat Products) Rules 2021</w:t>
        </w:r>
      </w:hyperlink>
    </w:p>
    <w:p w14:paraId="10975FA4" w14:textId="77777777" w:rsidR="00A0739E" w:rsidRDefault="00A0739E" w:rsidP="0028416A">
      <w:pPr>
        <w:pStyle w:val="Bullet1"/>
        <w:numPr>
          <w:ilvl w:val="0"/>
          <w:numId w:val="1"/>
        </w:numPr>
        <w:ind w:left="1712" w:right="992" w:hanging="357"/>
        <w:textAlignment w:val="auto"/>
      </w:pPr>
      <w:r>
        <w:t xml:space="preserve">Webpage: </w:t>
      </w:r>
      <w:hyperlink r:id="rId19" w:history="1">
        <w:r w:rsidRPr="00FF5449">
          <w:rPr>
            <w:rStyle w:val="Hyperlink"/>
          </w:rPr>
          <w:t>Export Control (Wild Game Meat and Wild Game Meat Products) Rules 2021</w:t>
        </w:r>
      </w:hyperlink>
    </w:p>
    <w:p w14:paraId="1A3CC9FB" w14:textId="77777777" w:rsidR="00A0739E" w:rsidRDefault="00A0739E" w:rsidP="0028416A">
      <w:pPr>
        <w:pStyle w:val="Bullet1"/>
        <w:numPr>
          <w:ilvl w:val="0"/>
          <w:numId w:val="1"/>
        </w:numPr>
        <w:ind w:left="1712" w:right="992" w:hanging="357"/>
        <w:textAlignment w:val="auto"/>
      </w:pPr>
      <w:r>
        <w:t xml:space="preserve">Webpage: </w:t>
      </w:r>
      <w:hyperlink r:id="rId20" w:history="1">
        <w:r w:rsidRPr="00FF5449">
          <w:rPr>
            <w:rStyle w:val="Hyperlink"/>
          </w:rPr>
          <w:t>Export Control (Rabbit and Ratite Meat and Rabbit and Ratite Meat Products) Rules 2021</w:t>
        </w:r>
      </w:hyperlink>
    </w:p>
    <w:p w14:paraId="291D6CE4" w14:textId="77777777" w:rsidR="00A0739E" w:rsidRDefault="00A0739E" w:rsidP="0028416A">
      <w:pPr>
        <w:pStyle w:val="Bullet1"/>
        <w:numPr>
          <w:ilvl w:val="0"/>
          <w:numId w:val="1"/>
        </w:numPr>
        <w:ind w:left="1712" w:right="992" w:hanging="357"/>
        <w:textAlignment w:val="auto"/>
      </w:pPr>
      <w:r>
        <w:t xml:space="preserve">Webpage: </w:t>
      </w:r>
      <w:hyperlink r:id="rId21" w:history="1">
        <w:r w:rsidRPr="00FF5449">
          <w:rPr>
            <w:rStyle w:val="Hyperlink"/>
          </w:rPr>
          <w:t>Export Control (Poultry Meat and Poultry Meat Products) Rules 2021</w:t>
        </w:r>
      </w:hyperlink>
    </w:p>
    <w:p w14:paraId="07977909" w14:textId="3C7D0FAA" w:rsidR="00F5154F" w:rsidRPr="000F3813" w:rsidRDefault="00AC12DA" w:rsidP="0028416A">
      <w:pPr>
        <w:pStyle w:val="Bullet1"/>
        <w:numPr>
          <w:ilvl w:val="0"/>
          <w:numId w:val="1"/>
        </w:numPr>
        <w:ind w:left="1712" w:right="992" w:hanging="357"/>
        <w:textAlignment w:val="auto"/>
      </w:pPr>
      <w:r>
        <w:t xml:space="preserve">Webpage: </w:t>
      </w:r>
      <w:hyperlink r:id="rId22" w:history="1">
        <w:r w:rsidR="00F5154F" w:rsidRPr="008F6C8C">
          <w:rPr>
            <w:rStyle w:val="Hyperlink"/>
          </w:rPr>
          <w:t>Work Health and Safety Act 2011</w:t>
        </w:r>
      </w:hyperlink>
    </w:p>
    <w:p w14:paraId="24D05C33" w14:textId="25568F25" w:rsidR="00AC12DA" w:rsidRDefault="00AC12DA" w:rsidP="0028416A">
      <w:pPr>
        <w:pStyle w:val="Bullet1"/>
        <w:numPr>
          <w:ilvl w:val="0"/>
          <w:numId w:val="1"/>
        </w:numPr>
        <w:ind w:left="1712" w:right="992" w:hanging="357"/>
        <w:textAlignment w:val="auto"/>
      </w:pPr>
      <w:r>
        <w:t xml:space="preserve">Webpage: </w:t>
      </w:r>
      <w:hyperlink r:id="rId23" w:history="1">
        <w:r w:rsidRPr="00AC12DA">
          <w:rPr>
            <w:rStyle w:val="Hyperlink"/>
          </w:rPr>
          <w:t>Work Health and Safety Regulations 2011</w:t>
        </w:r>
      </w:hyperlink>
    </w:p>
    <w:p w14:paraId="590B13F4" w14:textId="44224CBD" w:rsidR="00F5154F" w:rsidRPr="00A14C82" w:rsidRDefault="00AC12DA" w:rsidP="0028416A">
      <w:pPr>
        <w:pStyle w:val="Bullet1"/>
        <w:numPr>
          <w:ilvl w:val="0"/>
          <w:numId w:val="1"/>
        </w:numPr>
        <w:ind w:left="1712" w:right="992" w:hanging="357"/>
        <w:textAlignment w:val="auto"/>
      </w:pPr>
      <w:r>
        <w:t xml:space="preserve">Webpage: </w:t>
      </w:r>
      <w:hyperlink r:id="rId24" w:history="1">
        <w:r w:rsidRPr="00AC12DA">
          <w:rPr>
            <w:rStyle w:val="Hyperlink"/>
          </w:rPr>
          <w:t>Model WHS Regulations</w:t>
        </w:r>
      </w:hyperlink>
    </w:p>
    <w:p w14:paraId="6113FED1" w14:textId="755E853D" w:rsidR="00AC12DA" w:rsidRDefault="00AC12DA" w:rsidP="0028416A">
      <w:pPr>
        <w:pStyle w:val="Bullet1"/>
        <w:numPr>
          <w:ilvl w:val="0"/>
          <w:numId w:val="1"/>
        </w:numPr>
        <w:ind w:left="1712" w:right="992" w:hanging="357"/>
        <w:textAlignment w:val="auto"/>
      </w:pPr>
      <w:r>
        <w:t xml:space="preserve">Webpage: </w:t>
      </w:r>
      <w:hyperlink r:id="rId25" w:history="1">
        <w:r w:rsidRPr="00461DC1">
          <w:rPr>
            <w:rStyle w:val="Hyperlink"/>
          </w:rPr>
          <w:t>Model Code of Practice: Managing the work environment and facilities</w:t>
        </w:r>
      </w:hyperlink>
    </w:p>
    <w:p w14:paraId="462A6D1F" w14:textId="7E3E42F2" w:rsidR="00461DC1" w:rsidRDefault="00461DC1" w:rsidP="0028416A">
      <w:pPr>
        <w:pStyle w:val="Bullet1"/>
        <w:numPr>
          <w:ilvl w:val="0"/>
          <w:numId w:val="1"/>
        </w:numPr>
        <w:ind w:left="1712" w:right="992" w:hanging="357"/>
        <w:textAlignment w:val="auto"/>
      </w:pPr>
      <w:r>
        <w:t xml:space="preserve">Webpage: </w:t>
      </w:r>
      <w:hyperlink r:id="rId26" w:history="1">
        <w:r w:rsidRPr="00461DC1">
          <w:rPr>
            <w:rStyle w:val="Hyperlink"/>
          </w:rPr>
          <w:t>Model Code of Practice: First aid in the workplace</w:t>
        </w:r>
      </w:hyperlink>
    </w:p>
    <w:p w14:paraId="1713EF94" w14:textId="2C6580FD" w:rsidR="00461DC1" w:rsidRPr="00A57987" w:rsidRDefault="00461DC1" w:rsidP="0028416A">
      <w:pPr>
        <w:pStyle w:val="Bullet1"/>
        <w:numPr>
          <w:ilvl w:val="0"/>
          <w:numId w:val="1"/>
        </w:numPr>
        <w:ind w:left="1712" w:right="992" w:hanging="357"/>
        <w:textAlignment w:val="auto"/>
        <w:rPr>
          <w:rStyle w:val="Hyperlink"/>
          <w:color w:val="000000"/>
          <w:u w:val="none"/>
        </w:rPr>
      </w:pPr>
      <w:r>
        <w:t xml:space="preserve">Webpage: </w:t>
      </w:r>
      <w:hyperlink r:id="rId27" w:history="1">
        <w:r w:rsidRPr="00461DC1">
          <w:rPr>
            <w:rStyle w:val="Hyperlink"/>
          </w:rPr>
          <w:t>Model Code of Practice: How to manage and control asbestos in the workplace</w:t>
        </w:r>
      </w:hyperlink>
    </w:p>
    <w:p w14:paraId="65BBA7DB" w14:textId="51ABD1B9" w:rsidR="007061FA" w:rsidRDefault="007061FA" w:rsidP="007061FA">
      <w:pPr>
        <w:pStyle w:val="Documentbody-bodytext"/>
      </w:pPr>
      <w:r>
        <w:t>The following related material is available on the department’s website:</w:t>
      </w:r>
    </w:p>
    <w:p w14:paraId="6CE6E7B7" w14:textId="115E3248" w:rsidR="00F932DE" w:rsidRPr="008F6C8C" w:rsidRDefault="00F932DE" w:rsidP="008F6C8C">
      <w:pPr>
        <w:pStyle w:val="Bullet1"/>
        <w:numPr>
          <w:ilvl w:val="0"/>
          <w:numId w:val="1"/>
        </w:numPr>
        <w:ind w:left="1712" w:right="992" w:hanging="357"/>
        <w:textAlignment w:val="auto"/>
      </w:pPr>
      <w:r w:rsidRPr="008F6C8C">
        <w:t xml:space="preserve">Webpage: </w:t>
      </w:r>
      <w:hyperlink r:id="rId28" w:history="1">
        <w:r w:rsidRPr="008D066D">
          <w:rPr>
            <w:rStyle w:val="Hyperlink"/>
          </w:rPr>
          <w:t xml:space="preserve">Guideline for the </w:t>
        </w:r>
        <w:r w:rsidR="008D066D" w:rsidRPr="008D066D">
          <w:rPr>
            <w:rStyle w:val="Hyperlink"/>
          </w:rPr>
          <w:t>a</w:t>
        </w:r>
        <w:r w:rsidRPr="008D066D">
          <w:rPr>
            <w:rStyle w:val="Hyperlink"/>
          </w:rPr>
          <w:t xml:space="preserve">pplication of the Refrigeration Index to </w:t>
        </w:r>
        <w:r w:rsidR="008D066D" w:rsidRPr="008D066D">
          <w:rPr>
            <w:rStyle w:val="Hyperlink"/>
          </w:rPr>
          <w:t>r</w:t>
        </w:r>
        <w:r w:rsidRPr="008D066D">
          <w:rPr>
            <w:rStyle w:val="Hyperlink"/>
          </w:rPr>
          <w:t xml:space="preserve">efrigeration of </w:t>
        </w:r>
        <w:r w:rsidR="008D066D" w:rsidRPr="008D066D">
          <w:rPr>
            <w:rStyle w:val="Hyperlink"/>
          </w:rPr>
          <w:t>m</w:t>
        </w:r>
        <w:r w:rsidRPr="008D066D">
          <w:rPr>
            <w:rStyle w:val="Hyperlink"/>
          </w:rPr>
          <w:t xml:space="preserve">eat and </w:t>
        </w:r>
        <w:r w:rsidR="008D066D" w:rsidRPr="008D066D">
          <w:rPr>
            <w:rStyle w:val="Hyperlink"/>
          </w:rPr>
          <w:t>m</w:t>
        </w:r>
        <w:r w:rsidRPr="008D066D">
          <w:rPr>
            <w:rStyle w:val="Hyperlink"/>
          </w:rPr>
          <w:t xml:space="preserve">eat </w:t>
        </w:r>
        <w:r w:rsidR="008D066D" w:rsidRPr="008D066D">
          <w:rPr>
            <w:rStyle w:val="Hyperlink"/>
          </w:rPr>
          <w:t>p</w:t>
        </w:r>
        <w:r w:rsidRPr="008D066D">
          <w:rPr>
            <w:rStyle w:val="Hyperlink"/>
          </w:rPr>
          <w:t>roducts</w:t>
        </w:r>
      </w:hyperlink>
    </w:p>
    <w:p w14:paraId="7300459F" w14:textId="77777777" w:rsidR="00F932DE" w:rsidRDefault="00F932DE" w:rsidP="00F932DE">
      <w:pPr>
        <w:pStyle w:val="Bullet1"/>
        <w:ind w:left="1712" w:right="992"/>
        <w:textAlignment w:val="auto"/>
      </w:pPr>
    </w:p>
    <w:p w14:paraId="0D53D7E6" w14:textId="77777777" w:rsidR="00610A56" w:rsidRDefault="00610A56">
      <w:pPr>
        <w:rPr>
          <w:rFonts w:ascii="Cambria" w:eastAsia="Cambria" w:hAnsi="Cambria"/>
          <w:b/>
          <w:color w:val="165788"/>
          <w:spacing w:val="-1"/>
          <w:sz w:val="33"/>
        </w:rPr>
      </w:pPr>
      <w:r>
        <w:br w:type="page"/>
      </w:r>
    </w:p>
    <w:p w14:paraId="68E71DF9" w14:textId="18DA64A5" w:rsidR="00A0739E" w:rsidRDefault="00A0739E" w:rsidP="00A0739E">
      <w:pPr>
        <w:pStyle w:val="Heading2"/>
      </w:pPr>
      <w:bookmarkStart w:id="13" w:name="_Toc131088668"/>
      <w:r>
        <w:lastRenderedPageBreak/>
        <w:t>Attachment 1: Roles and responsibilities</w:t>
      </w:r>
      <w:bookmarkEnd w:id="13"/>
    </w:p>
    <w:p w14:paraId="77E20AF8" w14:textId="777815CA" w:rsidR="0089656D" w:rsidRPr="00D80D7F" w:rsidRDefault="0089656D" w:rsidP="0089656D">
      <w:pPr>
        <w:pStyle w:val="Heading3"/>
      </w:pPr>
      <w:bookmarkStart w:id="14" w:name="_Establishment_Area_Technical"/>
      <w:bookmarkStart w:id="15" w:name="_Toc131088669"/>
      <w:bookmarkEnd w:id="14"/>
      <w:r w:rsidRPr="00D80D7F">
        <w:t>Assistant Director (AD), Veterinary and Export Meat (VEM</w:t>
      </w:r>
      <w:r w:rsidR="007447A0">
        <w:t>B</w:t>
      </w:r>
      <w:r w:rsidRPr="00D80D7F">
        <w:t>)</w:t>
      </w:r>
      <w:bookmarkEnd w:id="15"/>
    </w:p>
    <w:p w14:paraId="1FCE2D0F" w14:textId="0CBC68A8" w:rsidR="0089656D" w:rsidRDefault="0089656D" w:rsidP="0089656D">
      <w:pPr>
        <w:pStyle w:val="Bullet1"/>
        <w:numPr>
          <w:ilvl w:val="0"/>
          <w:numId w:val="1"/>
        </w:numPr>
        <w:ind w:left="1712" w:right="992" w:hanging="357"/>
        <w:textAlignment w:val="auto"/>
      </w:pPr>
      <w:r>
        <w:t>Where a departmental on-plant staff member believes their health and safety (or a colleague</w:t>
      </w:r>
      <w:r w:rsidR="009A495A">
        <w:t>’</w:t>
      </w:r>
      <w:r>
        <w:t xml:space="preserve">s health safety) is at risk, the Assistant Director becomes the DAFF contact point with the company in relation to the interruption to production. </w:t>
      </w:r>
    </w:p>
    <w:p w14:paraId="2C2E492E" w14:textId="6970C6E1" w:rsidR="0089656D" w:rsidRPr="00D80D7F" w:rsidRDefault="0089656D" w:rsidP="00890C0E">
      <w:pPr>
        <w:pStyle w:val="Heading3"/>
      </w:pPr>
      <w:r w:rsidRPr="00D80D7F">
        <w:t>Director, Veterinary and Export Meat (VEM</w:t>
      </w:r>
      <w:r w:rsidR="007447A0">
        <w:t>B</w:t>
      </w:r>
      <w:r>
        <w:t>)</w:t>
      </w:r>
    </w:p>
    <w:p w14:paraId="60521986" w14:textId="3D47AC4F" w:rsidR="0089656D" w:rsidRDefault="0089656D" w:rsidP="0089656D">
      <w:pPr>
        <w:pStyle w:val="Bullet1"/>
        <w:numPr>
          <w:ilvl w:val="0"/>
          <w:numId w:val="1"/>
        </w:numPr>
        <w:ind w:left="1712" w:right="992" w:hanging="357"/>
        <w:textAlignment w:val="auto"/>
      </w:pPr>
      <w:r>
        <w:t>Manages operational requirements for on-plant staff affected by the interruption to production</w:t>
      </w:r>
      <w:r w:rsidRPr="00433747">
        <w:t>.</w:t>
      </w:r>
    </w:p>
    <w:p w14:paraId="03D78310" w14:textId="267CE0F0" w:rsidR="004017AD" w:rsidRDefault="001A3823" w:rsidP="00A0739E">
      <w:pPr>
        <w:pStyle w:val="Heading3"/>
      </w:pPr>
      <w:bookmarkStart w:id="16" w:name="_Toc131088670"/>
      <w:r>
        <w:t xml:space="preserve">Establishment </w:t>
      </w:r>
      <w:r w:rsidR="004017AD" w:rsidRPr="004017AD">
        <w:t>Area Technical Manager (ATM)</w:t>
      </w:r>
      <w:bookmarkEnd w:id="16"/>
    </w:p>
    <w:p w14:paraId="5AAA2564" w14:textId="71BF32BF" w:rsidR="004017AD" w:rsidRDefault="00020D76" w:rsidP="0028416A">
      <w:pPr>
        <w:pStyle w:val="Bullet1"/>
        <w:numPr>
          <w:ilvl w:val="0"/>
          <w:numId w:val="1"/>
        </w:numPr>
        <w:ind w:left="1712" w:right="992" w:hanging="357"/>
        <w:textAlignment w:val="auto"/>
      </w:pPr>
      <w:r>
        <w:t>Point of contact with the establishment in relation to</w:t>
      </w:r>
      <w:r w:rsidR="00493A1B">
        <w:t xml:space="preserve"> all technical matters </w:t>
      </w:r>
      <w:r w:rsidR="00092C41">
        <w:t>pertaining to</w:t>
      </w:r>
      <w:r>
        <w:t xml:space="preserve"> the interruption to production.</w:t>
      </w:r>
    </w:p>
    <w:p w14:paraId="098BF6E2" w14:textId="00CD1B85" w:rsidR="00020D76" w:rsidRDefault="00020D76" w:rsidP="0028416A">
      <w:pPr>
        <w:pStyle w:val="Bullet1"/>
        <w:numPr>
          <w:ilvl w:val="0"/>
          <w:numId w:val="1"/>
        </w:numPr>
        <w:ind w:left="1712" w:right="992" w:hanging="357"/>
        <w:textAlignment w:val="auto"/>
      </w:pPr>
      <w:r>
        <w:t>Ensure VEMB Director is provided all correspondence in relation to the interruption to production.</w:t>
      </w:r>
    </w:p>
    <w:p w14:paraId="57A56A92" w14:textId="3F4692CE" w:rsidR="00020D76" w:rsidRDefault="00020D76" w:rsidP="0028416A">
      <w:pPr>
        <w:pStyle w:val="Bullet1"/>
        <w:numPr>
          <w:ilvl w:val="0"/>
          <w:numId w:val="1"/>
        </w:numPr>
        <w:ind w:left="1712" w:right="992" w:hanging="357"/>
        <w:textAlignment w:val="auto"/>
      </w:pPr>
      <w:r>
        <w:t>Provide written instruction to the establishment and DAFF as to the short-term corrective actions (STCAs) and long-term preventative actions (LTPAs) and records required to protect the integrity, food safety and wholesomeness of any product affected.</w:t>
      </w:r>
    </w:p>
    <w:p w14:paraId="117AC753" w14:textId="4BB695C9" w:rsidR="00882CAA" w:rsidRDefault="00882CAA" w:rsidP="0028416A">
      <w:pPr>
        <w:pStyle w:val="Bullet1"/>
        <w:numPr>
          <w:ilvl w:val="0"/>
          <w:numId w:val="1"/>
        </w:numPr>
        <w:ind w:left="1712" w:right="992" w:hanging="357"/>
        <w:textAlignment w:val="auto"/>
      </w:pPr>
      <w:r>
        <w:t>Make final disposition on product affected by the interruption to production incident.</w:t>
      </w:r>
    </w:p>
    <w:p w14:paraId="369D2267" w14:textId="1CDA6AC8" w:rsidR="00882CAA" w:rsidRPr="004017AD" w:rsidRDefault="00882CAA" w:rsidP="0028416A">
      <w:pPr>
        <w:pStyle w:val="Bullet1"/>
        <w:numPr>
          <w:ilvl w:val="0"/>
          <w:numId w:val="1"/>
        </w:numPr>
        <w:ind w:left="1712" w:right="992" w:hanging="357"/>
        <w:textAlignment w:val="auto"/>
      </w:pPr>
      <w:r>
        <w:t>Receive final report from establishment management and discuss how effectively the interruption to production was handled with establishment management.</w:t>
      </w:r>
    </w:p>
    <w:p w14:paraId="0575CDAD" w14:textId="3B9B4778" w:rsidR="00A0739E" w:rsidRDefault="00433747" w:rsidP="00A0739E">
      <w:pPr>
        <w:pStyle w:val="Heading3"/>
      </w:pPr>
      <w:bookmarkStart w:id="17" w:name="_Establishment_Management"/>
      <w:bookmarkStart w:id="18" w:name="_Toc131088671"/>
      <w:bookmarkEnd w:id="17"/>
      <w:r w:rsidRPr="00433747">
        <w:t>Establishment Management</w:t>
      </w:r>
      <w:bookmarkEnd w:id="18"/>
    </w:p>
    <w:p w14:paraId="1DF80D7F" w14:textId="48F8E880" w:rsidR="00433747" w:rsidRDefault="00020D76" w:rsidP="0028416A">
      <w:pPr>
        <w:pStyle w:val="Bullet1"/>
        <w:numPr>
          <w:ilvl w:val="0"/>
          <w:numId w:val="1"/>
        </w:numPr>
        <w:ind w:left="1712" w:right="992" w:hanging="357"/>
        <w:textAlignment w:val="auto"/>
      </w:pPr>
      <w:r>
        <w:t xml:space="preserve">Ensure </w:t>
      </w:r>
      <w:r w:rsidRPr="00020D76">
        <w:t>workplace health and safety of all persons at the establishment</w:t>
      </w:r>
      <w:r>
        <w:t>.</w:t>
      </w:r>
    </w:p>
    <w:p w14:paraId="0FFC4388" w14:textId="2B6748EC" w:rsidR="00020D76" w:rsidRDefault="00020D76" w:rsidP="0028416A">
      <w:pPr>
        <w:pStyle w:val="Bullet1"/>
        <w:numPr>
          <w:ilvl w:val="0"/>
          <w:numId w:val="1"/>
        </w:numPr>
        <w:ind w:left="1712" w:right="992" w:hanging="357"/>
        <w:textAlignment w:val="auto"/>
      </w:pPr>
      <w:r>
        <w:t>Manage the interruption to production as per procedures in their approved arrangement to return the establishment to normal operations.</w:t>
      </w:r>
    </w:p>
    <w:p w14:paraId="3465505D" w14:textId="023F2AC4" w:rsidR="00020D76" w:rsidRDefault="00020D76" w:rsidP="0028416A">
      <w:pPr>
        <w:pStyle w:val="Bullet1"/>
        <w:numPr>
          <w:ilvl w:val="0"/>
          <w:numId w:val="1"/>
        </w:numPr>
        <w:ind w:left="1712" w:right="992" w:hanging="357"/>
        <w:textAlignment w:val="auto"/>
      </w:pPr>
      <w:r>
        <w:t>Provide a final report to the ATM</w:t>
      </w:r>
      <w:r w:rsidR="00882CAA">
        <w:t>/FOM on the outcomes achieved following the interruption to production.</w:t>
      </w:r>
    </w:p>
    <w:p w14:paraId="4C5845D8" w14:textId="0EC7D841" w:rsidR="00882CAA" w:rsidRDefault="00882CAA" w:rsidP="0028416A">
      <w:pPr>
        <w:pStyle w:val="Bullet1"/>
        <w:numPr>
          <w:ilvl w:val="0"/>
          <w:numId w:val="1"/>
        </w:numPr>
        <w:ind w:left="1712" w:right="992" w:hanging="357"/>
        <w:textAlignment w:val="auto"/>
      </w:pPr>
      <w:r>
        <w:t>Discuss how effectively the interruption to production was handled with the ATM.</w:t>
      </w:r>
    </w:p>
    <w:p w14:paraId="0AA8D172" w14:textId="5FC45F21" w:rsidR="00F33822" w:rsidRPr="00433747" w:rsidRDefault="00433747" w:rsidP="00433747">
      <w:pPr>
        <w:pStyle w:val="Heading3"/>
      </w:pPr>
      <w:bookmarkStart w:id="19" w:name="_Toc131088672"/>
      <w:r w:rsidRPr="00433747">
        <w:t>Field Operations Manager (FOM)</w:t>
      </w:r>
      <w:bookmarkEnd w:id="19"/>
    </w:p>
    <w:p w14:paraId="0B825E7E" w14:textId="32D78706" w:rsidR="00433747" w:rsidRPr="00433747" w:rsidRDefault="00020D76" w:rsidP="0028416A">
      <w:pPr>
        <w:pStyle w:val="Bullet1"/>
        <w:numPr>
          <w:ilvl w:val="0"/>
          <w:numId w:val="1"/>
        </w:numPr>
        <w:ind w:left="1712" w:right="992" w:hanging="357"/>
        <w:textAlignment w:val="auto"/>
      </w:pPr>
      <w:r>
        <w:t>Where the ATM is not available, performs the roles and responsibilities of the ATM as specified in this document.</w:t>
      </w:r>
    </w:p>
    <w:p w14:paraId="3D33D297" w14:textId="77AB6890" w:rsidR="00433747" w:rsidRDefault="00433747" w:rsidP="00737A95">
      <w:pPr>
        <w:pStyle w:val="Heading3"/>
      </w:pPr>
      <w:bookmarkStart w:id="20" w:name="_Toc131088673"/>
      <w:r>
        <w:t>On-plant officers</w:t>
      </w:r>
      <w:r w:rsidR="00E33DC3" w:rsidRPr="00E33DC3">
        <w:t xml:space="preserve"> </w:t>
      </w:r>
      <w:r w:rsidR="00E33DC3">
        <w:t xml:space="preserve">(On-Plant Veterinarian and Food Safety </w:t>
      </w:r>
      <w:r w:rsidR="00E33764">
        <w:t>Assessor</w:t>
      </w:r>
      <w:r w:rsidR="00E33DC3">
        <w:t>)</w:t>
      </w:r>
      <w:bookmarkEnd w:id="20"/>
    </w:p>
    <w:p w14:paraId="14D0E3DB" w14:textId="012798A4" w:rsidR="00882CAA" w:rsidRDefault="00020D76" w:rsidP="00882CAA">
      <w:pPr>
        <w:pStyle w:val="Bullet1"/>
        <w:numPr>
          <w:ilvl w:val="0"/>
          <w:numId w:val="1"/>
        </w:numPr>
        <w:ind w:left="1712" w:right="992" w:hanging="357"/>
        <w:textAlignment w:val="auto"/>
      </w:pPr>
      <w:r>
        <w:t>Notify ATM and AD of the interruption to production.</w:t>
      </w:r>
    </w:p>
    <w:p w14:paraId="67176C52" w14:textId="0F9F8770" w:rsidR="00092C41" w:rsidRPr="00433747" w:rsidRDefault="00092C41" w:rsidP="00882CAA">
      <w:pPr>
        <w:pStyle w:val="Bullet1"/>
        <w:numPr>
          <w:ilvl w:val="0"/>
          <w:numId w:val="1"/>
        </w:numPr>
        <w:ind w:left="1712" w:right="992" w:hanging="357"/>
        <w:textAlignment w:val="auto"/>
      </w:pPr>
      <w:r>
        <w:t>Follow written instructions from the ATM/FOM pertaining to the interruption to production incident.</w:t>
      </w:r>
    </w:p>
    <w:p w14:paraId="309AD148" w14:textId="77777777" w:rsidR="00F562AD" w:rsidRDefault="00F562AD">
      <w:pPr>
        <w:rPr>
          <w:rFonts w:ascii="Cambria" w:eastAsia="Cambria" w:hAnsi="Cambria"/>
          <w:b/>
          <w:color w:val="165788"/>
          <w:spacing w:val="-1"/>
          <w:sz w:val="33"/>
        </w:rPr>
      </w:pPr>
      <w:r>
        <w:br w:type="page"/>
      </w:r>
    </w:p>
    <w:p w14:paraId="0FE066D1" w14:textId="2B9C10EF" w:rsidR="000F14CA" w:rsidRPr="000F14CA" w:rsidRDefault="000F14CA" w:rsidP="000F14CA">
      <w:pPr>
        <w:spacing w:before="72" w:line="264" w:lineRule="exact"/>
        <w:ind w:left="1008" w:right="1152"/>
        <w:textAlignment w:val="baseline"/>
        <w:rPr>
          <w:rFonts w:ascii="Cambria" w:eastAsia="Cambria" w:hAnsi="Cambria"/>
          <w:color w:val="000000"/>
          <w:spacing w:val="-4"/>
        </w:rPr>
        <w:sectPr w:rsidR="000F14CA" w:rsidRPr="000F14CA" w:rsidSect="00EC00F3">
          <w:headerReference w:type="default" r:id="rId29"/>
          <w:footerReference w:type="default" r:id="rId30"/>
          <w:pgSz w:w="11909" w:h="16838" w:code="9"/>
          <w:pgMar w:top="1304" w:right="238" w:bottom="567" w:left="567" w:header="0" w:footer="0" w:gutter="0"/>
          <w:cols w:space="720"/>
          <w:docGrid w:linePitch="299"/>
        </w:sectPr>
      </w:pPr>
    </w:p>
    <w:p w14:paraId="4CA7CFE3" w14:textId="77777777" w:rsidR="00882CAA" w:rsidRPr="003B2B0E" w:rsidRDefault="00882CAA" w:rsidP="00882CAA">
      <w:pPr>
        <w:pStyle w:val="Heading2"/>
        <w:ind w:left="993"/>
        <w:rPr>
          <w:b w:val="0"/>
        </w:rPr>
      </w:pPr>
      <w:bookmarkStart w:id="21" w:name="_Toc131088674"/>
      <w:r w:rsidRPr="003B2B0E">
        <w:lastRenderedPageBreak/>
        <w:t xml:space="preserve">Attachment </w:t>
      </w:r>
      <w:r>
        <w:t>2</w:t>
      </w:r>
      <w:r w:rsidRPr="003B2B0E">
        <w:t>: Definitions</w:t>
      </w:r>
      <w:bookmarkEnd w:id="21"/>
    </w:p>
    <w:p w14:paraId="5CDF090F" w14:textId="77777777" w:rsidR="00882CAA" w:rsidRPr="00F562AD" w:rsidRDefault="00882CAA" w:rsidP="00882CAA">
      <w:pPr>
        <w:pStyle w:val="Definitionsection-termheadings"/>
      </w:pPr>
      <w:r w:rsidRPr="00752F70">
        <w:t xml:space="preserve">Approved </w:t>
      </w:r>
      <w:r>
        <w:t>a</w:t>
      </w:r>
      <w:r w:rsidRPr="00752F70">
        <w:t>rrangement (AA)</w:t>
      </w:r>
      <w:r w:rsidRPr="000F14CA">
        <w:t xml:space="preserve"> </w:t>
      </w:r>
    </w:p>
    <w:p w14:paraId="736B7D3B" w14:textId="77777777" w:rsidR="00882CAA" w:rsidRDefault="00882CAA" w:rsidP="00882CAA">
      <w:pPr>
        <w:pStyle w:val="Documentbody-bodytext"/>
      </w:pPr>
      <w:r>
        <w:t xml:space="preserve">An approved arrangement under Chapter 5 of the </w:t>
      </w:r>
      <w:r w:rsidRPr="003601CA">
        <w:rPr>
          <w:i/>
          <w:iCs/>
        </w:rPr>
        <w:t>Export Control Act 2020</w:t>
      </w:r>
      <w:r>
        <w:t>.</w:t>
      </w:r>
    </w:p>
    <w:p w14:paraId="7DB03924" w14:textId="77777777" w:rsidR="00882CAA" w:rsidRDefault="00882CAA" w:rsidP="00882CAA">
      <w:pPr>
        <w:pStyle w:val="Documentbody-bodytext"/>
      </w:pPr>
      <w:r>
        <w:t>An arrangement for a kind of export operations in relation to a kind of prescribed goods approved by the secretary.</w:t>
      </w:r>
    </w:p>
    <w:p w14:paraId="6C8D0BE4" w14:textId="77777777" w:rsidR="00882CAA" w:rsidRDefault="00882CAA" w:rsidP="00882CAA">
      <w:pPr>
        <w:pStyle w:val="Documentbody-bodytext"/>
      </w:pPr>
      <w:r>
        <w:t>An approved arrangement:</w:t>
      </w:r>
    </w:p>
    <w:p w14:paraId="7A0E26BB" w14:textId="77777777" w:rsidR="00882CAA" w:rsidRDefault="00882CAA" w:rsidP="00882CAA">
      <w:pPr>
        <w:pStyle w:val="Bullet1"/>
        <w:numPr>
          <w:ilvl w:val="0"/>
          <w:numId w:val="1"/>
        </w:numPr>
        <w:ind w:left="1712" w:right="992" w:hanging="357"/>
        <w:textAlignment w:val="auto"/>
      </w:pPr>
      <w:r>
        <w:t>documents the controls and processes to be followed when undertaking export operations in relation to prescribed goods for export</w:t>
      </w:r>
    </w:p>
    <w:p w14:paraId="0BF0CC59" w14:textId="77777777" w:rsidR="00882CAA" w:rsidRDefault="00882CAA" w:rsidP="00882CAA">
      <w:pPr>
        <w:pStyle w:val="Bullet1"/>
        <w:numPr>
          <w:ilvl w:val="0"/>
          <w:numId w:val="1"/>
        </w:numPr>
        <w:ind w:left="1712" w:right="992" w:hanging="357"/>
        <w:textAlignment w:val="auto"/>
      </w:pPr>
      <w:r>
        <w:t>enables the secretary to have oversight of specific export operations.</w:t>
      </w:r>
    </w:p>
    <w:p w14:paraId="2FDC21EA" w14:textId="5AD6184D" w:rsidR="00882CAA" w:rsidRDefault="00882CAA" w:rsidP="00882CAA">
      <w:pPr>
        <w:pStyle w:val="Definitionsection-termheadings"/>
      </w:pPr>
      <w:r>
        <w:t>Area Technical Manager (ATM)</w:t>
      </w:r>
    </w:p>
    <w:p w14:paraId="1596B24B" w14:textId="13B96662" w:rsidR="00993F65" w:rsidRDefault="004F43A7" w:rsidP="006F5A2D">
      <w:pPr>
        <w:pStyle w:val="Documentbody-bodytext"/>
      </w:pPr>
      <w:r>
        <w:t>A Commonwealth authorised officer with veterinary qualifications who has responsibility for the supervision, technical performance, assessment and verification of technical standards and operations in a defined group of export meat establishments.</w:t>
      </w:r>
    </w:p>
    <w:p w14:paraId="43BFC3B8" w14:textId="0DA888D9" w:rsidR="004F43A7" w:rsidRDefault="004F43A7" w:rsidP="004F43A7">
      <w:pPr>
        <w:pStyle w:val="Bullet1"/>
        <w:numPr>
          <w:ilvl w:val="0"/>
          <w:numId w:val="1"/>
        </w:numPr>
        <w:ind w:left="1712" w:right="992" w:hanging="357"/>
        <w:textAlignment w:val="auto"/>
      </w:pPr>
      <w:r>
        <w:t xml:space="preserve">ATM with day-to-day on-plant responsibilities, on-plant staff technical review responsibilities and an establishment critical incident response audit (CIRA) role. </w:t>
      </w:r>
    </w:p>
    <w:p w14:paraId="5784A5E4" w14:textId="5563CED7" w:rsidR="001F2D4C" w:rsidRDefault="004F43A7" w:rsidP="006F5A2D">
      <w:pPr>
        <w:pStyle w:val="Bullet1"/>
        <w:numPr>
          <w:ilvl w:val="0"/>
          <w:numId w:val="1"/>
        </w:numPr>
        <w:ind w:left="1712" w:right="992" w:hanging="357"/>
        <w:textAlignment w:val="auto"/>
      </w:pPr>
      <w:r>
        <w:t>Approves the establishment</w:t>
      </w:r>
      <w:r w:rsidR="009A495A">
        <w:t>’</w:t>
      </w:r>
      <w:r>
        <w:t>s approved arrangement and/or any amendments made to it.</w:t>
      </w:r>
    </w:p>
    <w:p w14:paraId="4FF4F1C5" w14:textId="268A9A68" w:rsidR="0089656D" w:rsidRPr="006F5A2D" w:rsidRDefault="0089656D" w:rsidP="006F5A2D">
      <w:pPr>
        <w:pStyle w:val="Definitionsection-termheadings"/>
      </w:pPr>
      <w:r>
        <w:t>Assistant Director (AD), Veterinary and Export Meat (VEM</w:t>
      </w:r>
      <w:r w:rsidR="007447A0">
        <w:t>B</w:t>
      </w:r>
      <w:r>
        <w:t>)</w:t>
      </w:r>
    </w:p>
    <w:p w14:paraId="072636B7" w14:textId="398217D8" w:rsidR="004F43A7" w:rsidRPr="006F5A2D" w:rsidRDefault="0089656D" w:rsidP="003601CA">
      <w:pPr>
        <w:pStyle w:val="Documentbody-bodytext"/>
      </w:pPr>
      <w:r>
        <w:t>A Commonwealth officer who maintains AEMIS arrangements within defined group of export meat establishments and has responsibility for the operational supervision and performance management of on-plant departmental staff in those establishments.</w:t>
      </w:r>
    </w:p>
    <w:p w14:paraId="1A49BA7E" w14:textId="2E524B25" w:rsidR="0089656D" w:rsidRPr="006F5A2D" w:rsidRDefault="0089656D" w:rsidP="006F5A2D">
      <w:pPr>
        <w:pStyle w:val="Definitionsection-termheadings"/>
      </w:pPr>
      <w:r>
        <w:t>Director, Veterinary and Export Meat (VEM</w:t>
      </w:r>
      <w:r w:rsidR="007447A0">
        <w:t>B</w:t>
      </w:r>
      <w:r>
        <w:t>)</w:t>
      </w:r>
    </w:p>
    <w:p w14:paraId="1984303E" w14:textId="2619893C" w:rsidR="0089656D" w:rsidRDefault="0089656D" w:rsidP="003601CA">
      <w:pPr>
        <w:pStyle w:val="Documentbody-bodytext"/>
      </w:pPr>
      <w:r>
        <w:t>A Commonwealth officer who has responsibility for the overall regional management of VEM</w:t>
      </w:r>
      <w:r w:rsidR="007447A0">
        <w:t>B</w:t>
      </w:r>
      <w:r>
        <w:t xml:space="preserve"> Assistant Directors and on-plant departmental staff.</w:t>
      </w:r>
    </w:p>
    <w:p w14:paraId="7C3FC294" w14:textId="77777777" w:rsidR="005A3009" w:rsidRDefault="005A3009" w:rsidP="005A3009">
      <w:pPr>
        <w:spacing w:before="240" w:line="264" w:lineRule="exact"/>
        <w:ind w:left="1009" w:right="1151"/>
        <w:textAlignment w:val="baseline"/>
        <w:rPr>
          <w:rFonts w:ascii="Cambria" w:eastAsia="Cambria" w:hAnsi="Cambria"/>
          <w:b/>
          <w:bCs/>
          <w:color w:val="000000"/>
          <w:spacing w:val="-4"/>
        </w:rPr>
      </w:pPr>
    </w:p>
    <w:p w14:paraId="20F75448" w14:textId="18A1D732" w:rsidR="00A0739E" w:rsidRDefault="00A0739E" w:rsidP="000B1983">
      <w:pPr>
        <w:ind w:left="720"/>
        <w:rPr>
          <w:rFonts w:ascii="Cambria" w:eastAsia="Cambria" w:hAnsi="Cambria"/>
        </w:rPr>
      </w:pPr>
    </w:p>
    <w:p w14:paraId="13C967FE" w14:textId="77777777" w:rsidR="00FB440E" w:rsidRPr="00A0739E" w:rsidRDefault="00FB440E" w:rsidP="000B1983">
      <w:pPr>
        <w:ind w:left="720"/>
        <w:rPr>
          <w:rFonts w:ascii="Cambria" w:eastAsia="Cambria" w:hAnsi="Cambria"/>
        </w:rPr>
      </w:pPr>
    </w:p>
    <w:sectPr w:rsidR="00FB440E" w:rsidRPr="00A0739E" w:rsidSect="00703A75">
      <w:footerReference w:type="default" r:id="rId31"/>
      <w:pgSz w:w="11909" w:h="16838" w:code="9"/>
      <w:pgMar w:top="1304" w:right="238" w:bottom="567" w:left="567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9C982F" w14:textId="77777777" w:rsidR="00B07B54" w:rsidRDefault="00B07B54" w:rsidP="009D66B3">
      <w:r>
        <w:separator/>
      </w:r>
    </w:p>
  </w:endnote>
  <w:endnote w:type="continuationSeparator" w:id="0">
    <w:p w14:paraId="6D02DEF9" w14:textId="77777777" w:rsidR="00B07B54" w:rsidRDefault="00B07B54" w:rsidP="009D6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 Narrow">
    <w:charset w:val="00"/>
    <w:pitch w:val="variable"/>
    <w:family w:val="swiss"/>
    <w:panose1 w:val="02020603050405020304"/>
  </w:font>
  <w:font w:name="Cambria">
    <w:charset w:val="00"/>
    <w:pitch w:val="variable"/>
    <w:family w:val="roman"/>
    <w:panose1 w:val="02020603050405020304"/>
  </w:font>
  <w:font w:name="Tahoma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1907" w:type="dxa"/>
      <w:tblInd w:w="-5" w:type="dxa"/>
      <w:tblBorders>
        <w:top w:val="none" w:sz="0" w:space="0" w:color="auto"/>
        <w:left w:val="none" w:sz="0" w:space="0" w:color="auto"/>
        <w:bottom w:val="single" w:sz="48" w:space="0" w:color="D5D2CA"/>
        <w:right w:val="none" w:sz="0" w:space="0" w:color="auto"/>
        <w:insideH w:val="single" w:sz="48" w:space="0" w:color="D5D2CA"/>
        <w:insideV w:val="single" w:sz="48" w:space="0" w:color="D5D2CA"/>
      </w:tblBorders>
      <w:shd w:val="clear" w:color="auto" w:fill="003150"/>
      <w:tblLook w:val="04A0" w:firstRow="1" w:lastRow="0" w:firstColumn="1" w:lastColumn="0" w:noHBand="0" w:noVBand="1"/>
    </w:tblPr>
    <w:tblGrid>
      <w:gridCol w:w="11907"/>
    </w:tblGrid>
    <w:tr w:rsidR="006E7F3E" w14:paraId="61750149" w14:textId="77777777" w:rsidTr="00B61C30">
      <w:trPr>
        <w:trHeight w:val="567"/>
      </w:trPr>
      <w:tc>
        <w:tcPr>
          <w:tcW w:w="11907" w:type="dxa"/>
          <w:shd w:val="clear" w:color="auto" w:fill="003150"/>
        </w:tcPr>
        <w:p w14:paraId="5C069D22" w14:textId="3934560C" w:rsidR="00490F97" w:rsidRDefault="00B61C30" w:rsidP="00B61C30">
          <w:pPr>
            <w:pStyle w:val="Footer"/>
            <w:spacing w:before="60"/>
            <w:ind w:left="567"/>
            <w:rPr>
              <w:rFonts w:ascii="Calibri Light" w:hAnsi="Calibri Light" w:cs="Calibri Light"/>
            </w:rPr>
          </w:pPr>
          <w:r w:rsidRPr="00532F12">
            <w:rPr>
              <w:rFonts w:ascii="Calibri Light" w:hAnsi="Calibri Light" w:cs="Calibri Light"/>
              <w:b/>
              <w:bCs/>
            </w:rPr>
            <w:t>Export</w:t>
          </w:r>
          <w:r w:rsidR="00B1023E">
            <w:rPr>
              <w:rFonts w:ascii="Calibri Light" w:hAnsi="Calibri Light" w:cs="Calibri Light"/>
              <w:b/>
              <w:bCs/>
            </w:rPr>
            <w:t xml:space="preserve"> </w:t>
          </w:r>
          <w:r w:rsidR="00706386">
            <w:rPr>
              <w:rFonts w:ascii="Calibri Light" w:hAnsi="Calibri Light" w:cs="Calibri Light"/>
              <w:b/>
              <w:bCs/>
            </w:rPr>
            <w:t xml:space="preserve">Meat </w:t>
          </w:r>
          <w:r w:rsidR="00B1023E">
            <w:rPr>
              <w:rFonts w:ascii="Calibri Light" w:hAnsi="Calibri Light" w:cs="Calibri Light"/>
              <w:b/>
              <w:bCs/>
            </w:rPr>
            <w:t>Operational</w:t>
          </w:r>
          <w:r w:rsidRPr="00532F12">
            <w:rPr>
              <w:rFonts w:ascii="Calibri Light" w:hAnsi="Calibri Light" w:cs="Calibri Light"/>
              <w:b/>
              <w:bCs/>
            </w:rPr>
            <w:t xml:space="preserve"> </w:t>
          </w:r>
          <w:r>
            <w:rPr>
              <w:rFonts w:ascii="Calibri Light" w:hAnsi="Calibri Light" w:cs="Calibri Light"/>
              <w:b/>
              <w:bCs/>
            </w:rPr>
            <w:t>Guideline</w:t>
          </w:r>
          <w:r w:rsidRPr="00532F12">
            <w:rPr>
              <w:rFonts w:ascii="Calibri Light" w:hAnsi="Calibri Light" w:cs="Calibri Light"/>
              <w:b/>
              <w:bCs/>
            </w:rPr>
            <w:t>:</w:t>
          </w:r>
          <w:r w:rsidRPr="00B677B7">
            <w:rPr>
              <w:rFonts w:ascii="Calibri Light" w:hAnsi="Calibri Light" w:cs="Calibri Light"/>
            </w:rPr>
            <w:t xml:space="preserve"> </w:t>
          </w:r>
          <w:r w:rsidR="00B1023E">
            <w:rPr>
              <w:rFonts w:ascii="Calibri Light" w:hAnsi="Calibri Light" w:cs="Calibri Light"/>
            </w:rPr>
            <w:t>3.1</w:t>
          </w:r>
          <w:r w:rsidR="00700299">
            <w:rPr>
              <w:rFonts w:ascii="Calibri Light" w:hAnsi="Calibri Light" w:cs="Calibri Light"/>
            </w:rPr>
            <w:t>7</w:t>
          </w:r>
          <w:r w:rsidR="00B1023E">
            <w:rPr>
              <w:rFonts w:ascii="Calibri Light" w:hAnsi="Calibri Light" w:cs="Calibri Light"/>
            </w:rPr>
            <w:t xml:space="preserve"> </w:t>
          </w:r>
          <w:r w:rsidR="00A8521D">
            <w:rPr>
              <w:rFonts w:ascii="Calibri Light" w:hAnsi="Calibri Light" w:cs="Calibri Light"/>
            </w:rPr>
            <w:t>Interruption to production</w:t>
          </w:r>
          <w:r w:rsidR="009227DD">
            <w:rPr>
              <w:rFonts w:ascii="Calibri Light" w:hAnsi="Calibri Light" w:cs="Calibri Light"/>
            </w:rPr>
            <w:t xml:space="preserve">                                                                                            </w:t>
          </w:r>
          <w:r>
            <w:rPr>
              <w:rFonts w:ascii="Calibri Light" w:hAnsi="Calibri Light" w:cs="Calibri Light"/>
            </w:rPr>
            <w:t xml:space="preserve">            </w:t>
          </w:r>
          <w:r w:rsidRPr="00B61C30">
            <w:rPr>
              <w:rFonts w:ascii="Calibri Light" w:hAnsi="Calibri Light" w:cs="Calibri Light"/>
            </w:rPr>
            <w:fldChar w:fldCharType="begin"/>
          </w:r>
          <w:r w:rsidRPr="00B61C30">
            <w:rPr>
              <w:rFonts w:ascii="Calibri Light" w:hAnsi="Calibri Light" w:cs="Calibri Light"/>
            </w:rPr>
            <w:instrText xml:space="preserve"> PAGE   \* MERGEFORMAT </w:instrText>
          </w:r>
          <w:r w:rsidRPr="00B61C30">
            <w:rPr>
              <w:rFonts w:ascii="Calibri Light" w:hAnsi="Calibri Light" w:cs="Calibri Light"/>
            </w:rPr>
            <w:fldChar w:fldCharType="separate"/>
          </w:r>
          <w:r w:rsidRPr="00B61C30">
            <w:rPr>
              <w:rFonts w:ascii="Calibri Light" w:hAnsi="Calibri Light" w:cs="Calibri Light"/>
              <w:noProof/>
            </w:rPr>
            <w:t>1</w:t>
          </w:r>
          <w:r w:rsidRPr="00B61C30">
            <w:rPr>
              <w:rFonts w:ascii="Calibri Light" w:hAnsi="Calibri Light" w:cs="Calibri Light"/>
              <w:noProof/>
            </w:rPr>
            <w:fldChar w:fldCharType="end"/>
          </w:r>
          <w:r>
            <w:rPr>
              <w:rFonts w:ascii="Calibri Light" w:hAnsi="Calibri Light" w:cs="Calibri Light"/>
            </w:rPr>
            <w:t xml:space="preserve">  </w:t>
          </w:r>
        </w:p>
        <w:p w14:paraId="415B2A5D" w14:textId="3F8E9568" w:rsidR="006E7F3E" w:rsidRPr="00B61C30" w:rsidRDefault="00B61C30" w:rsidP="00B61C30">
          <w:pPr>
            <w:pStyle w:val="Footer"/>
            <w:spacing w:before="60"/>
            <w:ind w:left="567"/>
            <w:rPr>
              <w:rFonts w:asciiTheme="majorHAnsi" w:hAnsiTheme="majorHAnsi" w:cstheme="majorHAnsi"/>
            </w:rPr>
          </w:pPr>
          <w:r>
            <w:rPr>
              <w:rFonts w:ascii="Calibri Light" w:hAnsi="Calibri Light" w:cs="Calibri Light"/>
            </w:rPr>
            <w:t xml:space="preserve">                                                                                                                                   </w:t>
          </w:r>
        </w:p>
      </w:tc>
    </w:tr>
  </w:tbl>
  <w:p w14:paraId="482A7633" w14:textId="00E119D8" w:rsidR="006E7F3E" w:rsidRPr="006E7F3E" w:rsidRDefault="006E7F3E" w:rsidP="006E7F3E">
    <w:pPr>
      <w:pStyle w:val="Footer"/>
      <w:tabs>
        <w:tab w:val="clear" w:pos="4513"/>
        <w:tab w:val="clear" w:pos="9026"/>
        <w:tab w:val="right" w:pos="10348"/>
      </w:tabs>
      <w:ind w:right="654"/>
      <w:rPr>
        <w:rFonts w:ascii="Calibri Light" w:hAnsi="Calibri Light" w:cs="Calibri Light"/>
        <w:sz w:val="2"/>
        <w:szCs w:val="2"/>
        <w:lang w:val="en-AU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1907" w:type="dxa"/>
      <w:tblInd w:w="-5" w:type="dxa"/>
      <w:tblBorders>
        <w:top w:val="single" w:sz="48" w:space="0" w:color="FFFFFF" w:themeColor="background1"/>
        <w:left w:val="none" w:sz="0" w:space="0" w:color="auto"/>
        <w:bottom w:val="single" w:sz="48" w:space="0" w:color="D5D2CA"/>
        <w:right w:val="none" w:sz="0" w:space="0" w:color="auto"/>
        <w:insideH w:val="single" w:sz="48" w:space="0" w:color="FFFFFF" w:themeColor="background1"/>
        <w:insideV w:val="single" w:sz="48" w:space="0" w:color="FFFFFF" w:themeColor="background1"/>
      </w:tblBorders>
      <w:shd w:val="clear" w:color="auto" w:fill="003150"/>
      <w:tblLook w:val="04A0" w:firstRow="1" w:lastRow="0" w:firstColumn="1" w:lastColumn="0" w:noHBand="0" w:noVBand="1"/>
    </w:tblPr>
    <w:tblGrid>
      <w:gridCol w:w="11907"/>
    </w:tblGrid>
    <w:tr w:rsidR="00490F97" w14:paraId="0A96475D" w14:textId="77777777" w:rsidTr="00490F97">
      <w:tc>
        <w:tcPr>
          <w:tcW w:w="11907" w:type="dxa"/>
          <w:shd w:val="clear" w:color="auto" w:fill="003150"/>
        </w:tcPr>
        <w:p w14:paraId="35BD706B" w14:textId="59E8AF95" w:rsidR="00490F97" w:rsidRDefault="00490F97" w:rsidP="00490F97">
          <w:pPr>
            <w:pStyle w:val="Footer"/>
            <w:tabs>
              <w:tab w:val="clear" w:pos="4513"/>
              <w:tab w:val="center" w:pos="3828"/>
            </w:tabs>
            <w:spacing w:before="60"/>
            <w:ind w:left="567" w:right="369"/>
            <w:rPr>
              <w:rFonts w:ascii="Calibri Light" w:hAnsi="Calibri Light" w:cs="Calibri Light"/>
              <w:noProof/>
            </w:rPr>
          </w:pPr>
          <w:r w:rsidRPr="00532F12">
            <w:rPr>
              <w:rFonts w:ascii="Calibri Light" w:hAnsi="Calibri Light" w:cs="Calibri Light"/>
              <w:b/>
              <w:bCs/>
            </w:rPr>
            <w:t>Export</w:t>
          </w:r>
          <w:r w:rsidR="00706386">
            <w:rPr>
              <w:rFonts w:ascii="Calibri Light" w:hAnsi="Calibri Light" w:cs="Calibri Light"/>
              <w:b/>
              <w:bCs/>
            </w:rPr>
            <w:t xml:space="preserve"> Meat</w:t>
          </w:r>
          <w:r w:rsidR="00B1023E">
            <w:rPr>
              <w:rFonts w:ascii="Calibri Light" w:hAnsi="Calibri Light" w:cs="Calibri Light"/>
              <w:b/>
              <w:bCs/>
            </w:rPr>
            <w:t xml:space="preserve"> Operational</w:t>
          </w:r>
          <w:r w:rsidRPr="00532F12">
            <w:rPr>
              <w:rFonts w:ascii="Calibri Light" w:hAnsi="Calibri Light" w:cs="Calibri Light"/>
              <w:b/>
              <w:bCs/>
            </w:rPr>
            <w:t xml:space="preserve"> </w:t>
          </w:r>
          <w:r>
            <w:rPr>
              <w:rFonts w:ascii="Calibri Light" w:hAnsi="Calibri Light" w:cs="Calibri Light"/>
              <w:b/>
              <w:bCs/>
            </w:rPr>
            <w:t>Guideline</w:t>
          </w:r>
          <w:r w:rsidRPr="00532F12">
            <w:rPr>
              <w:rFonts w:ascii="Calibri Light" w:hAnsi="Calibri Light" w:cs="Calibri Light"/>
              <w:b/>
              <w:bCs/>
            </w:rPr>
            <w:t>:</w:t>
          </w:r>
          <w:r w:rsidRPr="00B677B7">
            <w:rPr>
              <w:rFonts w:ascii="Calibri Light" w:hAnsi="Calibri Light" w:cs="Calibri Light"/>
            </w:rPr>
            <w:t xml:space="preserve"> </w:t>
          </w:r>
          <w:r w:rsidR="00B1023E">
            <w:rPr>
              <w:rFonts w:ascii="Calibri Light" w:hAnsi="Calibri Light" w:cs="Calibri Light"/>
            </w:rPr>
            <w:t>3.1</w:t>
          </w:r>
          <w:r w:rsidR="00700299">
            <w:rPr>
              <w:rFonts w:ascii="Calibri Light" w:hAnsi="Calibri Light" w:cs="Calibri Light"/>
            </w:rPr>
            <w:t>7</w:t>
          </w:r>
          <w:r w:rsidR="00B1023E">
            <w:rPr>
              <w:rFonts w:ascii="Calibri Light" w:hAnsi="Calibri Light" w:cs="Calibri Light"/>
            </w:rPr>
            <w:t xml:space="preserve"> </w:t>
          </w:r>
          <w:r w:rsidR="00A8521D">
            <w:rPr>
              <w:rFonts w:ascii="Calibri Light" w:hAnsi="Calibri Light" w:cs="Calibri Light"/>
            </w:rPr>
            <w:t>Interruption to production</w:t>
          </w:r>
          <w:r w:rsidR="009227DD">
            <w:rPr>
              <w:rFonts w:ascii="Calibri Light" w:hAnsi="Calibri Light" w:cs="Calibri Light"/>
            </w:rPr>
            <w:t xml:space="preserve"> </w:t>
          </w:r>
        </w:p>
        <w:p w14:paraId="65DA8111" w14:textId="757F7521" w:rsidR="00490F97" w:rsidRDefault="00490F97" w:rsidP="00490F97">
          <w:pPr>
            <w:pStyle w:val="Footer"/>
            <w:tabs>
              <w:tab w:val="clear" w:pos="4513"/>
              <w:tab w:val="center" w:pos="3828"/>
            </w:tabs>
            <w:spacing w:before="60"/>
            <w:ind w:left="567" w:right="369"/>
            <w:rPr>
              <w:rFonts w:ascii="Calibri Light" w:hAnsi="Calibri Light" w:cs="Calibri Light"/>
            </w:rPr>
          </w:pPr>
        </w:p>
      </w:tc>
    </w:tr>
  </w:tbl>
  <w:p w14:paraId="75E13AAF" w14:textId="3E0676F0" w:rsidR="00B677B7" w:rsidRPr="00490F97" w:rsidRDefault="00B677B7" w:rsidP="00490F97">
    <w:pPr>
      <w:pStyle w:val="Footer"/>
      <w:tabs>
        <w:tab w:val="clear" w:pos="4513"/>
        <w:tab w:val="center" w:pos="3828"/>
      </w:tabs>
      <w:ind w:right="370"/>
      <w:rPr>
        <w:rFonts w:ascii="Calibri Light" w:hAnsi="Calibri Light" w:cs="Calibri Light"/>
        <w:sz w:val="2"/>
        <w:szCs w:val="2"/>
        <w:lang w:val="en-A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1907" w:type="dxa"/>
      <w:tblInd w:w="-572" w:type="dxa"/>
      <w:tblBorders>
        <w:top w:val="single" w:sz="48" w:space="0" w:color="FFFFFF" w:themeColor="background1"/>
        <w:left w:val="none" w:sz="0" w:space="0" w:color="auto"/>
        <w:bottom w:val="single" w:sz="48" w:space="0" w:color="D5D2CA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003150"/>
      <w:tblLook w:val="04A0" w:firstRow="1" w:lastRow="0" w:firstColumn="1" w:lastColumn="0" w:noHBand="0" w:noVBand="1"/>
    </w:tblPr>
    <w:tblGrid>
      <w:gridCol w:w="11907"/>
    </w:tblGrid>
    <w:tr w:rsidR="00EC00F3" w14:paraId="3C1721BF" w14:textId="77777777" w:rsidTr="0091322B">
      <w:trPr>
        <w:trHeight w:val="276"/>
      </w:trPr>
      <w:tc>
        <w:tcPr>
          <w:tcW w:w="11907" w:type="dxa"/>
          <w:shd w:val="clear" w:color="auto" w:fill="003150"/>
        </w:tcPr>
        <w:p w14:paraId="40291374" w14:textId="41F40B0C" w:rsidR="00EC00F3" w:rsidRPr="00E94C62" w:rsidRDefault="00EC00F3" w:rsidP="00EC00F3">
          <w:pPr>
            <w:pStyle w:val="Footer"/>
            <w:spacing w:before="60"/>
            <w:ind w:left="567"/>
            <w:rPr>
              <w:rFonts w:asciiTheme="majorHAnsi" w:hAnsiTheme="majorHAnsi" w:cstheme="majorHAnsi"/>
            </w:rPr>
          </w:pPr>
          <w:r w:rsidRPr="00532F12">
            <w:rPr>
              <w:rFonts w:ascii="Calibri Light" w:hAnsi="Calibri Light" w:cs="Calibri Light"/>
              <w:b/>
              <w:bCs/>
            </w:rPr>
            <w:t>Export</w:t>
          </w:r>
          <w:r w:rsidR="00706386">
            <w:rPr>
              <w:rFonts w:ascii="Calibri Light" w:hAnsi="Calibri Light" w:cs="Calibri Light"/>
              <w:b/>
              <w:bCs/>
            </w:rPr>
            <w:t xml:space="preserve"> Meat</w:t>
          </w:r>
          <w:r w:rsidRPr="00532F12">
            <w:rPr>
              <w:rFonts w:ascii="Calibri Light" w:hAnsi="Calibri Light" w:cs="Calibri Light"/>
              <w:b/>
              <w:bCs/>
            </w:rPr>
            <w:t xml:space="preserve"> </w:t>
          </w:r>
          <w:r w:rsidR="00B1023E">
            <w:rPr>
              <w:rFonts w:ascii="Calibri Light" w:hAnsi="Calibri Light" w:cs="Calibri Light"/>
              <w:b/>
              <w:bCs/>
            </w:rPr>
            <w:t xml:space="preserve">Operational </w:t>
          </w:r>
          <w:r>
            <w:rPr>
              <w:rFonts w:ascii="Calibri Light" w:hAnsi="Calibri Light" w:cs="Calibri Light"/>
              <w:b/>
              <w:bCs/>
            </w:rPr>
            <w:t>Guideline</w:t>
          </w:r>
          <w:r w:rsidRPr="00532F12">
            <w:rPr>
              <w:rFonts w:ascii="Calibri Light" w:hAnsi="Calibri Light" w:cs="Calibri Light"/>
              <w:b/>
              <w:bCs/>
            </w:rPr>
            <w:t>:</w:t>
          </w:r>
          <w:r w:rsidRPr="00B677B7">
            <w:rPr>
              <w:rFonts w:ascii="Calibri Light" w:hAnsi="Calibri Light" w:cs="Calibri Light"/>
            </w:rPr>
            <w:t xml:space="preserve"> </w:t>
          </w:r>
          <w:r w:rsidR="00B1023E">
            <w:rPr>
              <w:rFonts w:ascii="Calibri Light" w:hAnsi="Calibri Light" w:cs="Calibri Light"/>
            </w:rPr>
            <w:t>3.1</w:t>
          </w:r>
          <w:r w:rsidR="00700299">
            <w:rPr>
              <w:rFonts w:ascii="Calibri Light" w:hAnsi="Calibri Light" w:cs="Calibri Light"/>
            </w:rPr>
            <w:t>7</w:t>
          </w:r>
          <w:r w:rsidR="00B1023E">
            <w:rPr>
              <w:rFonts w:ascii="Calibri Light" w:hAnsi="Calibri Light" w:cs="Calibri Light"/>
            </w:rPr>
            <w:t xml:space="preserve"> </w:t>
          </w:r>
          <w:r w:rsidR="00A8521D">
            <w:rPr>
              <w:rFonts w:ascii="Calibri Light" w:hAnsi="Calibri Light" w:cs="Calibri Light"/>
            </w:rPr>
            <w:t>Interruption to production</w:t>
          </w:r>
          <w:r w:rsidR="009227DD">
            <w:rPr>
              <w:rFonts w:ascii="Calibri Light" w:hAnsi="Calibri Light" w:cs="Calibri Light"/>
            </w:rPr>
            <w:t xml:space="preserve">                                                                                                       </w:t>
          </w:r>
          <w:r>
            <w:rPr>
              <w:rFonts w:ascii="Calibri Light" w:hAnsi="Calibri Light" w:cs="Calibri Light"/>
            </w:rPr>
            <w:t xml:space="preserve">      </w:t>
          </w:r>
          <w:r w:rsidR="00B61C30" w:rsidRPr="00B61C30">
            <w:rPr>
              <w:rFonts w:ascii="Calibri Light" w:hAnsi="Calibri Light" w:cs="Calibri Light"/>
            </w:rPr>
            <w:fldChar w:fldCharType="begin"/>
          </w:r>
          <w:r w:rsidR="00B61C30" w:rsidRPr="00B61C30">
            <w:rPr>
              <w:rFonts w:ascii="Calibri Light" w:hAnsi="Calibri Light" w:cs="Calibri Light"/>
            </w:rPr>
            <w:instrText xml:space="preserve"> PAGE   \* MERGEFORMAT </w:instrText>
          </w:r>
          <w:r w:rsidR="00B61C30" w:rsidRPr="00B61C30">
            <w:rPr>
              <w:rFonts w:ascii="Calibri Light" w:hAnsi="Calibri Light" w:cs="Calibri Light"/>
            </w:rPr>
            <w:fldChar w:fldCharType="separate"/>
          </w:r>
          <w:r w:rsidR="00B61C30" w:rsidRPr="00B61C30">
            <w:rPr>
              <w:rFonts w:ascii="Calibri Light" w:hAnsi="Calibri Light" w:cs="Calibri Light"/>
              <w:noProof/>
            </w:rPr>
            <w:t>1</w:t>
          </w:r>
          <w:r w:rsidR="00B61C30" w:rsidRPr="00B61C30">
            <w:rPr>
              <w:rFonts w:ascii="Calibri Light" w:hAnsi="Calibri Light" w:cs="Calibri Light"/>
              <w:noProof/>
            </w:rPr>
            <w:fldChar w:fldCharType="end"/>
          </w:r>
          <w:r>
            <w:rPr>
              <w:rFonts w:ascii="Calibri Light" w:hAnsi="Calibri Light" w:cs="Calibri Light"/>
            </w:rPr>
            <w:t xml:space="preserve">                                                                                                                                    </w:t>
          </w:r>
        </w:p>
        <w:p w14:paraId="5BCF55B0" w14:textId="77777777" w:rsidR="00EC00F3" w:rsidRDefault="00EC00F3" w:rsidP="00E94C62">
          <w:pPr>
            <w:pStyle w:val="Footer"/>
            <w:rPr>
              <w:rFonts w:ascii="Calibri Light" w:hAnsi="Calibri Light" w:cs="Calibri Light"/>
              <w:b/>
              <w:bCs/>
            </w:rPr>
          </w:pPr>
        </w:p>
      </w:tc>
    </w:tr>
  </w:tbl>
  <w:p w14:paraId="7A3B5F14" w14:textId="77777777" w:rsidR="00EC00F3" w:rsidRPr="00167C47" w:rsidRDefault="00EC00F3" w:rsidP="00167C47">
    <w:pPr>
      <w:pStyle w:val="Footer"/>
      <w:rPr>
        <w:sz w:val="2"/>
        <w:szCs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7152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003150"/>
      <w:tblLook w:val="04A0" w:firstRow="1" w:lastRow="0" w:firstColumn="1" w:lastColumn="0" w:noHBand="0" w:noVBand="1"/>
    </w:tblPr>
    <w:tblGrid>
      <w:gridCol w:w="7938"/>
      <w:gridCol w:w="9214"/>
    </w:tblGrid>
    <w:tr w:rsidR="004F6606" w14:paraId="48B7869E" w14:textId="77777777" w:rsidTr="0078506A">
      <w:trPr>
        <w:trHeight w:val="4247"/>
      </w:trPr>
      <w:tc>
        <w:tcPr>
          <w:tcW w:w="7938" w:type="dxa"/>
          <w:shd w:val="clear" w:color="auto" w:fill="003150"/>
        </w:tcPr>
        <w:p w14:paraId="4F8C7F7E" w14:textId="77777777" w:rsidR="004F6606" w:rsidRDefault="004F6606" w:rsidP="007521D0">
          <w:pPr>
            <w:rPr>
              <w:rFonts w:ascii="Calibri Light" w:hAnsi="Calibri Light" w:cs="Calibri Light"/>
              <w:color w:val="FFFFFF" w:themeColor="background1"/>
              <w:sz w:val="18"/>
              <w:szCs w:val="18"/>
              <w:lang w:eastAsia="ja-JP"/>
            </w:rPr>
          </w:pPr>
        </w:p>
        <w:p w14:paraId="26926AE2" w14:textId="2E967B92" w:rsidR="006C00F1" w:rsidRDefault="006C00F1" w:rsidP="006C00F1">
          <w:pPr>
            <w:pStyle w:val="Footer"/>
            <w:ind w:left="1134"/>
            <w:rPr>
              <w:rFonts w:ascii="Calibri Light" w:hAnsi="Calibri Light" w:cs="Calibri Light"/>
              <w:color w:val="FFFFFF" w:themeColor="background1"/>
            </w:rPr>
          </w:pPr>
          <w:r w:rsidRPr="00C03F16">
            <w:rPr>
              <w:rFonts w:ascii="Calibri Light" w:hAnsi="Calibri Light" w:cs="Calibri Light"/>
              <w:b/>
              <w:bCs/>
              <w:color w:val="FFFFFF" w:themeColor="background1"/>
            </w:rPr>
            <w:t>Export</w:t>
          </w:r>
          <w:r w:rsidR="00706386">
            <w:rPr>
              <w:rFonts w:ascii="Calibri Light" w:hAnsi="Calibri Light" w:cs="Calibri Light"/>
              <w:b/>
              <w:bCs/>
              <w:color w:val="FFFFFF" w:themeColor="background1"/>
            </w:rPr>
            <w:t xml:space="preserve"> Meat</w:t>
          </w:r>
          <w:r w:rsidRPr="00C03F16">
            <w:rPr>
              <w:rFonts w:ascii="Calibri Light" w:hAnsi="Calibri Light" w:cs="Calibri Light"/>
              <w:b/>
              <w:bCs/>
              <w:color w:val="FFFFFF" w:themeColor="background1"/>
            </w:rPr>
            <w:t xml:space="preserve"> </w:t>
          </w:r>
          <w:r w:rsidR="00B1023E">
            <w:rPr>
              <w:rFonts w:ascii="Calibri Light" w:hAnsi="Calibri Light" w:cs="Calibri Light"/>
              <w:b/>
              <w:bCs/>
              <w:color w:val="FFFFFF" w:themeColor="background1"/>
            </w:rPr>
            <w:t xml:space="preserve">Operational </w:t>
          </w:r>
          <w:r w:rsidR="0078506A">
            <w:rPr>
              <w:rFonts w:ascii="Calibri Light" w:hAnsi="Calibri Light" w:cs="Calibri Light"/>
              <w:b/>
              <w:bCs/>
              <w:color w:val="FFFFFF" w:themeColor="background1"/>
            </w:rPr>
            <w:t>Guideline</w:t>
          </w:r>
          <w:r w:rsidRPr="00C03F16">
            <w:rPr>
              <w:rFonts w:ascii="Calibri Light" w:hAnsi="Calibri Light" w:cs="Calibri Light"/>
              <w:b/>
              <w:bCs/>
              <w:color w:val="FFFFFF" w:themeColor="background1"/>
            </w:rPr>
            <w:t>:</w:t>
          </w:r>
          <w:r w:rsidRPr="00C03F16">
            <w:rPr>
              <w:rFonts w:ascii="Calibri Light" w:hAnsi="Calibri Light" w:cs="Calibri Light"/>
              <w:color w:val="FFFFFF" w:themeColor="background1"/>
            </w:rPr>
            <w:t xml:space="preserve"> </w:t>
          </w:r>
          <w:r w:rsidR="00B1023E">
            <w:rPr>
              <w:rFonts w:ascii="Calibri Light" w:hAnsi="Calibri Light" w:cs="Calibri Light"/>
              <w:color w:val="FFFFFF" w:themeColor="background1"/>
            </w:rPr>
            <w:t>3.1</w:t>
          </w:r>
          <w:r w:rsidR="00700299">
            <w:rPr>
              <w:rFonts w:ascii="Calibri Light" w:hAnsi="Calibri Light" w:cs="Calibri Light"/>
              <w:color w:val="FFFFFF" w:themeColor="background1"/>
            </w:rPr>
            <w:t>7</w:t>
          </w:r>
          <w:r w:rsidR="00B1023E">
            <w:rPr>
              <w:rFonts w:ascii="Calibri Light" w:hAnsi="Calibri Light" w:cs="Calibri Light"/>
              <w:color w:val="FFFFFF" w:themeColor="background1"/>
            </w:rPr>
            <w:t xml:space="preserve"> </w:t>
          </w:r>
          <w:r w:rsidR="00A8521D">
            <w:rPr>
              <w:rFonts w:ascii="Calibri Light" w:hAnsi="Calibri Light" w:cs="Calibri Light"/>
              <w:color w:val="FFFFFF" w:themeColor="background1"/>
            </w:rPr>
            <w:t>Interruption to production</w:t>
          </w:r>
          <w:r w:rsidR="0012266B" w:rsidRPr="0012266B">
            <w:rPr>
              <w:rFonts w:ascii="Calibri Light" w:hAnsi="Calibri Light" w:cs="Calibri Light"/>
              <w:color w:val="FFFFFF" w:themeColor="background1"/>
            </w:rPr>
            <w:t xml:space="preserve"> </w:t>
          </w:r>
        </w:p>
        <w:p w14:paraId="39A9833E" w14:textId="4B0DACD5" w:rsidR="0045670C" w:rsidRPr="00C03F16" w:rsidRDefault="00281497" w:rsidP="006C00F1">
          <w:pPr>
            <w:pStyle w:val="Footer"/>
            <w:ind w:left="1134"/>
            <w:rPr>
              <w:rFonts w:ascii="Calibri Light" w:hAnsi="Calibri Light" w:cs="Calibri Light"/>
              <w:color w:val="FFFFFF" w:themeColor="background1"/>
            </w:rPr>
          </w:pPr>
          <w:r>
            <w:rPr>
              <w:rFonts w:ascii="Calibri Light" w:hAnsi="Calibri Light" w:cs="Calibri Light"/>
              <w:color w:val="FFFFFF" w:themeColor="background1"/>
            </w:rPr>
            <w:t>31 March</w:t>
          </w:r>
          <w:r w:rsidR="0045670C" w:rsidRPr="00C03F16">
            <w:rPr>
              <w:rFonts w:ascii="Calibri Light" w:hAnsi="Calibri Light" w:cs="Calibri Light"/>
              <w:color w:val="FFFFFF" w:themeColor="background1"/>
            </w:rPr>
            <w:t xml:space="preserve"> 202</w:t>
          </w:r>
          <w:r w:rsidR="00F932DE">
            <w:rPr>
              <w:rFonts w:ascii="Calibri Light" w:hAnsi="Calibri Light" w:cs="Calibri Light"/>
              <w:color w:val="FFFFFF" w:themeColor="background1"/>
            </w:rPr>
            <w:t>3</w:t>
          </w:r>
        </w:p>
        <w:p w14:paraId="3CE95F46" w14:textId="5FF8C4D6" w:rsidR="001122AC" w:rsidRDefault="001122AC" w:rsidP="006C00F1">
          <w:pPr>
            <w:pStyle w:val="Footer"/>
            <w:ind w:left="1134"/>
            <w:rPr>
              <w:rFonts w:ascii="Calibri Light" w:hAnsi="Calibri Light" w:cs="Calibri Light"/>
              <w:color w:val="FFFFFF" w:themeColor="background1"/>
            </w:rPr>
          </w:pPr>
        </w:p>
        <w:p w14:paraId="65A43FB9" w14:textId="75CEE15C" w:rsidR="001122AC" w:rsidRPr="00C03F16" w:rsidRDefault="001122AC" w:rsidP="006C00F1">
          <w:pPr>
            <w:pStyle w:val="Footer"/>
            <w:ind w:left="1134"/>
            <w:rPr>
              <w:rFonts w:ascii="Calibri Light" w:hAnsi="Calibri Light" w:cs="Calibri Light"/>
              <w:color w:val="FFFFFF" w:themeColor="background1"/>
            </w:rPr>
          </w:pPr>
          <w:r>
            <w:rPr>
              <w:rFonts w:ascii="Calibri Light" w:hAnsi="Calibri Light" w:cs="Calibri Light"/>
              <w:color w:val="FFFFFF" w:themeColor="background1"/>
            </w:rPr>
            <w:t xml:space="preserve">Published on </w:t>
          </w:r>
          <w:hyperlink r:id="rId1" w:history="1">
            <w:r w:rsidRPr="007A5DFC">
              <w:rPr>
                <w:rStyle w:val="Hyperlink"/>
                <w:rFonts w:ascii="Calibri Light" w:hAnsi="Calibri Light" w:cs="Calibri Light"/>
                <w:color w:val="FFFFFF" w:themeColor="background1"/>
                <w:u w:val="none"/>
              </w:rPr>
              <w:t xml:space="preserve">ELMER 3 – Electronic legislation, </w:t>
            </w:r>
            <w:r w:rsidR="00F932DE" w:rsidRPr="007A5DFC">
              <w:rPr>
                <w:rStyle w:val="Hyperlink"/>
                <w:rFonts w:ascii="Calibri Light" w:hAnsi="Calibri Light" w:cs="Calibri Light"/>
                <w:color w:val="FFFFFF" w:themeColor="background1"/>
                <w:u w:val="none"/>
              </w:rPr>
              <w:t>manuals,</w:t>
            </w:r>
            <w:r w:rsidRPr="007A5DFC">
              <w:rPr>
                <w:rStyle w:val="Hyperlink"/>
                <w:rFonts w:ascii="Calibri Light" w:hAnsi="Calibri Light" w:cs="Calibri Light"/>
                <w:color w:val="FFFFFF" w:themeColor="background1"/>
                <w:u w:val="none"/>
              </w:rPr>
              <w:t xml:space="preserve"> and essential refer</w:t>
            </w:r>
            <w:r w:rsidR="00E53ECD" w:rsidRPr="007A5DFC">
              <w:rPr>
                <w:rStyle w:val="Hyperlink"/>
                <w:rFonts w:ascii="Calibri Light" w:hAnsi="Calibri Light" w:cs="Calibri Light"/>
                <w:color w:val="FFFFFF" w:themeColor="background1"/>
                <w:u w:val="none"/>
              </w:rPr>
              <w:t>e</w:t>
            </w:r>
            <w:r w:rsidRPr="007A5DFC">
              <w:rPr>
                <w:rStyle w:val="Hyperlink"/>
                <w:rFonts w:ascii="Calibri Light" w:hAnsi="Calibri Light" w:cs="Calibri Light"/>
                <w:color w:val="FFFFFF" w:themeColor="background1"/>
                <w:u w:val="none"/>
              </w:rPr>
              <w:t>nces</w:t>
            </w:r>
          </w:hyperlink>
        </w:p>
        <w:p w14:paraId="1CCD6FB5" w14:textId="77777777" w:rsidR="004F6606" w:rsidRDefault="004F6606" w:rsidP="007521D0">
          <w:pPr>
            <w:rPr>
              <w:rFonts w:ascii="Calibri Light" w:hAnsi="Calibri Light" w:cs="Calibri Light"/>
              <w:b/>
              <w:bCs/>
              <w:color w:val="FFFFFF" w:themeColor="background1"/>
              <w:sz w:val="28"/>
              <w:szCs w:val="28"/>
              <w:lang w:eastAsia="ja-JP"/>
            </w:rPr>
          </w:pPr>
          <w:r>
            <w:rPr>
              <w:rFonts w:ascii="Calibri Light" w:hAnsi="Calibri Light" w:cs="Calibri Light"/>
              <w:color w:val="FFFFFF" w:themeColor="background1"/>
              <w:sz w:val="18"/>
              <w:szCs w:val="18"/>
              <w:lang w:eastAsia="ja-JP"/>
            </w:rPr>
            <w:t xml:space="preserve">                            </w:t>
          </w:r>
          <w:r w:rsidRPr="004C6968">
            <w:rPr>
              <w:rFonts w:ascii="Calibri Light" w:hAnsi="Calibri Light" w:cs="Calibri Light"/>
              <w:b/>
              <w:bCs/>
              <w:color w:val="FFFFFF" w:themeColor="background1"/>
              <w:sz w:val="28"/>
              <w:szCs w:val="28"/>
              <w:lang w:eastAsia="ja-JP"/>
            </w:rPr>
            <w:t>_________________________________</w:t>
          </w:r>
        </w:p>
        <w:p w14:paraId="10433A77" w14:textId="15D2840C" w:rsidR="004F6606" w:rsidRDefault="004F6606" w:rsidP="007521D0">
          <w:pPr>
            <w:spacing w:before="160"/>
            <w:rPr>
              <w:rFonts w:ascii="Calibri Light" w:hAnsi="Calibri Light" w:cs="Calibri Light"/>
              <w:b/>
              <w:bCs/>
              <w:color w:val="FFFFFF" w:themeColor="background1"/>
              <w:sz w:val="18"/>
              <w:szCs w:val="18"/>
              <w:lang w:eastAsia="ja-JP"/>
            </w:rPr>
          </w:pPr>
          <w:r>
            <w:rPr>
              <w:rFonts w:ascii="Calibri Light" w:hAnsi="Calibri Light" w:cs="Calibri Light"/>
              <w:b/>
              <w:bCs/>
              <w:color w:val="FFFFFF" w:themeColor="background1"/>
              <w:sz w:val="18"/>
              <w:szCs w:val="18"/>
              <w:lang w:eastAsia="ja-JP"/>
            </w:rPr>
            <w:t xml:space="preserve">                            </w:t>
          </w:r>
          <w:r w:rsidR="00A8521D">
            <w:rPr>
              <w:rFonts w:ascii="Calibri Light" w:hAnsi="Calibri Light" w:cs="Calibri Light"/>
              <w:b/>
              <w:bCs/>
              <w:color w:val="FFFFFF" w:themeColor="background1"/>
              <w:sz w:val="18"/>
              <w:szCs w:val="18"/>
              <w:lang w:eastAsia="ja-JP"/>
            </w:rPr>
            <w:t>www.</w:t>
          </w:r>
          <w:r>
            <w:rPr>
              <w:rFonts w:ascii="Calibri Light" w:hAnsi="Calibri Light" w:cs="Calibri Light"/>
              <w:b/>
              <w:bCs/>
              <w:color w:val="FFFFFF" w:themeColor="background1"/>
              <w:sz w:val="18"/>
              <w:szCs w:val="18"/>
              <w:lang w:eastAsia="ja-JP"/>
            </w:rPr>
            <w:t>a</w:t>
          </w:r>
          <w:r w:rsidR="00A8521D">
            <w:rPr>
              <w:rFonts w:ascii="Calibri Light" w:hAnsi="Calibri Light" w:cs="Calibri Light"/>
              <w:b/>
              <w:bCs/>
              <w:color w:val="FFFFFF" w:themeColor="background1"/>
              <w:sz w:val="18"/>
              <w:szCs w:val="18"/>
              <w:lang w:eastAsia="ja-JP"/>
            </w:rPr>
            <w:t>griculture</w:t>
          </w:r>
          <w:r>
            <w:rPr>
              <w:rFonts w:ascii="Calibri Light" w:hAnsi="Calibri Light" w:cs="Calibri Light"/>
              <w:b/>
              <w:bCs/>
              <w:color w:val="FFFFFF" w:themeColor="background1"/>
              <w:sz w:val="18"/>
              <w:szCs w:val="18"/>
              <w:lang w:eastAsia="ja-JP"/>
            </w:rPr>
            <w:t>.gov.au</w:t>
          </w:r>
        </w:p>
        <w:p w14:paraId="3526CDAB" w14:textId="77777777" w:rsidR="00B8782D" w:rsidRDefault="00B8782D">
          <w:pPr>
            <w:tabs>
              <w:tab w:val="left" w:pos="1725"/>
            </w:tabs>
            <w:rPr>
              <w:rFonts w:ascii="Calibri Light" w:hAnsi="Calibri Light" w:cs="Calibri Light"/>
              <w:sz w:val="18"/>
              <w:szCs w:val="18"/>
              <w:lang w:eastAsia="ja-JP"/>
            </w:rPr>
          </w:pPr>
        </w:p>
        <w:p w14:paraId="560E475D" w14:textId="1A366E01" w:rsidR="004F6606" w:rsidRPr="00C03F16" w:rsidRDefault="004F6606" w:rsidP="00C03F16">
          <w:pPr>
            <w:tabs>
              <w:tab w:val="left" w:pos="1725"/>
            </w:tabs>
            <w:rPr>
              <w:rFonts w:ascii="Calibri Light" w:hAnsi="Calibri Light" w:cs="Calibri Light"/>
              <w:sz w:val="18"/>
              <w:szCs w:val="18"/>
              <w:lang w:eastAsia="ja-JP"/>
            </w:rPr>
          </w:pPr>
          <w:r>
            <w:rPr>
              <w:rFonts w:ascii="Calibri Light" w:hAnsi="Calibri Light" w:cs="Calibri Light"/>
              <w:sz w:val="18"/>
              <w:szCs w:val="18"/>
              <w:lang w:eastAsia="ja-JP"/>
            </w:rPr>
            <w:tab/>
          </w:r>
        </w:p>
        <w:p w14:paraId="7CD4A841" w14:textId="77777777" w:rsidR="004F6606" w:rsidRPr="00C03F16" w:rsidRDefault="004F6606" w:rsidP="00C03F16">
          <w:pPr>
            <w:rPr>
              <w:rFonts w:ascii="Calibri Light" w:hAnsi="Calibri Light" w:cs="Calibri Light"/>
              <w:sz w:val="18"/>
              <w:szCs w:val="18"/>
              <w:lang w:eastAsia="ja-JP"/>
            </w:rPr>
          </w:pPr>
        </w:p>
        <w:p w14:paraId="0547ADEB" w14:textId="77777777" w:rsidR="004F6606" w:rsidRPr="00C03F16" w:rsidRDefault="004F6606" w:rsidP="00C03F16">
          <w:pPr>
            <w:rPr>
              <w:rFonts w:ascii="Calibri Light" w:hAnsi="Calibri Light" w:cs="Calibri Light"/>
              <w:sz w:val="18"/>
              <w:szCs w:val="18"/>
              <w:lang w:eastAsia="ja-JP"/>
            </w:rPr>
          </w:pPr>
        </w:p>
        <w:p w14:paraId="29E7BDDB" w14:textId="77777777" w:rsidR="004F6606" w:rsidRPr="00C03F16" w:rsidRDefault="004F6606" w:rsidP="00C03F16">
          <w:pPr>
            <w:rPr>
              <w:rFonts w:ascii="Calibri Light" w:hAnsi="Calibri Light" w:cs="Calibri Light"/>
              <w:sz w:val="18"/>
              <w:szCs w:val="18"/>
              <w:lang w:eastAsia="ja-JP"/>
            </w:rPr>
          </w:pPr>
        </w:p>
        <w:p w14:paraId="3A6B37DA" w14:textId="77777777" w:rsidR="004F6606" w:rsidRPr="00C03F16" w:rsidRDefault="004F6606" w:rsidP="00C03F16">
          <w:pPr>
            <w:jc w:val="center"/>
            <w:rPr>
              <w:rFonts w:ascii="Calibri Light" w:hAnsi="Calibri Light" w:cs="Calibri Light"/>
              <w:sz w:val="18"/>
              <w:szCs w:val="18"/>
              <w:lang w:eastAsia="ja-JP"/>
            </w:rPr>
          </w:pPr>
        </w:p>
      </w:tc>
      <w:tc>
        <w:tcPr>
          <w:tcW w:w="9214" w:type="dxa"/>
          <w:shd w:val="clear" w:color="auto" w:fill="003150"/>
        </w:tcPr>
        <w:p w14:paraId="3E4A7000" w14:textId="77777777" w:rsidR="004F6606" w:rsidRPr="00FE186D" w:rsidRDefault="004F6606" w:rsidP="007521D0">
          <w:pPr>
            <w:rPr>
              <w:rFonts w:ascii="Calibri Light" w:hAnsi="Calibri Light" w:cs="Calibri Light"/>
              <w:color w:val="FFFFFF" w:themeColor="background1"/>
              <w:sz w:val="18"/>
              <w:szCs w:val="18"/>
              <w:lang w:eastAsia="ja-JP"/>
            </w:rPr>
          </w:pPr>
        </w:p>
      </w:tc>
    </w:tr>
  </w:tbl>
  <w:p w14:paraId="43B43457" w14:textId="77777777" w:rsidR="004F6606" w:rsidRPr="00167C47" w:rsidRDefault="004F6606" w:rsidP="00167C47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113AB" w14:textId="77777777" w:rsidR="00B07B54" w:rsidRDefault="00B07B54" w:rsidP="009D66B3">
      <w:r>
        <w:separator/>
      </w:r>
    </w:p>
  </w:footnote>
  <w:footnote w:type="continuationSeparator" w:id="0">
    <w:p w14:paraId="5F4732BB" w14:textId="77777777" w:rsidR="00B07B54" w:rsidRDefault="00B07B54" w:rsidP="009D66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BED6B" w14:textId="7CB9C18C" w:rsidR="00B13F49" w:rsidRDefault="00B13F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A24317"/>
    <w:multiLevelType w:val="hybridMultilevel"/>
    <w:tmpl w:val="96F2575C"/>
    <w:lvl w:ilvl="0" w:tplc="CA14F6F6">
      <w:start w:val="1"/>
      <w:numFmt w:val="bullet"/>
      <w:pStyle w:val="Tablebullet1"/>
      <w:lvlText w:val=""/>
      <w:lvlJc w:val="left"/>
      <w:pPr>
        <w:ind w:left="720" w:hanging="360"/>
      </w:pPr>
      <w:rPr>
        <w:rFonts w:ascii="Symbol" w:hAnsi="Symbol" w:hint="default"/>
        <w:color w:val="16578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2E6986"/>
    <w:multiLevelType w:val="hybridMultilevel"/>
    <w:tmpl w:val="F2B48A18"/>
    <w:lvl w:ilvl="0" w:tplc="2312D646">
      <w:start w:val="1"/>
      <w:numFmt w:val="bullet"/>
      <w:pStyle w:val="Bullet2"/>
      <w:lvlText w:val="-"/>
      <w:lvlJc w:val="left"/>
      <w:pPr>
        <w:ind w:left="1755" w:hanging="360"/>
      </w:pPr>
      <w:rPr>
        <w:rFonts w:ascii="Courier New" w:hAnsi="Courier New" w:hint="default"/>
        <w:color w:val="165788"/>
      </w:rPr>
    </w:lvl>
    <w:lvl w:ilvl="1" w:tplc="0C09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2" w15:restartNumberingAfterBreak="0">
    <w:nsid w:val="430D09EE"/>
    <w:multiLevelType w:val="hybridMultilevel"/>
    <w:tmpl w:val="208AD5A6"/>
    <w:lvl w:ilvl="0" w:tplc="EACC47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6578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3151F2"/>
    <w:multiLevelType w:val="multilevel"/>
    <w:tmpl w:val="10C82CE6"/>
    <w:lvl w:ilvl="0">
      <w:start w:val="6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25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rFonts w:hint="default"/>
      </w:rPr>
    </w:lvl>
  </w:abstractNum>
  <w:abstractNum w:abstractNumId="4" w15:restartNumberingAfterBreak="0">
    <w:nsid w:val="607F2747"/>
    <w:multiLevelType w:val="hybridMultilevel"/>
    <w:tmpl w:val="58866642"/>
    <w:lvl w:ilvl="0" w:tplc="1BE0CEEE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  <w:color w:val="165788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4756402">
    <w:abstractNumId w:val="4"/>
  </w:num>
  <w:num w:numId="2" w16cid:durableId="305940111">
    <w:abstractNumId w:val="1"/>
  </w:num>
  <w:num w:numId="3" w16cid:durableId="1745908009">
    <w:abstractNumId w:val="4"/>
  </w:num>
  <w:num w:numId="4" w16cid:durableId="1798134926">
    <w:abstractNumId w:val="4"/>
  </w:num>
  <w:num w:numId="5" w16cid:durableId="1711420612">
    <w:abstractNumId w:val="4"/>
  </w:num>
  <w:num w:numId="6" w16cid:durableId="1240868534">
    <w:abstractNumId w:val="4"/>
  </w:num>
  <w:num w:numId="7" w16cid:durableId="386418099">
    <w:abstractNumId w:val="4"/>
  </w:num>
  <w:num w:numId="8" w16cid:durableId="1317687577">
    <w:abstractNumId w:val="4"/>
  </w:num>
  <w:num w:numId="9" w16cid:durableId="993409967">
    <w:abstractNumId w:val="4"/>
  </w:num>
  <w:num w:numId="10" w16cid:durableId="702941731">
    <w:abstractNumId w:val="4"/>
  </w:num>
  <w:num w:numId="11" w16cid:durableId="377706491">
    <w:abstractNumId w:val="4"/>
  </w:num>
  <w:num w:numId="12" w16cid:durableId="2084333370">
    <w:abstractNumId w:val="4"/>
  </w:num>
  <w:num w:numId="13" w16cid:durableId="1062411386">
    <w:abstractNumId w:val="4"/>
  </w:num>
  <w:num w:numId="14" w16cid:durableId="226187584">
    <w:abstractNumId w:val="4"/>
  </w:num>
  <w:num w:numId="15" w16cid:durableId="1117913155">
    <w:abstractNumId w:val="4"/>
  </w:num>
  <w:num w:numId="16" w16cid:durableId="1892424337">
    <w:abstractNumId w:val="4"/>
  </w:num>
  <w:num w:numId="17" w16cid:durableId="1893497449">
    <w:abstractNumId w:val="4"/>
  </w:num>
  <w:num w:numId="18" w16cid:durableId="995189636">
    <w:abstractNumId w:val="4"/>
  </w:num>
  <w:num w:numId="19" w16cid:durableId="274675259">
    <w:abstractNumId w:val="4"/>
  </w:num>
  <w:num w:numId="20" w16cid:durableId="482435209">
    <w:abstractNumId w:val="2"/>
  </w:num>
  <w:num w:numId="21" w16cid:durableId="1349067791">
    <w:abstractNumId w:val="0"/>
  </w:num>
  <w:num w:numId="22" w16cid:durableId="865169245">
    <w:abstractNumId w:val="1"/>
  </w:num>
  <w:num w:numId="23" w16cid:durableId="234778574">
    <w:abstractNumId w:val="1"/>
  </w:num>
  <w:num w:numId="24" w16cid:durableId="1522468883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47E8"/>
    <w:rsid w:val="00005716"/>
    <w:rsid w:val="00005D08"/>
    <w:rsid w:val="00014181"/>
    <w:rsid w:val="00014EF2"/>
    <w:rsid w:val="00015B2F"/>
    <w:rsid w:val="00020813"/>
    <w:rsid w:val="00020D76"/>
    <w:rsid w:val="00023ECD"/>
    <w:rsid w:val="00024658"/>
    <w:rsid w:val="00025281"/>
    <w:rsid w:val="00025518"/>
    <w:rsid w:val="00027215"/>
    <w:rsid w:val="00037281"/>
    <w:rsid w:val="000412C3"/>
    <w:rsid w:val="00046892"/>
    <w:rsid w:val="0005195E"/>
    <w:rsid w:val="00055D84"/>
    <w:rsid w:val="000633AA"/>
    <w:rsid w:val="00071097"/>
    <w:rsid w:val="00071DE3"/>
    <w:rsid w:val="00072DAC"/>
    <w:rsid w:val="000736BC"/>
    <w:rsid w:val="00073788"/>
    <w:rsid w:val="00073F22"/>
    <w:rsid w:val="00076C83"/>
    <w:rsid w:val="000773F8"/>
    <w:rsid w:val="00083066"/>
    <w:rsid w:val="000841BD"/>
    <w:rsid w:val="00084A77"/>
    <w:rsid w:val="00092C41"/>
    <w:rsid w:val="000932F5"/>
    <w:rsid w:val="0009408F"/>
    <w:rsid w:val="00097FF9"/>
    <w:rsid w:val="000A048C"/>
    <w:rsid w:val="000A0D24"/>
    <w:rsid w:val="000A212F"/>
    <w:rsid w:val="000A253E"/>
    <w:rsid w:val="000A5EDA"/>
    <w:rsid w:val="000A69FF"/>
    <w:rsid w:val="000B1983"/>
    <w:rsid w:val="000B1B9B"/>
    <w:rsid w:val="000B26F5"/>
    <w:rsid w:val="000B355E"/>
    <w:rsid w:val="000B57A6"/>
    <w:rsid w:val="000B6B8A"/>
    <w:rsid w:val="000C0F8B"/>
    <w:rsid w:val="000D002C"/>
    <w:rsid w:val="000D0AB9"/>
    <w:rsid w:val="000D1EBD"/>
    <w:rsid w:val="000E13CB"/>
    <w:rsid w:val="000E2D2C"/>
    <w:rsid w:val="000F14CA"/>
    <w:rsid w:val="000F29ED"/>
    <w:rsid w:val="000F3376"/>
    <w:rsid w:val="00100021"/>
    <w:rsid w:val="00103436"/>
    <w:rsid w:val="00105891"/>
    <w:rsid w:val="001072B0"/>
    <w:rsid w:val="001122AC"/>
    <w:rsid w:val="001122EC"/>
    <w:rsid w:val="00114145"/>
    <w:rsid w:val="00120069"/>
    <w:rsid w:val="0012266B"/>
    <w:rsid w:val="00123069"/>
    <w:rsid w:val="0012341E"/>
    <w:rsid w:val="00125102"/>
    <w:rsid w:val="00126735"/>
    <w:rsid w:val="001279D3"/>
    <w:rsid w:val="00135CEA"/>
    <w:rsid w:val="00140C63"/>
    <w:rsid w:val="0014257C"/>
    <w:rsid w:val="001439FE"/>
    <w:rsid w:val="00147C0D"/>
    <w:rsid w:val="00151182"/>
    <w:rsid w:val="0015543B"/>
    <w:rsid w:val="00156A44"/>
    <w:rsid w:val="00167C47"/>
    <w:rsid w:val="00171585"/>
    <w:rsid w:val="00172506"/>
    <w:rsid w:val="00173294"/>
    <w:rsid w:val="0017600F"/>
    <w:rsid w:val="001803D4"/>
    <w:rsid w:val="00181A3D"/>
    <w:rsid w:val="00183AE1"/>
    <w:rsid w:val="00183D15"/>
    <w:rsid w:val="001845DA"/>
    <w:rsid w:val="00187AA9"/>
    <w:rsid w:val="0019660F"/>
    <w:rsid w:val="0019752B"/>
    <w:rsid w:val="001A3823"/>
    <w:rsid w:val="001A7659"/>
    <w:rsid w:val="001B06F5"/>
    <w:rsid w:val="001B1356"/>
    <w:rsid w:val="001B367F"/>
    <w:rsid w:val="001C2115"/>
    <w:rsid w:val="001C3B71"/>
    <w:rsid w:val="001C53BB"/>
    <w:rsid w:val="001D01B9"/>
    <w:rsid w:val="001D1171"/>
    <w:rsid w:val="001D2711"/>
    <w:rsid w:val="001E4DCE"/>
    <w:rsid w:val="001E7F3D"/>
    <w:rsid w:val="001F191C"/>
    <w:rsid w:val="001F2D4C"/>
    <w:rsid w:val="001F4270"/>
    <w:rsid w:val="001F53F3"/>
    <w:rsid w:val="001F778A"/>
    <w:rsid w:val="00205C06"/>
    <w:rsid w:val="00212E99"/>
    <w:rsid w:val="00216F2B"/>
    <w:rsid w:val="00217C82"/>
    <w:rsid w:val="00224701"/>
    <w:rsid w:val="0022724E"/>
    <w:rsid w:val="002333C3"/>
    <w:rsid w:val="002356BF"/>
    <w:rsid w:val="00235991"/>
    <w:rsid w:val="00235CC0"/>
    <w:rsid w:val="002415BC"/>
    <w:rsid w:val="0024349E"/>
    <w:rsid w:val="00245572"/>
    <w:rsid w:val="00247EEF"/>
    <w:rsid w:val="00254C00"/>
    <w:rsid w:val="00255BD2"/>
    <w:rsid w:val="0026334C"/>
    <w:rsid w:val="0027021F"/>
    <w:rsid w:val="00271C24"/>
    <w:rsid w:val="0027333A"/>
    <w:rsid w:val="00273687"/>
    <w:rsid w:val="00274312"/>
    <w:rsid w:val="00274462"/>
    <w:rsid w:val="00276BF8"/>
    <w:rsid w:val="00281075"/>
    <w:rsid w:val="00281497"/>
    <w:rsid w:val="0028416A"/>
    <w:rsid w:val="00285A55"/>
    <w:rsid w:val="00285ACA"/>
    <w:rsid w:val="002A08A1"/>
    <w:rsid w:val="002A19B4"/>
    <w:rsid w:val="002A7848"/>
    <w:rsid w:val="002A7CAB"/>
    <w:rsid w:val="002B2AD9"/>
    <w:rsid w:val="002C2C2E"/>
    <w:rsid w:val="002C6F0A"/>
    <w:rsid w:val="002C72EC"/>
    <w:rsid w:val="002D02B5"/>
    <w:rsid w:val="002D56B8"/>
    <w:rsid w:val="002D74EA"/>
    <w:rsid w:val="002E0FD6"/>
    <w:rsid w:val="002E3096"/>
    <w:rsid w:val="002E3AC0"/>
    <w:rsid w:val="002E6415"/>
    <w:rsid w:val="002E7DC7"/>
    <w:rsid w:val="002F0A06"/>
    <w:rsid w:val="002F4BBD"/>
    <w:rsid w:val="00301D55"/>
    <w:rsid w:val="00302231"/>
    <w:rsid w:val="003043DC"/>
    <w:rsid w:val="003201C0"/>
    <w:rsid w:val="003205FF"/>
    <w:rsid w:val="00322CF5"/>
    <w:rsid w:val="00325CB7"/>
    <w:rsid w:val="003328AE"/>
    <w:rsid w:val="00332956"/>
    <w:rsid w:val="00333ABC"/>
    <w:rsid w:val="00334AAB"/>
    <w:rsid w:val="003355EB"/>
    <w:rsid w:val="003355F4"/>
    <w:rsid w:val="00335D7D"/>
    <w:rsid w:val="00345D1B"/>
    <w:rsid w:val="003474BF"/>
    <w:rsid w:val="00347BE7"/>
    <w:rsid w:val="00347F23"/>
    <w:rsid w:val="00350D6C"/>
    <w:rsid w:val="00357140"/>
    <w:rsid w:val="00357E09"/>
    <w:rsid w:val="003601CA"/>
    <w:rsid w:val="00360FDD"/>
    <w:rsid w:val="00361037"/>
    <w:rsid w:val="00361D43"/>
    <w:rsid w:val="003653B8"/>
    <w:rsid w:val="003729E1"/>
    <w:rsid w:val="00374553"/>
    <w:rsid w:val="00381256"/>
    <w:rsid w:val="0038139F"/>
    <w:rsid w:val="003824C6"/>
    <w:rsid w:val="003825E5"/>
    <w:rsid w:val="00383727"/>
    <w:rsid w:val="0038473A"/>
    <w:rsid w:val="0038482E"/>
    <w:rsid w:val="003909E7"/>
    <w:rsid w:val="00391F21"/>
    <w:rsid w:val="00395435"/>
    <w:rsid w:val="00396FA9"/>
    <w:rsid w:val="0039736E"/>
    <w:rsid w:val="003A1785"/>
    <w:rsid w:val="003A5B6C"/>
    <w:rsid w:val="003A6AB2"/>
    <w:rsid w:val="003B130F"/>
    <w:rsid w:val="003B3338"/>
    <w:rsid w:val="003B3B17"/>
    <w:rsid w:val="003B7908"/>
    <w:rsid w:val="003C0AC7"/>
    <w:rsid w:val="003C4277"/>
    <w:rsid w:val="003D197C"/>
    <w:rsid w:val="003D3A2E"/>
    <w:rsid w:val="003D4188"/>
    <w:rsid w:val="003E1E4C"/>
    <w:rsid w:val="003E2271"/>
    <w:rsid w:val="003E255A"/>
    <w:rsid w:val="003E45EB"/>
    <w:rsid w:val="003F0562"/>
    <w:rsid w:val="003F0909"/>
    <w:rsid w:val="003F0CF8"/>
    <w:rsid w:val="003F17C2"/>
    <w:rsid w:val="003F3405"/>
    <w:rsid w:val="003F3E68"/>
    <w:rsid w:val="004017AD"/>
    <w:rsid w:val="00403BEF"/>
    <w:rsid w:val="004043A8"/>
    <w:rsid w:val="00411DA4"/>
    <w:rsid w:val="0041274F"/>
    <w:rsid w:val="00416A6D"/>
    <w:rsid w:val="00420193"/>
    <w:rsid w:val="004314B3"/>
    <w:rsid w:val="00433747"/>
    <w:rsid w:val="0043488E"/>
    <w:rsid w:val="00436F25"/>
    <w:rsid w:val="004445D7"/>
    <w:rsid w:val="00447DBD"/>
    <w:rsid w:val="00455642"/>
    <w:rsid w:val="00455DE3"/>
    <w:rsid w:val="0045670C"/>
    <w:rsid w:val="00457208"/>
    <w:rsid w:val="004602E8"/>
    <w:rsid w:val="00461DC1"/>
    <w:rsid w:val="00462676"/>
    <w:rsid w:val="00462774"/>
    <w:rsid w:val="00465F6F"/>
    <w:rsid w:val="00465FD3"/>
    <w:rsid w:val="004667EC"/>
    <w:rsid w:val="00471DC1"/>
    <w:rsid w:val="004735FC"/>
    <w:rsid w:val="00484C27"/>
    <w:rsid w:val="004850B6"/>
    <w:rsid w:val="0048655A"/>
    <w:rsid w:val="00486FAD"/>
    <w:rsid w:val="00487B32"/>
    <w:rsid w:val="00490EC5"/>
    <w:rsid w:val="00490F97"/>
    <w:rsid w:val="00491426"/>
    <w:rsid w:val="0049146D"/>
    <w:rsid w:val="00491B6F"/>
    <w:rsid w:val="00493A1B"/>
    <w:rsid w:val="00494FF4"/>
    <w:rsid w:val="00496370"/>
    <w:rsid w:val="00496692"/>
    <w:rsid w:val="004966E5"/>
    <w:rsid w:val="004A25F4"/>
    <w:rsid w:val="004A30B4"/>
    <w:rsid w:val="004A709D"/>
    <w:rsid w:val="004B0441"/>
    <w:rsid w:val="004B05B1"/>
    <w:rsid w:val="004B52A8"/>
    <w:rsid w:val="004B5B58"/>
    <w:rsid w:val="004C20C9"/>
    <w:rsid w:val="004C2F53"/>
    <w:rsid w:val="004C3E5C"/>
    <w:rsid w:val="004C504F"/>
    <w:rsid w:val="004C51ED"/>
    <w:rsid w:val="004C5569"/>
    <w:rsid w:val="004C662C"/>
    <w:rsid w:val="004C6968"/>
    <w:rsid w:val="004C6A69"/>
    <w:rsid w:val="004C6C9B"/>
    <w:rsid w:val="004D0353"/>
    <w:rsid w:val="004D6FD6"/>
    <w:rsid w:val="004E2C73"/>
    <w:rsid w:val="004E7DD7"/>
    <w:rsid w:val="004F3F12"/>
    <w:rsid w:val="004F43A7"/>
    <w:rsid w:val="004F4D26"/>
    <w:rsid w:val="004F6606"/>
    <w:rsid w:val="004F7D87"/>
    <w:rsid w:val="00502743"/>
    <w:rsid w:val="0050453F"/>
    <w:rsid w:val="0052108C"/>
    <w:rsid w:val="0052273F"/>
    <w:rsid w:val="00522D87"/>
    <w:rsid w:val="00524613"/>
    <w:rsid w:val="00526975"/>
    <w:rsid w:val="00532F12"/>
    <w:rsid w:val="00534759"/>
    <w:rsid w:val="00534BC1"/>
    <w:rsid w:val="005368EF"/>
    <w:rsid w:val="005371A0"/>
    <w:rsid w:val="0054453C"/>
    <w:rsid w:val="00544737"/>
    <w:rsid w:val="00552D81"/>
    <w:rsid w:val="0056256F"/>
    <w:rsid w:val="00565256"/>
    <w:rsid w:val="00565A95"/>
    <w:rsid w:val="00571D6A"/>
    <w:rsid w:val="00574523"/>
    <w:rsid w:val="0057616D"/>
    <w:rsid w:val="0057670D"/>
    <w:rsid w:val="00577FC6"/>
    <w:rsid w:val="00582DB8"/>
    <w:rsid w:val="00584F33"/>
    <w:rsid w:val="00585FA9"/>
    <w:rsid w:val="00593200"/>
    <w:rsid w:val="00593DCE"/>
    <w:rsid w:val="005A03C6"/>
    <w:rsid w:val="005A06CC"/>
    <w:rsid w:val="005A3009"/>
    <w:rsid w:val="005A67FB"/>
    <w:rsid w:val="005B1F46"/>
    <w:rsid w:val="005B2B0B"/>
    <w:rsid w:val="005C0369"/>
    <w:rsid w:val="005D3D7E"/>
    <w:rsid w:val="005D4667"/>
    <w:rsid w:val="005D686C"/>
    <w:rsid w:val="005D78E9"/>
    <w:rsid w:val="005D7CCA"/>
    <w:rsid w:val="005E37D5"/>
    <w:rsid w:val="005E38B7"/>
    <w:rsid w:val="005F029F"/>
    <w:rsid w:val="00600C44"/>
    <w:rsid w:val="00601914"/>
    <w:rsid w:val="00602DF1"/>
    <w:rsid w:val="00606685"/>
    <w:rsid w:val="00606AA8"/>
    <w:rsid w:val="00610A56"/>
    <w:rsid w:val="00611F8A"/>
    <w:rsid w:val="006160ED"/>
    <w:rsid w:val="0061642D"/>
    <w:rsid w:val="006176DC"/>
    <w:rsid w:val="00622589"/>
    <w:rsid w:val="006313CD"/>
    <w:rsid w:val="0063142B"/>
    <w:rsid w:val="006314E4"/>
    <w:rsid w:val="00645AA3"/>
    <w:rsid w:val="00650C63"/>
    <w:rsid w:val="00653533"/>
    <w:rsid w:val="00653C6F"/>
    <w:rsid w:val="0065725B"/>
    <w:rsid w:val="00662278"/>
    <w:rsid w:val="00662688"/>
    <w:rsid w:val="00662EEF"/>
    <w:rsid w:val="00663C39"/>
    <w:rsid w:val="00664E36"/>
    <w:rsid w:val="00667F9E"/>
    <w:rsid w:val="00675E66"/>
    <w:rsid w:val="00684152"/>
    <w:rsid w:val="0068537F"/>
    <w:rsid w:val="00685C88"/>
    <w:rsid w:val="0069072B"/>
    <w:rsid w:val="006931FD"/>
    <w:rsid w:val="006972AE"/>
    <w:rsid w:val="006A2D04"/>
    <w:rsid w:val="006A6788"/>
    <w:rsid w:val="006A6A64"/>
    <w:rsid w:val="006B528F"/>
    <w:rsid w:val="006B77CF"/>
    <w:rsid w:val="006C00F1"/>
    <w:rsid w:val="006C2578"/>
    <w:rsid w:val="006C5922"/>
    <w:rsid w:val="006C6159"/>
    <w:rsid w:val="006D2562"/>
    <w:rsid w:val="006D2933"/>
    <w:rsid w:val="006D4665"/>
    <w:rsid w:val="006E2DD7"/>
    <w:rsid w:val="006E7F3E"/>
    <w:rsid w:val="006F1EC3"/>
    <w:rsid w:val="006F27B4"/>
    <w:rsid w:val="006F3938"/>
    <w:rsid w:val="006F4334"/>
    <w:rsid w:val="006F5A2D"/>
    <w:rsid w:val="006F6201"/>
    <w:rsid w:val="00700299"/>
    <w:rsid w:val="007017B2"/>
    <w:rsid w:val="00703A75"/>
    <w:rsid w:val="0070505D"/>
    <w:rsid w:val="007061FA"/>
    <w:rsid w:val="00706386"/>
    <w:rsid w:val="007332A5"/>
    <w:rsid w:val="00733AE8"/>
    <w:rsid w:val="00737A95"/>
    <w:rsid w:val="007433E5"/>
    <w:rsid w:val="0074418A"/>
    <w:rsid w:val="007447A0"/>
    <w:rsid w:val="007453F6"/>
    <w:rsid w:val="00745D78"/>
    <w:rsid w:val="00746E56"/>
    <w:rsid w:val="007474E5"/>
    <w:rsid w:val="00747EF6"/>
    <w:rsid w:val="007521D0"/>
    <w:rsid w:val="007525BF"/>
    <w:rsid w:val="00752F70"/>
    <w:rsid w:val="007556EF"/>
    <w:rsid w:val="00756D76"/>
    <w:rsid w:val="007623BC"/>
    <w:rsid w:val="00762664"/>
    <w:rsid w:val="00763C18"/>
    <w:rsid w:val="00764423"/>
    <w:rsid w:val="00780156"/>
    <w:rsid w:val="0078429A"/>
    <w:rsid w:val="0078506A"/>
    <w:rsid w:val="00785991"/>
    <w:rsid w:val="0078793F"/>
    <w:rsid w:val="00791371"/>
    <w:rsid w:val="00793186"/>
    <w:rsid w:val="007968E7"/>
    <w:rsid w:val="00796B7E"/>
    <w:rsid w:val="007A13F6"/>
    <w:rsid w:val="007A5DFC"/>
    <w:rsid w:val="007B18F0"/>
    <w:rsid w:val="007B2F84"/>
    <w:rsid w:val="007B6686"/>
    <w:rsid w:val="007B7380"/>
    <w:rsid w:val="007B7A36"/>
    <w:rsid w:val="007D02F7"/>
    <w:rsid w:val="007D1693"/>
    <w:rsid w:val="007D4160"/>
    <w:rsid w:val="007D73C0"/>
    <w:rsid w:val="007E35FF"/>
    <w:rsid w:val="007E3CF5"/>
    <w:rsid w:val="007E46BF"/>
    <w:rsid w:val="007E6F6E"/>
    <w:rsid w:val="007E7F57"/>
    <w:rsid w:val="007F2B34"/>
    <w:rsid w:val="0080029A"/>
    <w:rsid w:val="00801751"/>
    <w:rsid w:val="00801A33"/>
    <w:rsid w:val="0080496A"/>
    <w:rsid w:val="00805700"/>
    <w:rsid w:val="00805D8E"/>
    <w:rsid w:val="008136E8"/>
    <w:rsid w:val="0081600D"/>
    <w:rsid w:val="00816F3B"/>
    <w:rsid w:val="0082037F"/>
    <w:rsid w:val="0082105E"/>
    <w:rsid w:val="008212E4"/>
    <w:rsid w:val="00821744"/>
    <w:rsid w:val="00823E06"/>
    <w:rsid w:val="00824BA4"/>
    <w:rsid w:val="008261F9"/>
    <w:rsid w:val="00826D64"/>
    <w:rsid w:val="0084187B"/>
    <w:rsid w:val="00841A5A"/>
    <w:rsid w:val="00847DB8"/>
    <w:rsid w:val="00847DEE"/>
    <w:rsid w:val="0085146B"/>
    <w:rsid w:val="00861F30"/>
    <w:rsid w:val="00862B64"/>
    <w:rsid w:val="00867E90"/>
    <w:rsid w:val="008746BF"/>
    <w:rsid w:val="00876994"/>
    <w:rsid w:val="00882CAA"/>
    <w:rsid w:val="0088487A"/>
    <w:rsid w:val="00885D8B"/>
    <w:rsid w:val="00887C55"/>
    <w:rsid w:val="00890C0E"/>
    <w:rsid w:val="00891663"/>
    <w:rsid w:val="00893942"/>
    <w:rsid w:val="0089656D"/>
    <w:rsid w:val="008A0102"/>
    <w:rsid w:val="008A24B0"/>
    <w:rsid w:val="008A3C57"/>
    <w:rsid w:val="008A55F6"/>
    <w:rsid w:val="008B1D98"/>
    <w:rsid w:val="008B6669"/>
    <w:rsid w:val="008B76E7"/>
    <w:rsid w:val="008C3DDE"/>
    <w:rsid w:val="008C792D"/>
    <w:rsid w:val="008D066D"/>
    <w:rsid w:val="008D12DD"/>
    <w:rsid w:val="008D289E"/>
    <w:rsid w:val="008D75E8"/>
    <w:rsid w:val="008D76E0"/>
    <w:rsid w:val="008E5C4E"/>
    <w:rsid w:val="008F1A09"/>
    <w:rsid w:val="008F6C8C"/>
    <w:rsid w:val="008F74A3"/>
    <w:rsid w:val="008F7F1A"/>
    <w:rsid w:val="0090213E"/>
    <w:rsid w:val="00903922"/>
    <w:rsid w:val="00905928"/>
    <w:rsid w:val="0090626D"/>
    <w:rsid w:val="0091322B"/>
    <w:rsid w:val="009155ED"/>
    <w:rsid w:val="009206D4"/>
    <w:rsid w:val="0092238A"/>
    <w:rsid w:val="009227DD"/>
    <w:rsid w:val="00925DB1"/>
    <w:rsid w:val="00933761"/>
    <w:rsid w:val="00943DDA"/>
    <w:rsid w:val="00944589"/>
    <w:rsid w:val="00946B3B"/>
    <w:rsid w:val="00946FCF"/>
    <w:rsid w:val="00947062"/>
    <w:rsid w:val="009505BD"/>
    <w:rsid w:val="009530CE"/>
    <w:rsid w:val="00956212"/>
    <w:rsid w:val="009568C7"/>
    <w:rsid w:val="00957238"/>
    <w:rsid w:val="009606EC"/>
    <w:rsid w:val="0096166A"/>
    <w:rsid w:val="009650F9"/>
    <w:rsid w:val="00967FCE"/>
    <w:rsid w:val="0097023A"/>
    <w:rsid w:val="00970D88"/>
    <w:rsid w:val="00980C1D"/>
    <w:rsid w:val="00982FBF"/>
    <w:rsid w:val="00983F13"/>
    <w:rsid w:val="00984C80"/>
    <w:rsid w:val="00987132"/>
    <w:rsid w:val="00987CBC"/>
    <w:rsid w:val="009916E0"/>
    <w:rsid w:val="0099290E"/>
    <w:rsid w:val="00992A38"/>
    <w:rsid w:val="00993F65"/>
    <w:rsid w:val="0099628D"/>
    <w:rsid w:val="0099767D"/>
    <w:rsid w:val="009A287B"/>
    <w:rsid w:val="009A2975"/>
    <w:rsid w:val="009A495A"/>
    <w:rsid w:val="009B0C04"/>
    <w:rsid w:val="009B249F"/>
    <w:rsid w:val="009B27DE"/>
    <w:rsid w:val="009B2AB9"/>
    <w:rsid w:val="009B66E1"/>
    <w:rsid w:val="009C1ADA"/>
    <w:rsid w:val="009C34DC"/>
    <w:rsid w:val="009C4F86"/>
    <w:rsid w:val="009C5986"/>
    <w:rsid w:val="009D2A0D"/>
    <w:rsid w:val="009D66B3"/>
    <w:rsid w:val="009E0631"/>
    <w:rsid w:val="009E1580"/>
    <w:rsid w:val="009E1FB6"/>
    <w:rsid w:val="009E2176"/>
    <w:rsid w:val="009E2848"/>
    <w:rsid w:val="009E296A"/>
    <w:rsid w:val="009E2A07"/>
    <w:rsid w:val="009E309E"/>
    <w:rsid w:val="009E6E1A"/>
    <w:rsid w:val="009F3243"/>
    <w:rsid w:val="009F41F7"/>
    <w:rsid w:val="009F4589"/>
    <w:rsid w:val="00A00FD7"/>
    <w:rsid w:val="00A022D1"/>
    <w:rsid w:val="00A0739E"/>
    <w:rsid w:val="00A10422"/>
    <w:rsid w:val="00A1109D"/>
    <w:rsid w:val="00A1109E"/>
    <w:rsid w:val="00A11A4C"/>
    <w:rsid w:val="00A15BA1"/>
    <w:rsid w:val="00A20090"/>
    <w:rsid w:val="00A20B15"/>
    <w:rsid w:val="00A22673"/>
    <w:rsid w:val="00A243A9"/>
    <w:rsid w:val="00A245E1"/>
    <w:rsid w:val="00A3102D"/>
    <w:rsid w:val="00A319F1"/>
    <w:rsid w:val="00A34968"/>
    <w:rsid w:val="00A34C80"/>
    <w:rsid w:val="00A350A7"/>
    <w:rsid w:val="00A36FDF"/>
    <w:rsid w:val="00A4244A"/>
    <w:rsid w:val="00A42ED6"/>
    <w:rsid w:val="00A45064"/>
    <w:rsid w:val="00A45718"/>
    <w:rsid w:val="00A470CA"/>
    <w:rsid w:val="00A5229B"/>
    <w:rsid w:val="00A53C77"/>
    <w:rsid w:val="00A56D11"/>
    <w:rsid w:val="00A57987"/>
    <w:rsid w:val="00A57A9F"/>
    <w:rsid w:val="00A62860"/>
    <w:rsid w:val="00A80E5F"/>
    <w:rsid w:val="00A816B5"/>
    <w:rsid w:val="00A818A6"/>
    <w:rsid w:val="00A8521D"/>
    <w:rsid w:val="00A864CA"/>
    <w:rsid w:val="00A86CBE"/>
    <w:rsid w:val="00A87D5C"/>
    <w:rsid w:val="00A94E93"/>
    <w:rsid w:val="00A966F4"/>
    <w:rsid w:val="00AA6047"/>
    <w:rsid w:val="00AB45AC"/>
    <w:rsid w:val="00AB6791"/>
    <w:rsid w:val="00AC01ED"/>
    <w:rsid w:val="00AC0FA5"/>
    <w:rsid w:val="00AC12DA"/>
    <w:rsid w:val="00AC5E14"/>
    <w:rsid w:val="00AD29C6"/>
    <w:rsid w:val="00AD334C"/>
    <w:rsid w:val="00AD3FF1"/>
    <w:rsid w:val="00AD7991"/>
    <w:rsid w:val="00AE0547"/>
    <w:rsid w:val="00AE268A"/>
    <w:rsid w:val="00AE4418"/>
    <w:rsid w:val="00AF4AE6"/>
    <w:rsid w:val="00AF7FC8"/>
    <w:rsid w:val="00B01734"/>
    <w:rsid w:val="00B07B54"/>
    <w:rsid w:val="00B1023E"/>
    <w:rsid w:val="00B104D5"/>
    <w:rsid w:val="00B10A99"/>
    <w:rsid w:val="00B10D8D"/>
    <w:rsid w:val="00B12894"/>
    <w:rsid w:val="00B13F49"/>
    <w:rsid w:val="00B15BFE"/>
    <w:rsid w:val="00B21158"/>
    <w:rsid w:val="00B22D3B"/>
    <w:rsid w:val="00B2460B"/>
    <w:rsid w:val="00B2658B"/>
    <w:rsid w:val="00B265DF"/>
    <w:rsid w:val="00B30BF6"/>
    <w:rsid w:val="00B31CB1"/>
    <w:rsid w:val="00B36559"/>
    <w:rsid w:val="00B408CA"/>
    <w:rsid w:val="00B4179A"/>
    <w:rsid w:val="00B42D9D"/>
    <w:rsid w:val="00B50673"/>
    <w:rsid w:val="00B52B89"/>
    <w:rsid w:val="00B52D44"/>
    <w:rsid w:val="00B53C0C"/>
    <w:rsid w:val="00B57645"/>
    <w:rsid w:val="00B60385"/>
    <w:rsid w:val="00B61C30"/>
    <w:rsid w:val="00B674EE"/>
    <w:rsid w:val="00B677B7"/>
    <w:rsid w:val="00B8782D"/>
    <w:rsid w:val="00B93064"/>
    <w:rsid w:val="00B93FCE"/>
    <w:rsid w:val="00B958AB"/>
    <w:rsid w:val="00B9746F"/>
    <w:rsid w:val="00BA2B25"/>
    <w:rsid w:val="00BA4182"/>
    <w:rsid w:val="00BA64B7"/>
    <w:rsid w:val="00BA6C7F"/>
    <w:rsid w:val="00BB1C0D"/>
    <w:rsid w:val="00BB2702"/>
    <w:rsid w:val="00BB5195"/>
    <w:rsid w:val="00BB6818"/>
    <w:rsid w:val="00BC4AC6"/>
    <w:rsid w:val="00BC5098"/>
    <w:rsid w:val="00BC5399"/>
    <w:rsid w:val="00BC75C9"/>
    <w:rsid w:val="00BC7BD9"/>
    <w:rsid w:val="00BE08B8"/>
    <w:rsid w:val="00BE594E"/>
    <w:rsid w:val="00BE6E19"/>
    <w:rsid w:val="00BE7822"/>
    <w:rsid w:val="00BF4059"/>
    <w:rsid w:val="00BF788B"/>
    <w:rsid w:val="00BF7C64"/>
    <w:rsid w:val="00C01A5A"/>
    <w:rsid w:val="00C034BC"/>
    <w:rsid w:val="00C03F16"/>
    <w:rsid w:val="00C06E44"/>
    <w:rsid w:val="00C13CAE"/>
    <w:rsid w:val="00C14FCD"/>
    <w:rsid w:val="00C17116"/>
    <w:rsid w:val="00C17C66"/>
    <w:rsid w:val="00C20E3A"/>
    <w:rsid w:val="00C3177D"/>
    <w:rsid w:val="00C31AA1"/>
    <w:rsid w:val="00C32A6A"/>
    <w:rsid w:val="00C35AC8"/>
    <w:rsid w:val="00C37E9D"/>
    <w:rsid w:val="00C4150A"/>
    <w:rsid w:val="00C41628"/>
    <w:rsid w:val="00C4255A"/>
    <w:rsid w:val="00C46278"/>
    <w:rsid w:val="00C47121"/>
    <w:rsid w:val="00C50336"/>
    <w:rsid w:val="00C53A26"/>
    <w:rsid w:val="00C56DEE"/>
    <w:rsid w:val="00C631FE"/>
    <w:rsid w:val="00C653A0"/>
    <w:rsid w:val="00C67817"/>
    <w:rsid w:val="00C7586E"/>
    <w:rsid w:val="00C75F0E"/>
    <w:rsid w:val="00C76636"/>
    <w:rsid w:val="00C76DA2"/>
    <w:rsid w:val="00C8048B"/>
    <w:rsid w:val="00C80D71"/>
    <w:rsid w:val="00C851A5"/>
    <w:rsid w:val="00C86A80"/>
    <w:rsid w:val="00C93179"/>
    <w:rsid w:val="00C937BE"/>
    <w:rsid w:val="00C94530"/>
    <w:rsid w:val="00C951FB"/>
    <w:rsid w:val="00C96D4A"/>
    <w:rsid w:val="00C97608"/>
    <w:rsid w:val="00CA097A"/>
    <w:rsid w:val="00CA2BBA"/>
    <w:rsid w:val="00CA557B"/>
    <w:rsid w:val="00CB2D0F"/>
    <w:rsid w:val="00CB3610"/>
    <w:rsid w:val="00CB3BC2"/>
    <w:rsid w:val="00CB6D0D"/>
    <w:rsid w:val="00CC445E"/>
    <w:rsid w:val="00CD054A"/>
    <w:rsid w:val="00CD1218"/>
    <w:rsid w:val="00CD32AD"/>
    <w:rsid w:val="00CD5005"/>
    <w:rsid w:val="00CD5F1A"/>
    <w:rsid w:val="00CE016D"/>
    <w:rsid w:val="00CE6D6F"/>
    <w:rsid w:val="00CF1E8B"/>
    <w:rsid w:val="00CF266F"/>
    <w:rsid w:val="00D04043"/>
    <w:rsid w:val="00D05ED4"/>
    <w:rsid w:val="00D121DB"/>
    <w:rsid w:val="00D2489C"/>
    <w:rsid w:val="00D34283"/>
    <w:rsid w:val="00D35595"/>
    <w:rsid w:val="00D35A65"/>
    <w:rsid w:val="00D36493"/>
    <w:rsid w:val="00D40220"/>
    <w:rsid w:val="00D469D1"/>
    <w:rsid w:val="00D478A8"/>
    <w:rsid w:val="00D47E99"/>
    <w:rsid w:val="00D508F2"/>
    <w:rsid w:val="00D52426"/>
    <w:rsid w:val="00D52AD2"/>
    <w:rsid w:val="00D52F05"/>
    <w:rsid w:val="00D55A77"/>
    <w:rsid w:val="00D647D2"/>
    <w:rsid w:val="00D6799B"/>
    <w:rsid w:val="00D71C15"/>
    <w:rsid w:val="00D72116"/>
    <w:rsid w:val="00D75231"/>
    <w:rsid w:val="00D80620"/>
    <w:rsid w:val="00D920E6"/>
    <w:rsid w:val="00D94D51"/>
    <w:rsid w:val="00D95D43"/>
    <w:rsid w:val="00DA099D"/>
    <w:rsid w:val="00DA3E3C"/>
    <w:rsid w:val="00DA4B45"/>
    <w:rsid w:val="00DB0936"/>
    <w:rsid w:val="00DB120F"/>
    <w:rsid w:val="00DB46C9"/>
    <w:rsid w:val="00DB5BB9"/>
    <w:rsid w:val="00DB7132"/>
    <w:rsid w:val="00DB765D"/>
    <w:rsid w:val="00DC073E"/>
    <w:rsid w:val="00DC5690"/>
    <w:rsid w:val="00DD1607"/>
    <w:rsid w:val="00DD4CCC"/>
    <w:rsid w:val="00DE0574"/>
    <w:rsid w:val="00DE4A92"/>
    <w:rsid w:val="00DE7E0B"/>
    <w:rsid w:val="00DF0178"/>
    <w:rsid w:val="00DF0F29"/>
    <w:rsid w:val="00DF2AB4"/>
    <w:rsid w:val="00DF47E8"/>
    <w:rsid w:val="00DF5613"/>
    <w:rsid w:val="00E03663"/>
    <w:rsid w:val="00E04DED"/>
    <w:rsid w:val="00E14A21"/>
    <w:rsid w:val="00E2290A"/>
    <w:rsid w:val="00E25332"/>
    <w:rsid w:val="00E25D21"/>
    <w:rsid w:val="00E31B38"/>
    <w:rsid w:val="00E31EED"/>
    <w:rsid w:val="00E33764"/>
    <w:rsid w:val="00E33DC3"/>
    <w:rsid w:val="00E34005"/>
    <w:rsid w:val="00E343C9"/>
    <w:rsid w:val="00E34449"/>
    <w:rsid w:val="00E363BB"/>
    <w:rsid w:val="00E405C8"/>
    <w:rsid w:val="00E4431F"/>
    <w:rsid w:val="00E52B93"/>
    <w:rsid w:val="00E53390"/>
    <w:rsid w:val="00E53ECD"/>
    <w:rsid w:val="00E561DF"/>
    <w:rsid w:val="00E575E1"/>
    <w:rsid w:val="00E60372"/>
    <w:rsid w:val="00E608EC"/>
    <w:rsid w:val="00E62A71"/>
    <w:rsid w:val="00E654C5"/>
    <w:rsid w:val="00E72CC1"/>
    <w:rsid w:val="00E7426B"/>
    <w:rsid w:val="00E76801"/>
    <w:rsid w:val="00E80AEE"/>
    <w:rsid w:val="00E9135C"/>
    <w:rsid w:val="00E92F2C"/>
    <w:rsid w:val="00E9307A"/>
    <w:rsid w:val="00E93C03"/>
    <w:rsid w:val="00E94C62"/>
    <w:rsid w:val="00E95F9A"/>
    <w:rsid w:val="00EB0DAF"/>
    <w:rsid w:val="00EB24B2"/>
    <w:rsid w:val="00EB6A6A"/>
    <w:rsid w:val="00EB6C8D"/>
    <w:rsid w:val="00EB7751"/>
    <w:rsid w:val="00EC00F3"/>
    <w:rsid w:val="00EC7466"/>
    <w:rsid w:val="00ED0636"/>
    <w:rsid w:val="00ED4491"/>
    <w:rsid w:val="00ED6B1F"/>
    <w:rsid w:val="00ED77E8"/>
    <w:rsid w:val="00EE1B95"/>
    <w:rsid w:val="00EE2507"/>
    <w:rsid w:val="00EE2C69"/>
    <w:rsid w:val="00EE712F"/>
    <w:rsid w:val="00EF1E7D"/>
    <w:rsid w:val="00EF5EA0"/>
    <w:rsid w:val="00F00127"/>
    <w:rsid w:val="00F0014A"/>
    <w:rsid w:val="00F007AF"/>
    <w:rsid w:val="00F01D0A"/>
    <w:rsid w:val="00F02A12"/>
    <w:rsid w:val="00F040E8"/>
    <w:rsid w:val="00F07083"/>
    <w:rsid w:val="00F11373"/>
    <w:rsid w:val="00F1271F"/>
    <w:rsid w:val="00F15587"/>
    <w:rsid w:val="00F15757"/>
    <w:rsid w:val="00F24D9B"/>
    <w:rsid w:val="00F25380"/>
    <w:rsid w:val="00F26B0F"/>
    <w:rsid w:val="00F314CC"/>
    <w:rsid w:val="00F32950"/>
    <w:rsid w:val="00F32AF5"/>
    <w:rsid w:val="00F33822"/>
    <w:rsid w:val="00F37FE0"/>
    <w:rsid w:val="00F4340F"/>
    <w:rsid w:val="00F43A8F"/>
    <w:rsid w:val="00F47A55"/>
    <w:rsid w:val="00F50CE3"/>
    <w:rsid w:val="00F5154F"/>
    <w:rsid w:val="00F548A1"/>
    <w:rsid w:val="00F562AD"/>
    <w:rsid w:val="00F7367A"/>
    <w:rsid w:val="00F7448D"/>
    <w:rsid w:val="00F77E0A"/>
    <w:rsid w:val="00F932DE"/>
    <w:rsid w:val="00F936BE"/>
    <w:rsid w:val="00F937BC"/>
    <w:rsid w:val="00F93EB5"/>
    <w:rsid w:val="00F9408A"/>
    <w:rsid w:val="00F9571A"/>
    <w:rsid w:val="00F97A21"/>
    <w:rsid w:val="00FA562D"/>
    <w:rsid w:val="00FA7FE1"/>
    <w:rsid w:val="00FB1404"/>
    <w:rsid w:val="00FB440E"/>
    <w:rsid w:val="00FB66B0"/>
    <w:rsid w:val="00FC329B"/>
    <w:rsid w:val="00FC3E40"/>
    <w:rsid w:val="00FC6C89"/>
    <w:rsid w:val="00FD2218"/>
    <w:rsid w:val="00FD7D26"/>
    <w:rsid w:val="00FE00D1"/>
    <w:rsid w:val="00FE17AA"/>
    <w:rsid w:val="00FF1062"/>
    <w:rsid w:val="00FF2055"/>
    <w:rsid w:val="00FF2785"/>
    <w:rsid w:val="00FF2DF1"/>
    <w:rsid w:val="00FF5449"/>
    <w:rsid w:val="00FF548B"/>
    <w:rsid w:val="04D75C2E"/>
    <w:rsid w:val="05A24F84"/>
    <w:rsid w:val="073E1FE5"/>
    <w:rsid w:val="0CAD2379"/>
    <w:rsid w:val="0CB3DBF0"/>
    <w:rsid w:val="0DAD6169"/>
    <w:rsid w:val="0F48BFE6"/>
    <w:rsid w:val="0F542A5C"/>
    <w:rsid w:val="11D8C51E"/>
    <w:rsid w:val="194580A2"/>
    <w:rsid w:val="1AE29ECB"/>
    <w:rsid w:val="1AFE5156"/>
    <w:rsid w:val="1DCF287D"/>
    <w:rsid w:val="20044FA1"/>
    <w:rsid w:val="210B1D62"/>
    <w:rsid w:val="23B8BD1D"/>
    <w:rsid w:val="2B470248"/>
    <w:rsid w:val="2C810923"/>
    <w:rsid w:val="2D01DFA0"/>
    <w:rsid w:val="2EE2E879"/>
    <w:rsid w:val="2F01C39A"/>
    <w:rsid w:val="307938F7"/>
    <w:rsid w:val="32B7ED60"/>
    <w:rsid w:val="3D5DC4A2"/>
    <w:rsid w:val="41247E44"/>
    <w:rsid w:val="427A27C8"/>
    <w:rsid w:val="49FEB581"/>
    <w:rsid w:val="4B30A6CF"/>
    <w:rsid w:val="5782C5E7"/>
    <w:rsid w:val="57E91D8A"/>
    <w:rsid w:val="58BB3D52"/>
    <w:rsid w:val="5AEC9D8D"/>
    <w:rsid w:val="5C886DEE"/>
    <w:rsid w:val="5FA5164E"/>
    <w:rsid w:val="6140E6AF"/>
    <w:rsid w:val="614F33C0"/>
    <w:rsid w:val="650B083A"/>
    <w:rsid w:val="6A393D3A"/>
    <w:rsid w:val="6CD9EF09"/>
    <w:rsid w:val="6E1D7179"/>
    <w:rsid w:val="6FAF3D12"/>
    <w:rsid w:val="7315C0C2"/>
    <w:rsid w:val="7468D0F6"/>
    <w:rsid w:val="74A618C5"/>
    <w:rsid w:val="74D8D143"/>
    <w:rsid w:val="766859E6"/>
    <w:rsid w:val="77C368F5"/>
    <w:rsid w:val="78150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7F94E4"/>
  <w15:docId w15:val="{914AE1E8-04D9-434A-8068-0FCEF5DA1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0C0E"/>
  </w:style>
  <w:style w:type="paragraph" w:styleId="Heading1">
    <w:name w:val="heading 1"/>
    <w:basedOn w:val="Normal"/>
    <w:next w:val="Normal"/>
    <w:link w:val="Heading1Char"/>
    <w:uiPriority w:val="9"/>
    <w:qFormat/>
    <w:rsid w:val="00F007AF"/>
    <w:pPr>
      <w:spacing w:before="158"/>
      <w:textAlignment w:val="baseline"/>
      <w:outlineLvl w:val="0"/>
    </w:pPr>
    <w:rPr>
      <w:rFonts w:asciiTheme="majorHAnsi" w:eastAsia="Arial Narrow" w:hAnsiTheme="majorHAnsi" w:cstheme="majorHAnsi"/>
      <w:color w:val="FFFFFF"/>
      <w:w w:val="110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245E1"/>
    <w:pPr>
      <w:spacing w:before="200" w:line="355" w:lineRule="exact"/>
      <w:ind w:left="1134"/>
      <w:textAlignment w:val="baseline"/>
      <w:outlineLvl w:val="1"/>
    </w:pPr>
    <w:rPr>
      <w:rFonts w:ascii="Cambria" w:eastAsia="Cambria" w:hAnsi="Cambria"/>
      <w:b/>
      <w:color w:val="165788"/>
      <w:spacing w:val="-1"/>
      <w:sz w:val="33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007AF"/>
    <w:pPr>
      <w:spacing w:before="120" w:line="298" w:lineRule="exact"/>
      <w:ind w:left="1134"/>
      <w:textAlignment w:val="baseline"/>
      <w:outlineLvl w:val="2"/>
    </w:pPr>
    <w:rPr>
      <w:rFonts w:ascii="Cambria" w:eastAsia="Cambria" w:hAnsi="Cambria"/>
      <w:b/>
      <w:color w:val="88B7D7"/>
      <w:spacing w:val="-5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951FB"/>
    <w:pPr>
      <w:keepNext/>
      <w:keepLines/>
      <w:spacing w:before="40"/>
      <w:ind w:left="1134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951F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6103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D66B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66B3"/>
  </w:style>
  <w:style w:type="paragraph" w:styleId="Footer">
    <w:name w:val="footer"/>
    <w:basedOn w:val="Normal"/>
    <w:link w:val="FooterChar"/>
    <w:uiPriority w:val="99"/>
    <w:unhideWhenUsed/>
    <w:rsid w:val="009D66B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66B3"/>
  </w:style>
  <w:style w:type="table" w:styleId="TableGrid">
    <w:name w:val="Table Grid"/>
    <w:basedOn w:val="TableNormal"/>
    <w:uiPriority w:val="59"/>
    <w:rsid w:val="00662EEF"/>
    <w:rPr>
      <w:rFonts w:ascii="Calibri" w:eastAsia="Calibri" w:hAnsi="Calibri"/>
      <w:sz w:val="20"/>
      <w:szCs w:val="20"/>
      <w:lang w:val="en-AU"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sub">
    <w:name w:val="paragraph(sub)"/>
    <w:aliases w:val="aa"/>
    <w:basedOn w:val="Normal"/>
    <w:rsid w:val="00662EEF"/>
    <w:pPr>
      <w:tabs>
        <w:tab w:val="right" w:pos="1985"/>
      </w:tabs>
      <w:spacing w:before="40"/>
      <w:ind w:left="2098" w:hanging="2098"/>
    </w:pPr>
    <w:rPr>
      <w:rFonts w:eastAsia="Times New Roman"/>
      <w:szCs w:val="20"/>
      <w:lang w:val="en-AU" w:eastAsia="en-AU"/>
    </w:rPr>
  </w:style>
  <w:style w:type="paragraph" w:customStyle="1" w:styleId="paragraph">
    <w:name w:val="paragraph"/>
    <w:aliases w:val="a"/>
    <w:basedOn w:val="Normal"/>
    <w:link w:val="paragraphChar"/>
    <w:rsid w:val="00662EEF"/>
    <w:pPr>
      <w:tabs>
        <w:tab w:val="right" w:pos="1531"/>
      </w:tabs>
      <w:spacing w:before="40"/>
      <w:ind w:left="1644" w:hanging="1644"/>
    </w:pPr>
    <w:rPr>
      <w:rFonts w:eastAsia="Times New Roman"/>
      <w:szCs w:val="20"/>
      <w:lang w:val="en-AU" w:eastAsia="en-AU"/>
    </w:rPr>
  </w:style>
  <w:style w:type="character" w:customStyle="1" w:styleId="paragraphChar">
    <w:name w:val="paragraph Char"/>
    <w:aliases w:val="a Char"/>
    <w:link w:val="paragraph"/>
    <w:rsid w:val="00662EEF"/>
    <w:rPr>
      <w:rFonts w:eastAsia="Times New Roman"/>
      <w:szCs w:val="20"/>
      <w:lang w:val="en-AU" w:eastAsia="en-AU"/>
    </w:rPr>
  </w:style>
  <w:style w:type="character" w:styleId="Hyperlink">
    <w:name w:val="Hyperlink"/>
    <w:basedOn w:val="DefaultParagraphFont"/>
    <w:uiPriority w:val="99"/>
    <w:unhideWhenUsed/>
    <w:rsid w:val="00345D1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45D1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C72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C72E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C72E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72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72E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1AD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1ADA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90392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03922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3C0AC7"/>
  </w:style>
  <w:style w:type="paragraph" w:customStyle="1" w:styleId="Default">
    <w:name w:val="Default"/>
    <w:rsid w:val="00DD160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AU"/>
    </w:rPr>
  </w:style>
  <w:style w:type="paragraph" w:customStyle="1" w:styleId="paragraphsub0">
    <w:name w:val="paragraphsub"/>
    <w:basedOn w:val="Normal"/>
    <w:rsid w:val="00F00127"/>
    <w:pPr>
      <w:spacing w:before="100" w:beforeAutospacing="1" w:after="100" w:afterAutospacing="1"/>
    </w:pPr>
    <w:rPr>
      <w:rFonts w:eastAsia="Times New Roman"/>
      <w:sz w:val="24"/>
      <w:szCs w:val="24"/>
      <w:lang w:val="en-AU" w:eastAsia="en-AU"/>
    </w:rPr>
  </w:style>
  <w:style w:type="paragraph" w:customStyle="1" w:styleId="subsection">
    <w:name w:val="subsection"/>
    <w:basedOn w:val="Normal"/>
    <w:rsid w:val="00763C18"/>
    <w:pPr>
      <w:spacing w:before="100" w:beforeAutospacing="1" w:after="100" w:afterAutospacing="1"/>
    </w:pPr>
    <w:rPr>
      <w:rFonts w:eastAsia="Times New Roman"/>
      <w:sz w:val="24"/>
      <w:szCs w:val="24"/>
      <w:lang w:val="en-AU"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F007AF"/>
    <w:rPr>
      <w:rFonts w:asciiTheme="majorHAnsi" w:eastAsia="Arial Narrow" w:hAnsiTheme="majorHAnsi" w:cstheme="majorHAnsi"/>
      <w:color w:val="FFFFFF"/>
      <w:w w:val="110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A245E1"/>
    <w:rPr>
      <w:rFonts w:ascii="Cambria" w:eastAsia="Cambria" w:hAnsi="Cambria"/>
      <w:b/>
      <w:color w:val="165788"/>
      <w:spacing w:val="-1"/>
      <w:sz w:val="33"/>
    </w:rPr>
  </w:style>
  <w:style w:type="character" w:customStyle="1" w:styleId="Heading3Char">
    <w:name w:val="Heading 3 Char"/>
    <w:basedOn w:val="DefaultParagraphFont"/>
    <w:link w:val="Heading3"/>
    <w:uiPriority w:val="9"/>
    <w:rsid w:val="00F007AF"/>
    <w:rPr>
      <w:rFonts w:ascii="Cambria" w:eastAsia="Cambria" w:hAnsi="Cambria"/>
      <w:b/>
      <w:color w:val="88B7D7"/>
      <w:spacing w:val="-5"/>
      <w:sz w:val="28"/>
    </w:rPr>
  </w:style>
  <w:style w:type="paragraph" w:customStyle="1" w:styleId="Bullet1">
    <w:name w:val="Bullet 1"/>
    <w:basedOn w:val="Normal"/>
    <w:qFormat/>
    <w:rsid w:val="00956212"/>
    <w:pPr>
      <w:tabs>
        <w:tab w:val="left" w:pos="216"/>
        <w:tab w:val="left" w:pos="1418"/>
      </w:tabs>
      <w:spacing w:before="68" w:line="264" w:lineRule="exact"/>
      <w:ind w:right="994"/>
      <w:textAlignment w:val="baseline"/>
    </w:pPr>
    <w:rPr>
      <w:rFonts w:ascii="Cambria" w:hAnsi="Cambria"/>
      <w:color w:val="000000"/>
      <w:spacing w:val="-3"/>
    </w:rPr>
  </w:style>
  <w:style w:type="paragraph" w:customStyle="1" w:styleId="Bullet2">
    <w:name w:val="Bullet 2"/>
    <w:basedOn w:val="ListParagraph"/>
    <w:qFormat/>
    <w:rsid w:val="00956212"/>
    <w:pPr>
      <w:numPr>
        <w:numId w:val="2"/>
      </w:numPr>
      <w:tabs>
        <w:tab w:val="left" w:pos="216"/>
        <w:tab w:val="left" w:pos="1276"/>
      </w:tabs>
      <w:spacing w:before="68" w:line="264" w:lineRule="exact"/>
      <w:ind w:right="1418"/>
      <w:textAlignment w:val="baseline"/>
    </w:pPr>
    <w:rPr>
      <w:rFonts w:ascii="Cambria" w:eastAsia="Cambria" w:hAnsi="Cambria"/>
      <w:color w:val="000000"/>
      <w:spacing w:val="-3"/>
    </w:rPr>
  </w:style>
  <w:style w:type="paragraph" w:styleId="TOC1">
    <w:name w:val="toc 1"/>
    <w:basedOn w:val="Normal"/>
    <w:next w:val="Normal"/>
    <w:autoRedefine/>
    <w:uiPriority w:val="39"/>
    <w:unhideWhenUsed/>
    <w:rsid w:val="00B9746F"/>
    <w:pPr>
      <w:tabs>
        <w:tab w:val="right" w:leader="dot" w:pos="10773"/>
      </w:tabs>
      <w:ind w:left="1985"/>
    </w:pPr>
    <w:rPr>
      <w:rFonts w:ascii="Cambria" w:hAnsi="Cambria"/>
      <w:sz w:val="20"/>
    </w:rPr>
  </w:style>
  <w:style w:type="paragraph" w:styleId="TOC2">
    <w:name w:val="toc 2"/>
    <w:basedOn w:val="Normal"/>
    <w:next w:val="Normal"/>
    <w:autoRedefine/>
    <w:uiPriority w:val="39"/>
    <w:unhideWhenUsed/>
    <w:rsid w:val="00805D8E"/>
    <w:pPr>
      <w:tabs>
        <w:tab w:val="right" w:leader="dot" w:pos="10773"/>
        <w:tab w:val="right" w:leader="dot" w:pos="11899"/>
      </w:tabs>
      <w:ind w:left="2098"/>
    </w:pPr>
    <w:rPr>
      <w:rFonts w:ascii="Cambria" w:hAnsi="Cambria"/>
      <w:sz w:val="20"/>
    </w:rPr>
  </w:style>
  <w:style w:type="paragraph" w:styleId="TOC3">
    <w:name w:val="toc 3"/>
    <w:basedOn w:val="Normal"/>
    <w:next w:val="Normal"/>
    <w:autoRedefine/>
    <w:uiPriority w:val="39"/>
    <w:unhideWhenUsed/>
    <w:rsid w:val="00235991"/>
    <w:pPr>
      <w:tabs>
        <w:tab w:val="right" w:leader="dot" w:pos="10773"/>
        <w:tab w:val="right" w:leader="dot" w:pos="11899"/>
      </w:tabs>
      <w:ind w:left="2268"/>
    </w:pPr>
    <w:rPr>
      <w:rFonts w:ascii="Cambria" w:hAnsi="Cambria"/>
      <w:sz w:val="20"/>
    </w:rPr>
  </w:style>
  <w:style w:type="paragraph" w:customStyle="1" w:styleId="definition">
    <w:name w:val="definition"/>
    <w:basedOn w:val="Normal"/>
    <w:rsid w:val="00496370"/>
    <w:pPr>
      <w:spacing w:before="80" w:line="260" w:lineRule="exact"/>
      <w:ind w:left="964"/>
      <w:jc w:val="both"/>
    </w:pPr>
    <w:rPr>
      <w:rFonts w:eastAsia="Times New Roman"/>
      <w:sz w:val="24"/>
      <w:szCs w:val="24"/>
      <w:lang w:val="en-AU"/>
    </w:rPr>
  </w:style>
  <w:style w:type="character" w:customStyle="1" w:styleId="Heading4Char">
    <w:name w:val="Heading 4 Char"/>
    <w:basedOn w:val="DefaultParagraphFont"/>
    <w:link w:val="Heading4"/>
    <w:uiPriority w:val="9"/>
    <w:rsid w:val="00C951F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OC4">
    <w:name w:val="toc 4"/>
    <w:basedOn w:val="Normal"/>
    <w:next w:val="Normal"/>
    <w:autoRedefine/>
    <w:uiPriority w:val="39"/>
    <w:unhideWhenUsed/>
    <w:rsid w:val="00235991"/>
    <w:pPr>
      <w:ind w:left="2552"/>
    </w:pPr>
    <w:rPr>
      <w:rFonts w:ascii="Cambria" w:hAnsi="Cambria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rsid w:val="00C951FB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Frontpage-bodytext">
    <w:name w:val="Front page - body text"/>
    <w:basedOn w:val="Normal"/>
    <w:qFormat/>
    <w:rsid w:val="0080496A"/>
    <w:pPr>
      <w:spacing w:before="86" w:line="264" w:lineRule="exact"/>
      <w:ind w:left="1985" w:right="1077"/>
      <w:textAlignment w:val="baseline"/>
    </w:pPr>
    <w:rPr>
      <w:rFonts w:ascii="Cambria" w:eastAsia="Cambria" w:hAnsi="Cambria"/>
      <w:color w:val="000000"/>
    </w:rPr>
  </w:style>
  <w:style w:type="paragraph" w:customStyle="1" w:styleId="Frontpage-bulletlist">
    <w:name w:val="Front page - bullet list"/>
    <w:basedOn w:val="Normal"/>
    <w:qFormat/>
    <w:rsid w:val="0080496A"/>
    <w:pPr>
      <w:tabs>
        <w:tab w:val="left" w:pos="216"/>
        <w:tab w:val="left" w:pos="1418"/>
      </w:tabs>
      <w:spacing w:before="68" w:line="264" w:lineRule="exact"/>
      <w:ind w:left="2269" w:right="992" w:hanging="284"/>
      <w:textAlignment w:val="baseline"/>
    </w:pPr>
    <w:rPr>
      <w:rFonts w:ascii="Cambria" w:hAnsi="Cambria"/>
      <w:color w:val="000000"/>
      <w:spacing w:val="-3"/>
    </w:rPr>
  </w:style>
  <w:style w:type="paragraph" w:customStyle="1" w:styleId="Documentbody-bodytext">
    <w:name w:val="Document body - body text"/>
    <w:basedOn w:val="Normal"/>
    <w:qFormat/>
    <w:rsid w:val="0080496A"/>
    <w:pPr>
      <w:spacing w:before="72" w:line="264" w:lineRule="exact"/>
      <w:ind w:left="1134" w:right="1152"/>
      <w:textAlignment w:val="baseline"/>
    </w:pPr>
    <w:rPr>
      <w:rFonts w:ascii="Cambria" w:eastAsia="Cambria" w:hAnsi="Cambria"/>
      <w:color w:val="000000"/>
      <w:spacing w:val="-4"/>
    </w:rPr>
  </w:style>
  <w:style w:type="paragraph" w:customStyle="1" w:styleId="Definitionsection-termheadings">
    <w:name w:val="Definition section - term headings"/>
    <w:basedOn w:val="Normal"/>
    <w:qFormat/>
    <w:rsid w:val="00F562AD"/>
    <w:pPr>
      <w:spacing w:before="240" w:line="264" w:lineRule="exact"/>
      <w:ind w:left="1134" w:right="1151"/>
      <w:textAlignment w:val="baseline"/>
    </w:pPr>
    <w:rPr>
      <w:rFonts w:ascii="Cambria" w:eastAsia="Cambria" w:hAnsi="Cambria"/>
      <w:b/>
      <w:bCs/>
      <w:color w:val="000000"/>
      <w:spacing w:val="-4"/>
    </w:rPr>
  </w:style>
  <w:style w:type="paragraph" w:customStyle="1" w:styleId="Tablebullet1">
    <w:name w:val="Table bullet 1"/>
    <w:basedOn w:val="Bullet1"/>
    <w:qFormat/>
    <w:rsid w:val="00FD7D26"/>
    <w:pPr>
      <w:numPr>
        <w:numId w:val="21"/>
      </w:numPr>
      <w:tabs>
        <w:tab w:val="clear" w:pos="216"/>
        <w:tab w:val="left" w:pos="285"/>
      </w:tabs>
      <w:ind w:left="285" w:right="57" w:hanging="284"/>
    </w:pPr>
    <w:rPr>
      <w:rFonts w:eastAsia="Calibri"/>
      <w:sz w:val="20"/>
      <w:szCs w:val="20"/>
      <w:lang w:val="en-AU" w:eastAsia="en-AU"/>
    </w:rPr>
  </w:style>
  <w:style w:type="paragraph" w:customStyle="1" w:styleId="Tabletext">
    <w:name w:val="Table text"/>
    <w:basedOn w:val="Tablebullet1"/>
    <w:qFormat/>
    <w:rsid w:val="00FD7D26"/>
    <w:pPr>
      <w:numPr>
        <w:numId w:val="0"/>
      </w:numPr>
      <w:tabs>
        <w:tab w:val="clear" w:pos="285"/>
      </w:tabs>
      <w:ind w:left="34"/>
    </w:pPr>
  </w:style>
  <w:style w:type="paragraph" w:customStyle="1" w:styleId="Tableheaders">
    <w:name w:val="Table headers"/>
    <w:basedOn w:val="Tabletext"/>
    <w:qFormat/>
    <w:rsid w:val="00FD7D26"/>
    <w:rPr>
      <w:b/>
      <w:bCs/>
    </w:rPr>
  </w:style>
  <w:style w:type="paragraph" w:customStyle="1" w:styleId="definitionsection-termheadings0">
    <w:name w:val="definitionsection-termheadings"/>
    <w:basedOn w:val="Normal"/>
    <w:rsid w:val="0089656D"/>
    <w:pPr>
      <w:spacing w:before="100" w:beforeAutospacing="1" w:after="100" w:afterAutospacing="1"/>
    </w:pPr>
    <w:rPr>
      <w:rFonts w:ascii="Calibri" w:eastAsiaTheme="minorHAnsi" w:hAnsi="Calibri" w:cs="Calibri"/>
      <w:lang w:val="en-AU" w:eastAsia="en-AU"/>
    </w:rPr>
  </w:style>
  <w:style w:type="paragraph" w:customStyle="1" w:styleId="documentbody-bodytext0">
    <w:name w:val="documentbody-bodytext"/>
    <w:basedOn w:val="Normal"/>
    <w:rsid w:val="0089656D"/>
    <w:pPr>
      <w:spacing w:before="100" w:beforeAutospacing="1" w:after="100" w:afterAutospacing="1"/>
    </w:pPr>
    <w:rPr>
      <w:rFonts w:ascii="Calibri" w:eastAsiaTheme="minorHAnsi" w:hAnsi="Calibri" w:cs="Calibri"/>
      <w:lang w:val="en-AU" w:eastAsia="en-AU"/>
    </w:rPr>
  </w:style>
  <w:style w:type="paragraph" w:customStyle="1" w:styleId="Tablefigurecaption">
    <w:name w:val="Table / figure caption"/>
    <w:basedOn w:val="Normal"/>
    <w:qFormat/>
    <w:rsid w:val="005E37D5"/>
    <w:pPr>
      <w:spacing w:before="240" w:after="120"/>
      <w:ind w:left="1134" w:right="1179"/>
    </w:pPr>
    <w:rPr>
      <w:rFonts w:asciiTheme="minorHAnsi" w:eastAsia="Cambria" w:hAnsiTheme="minorHAnsi" w:cstheme="minorHAnsi"/>
      <w:b/>
      <w:spacing w:val="-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8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png"/><Relationship Id="rId18" Type="http://schemas.openxmlformats.org/officeDocument/2006/relationships/hyperlink" Target="https://www.legislation.gov.au/Series/F2021L00334" TargetMode="External"/><Relationship Id="rId26" Type="http://schemas.openxmlformats.org/officeDocument/2006/relationships/hyperlink" Target="https://www.safeworkaustralia.gov.au/doc/model-code-practice-first-aid-workplace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legislation.gov.au/Series/F2021L00310" TargetMode="External"/><Relationship Id="rId7" Type="http://schemas.openxmlformats.org/officeDocument/2006/relationships/settings" Target="settings.xml"/><Relationship Id="rId12" Type="http://schemas.microsoft.com/office/2007/relationships/hdphoto" Target="media/hdphoto1.wdp"/><Relationship Id="rId17" Type="http://schemas.openxmlformats.org/officeDocument/2006/relationships/hyperlink" Target="https://www.legislation.gov.au/Series/C2020A00012" TargetMode="External"/><Relationship Id="rId25" Type="http://schemas.openxmlformats.org/officeDocument/2006/relationships/hyperlink" Target="https://www.safeworkaustralia.gov.au/doc/model-code-practice-managing-work-environment-and-facilities" TargetMode="External"/><Relationship Id="rId33" Type="http://schemas.openxmlformats.org/officeDocument/2006/relationships/theme" Target="theme/theme1.xml"/><Relationship Id="fId" Type="http://schemas.openxmlformats.org/wordprocessingml/2006/fontTable" Target="fontTable0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yperlink" Target="https://www.legislation.gov.au/Series/F2021L00308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www.safeworkaustralia.gov.au/doc/model-whs-regulations" TargetMode="External"/><Relationship Id="rId32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hyperlink" Target="https://www.legislation.gov.au/Series/F2011L02664" TargetMode="External"/><Relationship Id="rId28" Type="http://schemas.openxmlformats.org/officeDocument/2006/relationships/hyperlink" Target="https://www.agriculture.gov.au/biosecurity-trade/export/controlled-goods/meat/elmer-3/guideline-application-refrigeration-index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legislation.gov.au/Series/F2021L00313" TargetMode="External"/><Relationship Id="rId31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0.png"/><Relationship Id="rId22" Type="http://schemas.openxmlformats.org/officeDocument/2006/relationships/hyperlink" Target="https://www.legislation.gov.au/Series/C2011A00137" TargetMode="External"/><Relationship Id="rId27" Type="http://schemas.openxmlformats.org/officeDocument/2006/relationships/hyperlink" Target="https://www.safeworkaustralia.gov.au/doc/model-code-practice-how-manage-and-control-asbestos-workplace" TargetMode="External"/><Relationship Id="rId30" Type="http://schemas.openxmlformats.org/officeDocument/2006/relationships/footer" Target="footer3.xml"/><Relationship Id="rId8" Type="http://schemas.openxmlformats.org/officeDocument/2006/relationships/webSettings" Target="webSettings.xm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agriculture.gov.au/biosecurity-trade/export/controlled-goods/meat/elmer-3/animal-welfare-incident-report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91DB94C8E2E14F9D69CDF9B52A3286" ma:contentTypeVersion="16" ma:contentTypeDescription="Create a new document." ma:contentTypeScope="" ma:versionID="7bbbd1f2d08d376791588cca939607da">
  <xsd:schema xmlns:xsd="http://www.w3.org/2001/XMLSchema" xmlns:xs="http://www.w3.org/2001/XMLSchema" xmlns:p="http://schemas.microsoft.com/office/2006/metadata/properties" xmlns:ns2="2b53c995-2120-4bc0-8922-c25044d37f65" xmlns:ns3="c95b51c2-b2ac-4224-a5b5-069909057829" xmlns:ns4="81c01dc6-2c49-4730-b140-874c95cac377" targetNamespace="http://schemas.microsoft.com/office/2006/metadata/properties" ma:root="true" ma:fieldsID="e0423d2504d0f3eef0838cf6ee6df071" ns2:_="" ns3:_="" ns4:_="">
    <xsd:import namespace="2b53c995-2120-4bc0-8922-c25044d37f65"/>
    <xsd:import namespace="c95b51c2-b2ac-4224-a5b5-069909057829"/>
    <xsd:import namespace="81c01dc6-2c49-4730-b140-874c95ca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3c995-2120-4bc0-8922-c25044d37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b51c2-b2ac-4224-a5b5-0699090578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2ae6d04-93fd-4eff-b083-abce3c4fe286}" ma:internalName="TaxCatchAll" ma:showField="CatchAllData" ma:web="c95b51c2-b2ac-4224-a5b5-0699090578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53c995-2120-4bc0-8922-c25044d37f65">
      <Terms xmlns="http://schemas.microsoft.com/office/infopath/2007/PartnerControls"/>
    </lcf76f155ced4ddcb4097134ff3c332f>
    <TaxCatchAll xmlns="81c01dc6-2c49-4730-b140-874c95cac377" xsi:nil="true"/>
  </documentManagement>
</p:properties>
</file>

<file path=customXml/itemProps1.xml><?xml version="1.0" encoding="utf-8"?>
<ds:datastoreItem xmlns:ds="http://schemas.openxmlformats.org/officeDocument/2006/customXml" ds:itemID="{2861A363-EB2E-4FB7-B47D-380B240865D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89458B-6F4D-4A42-9D86-32AC30569E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4C43F8-54AC-46CB-90EE-6D153BE4F581}"/>
</file>

<file path=customXml/itemProps4.xml><?xml version="1.0" encoding="utf-8"?>
<ds:datastoreItem xmlns:ds="http://schemas.openxmlformats.org/officeDocument/2006/customXml" ds:itemID="{D8F7168D-4D66-48B0-8111-CAE1D50C5D8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2483</Words>
  <Characters>14154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Export Meat Operational Guideline: 3.17 Interruption to production</vt:lpstr>
    </vt:vector>
  </TitlesOfParts>
  <Manager/>
  <Company/>
  <LinksUpToDate>false</LinksUpToDate>
  <CharactersWithSpaces>16604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Meat Operational Guideline: 3.17 Interruption to production</dc:title>
  <dc:creator>Department of Agriculture, Fisheries and Forestry</dc:creator>
  <cp:lastModifiedBy>Goggins, Fiona</cp:lastModifiedBy>
  <cp:revision>4</cp:revision>
  <cp:lastPrinted>2022-02-07T05:29:00Z</cp:lastPrinted>
  <dcterms:created xsi:type="dcterms:W3CDTF">2023-03-30T06:12:00Z</dcterms:created>
  <dcterms:modified xsi:type="dcterms:W3CDTF">2023-03-31T00:25:00Z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0x010100478C3A4A79191443BC72CFEEDA6AD8FE</vt:lpwstr>
  </property>
</Properties>
</file>