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charts/chart2.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1D" w:rsidRDefault="001A641D" w:rsidP="001A641D"/>
    <w:p w:rsidR="001A641D" w:rsidRPr="001E6054" w:rsidRDefault="007E5C0A" w:rsidP="001A641D">
      <w:r>
        <w:rPr>
          <w:noProof/>
          <w:lang w:eastAsia="en-AU"/>
        </w:rPr>
        <w:drawing>
          <wp:inline distT="0" distB="0" distL="0" distR="0">
            <wp:extent cx="3333750" cy="631724"/>
            <wp:effectExtent l="19050" t="0" r="0" b="0"/>
            <wp:docPr id="7" name="Picture 1" descr="\\pvac01file02\user$\A01562\Profil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ac01file02\user$\A01562\Profile\Desktop\logo.png"/>
                    <pic:cNvPicPr>
                      <a:picLocks noChangeAspect="1" noChangeArrowheads="1"/>
                    </pic:cNvPicPr>
                  </pic:nvPicPr>
                  <pic:blipFill>
                    <a:blip r:embed="rId7" cstate="print"/>
                    <a:stretch>
                      <a:fillRect/>
                    </a:stretch>
                  </pic:blipFill>
                  <pic:spPr bwMode="auto">
                    <a:xfrm>
                      <a:off x="0" y="0"/>
                      <a:ext cx="3344423" cy="633746"/>
                    </a:xfrm>
                    <a:prstGeom prst="rect">
                      <a:avLst/>
                    </a:prstGeom>
                    <a:noFill/>
                    <a:ln w="9525">
                      <a:noFill/>
                      <a:miter lim="800000"/>
                      <a:headEnd/>
                      <a:tailEnd/>
                    </a:ln>
                  </pic:spPr>
                </pic:pic>
              </a:graphicData>
            </a:graphic>
          </wp:inline>
        </w:drawing>
      </w:r>
    </w:p>
    <w:p w:rsidR="001A641D" w:rsidRPr="001E6054" w:rsidRDefault="001A641D" w:rsidP="001A641D"/>
    <w:p w:rsidR="001A641D" w:rsidRPr="001E6054" w:rsidRDefault="001A641D" w:rsidP="001A641D"/>
    <w:p w:rsidR="001A641D" w:rsidRPr="001E6054" w:rsidRDefault="001A641D" w:rsidP="001A641D"/>
    <w:p w:rsidR="001A641D" w:rsidRPr="001E6054" w:rsidRDefault="001A641D" w:rsidP="001A641D"/>
    <w:p w:rsidR="001A641D" w:rsidRPr="001E6054" w:rsidRDefault="001A641D" w:rsidP="001A641D"/>
    <w:p w:rsidR="001A641D" w:rsidRDefault="001A641D" w:rsidP="001A641D"/>
    <w:p w:rsidR="001A641D" w:rsidRDefault="007E5C0A" w:rsidP="001A641D">
      <w:pPr>
        <w:tabs>
          <w:tab w:val="left" w:pos="1950"/>
        </w:tabs>
        <w:jc w:val="center"/>
        <w:rPr>
          <w:sz w:val="28"/>
          <w:szCs w:val="28"/>
        </w:rPr>
      </w:pPr>
      <w:bookmarkStart w:id="0" w:name="OLE_LINK3"/>
      <w:bookmarkStart w:id="1" w:name="OLE_LINK4"/>
      <w:bookmarkStart w:id="2" w:name="_GoBack"/>
      <w:r w:rsidRPr="001E6054">
        <w:rPr>
          <w:sz w:val="28"/>
          <w:szCs w:val="28"/>
        </w:rPr>
        <w:t>COST RECOVERY IMP</w:t>
      </w:r>
      <w:r>
        <w:rPr>
          <w:sz w:val="28"/>
          <w:szCs w:val="28"/>
        </w:rPr>
        <w:t>LEMENTATION</w:t>
      </w:r>
      <w:r w:rsidRPr="001E6054">
        <w:rPr>
          <w:sz w:val="28"/>
          <w:szCs w:val="28"/>
        </w:rPr>
        <w:t xml:space="preserve"> STATEMENT</w:t>
      </w:r>
    </w:p>
    <w:bookmarkEnd w:id="0"/>
    <w:bookmarkEnd w:id="1"/>
    <w:bookmarkEnd w:id="2"/>
    <w:p w:rsidR="001A641D" w:rsidRDefault="007E5C0A" w:rsidP="001A641D">
      <w:pPr>
        <w:tabs>
          <w:tab w:val="left" w:pos="1950"/>
        </w:tabs>
        <w:jc w:val="center"/>
        <w:rPr>
          <w:b/>
          <w:i/>
          <w:sz w:val="28"/>
          <w:szCs w:val="28"/>
        </w:rPr>
      </w:pPr>
      <w:r>
        <w:rPr>
          <w:b/>
          <w:sz w:val="28"/>
          <w:szCs w:val="28"/>
        </w:rPr>
        <w:t xml:space="preserve">COST RECOVERY FOR ENVIRONMENTAL ASSESSMENTS UNDER THE </w:t>
      </w:r>
      <w:r w:rsidRPr="00694AEB">
        <w:rPr>
          <w:b/>
          <w:i/>
          <w:sz w:val="28"/>
          <w:szCs w:val="28"/>
        </w:rPr>
        <w:t xml:space="preserve">ENVIRONMENT PROTECTION AND BIODIVERSITY CONSERVATION </w:t>
      </w:r>
      <w:r w:rsidRPr="006B141A">
        <w:rPr>
          <w:b/>
          <w:i/>
          <w:sz w:val="28"/>
          <w:szCs w:val="28"/>
        </w:rPr>
        <w:t>ACT 1999</w:t>
      </w:r>
    </w:p>
    <w:p w:rsidR="001A641D" w:rsidRDefault="007E5C0A" w:rsidP="001A641D">
      <w:pPr>
        <w:tabs>
          <w:tab w:val="left" w:pos="1950"/>
        </w:tabs>
        <w:jc w:val="center"/>
        <w:rPr>
          <w:b/>
          <w:sz w:val="28"/>
          <w:szCs w:val="28"/>
        </w:rPr>
      </w:pPr>
      <w:r>
        <w:rPr>
          <w:b/>
          <w:i/>
          <w:sz w:val="28"/>
          <w:szCs w:val="28"/>
        </w:rPr>
        <w:t>2016-17</w:t>
      </w: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Pr="00D42A9F" w:rsidRDefault="001A641D" w:rsidP="001A641D">
      <w:pPr>
        <w:tabs>
          <w:tab w:val="left" w:pos="1950"/>
        </w:tabs>
        <w:jc w:val="center"/>
        <w:rPr>
          <w:b/>
          <w:sz w:val="20"/>
          <w:szCs w:val="20"/>
        </w:rPr>
      </w:pP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Default="001A641D" w:rsidP="001A641D">
      <w:pPr>
        <w:tabs>
          <w:tab w:val="left" w:pos="1950"/>
        </w:tabs>
        <w:jc w:val="center"/>
        <w:rPr>
          <w:b/>
          <w:sz w:val="28"/>
          <w:szCs w:val="28"/>
        </w:rPr>
      </w:pPr>
    </w:p>
    <w:p w:rsidR="001A641D" w:rsidRDefault="001A641D">
      <w:pPr>
        <w:spacing w:after="0" w:line="240" w:lineRule="auto"/>
        <w:sectPr w:rsidR="001A641D" w:rsidSect="001A641D">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pPr>
    </w:p>
    <w:sdt>
      <w:sdtPr>
        <w:rPr>
          <w:rFonts w:eastAsia="Calibri" w:cs="Times New Roman"/>
          <w:b w:val="0"/>
          <w:bCs w:val="0"/>
          <w:iCs w:val="0"/>
          <w:color w:val="auto"/>
          <w:lang w:val="en-AU"/>
        </w:rPr>
        <w:id w:val="45136202"/>
        <w:docPartObj>
          <w:docPartGallery w:val="Table of Contents"/>
          <w:docPartUnique/>
        </w:docPartObj>
      </w:sdtPr>
      <w:sdtEndPr/>
      <w:sdtContent>
        <w:p w:rsidR="001A641D" w:rsidRDefault="007E5C0A" w:rsidP="001A641D">
          <w:pPr>
            <w:pStyle w:val="TOCHeading"/>
            <w:spacing w:before="0" w:after="0" w:line="240" w:lineRule="auto"/>
          </w:pPr>
          <w:r>
            <w:t>Contents</w:t>
          </w:r>
        </w:p>
        <w:p w:rsidR="00397365" w:rsidRDefault="003366B4">
          <w:pPr>
            <w:pStyle w:val="TOC1"/>
            <w:rPr>
              <w:rFonts w:asciiTheme="minorHAnsi" w:hAnsiTheme="minorHAnsi"/>
              <w:noProof/>
              <w:sz w:val="22"/>
            </w:rPr>
          </w:pPr>
          <w:r>
            <w:fldChar w:fldCharType="begin"/>
          </w:r>
          <w:r w:rsidR="007E5C0A">
            <w:instrText xml:space="preserve"> TOC \o "1-3" \h \z \u </w:instrText>
          </w:r>
          <w:r>
            <w:fldChar w:fldCharType="separate"/>
          </w:r>
          <w:hyperlink w:anchor="_Toc256000240" w:history="1">
            <w:r w:rsidR="007E5C0A">
              <w:rPr>
                <w:rStyle w:val="Hyperlink"/>
              </w:rPr>
              <w:t>1</w:t>
            </w:r>
            <w:r w:rsidR="007E5C0A">
              <w:rPr>
                <w:rStyle w:val="Hyperlink"/>
                <w:rFonts w:asciiTheme="minorHAnsi" w:hAnsiTheme="minorHAnsi"/>
                <w:noProof/>
                <w:sz w:val="22"/>
              </w:rPr>
              <w:tab/>
            </w:r>
            <w:r w:rsidR="007E5C0A" w:rsidRPr="00BE02B0">
              <w:rPr>
                <w:rStyle w:val="Hyperlink"/>
              </w:rPr>
              <w:t>INTRODUCTION</w:t>
            </w:r>
            <w:r w:rsidR="007E5C0A">
              <w:rPr>
                <w:rStyle w:val="Hyperlink"/>
              </w:rPr>
              <w:tab/>
            </w:r>
            <w:r>
              <w:fldChar w:fldCharType="begin"/>
            </w:r>
            <w:r w:rsidR="007E5C0A">
              <w:rPr>
                <w:rStyle w:val="Hyperlink"/>
              </w:rPr>
              <w:instrText xml:space="preserve"> PAGEREF _Toc256000240 \h </w:instrText>
            </w:r>
            <w:r>
              <w:fldChar w:fldCharType="separate"/>
            </w:r>
            <w:r w:rsidR="00FF3730">
              <w:rPr>
                <w:rStyle w:val="Hyperlink"/>
                <w:noProof/>
              </w:rPr>
              <w:t>6</w:t>
            </w:r>
            <w:r>
              <w:fldChar w:fldCharType="end"/>
            </w:r>
          </w:hyperlink>
        </w:p>
        <w:p w:rsidR="00397365" w:rsidRDefault="00FF3730">
          <w:pPr>
            <w:pStyle w:val="TOC2"/>
            <w:tabs>
              <w:tab w:val="left" w:pos="880"/>
              <w:tab w:val="right" w:leader="dot" w:pos="9202"/>
            </w:tabs>
            <w:rPr>
              <w:rFonts w:asciiTheme="minorHAnsi" w:hAnsiTheme="minorHAnsi"/>
              <w:noProof/>
            </w:rPr>
          </w:pPr>
          <w:hyperlink w:anchor="_Toc256000275" w:history="1">
            <w:r w:rsidR="007E5C0A">
              <w:rPr>
                <w:rStyle w:val="Hyperlink"/>
              </w:rPr>
              <w:t>1.1</w:t>
            </w:r>
            <w:r w:rsidR="007E5C0A">
              <w:rPr>
                <w:rStyle w:val="Hyperlink"/>
                <w:rFonts w:asciiTheme="minorHAnsi" w:hAnsiTheme="minorHAnsi"/>
                <w:noProof/>
              </w:rPr>
              <w:tab/>
            </w:r>
            <w:r w:rsidR="007E5C0A" w:rsidRPr="00927AE3">
              <w:rPr>
                <w:rStyle w:val="Hyperlink"/>
              </w:rPr>
              <w:t xml:space="preserve">Purpose of </w:t>
            </w:r>
            <w:r w:rsidR="007E5C0A">
              <w:rPr>
                <w:rStyle w:val="Hyperlink"/>
              </w:rPr>
              <w:t>this</w:t>
            </w:r>
            <w:r w:rsidR="007E5C0A" w:rsidRPr="00927AE3">
              <w:rPr>
                <w:rStyle w:val="Hyperlink"/>
              </w:rPr>
              <w:t xml:space="preserve"> cost recovery imp</w:t>
            </w:r>
            <w:r w:rsidR="007E5C0A">
              <w:rPr>
                <w:rStyle w:val="Hyperlink"/>
              </w:rPr>
              <w:t>lementation</w:t>
            </w:r>
            <w:r w:rsidR="007E5C0A" w:rsidRPr="00927AE3">
              <w:rPr>
                <w:rStyle w:val="Hyperlink"/>
              </w:rPr>
              <w:t xml:space="preserve"> statement</w:t>
            </w:r>
            <w:r w:rsidR="007E5C0A">
              <w:rPr>
                <w:rStyle w:val="Hyperlink"/>
              </w:rPr>
              <w:t xml:space="preserve"> (CRIS)</w:t>
            </w:r>
            <w:r w:rsidR="007E5C0A">
              <w:rPr>
                <w:rStyle w:val="Hyperlink"/>
              </w:rPr>
              <w:tab/>
            </w:r>
            <w:r w:rsidR="003366B4">
              <w:fldChar w:fldCharType="begin"/>
            </w:r>
            <w:r w:rsidR="007E5C0A">
              <w:rPr>
                <w:rStyle w:val="Hyperlink"/>
              </w:rPr>
              <w:instrText xml:space="preserve"> PAGEREF _Toc256000275 \h </w:instrText>
            </w:r>
            <w:r w:rsidR="003366B4">
              <w:fldChar w:fldCharType="separate"/>
            </w:r>
            <w:r>
              <w:rPr>
                <w:rStyle w:val="Hyperlink"/>
                <w:noProof/>
              </w:rPr>
              <w:t>6</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27" w:history="1">
            <w:r w:rsidR="007E5C0A">
              <w:rPr>
                <w:rStyle w:val="Hyperlink"/>
              </w:rPr>
              <w:t>1.2</w:t>
            </w:r>
            <w:r w:rsidR="007E5C0A">
              <w:rPr>
                <w:rStyle w:val="Hyperlink"/>
                <w:rFonts w:asciiTheme="minorHAnsi" w:hAnsiTheme="minorHAnsi"/>
                <w:noProof/>
              </w:rPr>
              <w:tab/>
            </w:r>
            <w:r w:rsidR="007E5C0A">
              <w:rPr>
                <w:rStyle w:val="Hyperlink"/>
              </w:rPr>
              <w:t>Description of the activity to be cost recovered</w:t>
            </w:r>
            <w:r w:rsidR="007E5C0A">
              <w:rPr>
                <w:rStyle w:val="Hyperlink"/>
              </w:rPr>
              <w:tab/>
            </w:r>
            <w:r w:rsidR="003366B4">
              <w:fldChar w:fldCharType="begin"/>
            </w:r>
            <w:r w:rsidR="007E5C0A">
              <w:rPr>
                <w:rStyle w:val="Hyperlink"/>
              </w:rPr>
              <w:instrText xml:space="preserve"> PAGEREF _Toc256000327 \h </w:instrText>
            </w:r>
            <w:r w:rsidR="003366B4">
              <w:fldChar w:fldCharType="separate"/>
            </w:r>
            <w:r>
              <w:rPr>
                <w:rStyle w:val="Hyperlink"/>
                <w:noProof/>
              </w:rPr>
              <w:t>7</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28" w:history="1">
            <w:r w:rsidR="007E5C0A">
              <w:rPr>
                <w:rStyle w:val="Hyperlink"/>
              </w:rPr>
              <w:t>1.2.1</w:t>
            </w:r>
            <w:r w:rsidR="007E5C0A">
              <w:rPr>
                <w:rStyle w:val="Hyperlink"/>
                <w:rFonts w:asciiTheme="minorHAnsi" w:hAnsiTheme="minorHAnsi"/>
                <w:noProof/>
              </w:rPr>
              <w:tab/>
            </w:r>
            <w:r w:rsidR="007E5C0A">
              <w:rPr>
                <w:rStyle w:val="Hyperlink"/>
              </w:rPr>
              <w:t>Environmental Impact Assessments</w:t>
            </w:r>
            <w:r w:rsidR="007E5C0A">
              <w:rPr>
                <w:rStyle w:val="Hyperlink"/>
              </w:rPr>
              <w:tab/>
            </w:r>
            <w:r w:rsidR="003366B4">
              <w:fldChar w:fldCharType="begin"/>
            </w:r>
            <w:r w:rsidR="007E5C0A">
              <w:rPr>
                <w:rStyle w:val="Hyperlink"/>
              </w:rPr>
              <w:instrText xml:space="preserve"> PAGEREF _Toc256000328 \h </w:instrText>
            </w:r>
            <w:r w:rsidR="003366B4">
              <w:fldChar w:fldCharType="separate"/>
            </w:r>
            <w:r>
              <w:rPr>
                <w:rStyle w:val="Hyperlink"/>
                <w:noProof/>
              </w:rPr>
              <w:t>7</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29" w:history="1">
            <w:r w:rsidR="007E5C0A">
              <w:rPr>
                <w:rStyle w:val="Hyperlink"/>
              </w:rPr>
              <w:t>1.2.2</w:t>
            </w:r>
            <w:r w:rsidR="007E5C0A">
              <w:rPr>
                <w:rStyle w:val="Hyperlink"/>
                <w:rFonts w:asciiTheme="minorHAnsi" w:hAnsiTheme="minorHAnsi"/>
                <w:noProof/>
              </w:rPr>
              <w:tab/>
            </w:r>
            <w:r w:rsidR="007E5C0A">
              <w:rPr>
                <w:rStyle w:val="Hyperlink"/>
              </w:rPr>
              <w:t>Strategic Assessments</w:t>
            </w:r>
            <w:r w:rsidR="007E5C0A">
              <w:rPr>
                <w:rStyle w:val="Hyperlink"/>
              </w:rPr>
              <w:tab/>
            </w:r>
            <w:r w:rsidR="003366B4">
              <w:fldChar w:fldCharType="begin"/>
            </w:r>
            <w:r w:rsidR="007E5C0A">
              <w:rPr>
                <w:rStyle w:val="Hyperlink"/>
              </w:rPr>
              <w:instrText xml:space="preserve"> PAGEREF _Toc256000329 \h </w:instrText>
            </w:r>
            <w:r w:rsidR="003366B4">
              <w:fldChar w:fldCharType="separate"/>
            </w:r>
            <w:r>
              <w:rPr>
                <w:rStyle w:val="Hyperlink"/>
                <w:noProof/>
              </w:rPr>
              <w:t>8</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0" w:history="1">
            <w:r w:rsidR="007E5C0A">
              <w:rPr>
                <w:rStyle w:val="Hyperlink"/>
              </w:rPr>
              <w:t>1.2.3</w:t>
            </w:r>
            <w:r w:rsidR="007E5C0A">
              <w:rPr>
                <w:rStyle w:val="Hyperlink"/>
                <w:rFonts w:asciiTheme="minorHAnsi" w:hAnsiTheme="minorHAnsi"/>
                <w:noProof/>
              </w:rPr>
              <w:tab/>
            </w:r>
            <w:r w:rsidR="007E5C0A" w:rsidRPr="00BC77A1">
              <w:rPr>
                <w:rStyle w:val="Hyperlink"/>
              </w:rPr>
              <w:t>De</w:t>
            </w:r>
            <w:r w:rsidR="007E5C0A" w:rsidRPr="00FC12C4">
              <w:rPr>
                <w:rStyle w:val="Hyperlink"/>
              </w:rPr>
              <w:t>sign of cost recovery arrangements</w:t>
            </w:r>
            <w:r w:rsidR="007E5C0A">
              <w:rPr>
                <w:rStyle w:val="Hyperlink"/>
              </w:rPr>
              <w:tab/>
            </w:r>
            <w:r w:rsidR="003366B4">
              <w:fldChar w:fldCharType="begin"/>
            </w:r>
            <w:r w:rsidR="007E5C0A">
              <w:rPr>
                <w:rStyle w:val="Hyperlink"/>
              </w:rPr>
              <w:instrText xml:space="preserve"> PAGEREF _Toc256000330 \h </w:instrText>
            </w:r>
            <w:r w:rsidR="003366B4">
              <w:fldChar w:fldCharType="separate"/>
            </w:r>
            <w:r>
              <w:rPr>
                <w:rStyle w:val="Hyperlink"/>
                <w:noProof/>
              </w:rPr>
              <w:t>9</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1" w:history="1">
            <w:r w:rsidR="007E5C0A">
              <w:rPr>
                <w:rStyle w:val="Hyperlink"/>
              </w:rPr>
              <w:t>1.2.4</w:t>
            </w:r>
            <w:r w:rsidR="007E5C0A">
              <w:rPr>
                <w:rStyle w:val="Hyperlink"/>
                <w:rFonts w:asciiTheme="minorHAnsi" w:hAnsiTheme="minorHAnsi"/>
                <w:noProof/>
              </w:rPr>
              <w:tab/>
            </w:r>
            <w:r w:rsidR="007E5C0A" w:rsidRPr="00BC77A1">
              <w:rPr>
                <w:rStyle w:val="Hyperlink"/>
              </w:rPr>
              <w:t>Basis of charging – fee or levy</w:t>
            </w:r>
            <w:r w:rsidR="007E5C0A">
              <w:rPr>
                <w:rStyle w:val="Hyperlink"/>
              </w:rPr>
              <w:tab/>
            </w:r>
            <w:r w:rsidR="003366B4">
              <w:fldChar w:fldCharType="begin"/>
            </w:r>
            <w:r w:rsidR="007E5C0A">
              <w:rPr>
                <w:rStyle w:val="Hyperlink"/>
              </w:rPr>
              <w:instrText xml:space="preserve"> PAGEREF _Toc256000331 \h </w:instrText>
            </w:r>
            <w:r w:rsidR="003366B4">
              <w:fldChar w:fldCharType="separate"/>
            </w:r>
            <w:r>
              <w:rPr>
                <w:rStyle w:val="Hyperlink"/>
                <w:noProof/>
              </w:rPr>
              <w:t>9</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2" w:history="1">
            <w:r w:rsidR="007E5C0A">
              <w:rPr>
                <w:rStyle w:val="Hyperlink"/>
              </w:rPr>
              <w:t>1.2.5</w:t>
            </w:r>
            <w:r w:rsidR="007E5C0A">
              <w:rPr>
                <w:rStyle w:val="Hyperlink"/>
                <w:rFonts w:asciiTheme="minorHAnsi" w:hAnsiTheme="minorHAnsi"/>
                <w:noProof/>
              </w:rPr>
              <w:tab/>
            </w:r>
            <w:r w:rsidR="007E5C0A" w:rsidRPr="00FC12C4">
              <w:rPr>
                <w:rStyle w:val="Hyperlink"/>
              </w:rPr>
              <w:t xml:space="preserve">Who pays the </w:t>
            </w:r>
            <w:r w:rsidR="007E5C0A">
              <w:rPr>
                <w:rStyle w:val="Hyperlink"/>
              </w:rPr>
              <w:t>f</w:t>
            </w:r>
            <w:r w:rsidR="007E5C0A" w:rsidRPr="00FC12C4">
              <w:rPr>
                <w:rStyle w:val="Hyperlink"/>
              </w:rPr>
              <w:t>ees</w:t>
            </w:r>
            <w:r w:rsidR="007E5C0A">
              <w:rPr>
                <w:rStyle w:val="Hyperlink"/>
              </w:rPr>
              <w:tab/>
            </w:r>
            <w:r w:rsidR="003366B4">
              <w:fldChar w:fldCharType="begin"/>
            </w:r>
            <w:r w:rsidR="007E5C0A">
              <w:rPr>
                <w:rStyle w:val="Hyperlink"/>
              </w:rPr>
              <w:instrText xml:space="preserve"> PAGEREF _Toc256000332 \h </w:instrText>
            </w:r>
            <w:r w:rsidR="003366B4">
              <w:fldChar w:fldCharType="separate"/>
            </w:r>
            <w:r>
              <w:rPr>
                <w:rStyle w:val="Hyperlink"/>
                <w:noProof/>
              </w:rPr>
              <w:t>10</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3" w:history="1">
            <w:r w:rsidR="007E5C0A">
              <w:rPr>
                <w:rStyle w:val="Hyperlink"/>
              </w:rPr>
              <w:t>1.2.6</w:t>
            </w:r>
            <w:r w:rsidR="007E5C0A">
              <w:rPr>
                <w:rStyle w:val="Hyperlink"/>
                <w:rFonts w:asciiTheme="minorHAnsi" w:hAnsiTheme="minorHAnsi"/>
                <w:noProof/>
              </w:rPr>
              <w:tab/>
            </w:r>
            <w:r w:rsidR="007E5C0A" w:rsidRPr="00040DA4">
              <w:rPr>
                <w:rStyle w:val="Hyperlink"/>
              </w:rPr>
              <w:t>Inter/intra governmental charging</w:t>
            </w:r>
            <w:r w:rsidR="007E5C0A">
              <w:rPr>
                <w:rStyle w:val="Hyperlink"/>
              </w:rPr>
              <w:tab/>
            </w:r>
            <w:r w:rsidR="003366B4">
              <w:fldChar w:fldCharType="begin"/>
            </w:r>
            <w:r w:rsidR="007E5C0A">
              <w:rPr>
                <w:rStyle w:val="Hyperlink"/>
              </w:rPr>
              <w:instrText xml:space="preserve"> PAGEREF _Toc256000333 \h </w:instrText>
            </w:r>
            <w:r w:rsidR="003366B4">
              <w:fldChar w:fldCharType="separate"/>
            </w:r>
            <w:r>
              <w:rPr>
                <w:rStyle w:val="Hyperlink"/>
                <w:noProof/>
              </w:rPr>
              <w:t>11</w:t>
            </w:r>
            <w:r w:rsidR="003366B4">
              <w:fldChar w:fldCharType="end"/>
            </w:r>
          </w:hyperlink>
        </w:p>
        <w:p w:rsidR="00397365" w:rsidRDefault="00FF3730">
          <w:pPr>
            <w:pStyle w:val="TOC1"/>
            <w:rPr>
              <w:rFonts w:asciiTheme="minorHAnsi" w:hAnsiTheme="minorHAnsi"/>
              <w:noProof/>
              <w:sz w:val="22"/>
            </w:rPr>
          </w:pPr>
          <w:hyperlink w:anchor="_Toc256000334" w:history="1">
            <w:r w:rsidR="007E5C0A">
              <w:rPr>
                <w:rStyle w:val="Hyperlink"/>
              </w:rPr>
              <w:t>2</w:t>
            </w:r>
            <w:r w:rsidR="007E5C0A">
              <w:rPr>
                <w:rStyle w:val="Hyperlink"/>
                <w:rFonts w:asciiTheme="minorHAnsi" w:hAnsiTheme="minorHAnsi"/>
                <w:noProof/>
                <w:sz w:val="22"/>
              </w:rPr>
              <w:tab/>
            </w:r>
            <w:r w:rsidR="007E5C0A">
              <w:rPr>
                <w:rStyle w:val="Hyperlink"/>
              </w:rPr>
              <w:t>POLICY AND STATUTORY AUTHORITY TO COST RECOVER</w:t>
            </w:r>
            <w:r w:rsidR="007E5C0A">
              <w:rPr>
                <w:rStyle w:val="Hyperlink"/>
              </w:rPr>
              <w:tab/>
            </w:r>
            <w:r w:rsidR="003366B4">
              <w:fldChar w:fldCharType="begin"/>
            </w:r>
            <w:r w:rsidR="007E5C0A">
              <w:rPr>
                <w:rStyle w:val="Hyperlink"/>
              </w:rPr>
              <w:instrText xml:space="preserve"> PAGEREF _Toc256000334 \h </w:instrText>
            </w:r>
            <w:r w:rsidR="003366B4">
              <w:fldChar w:fldCharType="separate"/>
            </w:r>
            <w:r>
              <w:rPr>
                <w:rStyle w:val="Hyperlink"/>
                <w:noProof/>
              </w:rPr>
              <w:t>12</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35" w:history="1">
            <w:r w:rsidR="007E5C0A">
              <w:rPr>
                <w:rStyle w:val="Hyperlink"/>
              </w:rPr>
              <w:t>2.1</w:t>
            </w:r>
            <w:r w:rsidR="007E5C0A">
              <w:rPr>
                <w:rStyle w:val="Hyperlink"/>
                <w:rFonts w:asciiTheme="minorHAnsi" w:hAnsiTheme="minorHAnsi"/>
                <w:noProof/>
              </w:rPr>
              <w:tab/>
            </w:r>
            <w:r w:rsidR="007E5C0A">
              <w:rPr>
                <w:rStyle w:val="Hyperlink"/>
              </w:rPr>
              <w:t>Policy and Statutory Authority to cost recover</w:t>
            </w:r>
            <w:r w:rsidR="007E5C0A">
              <w:rPr>
                <w:rStyle w:val="Hyperlink"/>
              </w:rPr>
              <w:tab/>
            </w:r>
            <w:r w:rsidR="003366B4">
              <w:fldChar w:fldCharType="begin"/>
            </w:r>
            <w:r w:rsidR="007E5C0A">
              <w:rPr>
                <w:rStyle w:val="Hyperlink"/>
              </w:rPr>
              <w:instrText xml:space="preserve"> PAGEREF _Toc256000335 \h </w:instrText>
            </w:r>
            <w:r w:rsidR="003366B4">
              <w:fldChar w:fldCharType="separate"/>
            </w:r>
            <w:r>
              <w:rPr>
                <w:rStyle w:val="Hyperlink"/>
                <w:noProof/>
              </w:rPr>
              <w:t>12</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6" w:history="1">
            <w:r w:rsidR="007E5C0A">
              <w:rPr>
                <w:rStyle w:val="Hyperlink"/>
              </w:rPr>
              <w:t>2.1.1</w:t>
            </w:r>
            <w:r w:rsidR="007E5C0A">
              <w:rPr>
                <w:rStyle w:val="Hyperlink"/>
                <w:rFonts w:asciiTheme="minorHAnsi" w:hAnsiTheme="minorHAnsi"/>
                <w:noProof/>
              </w:rPr>
              <w:tab/>
            </w:r>
            <w:r w:rsidR="007E5C0A" w:rsidRPr="00092B60">
              <w:rPr>
                <w:rStyle w:val="Hyperlink"/>
              </w:rPr>
              <w:t>Government policy approval to cost recover</w:t>
            </w:r>
            <w:r w:rsidR="007E5C0A">
              <w:rPr>
                <w:rStyle w:val="Hyperlink"/>
              </w:rPr>
              <w:tab/>
            </w:r>
            <w:r w:rsidR="003366B4">
              <w:fldChar w:fldCharType="begin"/>
            </w:r>
            <w:r w:rsidR="007E5C0A">
              <w:rPr>
                <w:rStyle w:val="Hyperlink"/>
              </w:rPr>
              <w:instrText xml:space="preserve"> PAGEREF _Toc256000336 \h </w:instrText>
            </w:r>
            <w:r w:rsidR="003366B4">
              <w:fldChar w:fldCharType="separate"/>
            </w:r>
            <w:r>
              <w:rPr>
                <w:rStyle w:val="Hyperlink"/>
                <w:noProof/>
              </w:rPr>
              <w:t>12</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7" w:history="1">
            <w:r w:rsidR="007E5C0A">
              <w:rPr>
                <w:rStyle w:val="Hyperlink"/>
              </w:rPr>
              <w:t>2.1.2</w:t>
            </w:r>
            <w:r w:rsidR="007E5C0A">
              <w:rPr>
                <w:rStyle w:val="Hyperlink"/>
                <w:rFonts w:asciiTheme="minorHAnsi" w:hAnsiTheme="minorHAnsi"/>
                <w:noProof/>
              </w:rPr>
              <w:tab/>
            </w:r>
            <w:r w:rsidR="007E5C0A">
              <w:rPr>
                <w:rStyle w:val="Hyperlink"/>
              </w:rPr>
              <w:t>Statutory authority to impose cost recovery charges</w:t>
            </w:r>
            <w:r w:rsidR="007E5C0A">
              <w:rPr>
                <w:rStyle w:val="Hyperlink"/>
              </w:rPr>
              <w:tab/>
            </w:r>
            <w:r w:rsidR="003366B4">
              <w:fldChar w:fldCharType="begin"/>
            </w:r>
            <w:r w:rsidR="007E5C0A">
              <w:rPr>
                <w:rStyle w:val="Hyperlink"/>
              </w:rPr>
              <w:instrText xml:space="preserve"> PAGEREF _Toc256000337 \h </w:instrText>
            </w:r>
            <w:r w:rsidR="003366B4">
              <w:fldChar w:fldCharType="separate"/>
            </w:r>
            <w:r>
              <w:rPr>
                <w:rStyle w:val="Hyperlink"/>
                <w:noProof/>
              </w:rPr>
              <w:t>12</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8" w:history="1">
            <w:r w:rsidR="007E5C0A">
              <w:rPr>
                <w:rStyle w:val="Hyperlink"/>
              </w:rPr>
              <w:t>2.1.3</w:t>
            </w:r>
            <w:r w:rsidR="007E5C0A">
              <w:rPr>
                <w:rStyle w:val="Hyperlink"/>
                <w:rFonts w:asciiTheme="minorHAnsi" w:hAnsiTheme="minorHAnsi"/>
                <w:noProof/>
              </w:rPr>
              <w:tab/>
            </w:r>
            <w:r w:rsidR="007E5C0A">
              <w:rPr>
                <w:rStyle w:val="Hyperlink"/>
              </w:rPr>
              <w:t xml:space="preserve">Commencement </w:t>
            </w:r>
            <w:r w:rsidR="007E5C0A" w:rsidRPr="00FC12C4">
              <w:rPr>
                <w:rStyle w:val="Hyperlink"/>
              </w:rPr>
              <w:t xml:space="preserve">of </w:t>
            </w:r>
            <w:r w:rsidR="007E5C0A">
              <w:rPr>
                <w:rStyle w:val="Hyperlink"/>
              </w:rPr>
              <w:t>charging</w:t>
            </w:r>
            <w:r w:rsidR="007E5C0A">
              <w:rPr>
                <w:rStyle w:val="Hyperlink"/>
              </w:rPr>
              <w:tab/>
            </w:r>
            <w:r w:rsidR="003366B4">
              <w:fldChar w:fldCharType="begin"/>
            </w:r>
            <w:r w:rsidR="007E5C0A">
              <w:rPr>
                <w:rStyle w:val="Hyperlink"/>
              </w:rPr>
              <w:instrText xml:space="preserve"> PAGEREF _Toc256000338 \h </w:instrText>
            </w:r>
            <w:r w:rsidR="003366B4">
              <w:fldChar w:fldCharType="separate"/>
            </w:r>
            <w:r>
              <w:rPr>
                <w:rStyle w:val="Hyperlink"/>
                <w:noProof/>
              </w:rPr>
              <w:t>12</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39" w:history="1">
            <w:r w:rsidR="007E5C0A">
              <w:rPr>
                <w:rStyle w:val="Hyperlink"/>
              </w:rPr>
              <w:t>2.1.4</w:t>
            </w:r>
            <w:r w:rsidR="007E5C0A">
              <w:rPr>
                <w:rStyle w:val="Hyperlink"/>
                <w:rFonts w:asciiTheme="minorHAnsi" w:hAnsiTheme="minorHAnsi"/>
                <w:noProof/>
              </w:rPr>
              <w:tab/>
            </w:r>
            <w:r w:rsidR="007E5C0A">
              <w:rPr>
                <w:rStyle w:val="Hyperlink"/>
              </w:rPr>
              <w:t>Transitional arrangements for amended cost recovery arrangements</w:t>
            </w:r>
            <w:r w:rsidR="007E5C0A">
              <w:rPr>
                <w:rStyle w:val="Hyperlink"/>
              </w:rPr>
              <w:tab/>
            </w:r>
            <w:r w:rsidR="003366B4">
              <w:fldChar w:fldCharType="begin"/>
            </w:r>
            <w:r w:rsidR="007E5C0A">
              <w:rPr>
                <w:rStyle w:val="Hyperlink"/>
              </w:rPr>
              <w:instrText xml:space="preserve"> PAGEREF _Toc256000339 \h </w:instrText>
            </w:r>
            <w:r w:rsidR="003366B4">
              <w:fldChar w:fldCharType="separate"/>
            </w:r>
            <w:r>
              <w:rPr>
                <w:rStyle w:val="Hyperlink"/>
                <w:noProof/>
              </w:rPr>
              <w:t>13</w:t>
            </w:r>
            <w:r w:rsidR="003366B4">
              <w:fldChar w:fldCharType="end"/>
            </w:r>
          </w:hyperlink>
        </w:p>
        <w:p w:rsidR="00397365" w:rsidRDefault="00FF3730">
          <w:pPr>
            <w:pStyle w:val="TOC1"/>
            <w:rPr>
              <w:rFonts w:asciiTheme="minorHAnsi" w:hAnsiTheme="minorHAnsi"/>
              <w:noProof/>
              <w:sz w:val="22"/>
            </w:rPr>
          </w:pPr>
          <w:hyperlink w:anchor="_Toc256000340" w:history="1">
            <w:r w:rsidR="007E5C0A">
              <w:rPr>
                <w:rStyle w:val="Hyperlink"/>
              </w:rPr>
              <w:t>3</w:t>
            </w:r>
            <w:r w:rsidR="007E5C0A">
              <w:rPr>
                <w:rStyle w:val="Hyperlink"/>
                <w:rFonts w:asciiTheme="minorHAnsi" w:hAnsiTheme="minorHAnsi"/>
                <w:noProof/>
                <w:sz w:val="22"/>
              </w:rPr>
              <w:tab/>
            </w:r>
            <w:r w:rsidR="007E5C0A" w:rsidRPr="007C02B8">
              <w:rPr>
                <w:rStyle w:val="Hyperlink"/>
              </w:rPr>
              <w:t>COST RECOVERY MODEL</w:t>
            </w:r>
            <w:r w:rsidR="007E5C0A">
              <w:rPr>
                <w:rStyle w:val="Hyperlink"/>
              </w:rPr>
              <w:t xml:space="preserve"> FOR ENVIRONMENTAL IMPACT ASSESSMENTS</w:t>
            </w:r>
            <w:r w:rsidR="007E5C0A">
              <w:rPr>
                <w:rStyle w:val="Hyperlink"/>
              </w:rPr>
              <w:tab/>
            </w:r>
            <w:r w:rsidR="003366B4">
              <w:fldChar w:fldCharType="begin"/>
            </w:r>
            <w:r w:rsidR="007E5C0A">
              <w:rPr>
                <w:rStyle w:val="Hyperlink"/>
              </w:rPr>
              <w:instrText xml:space="preserve"> PAGEREF _Toc256000340 \h </w:instrText>
            </w:r>
            <w:r w:rsidR="003366B4">
              <w:fldChar w:fldCharType="separate"/>
            </w:r>
            <w:r>
              <w:rPr>
                <w:rStyle w:val="Hyperlink"/>
                <w:noProof/>
              </w:rPr>
              <w:t>14</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41" w:history="1">
            <w:r w:rsidR="007E5C0A">
              <w:rPr>
                <w:rStyle w:val="Hyperlink"/>
              </w:rPr>
              <w:t>3.1</w:t>
            </w:r>
            <w:r w:rsidR="007E5C0A">
              <w:rPr>
                <w:rStyle w:val="Hyperlink"/>
                <w:rFonts w:asciiTheme="minorHAnsi" w:hAnsiTheme="minorHAnsi"/>
                <w:noProof/>
              </w:rPr>
              <w:tab/>
            </w:r>
            <w:r w:rsidR="007E5C0A">
              <w:rPr>
                <w:rStyle w:val="Hyperlink"/>
              </w:rPr>
              <w:t>Outputs and business processes – environmental impact assessments</w:t>
            </w:r>
            <w:r w:rsidR="007E5C0A">
              <w:rPr>
                <w:rStyle w:val="Hyperlink"/>
              </w:rPr>
              <w:tab/>
            </w:r>
            <w:r w:rsidR="003366B4">
              <w:fldChar w:fldCharType="begin"/>
            </w:r>
            <w:r w:rsidR="007E5C0A">
              <w:rPr>
                <w:rStyle w:val="Hyperlink"/>
              </w:rPr>
              <w:instrText xml:space="preserve"> PAGEREF _Toc256000341 \h </w:instrText>
            </w:r>
            <w:r w:rsidR="003366B4">
              <w:fldChar w:fldCharType="separate"/>
            </w:r>
            <w:r>
              <w:rPr>
                <w:rStyle w:val="Hyperlink"/>
                <w:noProof/>
              </w:rPr>
              <w:t>15</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42" w:history="1">
            <w:r w:rsidR="007E5C0A">
              <w:rPr>
                <w:rStyle w:val="Hyperlink"/>
              </w:rPr>
              <w:t>3.1.1</w:t>
            </w:r>
            <w:r w:rsidR="007E5C0A">
              <w:rPr>
                <w:rStyle w:val="Hyperlink"/>
                <w:rFonts w:asciiTheme="minorHAnsi" w:hAnsiTheme="minorHAnsi"/>
                <w:noProof/>
              </w:rPr>
              <w:tab/>
            </w:r>
            <w:r w:rsidR="007E5C0A">
              <w:rPr>
                <w:rStyle w:val="Hyperlink"/>
              </w:rPr>
              <w:t>Description of activity - environmental impact assessments</w:t>
            </w:r>
            <w:r w:rsidR="007E5C0A">
              <w:rPr>
                <w:rStyle w:val="Hyperlink"/>
              </w:rPr>
              <w:tab/>
            </w:r>
            <w:r w:rsidR="003366B4">
              <w:fldChar w:fldCharType="begin"/>
            </w:r>
            <w:r w:rsidR="007E5C0A">
              <w:rPr>
                <w:rStyle w:val="Hyperlink"/>
              </w:rPr>
              <w:instrText xml:space="preserve"> PAGEREF _Toc256000342 \h </w:instrText>
            </w:r>
            <w:r w:rsidR="003366B4">
              <w:fldChar w:fldCharType="separate"/>
            </w:r>
            <w:r>
              <w:rPr>
                <w:rStyle w:val="Hyperlink"/>
                <w:noProof/>
              </w:rPr>
              <w:t>15</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43" w:history="1">
            <w:r w:rsidR="007E5C0A">
              <w:rPr>
                <w:rStyle w:val="Hyperlink"/>
              </w:rPr>
              <w:t>3.2</w:t>
            </w:r>
            <w:r w:rsidR="007E5C0A">
              <w:rPr>
                <w:rStyle w:val="Hyperlink"/>
                <w:rFonts w:asciiTheme="minorHAnsi" w:hAnsiTheme="minorHAnsi"/>
                <w:noProof/>
              </w:rPr>
              <w:tab/>
            </w:r>
            <w:r w:rsidR="007E5C0A">
              <w:rPr>
                <w:rStyle w:val="Hyperlink"/>
              </w:rPr>
              <w:t>Costs of environmental impact assessments</w:t>
            </w:r>
            <w:r w:rsidR="007E5C0A">
              <w:rPr>
                <w:rStyle w:val="Hyperlink"/>
              </w:rPr>
              <w:tab/>
            </w:r>
            <w:r w:rsidR="003366B4">
              <w:fldChar w:fldCharType="begin"/>
            </w:r>
            <w:r w:rsidR="007E5C0A">
              <w:rPr>
                <w:rStyle w:val="Hyperlink"/>
              </w:rPr>
              <w:instrText xml:space="preserve"> PAGEREF _Toc256000343 \h </w:instrText>
            </w:r>
            <w:r w:rsidR="003366B4">
              <w:fldChar w:fldCharType="separate"/>
            </w:r>
            <w:r>
              <w:rPr>
                <w:rStyle w:val="Hyperlink"/>
                <w:noProof/>
              </w:rPr>
              <w:t>18</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44" w:history="1">
            <w:r w:rsidR="007E5C0A">
              <w:rPr>
                <w:rStyle w:val="Hyperlink"/>
              </w:rPr>
              <w:t>3.2.2</w:t>
            </w:r>
            <w:r w:rsidR="007E5C0A">
              <w:rPr>
                <w:rStyle w:val="Hyperlink"/>
                <w:rFonts w:asciiTheme="minorHAnsi" w:hAnsiTheme="minorHAnsi"/>
                <w:noProof/>
              </w:rPr>
              <w:tab/>
            </w:r>
            <w:r w:rsidR="007E5C0A" w:rsidRPr="00DA3D23">
              <w:rPr>
                <w:rStyle w:val="Hyperlink"/>
              </w:rPr>
              <w:t>Referral Costs</w:t>
            </w:r>
            <w:r w:rsidR="007E5C0A">
              <w:rPr>
                <w:rStyle w:val="Hyperlink"/>
              </w:rPr>
              <w:tab/>
            </w:r>
            <w:r w:rsidR="003366B4">
              <w:fldChar w:fldCharType="begin"/>
            </w:r>
            <w:r w:rsidR="007E5C0A">
              <w:rPr>
                <w:rStyle w:val="Hyperlink"/>
              </w:rPr>
              <w:instrText xml:space="preserve"> PAGEREF _Toc256000344 \h </w:instrText>
            </w:r>
            <w:r w:rsidR="003366B4">
              <w:fldChar w:fldCharType="separate"/>
            </w:r>
            <w:r>
              <w:rPr>
                <w:rStyle w:val="Hyperlink"/>
                <w:noProof/>
              </w:rPr>
              <w:t>19</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45" w:history="1">
            <w:r w:rsidR="007E5C0A">
              <w:rPr>
                <w:rStyle w:val="Hyperlink"/>
              </w:rPr>
              <w:t>3.2.3</w:t>
            </w:r>
            <w:r w:rsidR="007E5C0A">
              <w:rPr>
                <w:rStyle w:val="Hyperlink"/>
                <w:rFonts w:asciiTheme="minorHAnsi" w:hAnsiTheme="minorHAnsi"/>
                <w:noProof/>
              </w:rPr>
              <w:tab/>
            </w:r>
            <w:r w:rsidR="007E5C0A" w:rsidRPr="00DA3D23">
              <w:rPr>
                <w:rStyle w:val="Hyperlink"/>
              </w:rPr>
              <w:t>Evaluation of action management plans costs</w:t>
            </w:r>
            <w:r w:rsidR="007E5C0A">
              <w:rPr>
                <w:rStyle w:val="Hyperlink"/>
              </w:rPr>
              <w:tab/>
            </w:r>
            <w:r w:rsidR="003366B4">
              <w:fldChar w:fldCharType="begin"/>
            </w:r>
            <w:r w:rsidR="007E5C0A">
              <w:rPr>
                <w:rStyle w:val="Hyperlink"/>
              </w:rPr>
              <w:instrText xml:space="preserve"> PAGEREF _Toc256000345 \h </w:instrText>
            </w:r>
            <w:r w:rsidR="003366B4">
              <w:fldChar w:fldCharType="separate"/>
            </w:r>
            <w:r>
              <w:rPr>
                <w:rStyle w:val="Hyperlink"/>
                <w:noProof/>
              </w:rPr>
              <w:t>20</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46" w:history="1">
            <w:r w:rsidR="007E5C0A">
              <w:rPr>
                <w:rStyle w:val="Hyperlink"/>
              </w:rPr>
              <w:t>3.2.4</w:t>
            </w:r>
            <w:r w:rsidR="007E5C0A">
              <w:rPr>
                <w:rStyle w:val="Hyperlink"/>
                <w:rFonts w:asciiTheme="minorHAnsi" w:hAnsiTheme="minorHAnsi"/>
                <w:noProof/>
              </w:rPr>
              <w:tab/>
            </w:r>
            <w:r w:rsidR="007E5C0A" w:rsidRPr="00DA3D23">
              <w:rPr>
                <w:rStyle w:val="Hyperlink"/>
              </w:rPr>
              <w:t>Contingent Costs</w:t>
            </w:r>
            <w:r w:rsidR="007E5C0A">
              <w:rPr>
                <w:rStyle w:val="Hyperlink"/>
              </w:rPr>
              <w:tab/>
            </w:r>
            <w:r w:rsidR="003366B4">
              <w:fldChar w:fldCharType="begin"/>
            </w:r>
            <w:r w:rsidR="007E5C0A">
              <w:rPr>
                <w:rStyle w:val="Hyperlink"/>
              </w:rPr>
              <w:instrText xml:space="preserve"> PAGEREF _Toc256000346 \h </w:instrText>
            </w:r>
            <w:r w:rsidR="003366B4">
              <w:fldChar w:fldCharType="separate"/>
            </w:r>
            <w:r>
              <w:rPr>
                <w:rStyle w:val="Hyperlink"/>
                <w:noProof/>
              </w:rPr>
              <w:t>21</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47" w:history="1">
            <w:r w:rsidR="007E5C0A">
              <w:rPr>
                <w:rStyle w:val="Hyperlink"/>
              </w:rPr>
              <w:t>3.2.5</w:t>
            </w:r>
            <w:r w:rsidR="007E5C0A">
              <w:rPr>
                <w:rStyle w:val="Hyperlink"/>
                <w:rFonts w:asciiTheme="minorHAnsi" w:hAnsiTheme="minorHAnsi"/>
                <w:noProof/>
              </w:rPr>
              <w:tab/>
            </w:r>
            <w:r w:rsidR="007E5C0A" w:rsidRPr="00DA3D23">
              <w:rPr>
                <w:rStyle w:val="Hyperlink"/>
              </w:rPr>
              <w:t>Base costs for assessments</w:t>
            </w:r>
            <w:r w:rsidR="007E5C0A">
              <w:rPr>
                <w:rStyle w:val="Hyperlink"/>
              </w:rPr>
              <w:tab/>
            </w:r>
            <w:r w:rsidR="003366B4">
              <w:fldChar w:fldCharType="begin"/>
            </w:r>
            <w:r w:rsidR="007E5C0A">
              <w:rPr>
                <w:rStyle w:val="Hyperlink"/>
              </w:rPr>
              <w:instrText xml:space="preserve"> PAGEREF _Toc256000347 \h </w:instrText>
            </w:r>
            <w:r w:rsidR="003366B4">
              <w:fldChar w:fldCharType="separate"/>
            </w:r>
            <w:r>
              <w:rPr>
                <w:rStyle w:val="Hyperlink"/>
                <w:noProof/>
              </w:rPr>
              <w:t>24</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49" w:history="1">
            <w:r w:rsidR="007E5C0A">
              <w:rPr>
                <w:rStyle w:val="Hyperlink"/>
              </w:rPr>
              <w:t>3.2.6</w:t>
            </w:r>
            <w:r w:rsidR="007E5C0A">
              <w:rPr>
                <w:rStyle w:val="Hyperlink"/>
                <w:rFonts w:asciiTheme="minorHAnsi" w:hAnsiTheme="minorHAnsi"/>
                <w:noProof/>
              </w:rPr>
              <w:tab/>
            </w:r>
            <w:r w:rsidR="007E5C0A" w:rsidRPr="005833A4">
              <w:rPr>
                <w:rStyle w:val="Hyperlink"/>
              </w:rPr>
              <w:t>Complexity costs for a</w:t>
            </w:r>
            <w:r w:rsidR="007E5C0A">
              <w:rPr>
                <w:rStyle w:val="Hyperlink"/>
              </w:rPr>
              <w:t>s</w:t>
            </w:r>
            <w:r w:rsidR="007E5C0A" w:rsidRPr="005833A4">
              <w:rPr>
                <w:rStyle w:val="Hyperlink"/>
              </w:rPr>
              <w:t>sessments</w:t>
            </w:r>
            <w:r w:rsidR="007E5C0A">
              <w:rPr>
                <w:rStyle w:val="Hyperlink"/>
              </w:rPr>
              <w:tab/>
            </w:r>
            <w:r w:rsidR="003366B4">
              <w:fldChar w:fldCharType="begin"/>
            </w:r>
            <w:r w:rsidR="007E5C0A">
              <w:rPr>
                <w:rStyle w:val="Hyperlink"/>
              </w:rPr>
              <w:instrText xml:space="preserve"> PAGEREF _Toc256000349 \h </w:instrText>
            </w:r>
            <w:r w:rsidR="003366B4">
              <w:fldChar w:fldCharType="separate"/>
            </w:r>
            <w:r>
              <w:rPr>
                <w:rStyle w:val="Hyperlink"/>
                <w:noProof/>
              </w:rPr>
              <w:t>29</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0" w:history="1">
            <w:r w:rsidR="007E5C0A">
              <w:rPr>
                <w:rStyle w:val="Hyperlink"/>
              </w:rPr>
              <w:t>3.2.7</w:t>
            </w:r>
            <w:r w:rsidR="007E5C0A">
              <w:rPr>
                <w:rStyle w:val="Hyperlink"/>
                <w:rFonts w:asciiTheme="minorHAnsi" w:hAnsiTheme="minorHAnsi"/>
                <w:noProof/>
              </w:rPr>
              <w:tab/>
            </w:r>
            <w:r w:rsidR="007E5C0A">
              <w:rPr>
                <w:rStyle w:val="Hyperlink"/>
              </w:rPr>
              <w:t>Costs of assessments by public inquiry</w:t>
            </w:r>
            <w:r w:rsidR="007E5C0A">
              <w:rPr>
                <w:rStyle w:val="Hyperlink"/>
              </w:rPr>
              <w:tab/>
            </w:r>
            <w:r w:rsidR="003366B4">
              <w:fldChar w:fldCharType="begin"/>
            </w:r>
            <w:r w:rsidR="007E5C0A">
              <w:rPr>
                <w:rStyle w:val="Hyperlink"/>
              </w:rPr>
              <w:instrText xml:space="preserve"> PAGEREF _Toc256000350 \h </w:instrText>
            </w:r>
            <w:r w:rsidR="003366B4">
              <w:fldChar w:fldCharType="separate"/>
            </w:r>
            <w:r>
              <w:rPr>
                <w:rStyle w:val="Hyperlink"/>
                <w:noProof/>
              </w:rPr>
              <w:t>32</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51" w:history="1">
            <w:r w:rsidR="007E5C0A">
              <w:rPr>
                <w:rStyle w:val="Hyperlink"/>
              </w:rPr>
              <w:t>3.3</w:t>
            </w:r>
            <w:r w:rsidR="007E5C0A">
              <w:rPr>
                <w:rStyle w:val="Hyperlink"/>
                <w:rFonts w:asciiTheme="minorHAnsi" w:hAnsiTheme="minorHAnsi"/>
                <w:noProof/>
              </w:rPr>
              <w:tab/>
            </w:r>
            <w:r w:rsidR="007E5C0A" w:rsidRPr="00764975">
              <w:rPr>
                <w:rStyle w:val="Hyperlink"/>
              </w:rPr>
              <w:t>Charges for environmental impact assessments</w:t>
            </w:r>
            <w:r w:rsidR="007E5C0A">
              <w:rPr>
                <w:rStyle w:val="Hyperlink"/>
              </w:rPr>
              <w:tab/>
            </w:r>
            <w:r w:rsidR="003366B4">
              <w:fldChar w:fldCharType="begin"/>
            </w:r>
            <w:r w:rsidR="007E5C0A">
              <w:rPr>
                <w:rStyle w:val="Hyperlink"/>
              </w:rPr>
              <w:instrText xml:space="preserve"> PAGEREF _Toc256000351 \h </w:instrText>
            </w:r>
            <w:r w:rsidR="003366B4">
              <w:fldChar w:fldCharType="separate"/>
            </w:r>
            <w:r>
              <w:rPr>
                <w:rStyle w:val="Hyperlink"/>
                <w:noProof/>
              </w:rPr>
              <w:t>33</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2" w:history="1">
            <w:r w:rsidR="007E5C0A">
              <w:rPr>
                <w:rStyle w:val="Hyperlink"/>
              </w:rPr>
              <w:t>3.3.1</w:t>
            </w:r>
            <w:r w:rsidR="007E5C0A">
              <w:rPr>
                <w:rStyle w:val="Hyperlink"/>
                <w:rFonts w:asciiTheme="minorHAnsi" w:hAnsiTheme="minorHAnsi"/>
                <w:noProof/>
              </w:rPr>
              <w:tab/>
            </w:r>
            <w:r w:rsidR="007E5C0A" w:rsidRPr="00DA3D23">
              <w:rPr>
                <w:rStyle w:val="Hyperlink"/>
              </w:rPr>
              <w:t>Set fees</w:t>
            </w:r>
            <w:r w:rsidR="007E5C0A">
              <w:rPr>
                <w:rStyle w:val="Hyperlink"/>
              </w:rPr>
              <w:tab/>
            </w:r>
            <w:r w:rsidR="003366B4">
              <w:fldChar w:fldCharType="begin"/>
            </w:r>
            <w:r w:rsidR="007E5C0A">
              <w:rPr>
                <w:rStyle w:val="Hyperlink"/>
              </w:rPr>
              <w:instrText xml:space="preserve"> PAGEREF _Toc256000352 \h </w:instrText>
            </w:r>
            <w:r w:rsidR="003366B4">
              <w:fldChar w:fldCharType="separate"/>
            </w:r>
            <w:r>
              <w:rPr>
                <w:rStyle w:val="Hyperlink"/>
                <w:noProof/>
              </w:rPr>
              <w:t>33</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3" w:history="1">
            <w:r w:rsidR="007E5C0A">
              <w:rPr>
                <w:rStyle w:val="Hyperlink"/>
              </w:rPr>
              <w:t>3.3.2</w:t>
            </w:r>
            <w:r w:rsidR="007E5C0A">
              <w:rPr>
                <w:rStyle w:val="Hyperlink"/>
                <w:rFonts w:asciiTheme="minorHAnsi" w:hAnsiTheme="minorHAnsi"/>
                <w:noProof/>
              </w:rPr>
              <w:tab/>
            </w:r>
            <w:r w:rsidR="007E5C0A">
              <w:rPr>
                <w:rStyle w:val="Hyperlink"/>
              </w:rPr>
              <w:t>Fees for assessments</w:t>
            </w:r>
            <w:r w:rsidR="007E5C0A">
              <w:rPr>
                <w:rStyle w:val="Hyperlink"/>
              </w:rPr>
              <w:tab/>
            </w:r>
            <w:r w:rsidR="003366B4">
              <w:fldChar w:fldCharType="begin"/>
            </w:r>
            <w:r w:rsidR="007E5C0A">
              <w:rPr>
                <w:rStyle w:val="Hyperlink"/>
              </w:rPr>
              <w:instrText xml:space="preserve"> PAGEREF _Toc256000353 \h </w:instrText>
            </w:r>
            <w:r w:rsidR="003366B4">
              <w:fldChar w:fldCharType="separate"/>
            </w:r>
            <w:r>
              <w:rPr>
                <w:rStyle w:val="Hyperlink"/>
                <w:noProof/>
              </w:rPr>
              <w:t>35</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4" w:history="1">
            <w:r w:rsidR="007E5C0A">
              <w:rPr>
                <w:rStyle w:val="Hyperlink"/>
              </w:rPr>
              <w:t>3.3.3</w:t>
            </w:r>
            <w:r w:rsidR="007E5C0A">
              <w:rPr>
                <w:rStyle w:val="Hyperlink"/>
                <w:rFonts w:asciiTheme="minorHAnsi" w:hAnsiTheme="minorHAnsi"/>
                <w:noProof/>
              </w:rPr>
              <w:tab/>
            </w:r>
            <w:r w:rsidR="007E5C0A" w:rsidRPr="00500A62">
              <w:rPr>
                <w:rStyle w:val="Hyperlink"/>
              </w:rPr>
              <w:t>Complexity fees for assessments</w:t>
            </w:r>
            <w:r w:rsidR="007E5C0A">
              <w:rPr>
                <w:rStyle w:val="Hyperlink"/>
              </w:rPr>
              <w:tab/>
            </w:r>
            <w:r w:rsidR="003366B4">
              <w:fldChar w:fldCharType="begin"/>
            </w:r>
            <w:r w:rsidR="007E5C0A">
              <w:rPr>
                <w:rStyle w:val="Hyperlink"/>
              </w:rPr>
              <w:instrText xml:space="preserve"> PAGEREF _Toc256000354 \h </w:instrText>
            </w:r>
            <w:r w:rsidR="003366B4">
              <w:fldChar w:fldCharType="separate"/>
            </w:r>
            <w:r>
              <w:rPr>
                <w:rStyle w:val="Hyperlink"/>
                <w:noProof/>
              </w:rPr>
              <w:t>37</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5" w:history="1">
            <w:r w:rsidR="007E5C0A">
              <w:rPr>
                <w:rStyle w:val="Hyperlink"/>
              </w:rPr>
              <w:t>3.3.4</w:t>
            </w:r>
            <w:r w:rsidR="007E5C0A">
              <w:rPr>
                <w:rStyle w:val="Hyperlink"/>
                <w:rFonts w:asciiTheme="minorHAnsi" w:hAnsiTheme="minorHAnsi"/>
                <w:noProof/>
              </w:rPr>
              <w:tab/>
            </w:r>
            <w:r w:rsidR="007E5C0A">
              <w:rPr>
                <w:rStyle w:val="Hyperlink"/>
              </w:rPr>
              <w:t>Reconsideration of fees</w:t>
            </w:r>
            <w:r w:rsidR="007E5C0A">
              <w:rPr>
                <w:rStyle w:val="Hyperlink"/>
              </w:rPr>
              <w:tab/>
            </w:r>
            <w:r w:rsidR="003366B4">
              <w:fldChar w:fldCharType="begin"/>
            </w:r>
            <w:r w:rsidR="007E5C0A">
              <w:rPr>
                <w:rStyle w:val="Hyperlink"/>
              </w:rPr>
              <w:instrText xml:space="preserve"> PAGEREF _Toc256000355 \h </w:instrText>
            </w:r>
            <w:r w:rsidR="003366B4">
              <w:fldChar w:fldCharType="separate"/>
            </w:r>
            <w:r>
              <w:rPr>
                <w:rStyle w:val="Hyperlink"/>
                <w:noProof/>
              </w:rPr>
              <w:t>39</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6" w:history="1">
            <w:r w:rsidR="007E5C0A">
              <w:rPr>
                <w:rStyle w:val="Hyperlink"/>
              </w:rPr>
              <w:t>3.3.5</w:t>
            </w:r>
            <w:r w:rsidR="007E5C0A">
              <w:rPr>
                <w:rStyle w:val="Hyperlink"/>
                <w:rFonts w:asciiTheme="minorHAnsi" w:hAnsiTheme="minorHAnsi"/>
                <w:noProof/>
              </w:rPr>
              <w:tab/>
            </w:r>
            <w:r w:rsidR="007E5C0A">
              <w:rPr>
                <w:rStyle w:val="Hyperlink"/>
              </w:rPr>
              <w:t>Summary of fees for each assessment method</w:t>
            </w:r>
            <w:r w:rsidR="007E5C0A">
              <w:rPr>
                <w:rStyle w:val="Hyperlink"/>
              </w:rPr>
              <w:tab/>
            </w:r>
            <w:r w:rsidR="003366B4">
              <w:fldChar w:fldCharType="begin"/>
            </w:r>
            <w:r w:rsidR="007E5C0A">
              <w:rPr>
                <w:rStyle w:val="Hyperlink"/>
              </w:rPr>
              <w:instrText xml:space="preserve"> PAGEREF _Toc256000356 \h </w:instrText>
            </w:r>
            <w:r w:rsidR="003366B4">
              <w:fldChar w:fldCharType="separate"/>
            </w:r>
            <w:r>
              <w:rPr>
                <w:rStyle w:val="Hyperlink"/>
                <w:noProof/>
              </w:rPr>
              <w:t>40</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7" w:history="1">
            <w:r w:rsidR="007E5C0A">
              <w:rPr>
                <w:rStyle w:val="Hyperlink"/>
              </w:rPr>
              <w:t>3.3.6</w:t>
            </w:r>
            <w:r w:rsidR="007E5C0A">
              <w:rPr>
                <w:rStyle w:val="Hyperlink"/>
                <w:rFonts w:asciiTheme="minorHAnsi" w:hAnsiTheme="minorHAnsi"/>
                <w:noProof/>
              </w:rPr>
              <w:tab/>
            </w:r>
            <w:r w:rsidR="007E5C0A" w:rsidRPr="00500A62">
              <w:rPr>
                <w:rStyle w:val="Hyperlink"/>
              </w:rPr>
              <w:t>Fees for assessment by Public inquiry</w:t>
            </w:r>
            <w:r w:rsidR="007E5C0A">
              <w:rPr>
                <w:rStyle w:val="Hyperlink"/>
              </w:rPr>
              <w:tab/>
            </w:r>
            <w:r w:rsidR="003366B4">
              <w:fldChar w:fldCharType="begin"/>
            </w:r>
            <w:r w:rsidR="007E5C0A">
              <w:rPr>
                <w:rStyle w:val="Hyperlink"/>
              </w:rPr>
              <w:instrText xml:space="preserve"> PAGEREF _Toc256000357 \h </w:instrText>
            </w:r>
            <w:r w:rsidR="003366B4">
              <w:fldChar w:fldCharType="separate"/>
            </w:r>
            <w:r>
              <w:rPr>
                <w:rStyle w:val="Hyperlink"/>
                <w:noProof/>
              </w:rPr>
              <w:t>55</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8" w:history="1">
            <w:r w:rsidR="007E5C0A">
              <w:rPr>
                <w:rStyle w:val="Hyperlink"/>
              </w:rPr>
              <w:t>3.3.7</w:t>
            </w:r>
            <w:r w:rsidR="007E5C0A">
              <w:rPr>
                <w:rStyle w:val="Hyperlink"/>
                <w:rFonts w:asciiTheme="minorHAnsi" w:hAnsiTheme="minorHAnsi"/>
                <w:noProof/>
              </w:rPr>
              <w:tab/>
            </w:r>
            <w:r w:rsidR="007E5C0A" w:rsidRPr="003C7E3E">
              <w:rPr>
                <w:rStyle w:val="Hyperlink"/>
              </w:rPr>
              <w:t>Exemptions (environmental impact assessments)</w:t>
            </w:r>
            <w:r w:rsidR="007E5C0A">
              <w:rPr>
                <w:rStyle w:val="Hyperlink"/>
              </w:rPr>
              <w:tab/>
            </w:r>
            <w:r w:rsidR="003366B4">
              <w:fldChar w:fldCharType="begin"/>
            </w:r>
            <w:r w:rsidR="007E5C0A">
              <w:rPr>
                <w:rStyle w:val="Hyperlink"/>
              </w:rPr>
              <w:instrText xml:space="preserve"> PAGEREF _Toc256000358 \h </w:instrText>
            </w:r>
            <w:r w:rsidR="003366B4">
              <w:fldChar w:fldCharType="separate"/>
            </w:r>
            <w:r>
              <w:rPr>
                <w:rStyle w:val="Hyperlink"/>
                <w:noProof/>
              </w:rPr>
              <w:t>56</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59" w:history="1">
            <w:r w:rsidR="007E5C0A">
              <w:rPr>
                <w:rStyle w:val="Hyperlink"/>
              </w:rPr>
              <w:t>3.3.8</w:t>
            </w:r>
            <w:r w:rsidR="007E5C0A">
              <w:rPr>
                <w:rStyle w:val="Hyperlink"/>
                <w:rFonts w:asciiTheme="minorHAnsi" w:hAnsiTheme="minorHAnsi"/>
                <w:noProof/>
              </w:rPr>
              <w:tab/>
            </w:r>
            <w:r w:rsidR="007E5C0A" w:rsidRPr="00FC12C4">
              <w:rPr>
                <w:rStyle w:val="Hyperlink"/>
              </w:rPr>
              <w:t>Waivers</w:t>
            </w:r>
            <w:r w:rsidR="007E5C0A">
              <w:rPr>
                <w:rStyle w:val="Hyperlink"/>
              </w:rPr>
              <w:tab/>
            </w:r>
            <w:r w:rsidR="003366B4">
              <w:fldChar w:fldCharType="begin"/>
            </w:r>
            <w:r w:rsidR="007E5C0A">
              <w:rPr>
                <w:rStyle w:val="Hyperlink"/>
              </w:rPr>
              <w:instrText xml:space="preserve"> PAGEREF _Toc256000359 \h </w:instrText>
            </w:r>
            <w:r w:rsidR="003366B4">
              <w:fldChar w:fldCharType="separate"/>
            </w:r>
            <w:r>
              <w:rPr>
                <w:rStyle w:val="Hyperlink"/>
                <w:noProof/>
              </w:rPr>
              <w:t>57</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60" w:history="1">
            <w:r w:rsidR="007E5C0A">
              <w:rPr>
                <w:rStyle w:val="Hyperlink"/>
              </w:rPr>
              <w:t>3.3.9</w:t>
            </w:r>
            <w:r w:rsidR="007E5C0A">
              <w:rPr>
                <w:rStyle w:val="Hyperlink"/>
                <w:rFonts w:asciiTheme="minorHAnsi" w:hAnsiTheme="minorHAnsi"/>
                <w:noProof/>
              </w:rPr>
              <w:tab/>
            </w:r>
            <w:r w:rsidR="007E5C0A" w:rsidRPr="009352D9">
              <w:rPr>
                <w:rStyle w:val="Hyperlink"/>
              </w:rPr>
              <w:t>Refunds</w:t>
            </w:r>
            <w:r w:rsidR="007E5C0A">
              <w:rPr>
                <w:rStyle w:val="Hyperlink"/>
              </w:rPr>
              <w:tab/>
            </w:r>
            <w:r w:rsidR="003366B4">
              <w:fldChar w:fldCharType="begin"/>
            </w:r>
            <w:r w:rsidR="007E5C0A">
              <w:rPr>
                <w:rStyle w:val="Hyperlink"/>
              </w:rPr>
              <w:instrText xml:space="preserve"> PAGEREF _Toc256000360 \h </w:instrText>
            </w:r>
            <w:r w:rsidR="003366B4">
              <w:fldChar w:fldCharType="separate"/>
            </w:r>
            <w:r>
              <w:rPr>
                <w:rStyle w:val="Hyperlink"/>
                <w:noProof/>
              </w:rPr>
              <w:t>57</w:t>
            </w:r>
            <w:r w:rsidR="003366B4">
              <w:fldChar w:fldCharType="end"/>
            </w:r>
          </w:hyperlink>
        </w:p>
        <w:p w:rsidR="00397365" w:rsidRDefault="00FF3730">
          <w:pPr>
            <w:pStyle w:val="TOC1"/>
            <w:rPr>
              <w:rFonts w:asciiTheme="minorHAnsi" w:hAnsiTheme="minorHAnsi"/>
              <w:noProof/>
              <w:sz w:val="22"/>
            </w:rPr>
          </w:pPr>
          <w:hyperlink w:anchor="_Toc256000361" w:history="1">
            <w:r w:rsidR="007E5C0A">
              <w:rPr>
                <w:rStyle w:val="Hyperlink"/>
              </w:rPr>
              <w:t>4</w:t>
            </w:r>
            <w:r w:rsidR="007E5C0A">
              <w:rPr>
                <w:rStyle w:val="Hyperlink"/>
                <w:rFonts w:asciiTheme="minorHAnsi" w:hAnsiTheme="minorHAnsi"/>
                <w:noProof/>
                <w:sz w:val="22"/>
              </w:rPr>
              <w:tab/>
            </w:r>
            <w:r w:rsidR="007E5C0A">
              <w:rPr>
                <w:rStyle w:val="Hyperlink"/>
              </w:rPr>
              <w:t xml:space="preserve">COST RECOVERY MODEL FOR </w:t>
            </w:r>
            <w:r w:rsidR="007E5C0A" w:rsidRPr="00121765">
              <w:rPr>
                <w:rStyle w:val="Hyperlink"/>
              </w:rPr>
              <w:t>STRATEGIC ASSESSMENTS</w:t>
            </w:r>
            <w:r w:rsidR="007E5C0A">
              <w:rPr>
                <w:rStyle w:val="Hyperlink"/>
              </w:rPr>
              <w:tab/>
            </w:r>
            <w:r w:rsidR="003366B4">
              <w:fldChar w:fldCharType="begin"/>
            </w:r>
            <w:r w:rsidR="007E5C0A">
              <w:rPr>
                <w:rStyle w:val="Hyperlink"/>
              </w:rPr>
              <w:instrText xml:space="preserve"> PAGEREF _Toc256000361 \h </w:instrText>
            </w:r>
            <w:r w:rsidR="003366B4">
              <w:fldChar w:fldCharType="separate"/>
            </w:r>
            <w:r>
              <w:rPr>
                <w:rStyle w:val="Hyperlink"/>
                <w:noProof/>
              </w:rPr>
              <w:t>58</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62" w:history="1">
            <w:r w:rsidR="007E5C0A">
              <w:rPr>
                <w:rStyle w:val="Hyperlink"/>
              </w:rPr>
              <w:t>4.1</w:t>
            </w:r>
            <w:r w:rsidR="007E5C0A">
              <w:rPr>
                <w:rStyle w:val="Hyperlink"/>
                <w:rFonts w:asciiTheme="minorHAnsi" w:hAnsiTheme="minorHAnsi"/>
                <w:noProof/>
              </w:rPr>
              <w:tab/>
            </w:r>
            <w:r w:rsidR="007E5C0A" w:rsidRPr="00121765">
              <w:rPr>
                <w:rStyle w:val="Hyperlink"/>
              </w:rPr>
              <w:t xml:space="preserve">Outputs </w:t>
            </w:r>
            <w:r w:rsidR="007E5C0A">
              <w:rPr>
                <w:rStyle w:val="Hyperlink"/>
              </w:rPr>
              <w:t>and business processes</w:t>
            </w:r>
            <w:r w:rsidR="007E5C0A" w:rsidRPr="00121765">
              <w:rPr>
                <w:rStyle w:val="Hyperlink"/>
              </w:rPr>
              <w:t xml:space="preserve"> – Strategic Assessments</w:t>
            </w:r>
            <w:r w:rsidR="007E5C0A">
              <w:rPr>
                <w:rStyle w:val="Hyperlink"/>
              </w:rPr>
              <w:tab/>
            </w:r>
            <w:r w:rsidR="003366B4">
              <w:fldChar w:fldCharType="begin"/>
            </w:r>
            <w:r w:rsidR="007E5C0A">
              <w:rPr>
                <w:rStyle w:val="Hyperlink"/>
              </w:rPr>
              <w:instrText xml:space="preserve"> PAGEREF _Toc256000362 \h </w:instrText>
            </w:r>
            <w:r w:rsidR="003366B4">
              <w:fldChar w:fldCharType="separate"/>
            </w:r>
            <w:r>
              <w:rPr>
                <w:rStyle w:val="Hyperlink"/>
                <w:noProof/>
              </w:rPr>
              <w:t>58</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63" w:history="1">
            <w:r w:rsidR="007E5C0A">
              <w:rPr>
                <w:rStyle w:val="Hyperlink"/>
              </w:rPr>
              <w:t>4.1.1</w:t>
            </w:r>
            <w:r w:rsidR="007E5C0A">
              <w:rPr>
                <w:rStyle w:val="Hyperlink"/>
                <w:rFonts w:asciiTheme="minorHAnsi" w:hAnsiTheme="minorHAnsi"/>
                <w:noProof/>
              </w:rPr>
              <w:tab/>
            </w:r>
            <w:r w:rsidR="007E5C0A" w:rsidRPr="00500A62">
              <w:rPr>
                <w:rStyle w:val="Hyperlink"/>
              </w:rPr>
              <w:t>Description of activity – Strategic assessments</w:t>
            </w:r>
            <w:r w:rsidR="007E5C0A">
              <w:rPr>
                <w:rStyle w:val="Hyperlink"/>
              </w:rPr>
              <w:tab/>
            </w:r>
            <w:r w:rsidR="003366B4">
              <w:fldChar w:fldCharType="begin"/>
            </w:r>
            <w:r w:rsidR="007E5C0A">
              <w:rPr>
                <w:rStyle w:val="Hyperlink"/>
              </w:rPr>
              <w:instrText xml:space="preserve"> PAGEREF _Toc256000363 \h </w:instrText>
            </w:r>
            <w:r w:rsidR="003366B4">
              <w:fldChar w:fldCharType="separate"/>
            </w:r>
            <w:r>
              <w:rPr>
                <w:rStyle w:val="Hyperlink"/>
                <w:noProof/>
              </w:rPr>
              <w:t>58</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64" w:history="1">
            <w:r w:rsidR="007E5C0A">
              <w:rPr>
                <w:rStyle w:val="Hyperlink"/>
              </w:rPr>
              <w:t>4.1.2</w:t>
            </w:r>
            <w:r w:rsidR="007E5C0A">
              <w:rPr>
                <w:rStyle w:val="Hyperlink"/>
                <w:rFonts w:asciiTheme="minorHAnsi" w:hAnsiTheme="minorHAnsi"/>
                <w:noProof/>
              </w:rPr>
              <w:tab/>
            </w:r>
            <w:r w:rsidR="007E5C0A">
              <w:rPr>
                <w:rStyle w:val="Hyperlink"/>
              </w:rPr>
              <w:t>Funding for strategic assessments</w:t>
            </w:r>
            <w:r w:rsidR="007E5C0A">
              <w:rPr>
                <w:rStyle w:val="Hyperlink"/>
              </w:rPr>
              <w:tab/>
            </w:r>
            <w:r w:rsidR="003366B4">
              <w:fldChar w:fldCharType="begin"/>
            </w:r>
            <w:r w:rsidR="007E5C0A">
              <w:rPr>
                <w:rStyle w:val="Hyperlink"/>
              </w:rPr>
              <w:instrText xml:space="preserve"> PAGEREF _Toc256000364 \h </w:instrText>
            </w:r>
            <w:r w:rsidR="003366B4">
              <w:fldChar w:fldCharType="separate"/>
            </w:r>
            <w:r>
              <w:rPr>
                <w:rStyle w:val="Hyperlink"/>
                <w:noProof/>
              </w:rPr>
              <w:t>58</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65" w:history="1">
            <w:r w:rsidR="007E5C0A">
              <w:rPr>
                <w:rStyle w:val="Hyperlink"/>
              </w:rPr>
              <w:t>4.2</w:t>
            </w:r>
            <w:r w:rsidR="007E5C0A">
              <w:rPr>
                <w:rStyle w:val="Hyperlink"/>
                <w:rFonts w:asciiTheme="minorHAnsi" w:hAnsiTheme="minorHAnsi"/>
                <w:noProof/>
              </w:rPr>
              <w:tab/>
            </w:r>
            <w:r w:rsidR="007E5C0A">
              <w:rPr>
                <w:rStyle w:val="Hyperlink"/>
              </w:rPr>
              <w:t>C</w:t>
            </w:r>
            <w:r w:rsidR="007E5C0A" w:rsidRPr="0008018E">
              <w:rPr>
                <w:rStyle w:val="Hyperlink"/>
              </w:rPr>
              <w:t xml:space="preserve">osts </w:t>
            </w:r>
            <w:r w:rsidR="007E5C0A">
              <w:rPr>
                <w:rStyle w:val="Hyperlink"/>
              </w:rPr>
              <w:t>of</w:t>
            </w:r>
            <w:r w:rsidR="007E5C0A" w:rsidRPr="0008018E">
              <w:rPr>
                <w:rStyle w:val="Hyperlink"/>
              </w:rPr>
              <w:t xml:space="preserve"> Strategic assessments</w:t>
            </w:r>
            <w:r w:rsidR="007E5C0A">
              <w:rPr>
                <w:rStyle w:val="Hyperlink"/>
              </w:rPr>
              <w:tab/>
            </w:r>
            <w:r w:rsidR="003366B4">
              <w:fldChar w:fldCharType="begin"/>
            </w:r>
            <w:r w:rsidR="007E5C0A">
              <w:rPr>
                <w:rStyle w:val="Hyperlink"/>
              </w:rPr>
              <w:instrText xml:space="preserve"> PAGEREF _Toc256000365 \h </w:instrText>
            </w:r>
            <w:r w:rsidR="003366B4">
              <w:fldChar w:fldCharType="separate"/>
            </w:r>
            <w:r>
              <w:rPr>
                <w:rStyle w:val="Hyperlink"/>
                <w:noProof/>
              </w:rPr>
              <w:t>60</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66" w:history="1">
            <w:r w:rsidR="007E5C0A">
              <w:rPr>
                <w:rStyle w:val="Hyperlink"/>
              </w:rPr>
              <w:t>4.3</w:t>
            </w:r>
            <w:r w:rsidR="007E5C0A">
              <w:rPr>
                <w:rStyle w:val="Hyperlink"/>
                <w:rFonts w:asciiTheme="minorHAnsi" w:hAnsiTheme="minorHAnsi"/>
                <w:noProof/>
              </w:rPr>
              <w:tab/>
            </w:r>
            <w:r w:rsidR="007E5C0A">
              <w:rPr>
                <w:rStyle w:val="Hyperlink"/>
              </w:rPr>
              <w:t>Charges for strategic assessments</w:t>
            </w:r>
            <w:r w:rsidR="007E5C0A">
              <w:rPr>
                <w:rStyle w:val="Hyperlink"/>
              </w:rPr>
              <w:tab/>
            </w:r>
            <w:r w:rsidR="003366B4">
              <w:fldChar w:fldCharType="begin"/>
            </w:r>
            <w:r w:rsidR="007E5C0A">
              <w:rPr>
                <w:rStyle w:val="Hyperlink"/>
              </w:rPr>
              <w:instrText xml:space="preserve"> PAGEREF _Toc256000366 \h </w:instrText>
            </w:r>
            <w:r w:rsidR="003366B4">
              <w:fldChar w:fldCharType="separate"/>
            </w:r>
            <w:r>
              <w:rPr>
                <w:rStyle w:val="Hyperlink"/>
                <w:noProof/>
              </w:rPr>
              <w:t>61</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67" w:history="1">
            <w:r w:rsidR="007E5C0A">
              <w:rPr>
                <w:rStyle w:val="Hyperlink"/>
              </w:rPr>
              <w:t>4.3.1</w:t>
            </w:r>
            <w:r w:rsidR="007E5C0A">
              <w:rPr>
                <w:rStyle w:val="Hyperlink"/>
                <w:rFonts w:asciiTheme="minorHAnsi" w:hAnsiTheme="minorHAnsi"/>
                <w:noProof/>
              </w:rPr>
              <w:tab/>
            </w:r>
            <w:r w:rsidR="007E5C0A">
              <w:rPr>
                <w:rStyle w:val="Hyperlink"/>
              </w:rPr>
              <w:t>Strategic assessment f</w:t>
            </w:r>
            <w:r w:rsidR="007E5C0A" w:rsidRPr="00FC12C4">
              <w:rPr>
                <w:rStyle w:val="Hyperlink"/>
              </w:rPr>
              <w:t>ees</w:t>
            </w:r>
            <w:r w:rsidR="007E5C0A">
              <w:rPr>
                <w:rStyle w:val="Hyperlink"/>
              </w:rPr>
              <w:tab/>
            </w:r>
            <w:r w:rsidR="003366B4">
              <w:fldChar w:fldCharType="begin"/>
            </w:r>
            <w:r w:rsidR="007E5C0A">
              <w:rPr>
                <w:rStyle w:val="Hyperlink"/>
              </w:rPr>
              <w:instrText xml:space="preserve"> PAGEREF _Toc256000367 \h </w:instrText>
            </w:r>
            <w:r w:rsidR="003366B4">
              <w:fldChar w:fldCharType="separate"/>
            </w:r>
            <w:r>
              <w:rPr>
                <w:rStyle w:val="Hyperlink"/>
                <w:noProof/>
              </w:rPr>
              <w:t>61</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68" w:history="1">
            <w:r w:rsidR="007E5C0A">
              <w:rPr>
                <w:rStyle w:val="Hyperlink"/>
              </w:rPr>
              <w:t>4.3.2</w:t>
            </w:r>
            <w:r w:rsidR="007E5C0A">
              <w:rPr>
                <w:rStyle w:val="Hyperlink"/>
                <w:rFonts w:asciiTheme="minorHAnsi" w:hAnsiTheme="minorHAnsi"/>
                <w:noProof/>
              </w:rPr>
              <w:tab/>
            </w:r>
            <w:r w:rsidR="007E5C0A">
              <w:rPr>
                <w:rStyle w:val="Hyperlink"/>
              </w:rPr>
              <w:t>Post approval management plan and contingent activity fees (strategic assessments)</w:t>
            </w:r>
            <w:r w:rsidR="007E5C0A">
              <w:rPr>
                <w:rStyle w:val="Hyperlink"/>
              </w:rPr>
              <w:tab/>
            </w:r>
            <w:r w:rsidR="003366B4">
              <w:fldChar w:fldCharType="begin"/>
            </w:r>
            <w:r w:rsidR="007E5C0A">
              <w:rPr>
                <w:rStyle w:val="Hyperlink"/>
              </w:rPr>
              <w:instrText xml:space="preserve"> PAGEREF _Toc256000368 \h </w:instrText>
            </w:r>
            <w:r w:rsidR="003366B4">
              <w:fldChar w:fldCharType="separate"/>
            </w:r>
            <w:r>
              <w:rPr>
                <w:rStyle w:val="Hyperlink"/>
                <w:noProof/>
              </w:rPr>
              <w:t>63</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69" w:history="1">
            <w:r w:rsidR="007E5C0A">
              <w:rPr>
                <w:rStyle w:val="Hyperlink"/>
              </w:rPr>
              <w:t>4.3.3</w:t>
            </w:r>
            <w:r w:rsidR="007E5C0A">
              <w:rPr>
                <w:rStyle w:val="Hyperlink"/>
                <w:rFonts w:asciiTheme="minorHAnsi" w:hAnsiTheme="minorHAnsi"/>
                <w:noProof/>
              </w:rPr>
              <w:tab/>
            </w:r>
            <w:r w:rsidR="007E5C0A" w:rsidRPr="003B4038">
              <w:rPr>
                <w:rStyle w:val="Hyperlink"/>
              </w:rPr>
              <w:t>Exemptions</w:t>
            </w:r>
            <w:r w:rsidR="007E5C0A">
              <w:rPr>
                <w:rStyle w:val="Hyperlink"/>
              </w:rPr>
              <w:t>, refunds</w:t>
            </w:r>
            <w:r w:rsidR="007E5C0A" w:rsidRPr="003B4038">
              <w:rPr>
                <w:rStyle w:val="Hyperlink"/>
              </w:rPr>
              <w:t xml:space="preserve"> and waivers (strategic assessments)</w:t>
            </w:r>
            <w:r w:rsidR="007E5C0A">
              <w:rPr>
                <w:rStyle w:val="Hyperlink"/>
              </w:rPr>
              <w:tab/>
            </w:r>
            <w:r w:rsidR="003366B4">
              <w:fldChar w:fldCharType="begin"/>
            </w:r>
            <w:r w:rsidR="007E5C0A">
              <w:rPr>
                <w:rStyle w:val="Hyperlink"/>
              </w:rPr>
              <w:instrText xml:space="preserve"> PAGEREF _Toc256000369 \h </w:instrText>
            </w:r>
            <w:r w:rsidR="003366B4">
              <w:fldChar w:fldCharType="separate"/>
            </w:r>
            <w:r>
              <w:rPr>
                <w:rStyle w:val="Hyperlink"/>
                <w:noProof/>
              </w:rPr>
              <w:t>63</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70" w:history="1">
            <w:r w:rsidR="007E5C0A">
              <w:rPr>
                <w:rStyle w:val="Hyperlink"/>
              </w:rPr>
              <w:t>4.3.4</w:t>
            </w:r>
            <w:r w:rsidR="007E5C0A">
              <w:rPr>
                <w:rStyle w:val="Hyperlink"/>
                <w:rFonts w:asciiTheme="minorHAnsi" w:hAnsiTheme="minorHAnsi"/>
                <w:noProof/>
              </w:rPr>
              <w:tab/>
            </w:r>
            <w:r w:rsidR="007E5C0A" w:rsidRPr="000523CF">
              <w:rPr>
                <w:rStyle w:val="Hyperlink"/>
              </w:rPr>
              <w:t>Reconsideration of strategic assessment fees</w:t>
            </w:r>
            <w:r w:rsidR="007E5C0A">
              <w:rPr>
                <w:rStyle w:val="Hyperlink"/>
              </w:rPr>
              <w:tab/>
            </w:r>
            <w:r w:rsidR="003366B4">
              <w:fldChar w:fldCharType="begin"/>
            </w:r>
            <w:r w:rsidR="007E5C0A">
              <w:rPr>
                <w:rStyle w:val="Hyperlink"/>
              </w:rPr>
              <w:instrText xml:space="preserve"> PAGEREF _Toc256000370 \h </w:instrText>
            </w:r>
            <w:r w:rsidR="003366B4">
              <w:fldChar w:fldCharType="separate"/>
            </w:r>
            <w:r>
              <w:rPr>
                <w:rStyle w:val="Hyperlink"/>
                <w:noProof/>
              </w:rPr>
              <w:t>63</w:t>
            </w:r>
            <w:r w:rsidR="003366B4">
              <w:fldChar w:fldCharType="end"/>
            </w:r>
          </w:hyperlink>
        </w:p>
        <w:p w:rsidR="00397365" w:rsidRDefault="00FF3730">
          <w:pPr>
            <w:pStyle w:val="TOC1"/>
            <w:rPr>
              <w:rFonts w:asciiTheme="minorHAnsi" w:hAnsiTheme="minorHAnsi"/>
              <w:noProof/>
              <w:sz w:val="22"/>
            </w:rPr>
          </w:pPr>
          <w:hyperlink w:anchor="_Toc256000371" w:history="1">
            <w:r w:rsidR="007E5C0A">
              <w:rPr>
                <w:rStyle w:val="Hyperlink"/>
              </w:rPr>
              <w:t>5</w:t>
            </w:r>
            <w:r w:rsidR="007E5C0A">
              <w:rPr>
                <w:rStyle w:val="Hyperlink"/>
                <w:rFonts w:asciiTheme="minorHAnsi" w:hAnsiTheme="minorHAnsi"/>
                <w:noProof/>
                <w:sz w:val="22"/>
              </w:rPr>
              <w:tab/>
            </w:r>
            <w:r w:rsidR="007E5C0A">
              <w:rPr>
                <w:rStyle w:val="Hyperlink"/>
              </w:rPr>
              <w:t>RISK ASSESSMENT</w:t>
            </w:r>
            <w:r w:rsidR="007E5C0A">
              <w:rPr>
                <w:rStyle w:val="Hyperlink"/>
              </w:rPr>
              <w:tab/>
            </w:r>
            <w:r w:rsidR="003366B4">
              <w:fldChar w:fldCharType="begin"/>
            </w:r>
            <w:r w:rsidR="007E5C0A">
              <w:rPr>
                <w:rStyle w:val="Hyperlink"/>
              </w:rPr>
              <w:instrText xml:space="preserve"> PAGEREF _Toc256000371 \h </w:instrText>
            </w:r>
            <w:r w:rsidR="003366B4">
              <w:fldChar w:fldCharType="separate"/>
            </w:r>
            <w:r>
              <w:rPr>
                <w:rStyle w:val="Hyperlink"/>
                <w:noProof/>
              </w:rPr>
              <w:t>64</w:t>
            </w:r>
            <w:r w:rsidR="003366B4">
              <w:fldChar w:fldCharType="end"/>
            </w:r>
          </w:hyperlink>
        </w:p>
        <w:p w:rsidR="00397365" w:rsidRDefault="00FF3730">
          <w:pPr>
            <w:pStyle w:val="TOC1"/>
            <w:rPr>
              <w:rFonts w:asciiTheme="minorHAnsi" w:hAnsiTheme="minorHAnsi"/>
              <w:noProof/>
              <w:sz w:val="22"/>
            </w:rPr>
          </w:pPr>
          <w:hyperlink w:anchor="_Toc256000372" w:history="1">
            <w:r w:rsidR="007E5C0A">
              <w:rPr>
                <w:rStyle w:val="Hyperlink"/>
              </w:rPr>
              <w:t>6</w:t>
            </w:r>
            <w:r w:rsidR="007E5C0A">
              <w:rPr>
                <w:rStyle w:val="Hyperlink"/>
                <w:rFonts w:asciiTheme="minorHAnsi" w:hAnsiTheme="minorHAnsi"/>
                <w:noProof/>
                <w:sz w:val="22"/>
              </w:rPr>
              <w:tab/>
            </w:r>
            <w:r w:rsidR="007E5C0A" w:rsidRPr="00DC1EA2">
              <w:rPr>
                <w:rStyle w:val="Hyperlink"/>
              </w:rPr>
              <w:t>STAKEHOLDER ENGAGEMENT</w:t>
            </w:r>
            <w:r w:rsidR="007E5C0A">
              <w:rPr>
                <w:rStyle w:val="Hyperlink"/>
              </w:rPr>
              <w:tab/>
            </w:r>
            <w:r w:rsidR="003366B4">
              <w:fldChar w:fldCharType="begin"/>
            </w:r>
            <w:r w:rsidR="007E5C0A">
              <w:rPr>
                <w:rStyle w:val="Hyperlink"/>
              </w:rPr>
              <w:instrText xml:space="preserve"> PAGEREF _Toc256000372 \h </w:instrText>
            </w:r>
            <w:r w:rsidR="003366B4">
              <w:fldChar w:fldCharType="separate"/>
            </w:r>
            <w:r>
              <w:rPr>
                <w:rStyle w:val="Hyperlink"/>
                <w:noProof/>
              </w:rPr>
              <w:t>65</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73" w:history="1">
            <w:r w:rsidR="007E5C0A">
              <w:rPr>
                <w:rStyle w:val="Hyperlink"/>
              </w:rPr>
              <w:t>6.1</w:t>
            </w:r>
            <w:r w:rsidR="007E5C0A">
              <w:rPr>
                <w:rStyle w:val="Hyperlink"/>
                <w:rFonts w:asciiTheme="minorHAnsi" w:hAnsiTheme="minorHAnsi"/>
                <w:noProof/>
              </w:rPr>
              <w:tab/>
            </w:r>
            <w:r w:rsidR="007E5C0A">
              <w:rPr>
                <w:rStyle w:val="Hyperlink"/>
              </w:rPr>
              <w:t>Updates to CRIS</w:t>
            </w:r>
            <w:r w:rsidR="007E5C0A">
              <w:rPr>
                <w:rStyle w:val="Hyperlink"/>
              </w:rPr>
              <w:tab/>
            </w:r>
            <w:r w:rsidR="003366B4">
              <w:fldChar w:fldCharType="begin"/>
            </w:r>
            <w:r w:rsidR="007E5C0A">
              <w:rPr>
                <w:rStyle w:val="Hyperlink"/>
              </w:rPr>
              <w:instrText xml:space="preserve"> PAGEREF _Toc256000373 \h </w:instrText>
            </w:r>
            <w:r w:rsidR="003366B4">
              <w:fldChar w:fldCharType="separate"/>
            </w:r>
            <w:r>
              <w:rPr>
                <w:rStyle w:val="Hyperlink"/>
                <w:noProof/>
              </w:rPr>
              <w:t>65</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74" w:history="1">
            <w:r w:rsidR="007E5C0A">
              <w:rPr>
                <w:rStyle w:val="Hyperlink"/>
              </w:rPr>
              <w:t>6.2</w:t>
            </w:r>
            <w:r w:rsidR="007E5C0A">
              <w:rPr>
                <w:rStyle w:val="Hyperlink"/>
                <w:rFonts w:asciiTheme="minorHAnsi" w:hAnsiTheme="minorHAnsi"/>
                <w:noProof/>
              </w:rPr>
              <w:tab/>
            </w:r>
            <w:r w:rsidR="007E5C0A">
              <w:rPr>
                <w:rStyle w:val="Hyperlink"/>
              </w:rPr>
              <w:t>Future amendments to cost recovery arrangements</w:t>
            </w:r>
            <w:r w:rsidR="007E5C0A">
              <w:rPr>
                <w:rStyle w:val="Hyperlink"/>
              </w:rPr>
              <w:tab/>
            </w:r>
            <w:r w:rsidR="003366B4">
              <w:fldChar w:fldCharType="begin"/>
            </w:r>
            <w:r w:rsidR="007E5C0A">
              <w:rPr>
                <w:rStyle w:val="Hyperlink"/>
              </w:rPr>
              <w:instrText xml:space="preserve"> PAGEREF _Toc256000374 \h </w:instrText>
            </w:r>
            <w:r w:rsidR="003366B4">
              <w:fldChar w:fldCharType="separate"/>
            </w:r>
            <w:r>
              <w:rPr>
                <w:rStyle w:val="Hyperlink"/>
                <w:noProof/>
              </w:rPr>
              <w:t>66</w:t>
            </w:r>
            <w:r w:rsidR="003366B4">
              <w:fldChar w:fldCharType="end"/>
            </w:r>
          </w:hyperlink>
        </w:p>
        <w:p w:rsidR="00397365" w:rsidRDefault="00FF3730">
          <w:pPr>
            <w:pStyle w:val="TOC1"/>
            <w:rPr>
              <w:rFonts w:asciiTheme="minorHAnsi" w:hAnsiTheme="minorHAnsi"/>
              <w:noProof/>
              <w:sz w:val="22"/>
            </w:rPr>
          </w:pPr>
          <w:hyperlink w:anchor="_Toc256000375" w:history="1">
            <w:r w:rsidR="007E5C0A">
              <w:rPr>
                <w:rStyle w:val="Hyperlink"/>
              </w:rPr>
              <w:t>7</w:t>
            </w:r>
            <w:r w:rsidR="007E5C0A">
              <w:rPr>
                <w:rStyle w:val="Hyperlink"/>
                <w:rFonts w:asciiTheme="minorHAnsi" w:hAnsiTheme="minorHAnsi"/>
                <w:noProof/>
                <w:sz w:val="22"/>
              </w:rPr>
              <w:tab/>
            </w:r>
            <w:r w:rsidR="007E5C0A">
              <w:rPr>
                <w:rStyle w:val="Hyperlink"/>
              </w:rPr>
              <w:t>FINANCIAL ESTIMATES</w:t>
            </w:r>
            <w:r w:rsidR="007E5C0A">
              <w:rPr>
                <w:rStyle w:val="Hyperlink"/>
              </w:rPr>
              <w:tab/>
            </w:r>
            <w:r w:rsidR="003366B4">
              <w:fldChar w:fldCharType="begin"/>
            </w:r>
            <w:r w:rsidR="007E5C0A">
              <w:rPr>
                <w:rStyle w:val="Hyperlink"/>
              </w:rPr>
              <w:instrText xml:space="preserve"> PAGEREF _Toc256000375 \h </w:instrText>
            </w:r>
            <w:r w:rsidR="003366B4">
              <w:fldChar w:fldCharType="separate"/>
            </w:r>
            <w:r>
              <w:rPr>
                <w:rStyle w:val="Hyperlink"/>
                <w:noProof/>
              </w:rPr>
              <w:t>67</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76" w:history="1">
            <w:r w:rsidR="007E5C0A">
              <w:rPr>
                <w:rStyle w:val="Hyperlink"/>
              </w:rPr>
              <w:t>7.1</w:t>
            </w:r>
            <w:r w:rsidR="007E5C0A">
              <w:rPr>
                <w:rStyle w:val="Hyperlink"/>
                <w:rFonts w:asciiTheme="minorHAnsi" w:hAnsiTheme="minorHAnsi"/>
                <w:noProof/>
              </w:rPr>
              <w:tab/>
            </w:r>
            <w:r w:rsidR="007E5C0A">
              <w:rPr>
                <w:rStyle w:val="Hyperlink"/>
              </w:rPr>
              <w:t>Volume and/or demand assumptions – environmental impact assessments</w:t>
            </w:r>
            <w:r w:rsidR="007E5C0A">
              <w:rPr>
                <w:rStyle w:val="Hyperlink"/>
              </w:rPr>
              <w:tab/>
            </w:r>
            <w:r w:rsidR="003366B4">
              <w:fldChar w:fldCharType="begin"/>
            </w:r>
            <w:r w:rsidR="007E5C0A">
              <w:rPr>
                <w:rStyle w:val="Hyperlink"/>
              </w:rPr>
              <w:instrText xml:space="preserve"> PAGEREF _Toc256000376 \h </w:instrText>
            </w:r>
            <w:r w:rsidR="003366B4">
              <w:fldChar w:fldCharType="separate"/>
            </w:r>
            <w:r>
              <w:rPr>
                <w:rStyle w:val="Hyperlink"/>
                <w:noProof/>
              </w:rPr>
              <w:t>67</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77" w:history="1">
            <w:r w:rsidR="007E5C0A">
              <w:rPr>
                <w:rStyle w:val="Hyperlink"/>
              </w:rPr>
              <w:t>7.2</w:t>
            </w:r>
            <w:r w:rsidR="007E5C0A">
              <w:rPr>
                <w:rStyle w:val="Hyperlink"/>
                <w:rFonts w:asciiTheme="minorHAnsi" w:hAnsiTheme="minorHAnsi"/>
                <w:noProof/>
              </w:rPr>
              <w:tab/>
            </w:r>
            <w:r w:rsidR="007E5C0A" w:rsidRPr="00FC12C4">
              <w:rPr>
                <w:rStyle w:val="Hyperlink"/>
              </w:rPr>
              <w:t>Volume and/or demand assumptions</w:t>
            </w:r>
            <w:r w:rsidR="007E5C0A">
              <w:rPr>
                <w:rStyle w:val="Hyperlink"/>
              </w:rPr>
              <w:t xml:space="preserve"> – strategic assessments</w:t>
            </w:r>
            <w:r w:rsidR="007E5C0A">
              <w:rPr>
                <w:rStyle w:val="Hyperlink"/>
              </w:rPr>
              <w:tab/>
            </w:r>
            <w:r w:rsidR="003366B4">
              <w:fldChar w:fldCharType="begin"/>
            </w:r>
            <w:r w:rsidR="007E5C0A">
              <w:rPr>
                <w:rStyle w:val="Hyperlink"/>
              </w:rPr>
              <w:instrText xml:space="preserve"> PAGEREF _Toc256000377 \h </w:instrText>
            </w:r>
            <w:r w:rsidR="003366B4">
              <w:fldChar w:fldCharType="separate"/>
            </w:r>
            <w:r>
              <w:rPr>
                <w:rStyle w:val="Hyperlink"/>
                <w:noProof/>
              </w:rPr>
              <w:t>69</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78" w:history="1">
            <w:r w:rsidR="007E5C0A">
              <w:rPr>
                <w:rStyle w:val="Hyperlink"/>
              </w:rPr>
              <w:t>7.3</w:t>
            </w:r>
            <w:r w:rsidR="007E5C0A">
              <w:rPr>
                <w:rStyle w:val="Hyperlink"/>
                <w:rFonts w:asciiTheme="minorHAnsi" w:hAnsiTheme="minorHAnsi"/>
                <w:noProof/>
              </w:rPr>
              <w:tab/>
            </w:r>
            <w:r w:rsidR="007E5C0A" w:rsidRPr="00200CBE">
              <w:rPr>
                <w:rStyle w:val="Hyperlink"/>
              </w:rPr>
              <w:t>Projected revenue and expenses</w:t>
            </w:r>
            <w:r w:rsidR="007E5C0A">
              <w:rPr>
                <w:rStyle w:val="Hyperlink"/>
              </w:rPr>
              <w:tab/>
            </w:r>
            <w:r w:rsidR="003366B4">
              <w:fldChar w:fldCharType="begin"/>
            </w:r>
            <w:r w:rsidR="007E5C0A">
              <w:rPr>
                <w:rStyle w:val="Hyperlink"/>
              </w:rPr>
              <w:instrText xml:space="preserve"> PAGEREF _Toc256000378 \h </w:instrText>
            </w:r>
            <w:r w:rsidR="003366B4">
              <w:fldChar w:fldCharType="separate"/>
            </w:r>
            <w:r>
              <w:rPr>
                <w:rStyle w:val="Hyperlink"/>
                <w:noProof/>
              </w:rPr>
              <w:t>70</w:t>
            </w:r>
            <w:r w:rsidR="003366B4">
              <w:fldChar w:fldCharType="end"/>
            </w:r>
          </w:hyperlink>
        </w:p>
        <w:p w:rsidR="00397365" w:rsidRDefault="00FF3730">
          <w:pPr>
            <w:pStyle w:val="TOC1"/>
            <w:rPr>
              <w:rFonts w:asciiTheme="minorHAnsi" w:hAnsiTheme="minorHAnsi"/>
              <w:noProof/>
              <w:sz w:val="22"/>
            </w:rPr>
          </w:pPr>
          <w:hyperlink w:anchor="_Toc256000379" w:history="1">
            <w:r w:rsidR="007E5C0A">
              <w:rPr>
                <w:rStyle w:val="Hyperlink"/>
              </w:rPr>
              <w:t>8</w:t>
            </w:r>
            <w:r w:rsidR="007E5C0A">
              <w:rPr>
                <w:rStyle w:val="Hyperlink"/>
                <w:rFonts w:asciiTheme="minorHAnsi" w:hAnsiTheme="minorHAnsi"/>
                <w:noProof/>
                <w:sz w:val="22"/>
              </w:rPr>
              <w:tab/>
            </w:r>
            <w:r w:rsidR="007E5C0A">
              <w:rPr>
                <w:rStyle w:val="Hyperlink"/>
              </w:rPr>
              <w:t>FINANCIAL PERFORMANCE</w:t>
            </w:r>
            <w:r w:rsidR="007E5C0A">
              <w:rPr>
                <w:rStyle w:val="Hyperlink"/>
              </w:rPr>
              <w:tab/>
            </w:r>
            <w:r w:rsidR="003366B4">
              <w:fldChar w:fldCharType="begin"/>
            </w:r>
            <w:r w:rsidR="007E5C0A">
              <w:rPr>
                <w:rStyle w:val="Hyperlink"/>
              </w:rPr>
              <w:instrText xml:space="preserve"> PAGEREF _Toc256000379 \h </w:instrText>
            </w:r>
            <w:r w:rsidR="003366B4">
              <w:fldChar w:fldCharType="separate"/>
            </w:r>
            <w:r>
              <w:rPr>
                <w:rStyle w:val="Hyperlink"/>
                <w:noProof/>
              </w:rPr>
              <w:t>75</w:t>
            </w:r>
            <w:r w:rsidR="003366B4">
              <w:fldChar w:fldCharType="end"/>
            </w:r>
          </w:hyperlink>
        </w:p>
        <w:p w:rsidR="00397365" w:rsidRDefault="00FF3730">
          <w:pPr>
            <w:pStyle w:val="TOC1"/>
            <w:rPr>
              <w:rFonts w:asciiTheme="minorHAnsi" w:hAnsiTheme="minorHAnsi"/>
              <w:noProof/>
              <w:sz w:val="22"/>
            </w:rPr>
          </w:pPr>
          <w:hyperlink w:anchor="_Toc256000380" w:history="1">
            <w:r w:rsidR="007E5C0A">
              <w:rPr>
                <w:rStyle w:val="Hyperlink"/>
              </w:rPr>
              <w:t>9</w:t>
            </w:r>
            <w:r w:rsidR="007E5C0A">
              <w:rPr>
                <w:rStyle w:val="Hyperlink"/>
                <w:rFonts w:asciiTheme="minorHAnsi" w:hAnsiTheme="minorHAnsi"/>
                <w:noProof/>
                <w:sz w:val="22"/>
              </w:rPr>
              <w:tab/>
            </w:r>
            <w:r w:rsidR="007E5C0A" w:rsidRPr="00624D63">
              <w:rPr>
                <w:rStyle w:val="Hyperlink"/>
              </w:rPr>
              <w:t>NON- FINANCIAL PERFORMANCE</w:t>
            </w:r>
            <w:r w:rsidR="007E5C0A">
              <w:rPr>
                <w:rStyle w:val="Hyperlink"/>
              </w:rPr>
              <w:tab/>
            </w:r>
            <w:r w:rsidR="003366B4">
              <w:fldChar w:fldCharType="begin"/>
            </w:r>
            <w:r w:rsidR="007E5C0A">
              <w:rPr>
                <w:rStyle w:val="Hyperlink"/>
              </w:rPr>
              <w:instrText xml:space="preserve"> PAGEREF _Toc256000380 \h </w:instrText>
            </w:r>
            <w:r w:rsidR="003366B4">
              <w:fldChar w:fldCharType="separate"/>
            </w:r>
            <w:r>
              <w:rPr>
                <w:rStyle w:val="Hyperlink"/>
                <w:noProof/>
              </w:rPr>
              <w:t>76</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81" w:history="1">
            <w:r w:rsidR="007E5C0A">
              <w:rPr>
                <w:rStyle w:val="Hyperlink"/>
              </w:rPr>
              <w:t>9.1</w:t>
            </w:r>
            <w:r w:rsidR="007E5C0A">
              <w:rPr>
                <w:rStyle w:val="Hyperlink"/>
                <w:rFonts w:asciiTheme="minorHAnsi" w:hAnsiTheme="minorHAnsi"/>
                <w:noProof/>
              </w:rPr>
              <w:tab/>
            </w:r>
            <w:r w:rsidR="007E5C0A">
              <w:rPr>
                <w:rStyle w:val="Hyperlink"/>
              </w:rPr>
              <w:t>Non-financial performance indicators</w:t>
            </w:r>
            <w:r w:rsidR="007E5C0A">
              <w:rPr>
                <w:rStyle w:val="Hyperlink"/>
              </w:rPr>
              <w:tab/>
            </w:r>
            <w:r w:rsidR="003366B4">
              <w:fldChar w:fldCharType="begin"/>
            </w:r>
            <w:r w:rsidR="007E5C0A">
              <w:rPr>
                <w:rStyle w:val="Hyperlink"/>
              </w:rPr>
              <w:instrText xml:space="preserve"> PAGEREF _Toc256000381 \h </w:instrText>
            </w:r>
            <w:r w:rsidR="003366B4">
              <w:fldChar w:fldCharType="separate"/>
            </w:r>
            <w:r>
              <w:rPr>
                <w:rStyle w:val="Hyperlink"/>
                <w:noProof/>
              </w:rPr>
              <w:t>76</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82" w:history="1">
            <w:r w:rsidR="007E5C0A">
              <w:rPr>
                <w:rStyle w:val="Hyperlink"/>
              </w:rPr>
              <w:t>9.1.1</w:t>
            </w:r>
            <w:r w:rsidR="007E5C0A">
              <w:rPr>
                <w:rStyle w:val="Hyperlink"/>
                <w:rFonts w:asciiTheme="minorHAnsi" w:hAnsiTheme="minorHAnsi"/>
                <w:noProof/>
              </w:rPr>
              <w:tab/>
            </w:r>
            <w:r w:rsidR="007E5C0A">
              <w:rPr>
                <w:rStyle w:val="Hyperlink"/>
              </w:rPr>
              <w:t>Compliance with statutory timeframes</w:t>
            </w:r>
            <w:r w:rsidR="007E5C0A">
              <w:rPr>
                <w:rStyle w:val="Hyperlink"/>
              </w:rPr>
              <w:tab/>
            </w:r>
            <w:r w:rsidR="003366B4">
              <w:fldChar w:fldCharType="begin"/>
            </w:r>
            <w:r w:rsidR="007E5C0A">
              <w:rPr>
                <w:rStyle w:val="Hyperlink"/>
              </w:rPr>
              <w:instrText xml:space="preserve"> PAGEREF _Toc256000382 \h </w:instrText>
            </w:r>
            <w:r w:rsidR="003366B4">
              <w:fldChar w:fldCharType="separate"/>
            </w:r>
            <w:r>
              <w:rPr>
                <w:rStyle w:val="Hyperlink"/>
                <w:noProof/>
              </w:rPr>
              <w:t>76</w:t>
            </w:r>
            <w:r w:rsidR="003366B4">
              <w:fldChar w:fldCharType="end"/>
            </w:r>
          </w:hyperlink>
        </w:p>
        <w:p w:rsidR="00397365" w:rsidRDefault="00FF3730">
          <w:pPr>
            <w:pStyle w:val="TOC3"/>
            <w:tabs>
              <w:tab w:val="left" w:pos="1320"/>
              <w:tab w:val="right" w:leader="dot" w:pos="9202"/>
            </w:tabs>
            <w:rPr>
              <w:rFonts w:asciiTheme="minorHAnsi" w:hAnsiTheme="minorHAnsi"/>
              <w:noProof/>
            </w:rPr>
          </w:pPr>
          <w:hyperlink w:anchor="_Toc256000384" w:history="1">
            <w:r w:rsidR="007E5C0A">
              <w:rPr>
                <w:rStyle w:val="Hyperlink"/>
              </w:rPr>
              <w:t>9.1.2</w:t>
            </w:r>
            <w:r w:rsidR="007E5C0A">
              <w:rPr>
                <w:rStyle w:val="Hyperlink"/>
                <w:rFonts w:asciiTheme="minorHAnsi" w:hAnsiTheme="minorHAnsi"/>
                <w:noProof/>
              </w:rPr>
              <w:tab/>
            </w:r>
            <w:r w:rsidR="007E5C0A" w:rsidRPr="00C81B51">
              <w:rPr>
                <w:rStyle w:val="Hyperlink"/>
              </w:rPr>
              <w:t>Time taken to complete an assessment</w:t>
            </w:r>
            <w:r w:rsidR="007E5C0A">
              <w:rPr>
                <w:rStyle w:val="Hyperlink"/>
              </w:rPr>
              <w:tab/>
            </w:r>
            <w:r w:rsidR="003366B4">
              <w:fldChar w:fldCharType="begin"/>
            </w:r>
            <w:r w:rsidR="007E5C0A">
              <w:rPr>
                <w:rStyle w:val="Hyperlink"/>
              </w:rPr>
              <w:instrText xml:space="preserve"> PAGEREF _Toc256000384 \h </w:instrText>
            </w:r>
            <w:r w:rsidR="003366B4">
              <w:fldChar w:fldCharType="separate"/>
            </w:r>
            <w:r>
              <w:rPr>
                <w:rStyle w:val="Hyperlink"/>
                <w:noProof/>
              </w:rPr>
              <w:t>78</w:t>
            </w:r>
            <w:r w:rsidR="003366B4">
              <w:fldChar w:fldCharType="end"/>
            </w:r>
          </w:hyperlink>
        </w:p>
        <w:p w:rsidR="00397365" w:rsidRDefault="00FF3730">
          <w:pPr>
            <w:pStyle w:val="TOC2"/>
            <w:tabs>
              <w:tab w:val="left" w:pos="880"/>
              <w:tab w:val="right" w:leader="dot" w:pos="9202"/>
            </w:tabs>
            <w:rPr>
              <w:rFonts w:asciiTheme="minorHAnsi" w:hAnsiTheme="minorHAnsi"/>
              <w:noProof/>
            </w:rPr>
          </w:pPr>
          <w:hyperlink w:anchor="_Toc256000385" w:history="1">
            <w:r w:rsidR="007E5C0A">
              <w:rPr>
                <w:rStyle w:val="Hyperlink"/>
              </w:rPr>
              <w:t>9.2</w:t>
            </w:r>
            <w:r w:rsidR="007E5C0A">
              <w:rPr>
                <w:rStyle w:val="Hyperlink"/>
                <w:rFonts w:asciiTheme="minorHAnsi" w:hAnsiTheme="minorHAnsi"/>
                <w:noProof/>
              </w:rPr>
              <w:tab/>
            </w:r>
            <w:r w:rsidR="007E5C0A" w:rsidRPr="00FC12C4">
              <w:rPr>
                <w:rStyle w:val="Hyperlink"/>
              </w:rPr>
              <w:t>Monitoring mechanisms</w:t>
            </w:r>
            <w:r w:rsidR="007E5C0A">
              <w:rPr>
                <w:rStyle w:val="Hyperlink"/>
              </w:rPr>
              <w:tab/>
            </w:r>
            <w:r w:rsidR="003366B4">
              <w:fldChar w:fldCharType="begin"/>
            </w:r>
            <w:r w:rsidR="007E5C0A">
              <w:rPr>
                <w:rStyle w:val="Hyperlink"/>
              </w:rPr>
              <w:instrText xml:space="preserve"> PAGEREF _Toc256000385 \h </w:instrText>
            </w:r>
            <w:r w:rsidR="003366B4">
              <w:fldChar w:fldCharType="separate"/>
            </w:r>
            <w:r>
              <w:rPr>
                <w:rStyle w:val="Hyperlink"/>
                <w:noProof/>
              </w:rPr>
              <w:t>78</w:t>
            </w:r>
            <w:r w:rsidR="003366B4">
              <w:fldChar w:fldCharType="end"/>
            </w:r>
          </w:hyperlink>
        </w:p>
        <w:p w:rsidR="00397365" w:rsidRDefault="00FF3730">
          <w:pPr>
            <w:pStyle w:val="TOC1"/>
            <w:tabs>
              <w:tab w:val="left" w:pos="660"/>
            </w:tabs>
            <w:rPr>
              <w:rFonts w:asciiTheme="minorHAnsi" w:hAnsiTheme="minorHAnsi"/>
              <w:noProof/>
              <w:sz w:val="22"/>
            </w:rPr>
          </w:pPr>
          <w:hyperlink w:anchor="_Toc256000386" w:history="1">
            <w:r w:rsidR="007E5C0A">
              <w:rPr>
                <w:rStyle w:val="Hyperlink"/>
              </w:rPr>
              <w:t>10</w:t>
            </w:r>
            <w:r w:rsidR="007E5C0A">
              <w:rPr>
                <w:rStyle w:val="Hyperlink"/>
                <w:rFonts w:asciiTheme="minorHAnsi" w:hAnsiTheme="minorHAnsi"/>
                <w:noProof/>
                <w:sz w:val="22"/>
              </w:rPr>
              <w:tab/>
            </w:r>
            <w:r w:rsidR="007E5C0A">
              <w:rPr>
                <w:rStyle w:val="Hyperlink"/>
              </w:rPr>
              <w:t>KEY FORWARD DATES AND EVENTS</w:t>
            </w:r>
            <w:r w:rsidR="007E5C0A">
              <w:rPr>
                <w:rStyle w:val="Hyperlink"/>
              </w:rPr>
              <w:tab/>
            </w:r>
            <w:r w:rsidR="003366B4">
              <w:fldChar w:fldCharType="begin"/>
            </w:r>
            <w:r w:rsidR="007E5C0A">
              <w:rPr>
                <w:rStyle w:val="Hyperlink"/>
              </w:rPr>
              <w:instrText xml:space="preserve"> PAGEREF _Toc256000386 \h </w:instrText>
            </w:r>
            <w:r w:rsidR="003366B4">
              <w:fldChar w:fldCharType="separate"/>
            </w:r>
            <w:r>
              <w:rPr>
                <w:rStyle w:val="Hyperlink"/>
                <w:noProof/>
              </w:rPr>
              <w:t>78</w:t>
            </w:r>
            <w:r w:rsidR="003366B4">
              <w:fldChar w:fldCharType="end"/>
            </w:r>
          </w:hyperlink>
        </w:p>
        <w:p w:rsidR="00397365" w:rsidRDefault="00FF3730">
          <w:pPr>
            <w:pStyle w:val="TOC1"/>
            <w:tabs>
              <w:tab w:val="left" w:pos="660"/>
            </w:tabs>
            <w:rPr>
              <w:rFonts w:asciiTheme="minorHAnsi" w:hAnsiTheme="minorHAnsi"/>
              <w:noProof/>
              <w:sz w:val="22"/>
            </w:rPr>
          </w:pPr>
          <w:hyperlink w:anchor="_Toc256000387" w:history="1">
            <w:r w:rsidR="007E5C0A">
              <w:rPr>
                <w:rStyle w:val="Hyperlink"/>
              </w:rPr>
              <w:t>11</w:t>
            </w:r>
            <w:r w:rsidR="007E5C0A">
              <w:rPr>
                <w:rStyle w:val="Hyperlink"/>
                <w:rFonts w:asciiTheme="minorHAnsi" w:hAnsiTheme="minorHAnsi"/>
                <w:noProof/>
                <w:sz w:val="22"/>
              </w:rPr>
              <w:tab/>
            </w:r>
            <w:r w:rsidR="007E5C0A" w:rsidRPr="00F1382D">
              <w:rPr>
                <w:rStyle w:val="Hyperlink"/>
                <w:lang w:val="en-US"/>
              </w:rPr>
              <w:t>CRIS APPROVAL AND CHANGE REGISTER</w:t>
            </w:r>
            <w:r w:rsidR="007E5C0A">
              <w:rPr>
                <w:rStyle w:val="Hyperlink"/>
              </w:rPr>
              <w:tab/>
            </w:r>
            <w:r w:rsidR="003366B4">
              <w:fldChar w:fldCharType="begin"/>
            </w:r>
            <w:r w:rsidR="007E5C0A">
              <w:rPr>
                <w:rStyle w:val="Hyperlink"/>
              </w:rPr>
              <w:instrText xml:space="preserve"> PAGEREF _Toc256000387 \h </w:instrText>
            </w:r>
            <w:r w:rsidR="003366B4">
              <w:fldChar w:fldCharType="separate"/>
            </w:r>
            <w:r>
              <w:rPr>
                <w:rStyle w:val="Hyperlink"/>
                <w:noProof/>
              </w:rPr>
              <w:t>79</w:t>
            </w:r>
            <w:r w:rsidR="003366B4">
              <w:fldChar w:fldCharType="end"/>
            </w:r>
          </w:hyperlink>
        </w:p>
        <w:p w:rsidR="00397365" w:rsidRDefault="00FF3730">
          <w:pPr>
            <w:pStyle w:val="TOC1"/>
            <w:rPr>
              <w:rFonts w:asciiTheme="minorHAnsi" w:hAnsiTheme="minorHAnsi"/>
              <w:noProof/>
              <w:sz w:val="22"/>
            </w:rPr>
          </w:pPr>
          <w:hyperlink w:anchor="_Toc256000388" w:history="1">
            <w:r w:rsidR="007E5C0A" w:rsidRPr="00F34768">
              <w:rPr>
                <w:rStyle w:val="Hyperlink"/>
                <w:caps/>
              </w:rPr>
              <w:t>Appendix</w:t>
            </w:r>
            <w:r w:rsidR="007E5C0A" w:rsidRPr="00F34768">
              <w:rPr>
                <w:rStyle w:val="Hyperlink"/>
              </w:rPr>
              <w:t xml:space="preserve"> A: SCHEDULE OF FEES</w:t>
            </w:r>
            <w:r w:rsidR="007E5C0A">
              <w:rPr>
                <w:rStyle w:val="Hyperlink"/>
              </w:rPr>
              <w:tab/>
            </w:r>
            <w:r w:rsidR="003366B4">
              <w:fldChar w:fldCharType="begin"/>
            </w:r>
            <w:r w:rsidR="007E5C0A">
              <w:rPr>
                <w:rStyle w:val="Hyperlink"/>
              </w:rPr>
              <w:instrText xml:space="preserve"> PAGEREF _Toc256000388 \h </w:instrText>
            </w:r>
            <w:r w:rsidR="003366B4">
              <w:fldChar w:fldCharType="separate"/>
            </w:r>
            <w:r>
              <w:rPr>
                <w:rStyle w:val="Hyperlink"/>
                <w:noProof/>
              </w:rPr>
              <w:t>80</w:t>
            </w:r>
            <w:r w:rsidR="003366B4">
              <w:fldChar w:fldCharType="end"/>
            </w:r>
          </w:hyperlink>
        </w:p>
        <w:p w:rsidR="00397365" w:rsidRDefault="00FF3730">
          <w:pPr>
            <w:pStyle w:val="TOC2"/>
            <w:tabs>
              <w:tab w:val="right" w:leader="dot" w:pos="9202"/>
            </w:tabs>
            <w:rPr>
              <w:rFonts w:asciiTheme="minorHAnsi" w:hAnsiTheme="minorHAnsi"/>
              <w:noProof/>
            </w:rPr>
          </w:pPr>
          <w:hyperlink w:anchor="_Toc256000389" w:history="1">
            <w:r w:rsidR="007E5C0A" w:rsidRPr="00D61823">
              <w:rPr>
                <w:rStyle w:val="Hyperlink"/>
              </w:rPr>
              <w:t>Set fees</w:t>
            </w:r>
            <w:r w:rsidR="007E5C0A">
              <w:rPr>
                <w:rStyle w:val="Hyperlink"/>
              </w:rPr>
              <w:tab/>
            </w:r>
            <w:r w:rsidR="003366B4">
              <w:fldChar w:fldCharType="begin"/>
            </w:r>
            <w:r w:rsidR="007E5C0A">
              <w:rPr>
                <w:rStyle w:val="Hyperlink"/>
              </w:rPr>
              <w:instrText xml:space="preserve"> PAGEREF _Toc256000389 \h </w:instrText>
            </w:r>
            <w:r w:rsidR="003366B4">
              <w:fldChar w:fldCharType="separate"/>
            </w:r>
            <w:r>
              <w:rPr>
                <w:rStyle w:val="Hyperlink"/>
                <w:noProof/>
              </w:rPr>
              <w:t>80</w:t>
            </w:r>
            <w:r w:rsidR="003366B4">
              <w:fldChar w:fldCharType="end"/>
            </w:r>
          </w:hyperlink>
        </w:p>
        <w:p w:rsidR="00397365" w:rsidRDefault="00FF3730">
          <w:pPr>
            <w:pStyle w:val="TOC2"/>
            <w:tabs>
              <w:tab w:val="right" w:leader="dot" w:pos="9202"/>
            </w:tabs>
            <w:rPr>
              <w:rFonts w:asciiTheme="minorHAnsi" w:hAnsiTheme="minorHAnsi"/>
              <w:noProof/>
            </w:rPr>
          </w:pPr>
          <w:hyperlink w:anchor="_Toc256000390" w:history="1">
            <w:r w:rsidR="007E5C0A">
              <w:rPr>
                <w:rStyle w:val="Hyperlink"/>
              </w:rPr>
              <w:t>Assessment fees</w:t>
            </w:r>
            <w:r w:rsidR="007E5C0A">
              <w:rPr>
                <w:rStyle w:val="Hyperlink"/>
              </w:rPr>
              <w:tab/>
            </w:r>
            <w:r w:rsidR="003366B4">
              <w:fldChar w:fldCharType="begin"/>
            </w:r>
            <w:r w:rsidR="007E5C0A">
              <w:rPr>
                <w:rStyle w:val="Hyperlink"/>
              </w:rPr>
              <w:instrText xml:space="preserve"> PAGEREF _Toc256000390 \h </w:instrText>
            </w:r>
            <w:r w:rsidR="003366B4">
              <w:fldChar w:fldCharType="separate"/>
            </w:r>
            <w:r>
              <w:rPr>
                <w:rStyle w:val="Hyperlink"/>
                <w:noProof/>
              </w:rPr>
              <w:t>81</w:t>
            </w:r>
            <w:r w:rsidR="003366B4">
              <w:fldChar w:fldCharType="end"/>
            </w:r>
          </w:hyperlink>
        </w:p>
        <w:p w:rsidR="00397365" w:rsidRDefault="00FF3730">
          <w:pPr>
            <w:pStyle w:val="TOC1"/>
            <w:rPr>
              <w:rFonts w:asciiTheme="minorHAnsi" w:hAnsiTheme="minorHAnsi"/>
              <w:noProof/>
              <w:sz w:val="22"/>
            </w:rPr>
          </w:pPr>
          <w:hyperlink w:anchor="_Toc256000391" w:history="1">
            <w:r w:rsidR="007E5C0A" w:rsidRPr="00F34768">
              <w:rPr>
                <w:rStyle w:val="Hyperlink"/>
                <w:caps/>
              </w:rPr>
              <w:t xml:space="preserve">Appendix </w:t>
            </w:r>
            <w:r w:rsidR="007E5C0A">
              <w:rPr>
                <w:rStyle w:val="Hyperlink"/>
                <w:caps/>
              </w:rPr>
              <w:t>B</w:t>
            </w:r>
            <w:r w:rsidR="007E5C0A">
              <w:rPr>
                <w:rStyle w:val="Hyperlink"/>
              </w:rPr>
              <w:t>: COMPLEXITY MATRIX - FEES</w:t>
            </w:r>
            <w:r w:rsidR="007E5C0A">
              <w:rPr>
                <w:rStyle w:val="Hyperlink"/>
              </w:rPr>
              <w:tab/>
            </w:r>
            <w:r w:rsidR="003366B4">
              <w:fldChar w:fldCharType="begin"/>
            </w:r>
            <w:r w:rsidR="007E5C0A">
              <w:rPr>
                <w:rStyle w:val="Hyperlink"/>
              </w:rPr>
              <w:instrText xml:space="preserve"> PAGEREF _Toc256000391 \h </w:instrText>
            </w:r>
            <w:r w:rsidR="003366B4">
              <w:fldChar w:fldCharType="separate"/>
            </w:r>
            <w:r>
              <w:rPr>
                <w:rStyle w:val="Hyperlink"/>
                <w:noProof/>
              </w:rPr>
              <w:t>83</w:t>
            </w:r>
            <w:r w:rsidR="003366B4">
              <w:fldChar w:fldCharType="end"/>
            </w:r>
          </w:hyperlink>
        </w:p>
        <w:p w:rsidR="00397365" w:rsidRDefault="00FF3730">
          <w:pPr>
            <w:pStyle w:val="TOC1"/>
            <w:rPr>
              <w:rFonts w:asciiTheme="minorHAnsi" w:hAnsiTheme="minorHAnsi"/>
              <w:noProof/>
              <w:sz w:val="22"/>
            </w:rPr>
          </w:pPr>
          <w:hyperlink w:anchor="_Toc256000392" w:history="1">
            <w:r w:rsidR="007E5C0A" w:rsidRPr="00F34768">
              <w:rPr>
                <w:rStyle w:val="Hyperlink"/>
                <w:caps/>
              </w:rPr>
              <w:t xml:space="preserve">Appendix </w:t>
            </w:r>
            <w:r w:rsidR="007E5C0A">
              <w:rPr>
                <w:rStyle w:val="Hyperlink"/>
                <w:caps/>
              </w:rPr>
              <w:t>C</w:t>
            </w:r>
            <w:r w:rsidR="007E5C0A" w:rsidRPr="00F34768">
              <w:rPr>
                <w:rStyle w:val="Hyperlink"/>
              </w:rPr>
              <w:t xml:space="preserve">: COMPLEXITY </w:t>
            </w:r>
            <w:r w:rsidR="007E5C0A">
              <w:rPr>
                <w:rStyle w:val="Hyperlink"/>
              </w:rPr>
              <w:t>MATRIX - COSTS</w:t>
            </w:r>
            <w:r w:rsidR="007E5C0A">
              <w:rPr>
                <w:rStyle w:val="Hyperlink"/>
              </w:rPr>
              <w:tab/>
            </w:r>
            <w:r w:rsidR="003366B4">
              <w:fldChar w:fldCharType="begin"/>
            </w:r>
            <w:r w:rsidR="007E5C0A">
              <w:rPr>
                <w:rStyle w:val="Hyperlink"/>
              </w:rPr>
              <w:instrText xml:space="preserve"> PAGEREF _Toc256000392 \h </w:instrText>
            </w:r>
            <w:r w:rsidR="003366B4">
              <w:fldChar w:fldCharType="separate"/>
            </w:r>
            <w:r>
              <w:rPr>
                <w:rStyle w:val="Hyperlink"/>
                <w:noProof/>
              </w:rPr>
              <w:t>85</w:t>
            </w:r>
            <w:r w:rsidR="003366B4">
              <w:fldChar w:fldCharType="end"/>
            </w:r>
          </w:hyperlink>
        </w:p>
        <w:p w:rsidR="00397365" w:rsidRDefault="003366B4" w:rsidP="001A641D">
          <w:pPr>
            <w:spacing w:after="0" w:line="240" w:lineRule="auto"/>
          </w:pPr>
          <w:r>
            <w:fldChar w:fldCharType="end"/>
          </w:r>
        </w:p>
      </w:sdtContent>
    </w:sdt>
    <w:p w:rsidR="001A641D" w:rsidRDefault="007E5C0A">
      <w:pPr>
        <w:pStyle w:val="TOAHeading"/>
      </w:pPr>
      <w:r>
        <w:t>List of Figures</w:t>
      </w:r>
    </w:p>
    <w:p w:rsidR="00BB4019" w:rsidRDefault="003366B4">
      <w:pPr>
        <w:pStyle w:val="TableofFigures"/>
        <w:tabs>
          <w:tab w:val="right" w:leader="dot" w:pos="9202"/>
        </w:tabs>
        <w:rPr>
          <w:rFonts w:eastAsiaTheme="minorEastAsia" w:cstheme="minorBidi"/>
          <w:i w:val="0"/>
          <w:iCs w:val="0"/>
          <w:noProof/>
          <w:sz w:val="22"/>
          <w:szCs w:val="22"/>
          <w:lang w:eastAsia="en-AU"/>
        </w:rPr>
      </w:pPr>
      <w:r>
        <w:fldChar w:fldCharType="begin"/>
      </w:r>
      <w:r w:rsidR="007E5C0A">
        <w:instrText xml:space="preserve"> TOC \h \z \c "Figure" </w:instrText>
      </w:r>
      <w:r>
        <w:fldChar w:fldCharType="separate"/>
      </w:r>
      <w:hyperlink w:anchor="_Toc459108585" w:history="1">
        <w:r w:rsidR="00BB4019" w:rsidRPr="00B76E0F">
          <w:rPr>
            <w:rStyle w:val="Hyperlink"/>
            <w:noProof/>
          </w:rPr>
          <w:t>Figure 1. Number of EPBC Act referrals by industry from 1 July 2007 to 30 June 2016.</w:t>
        </w:r>
        <w:r w:rsidR="00BB4019">
          <w:rPr>
            <w:noProof/>
            <w:webHidden/>
          </w:rPr>
          <w:tab/>
        </w:r>
        <w:r>
          <w:rPr>
            <w:noProof/>
            <w:webHidden/>
          </w:rPr>
          <w:fldChar w:fldCharType="begin"/>
        </w:r>
        <w:r w:rsidR="00BB4019">
          <w:rPr>
            <w:noProof/>
            <w:webHidden/>
          </w:rPr>
          <w:instrText xml:space="preserve"> PAGEREF _Toc459108585 \h </w:instrText>
        </w:r>
        <w:r>
          <w:rPr>
            <w:noProof/>
            <w:webHidden/>
          </w:rPr>
        </w:r>
        <w:r>
          <w:rPr>
            <w:noProof/>
            <w:webHidden/>
          </w:rPr>
          <w:fldChar w:fldCharType="separate"/>
        </w:r>
        <w:r w:rsidR="00FF3730">
          <w:rPr>
            <w:noProof/>
            <w:webHidden/>
          </w:rPr>
          <w:t>7</w:t>
        </w:r>
        <w:r>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86" w:history="1">
        <w:r w:rsidR="00BB4019" w:rsidRPr="00B76E0F">
          <w:rPr>
            <w:rStyle w:val="Hyperlink"/>
            <w:noProof/>
          </w:rPr>
          <w:t>Figure 2. The EPBC Act cost recovery charging model</w:t>
        </w:r>
        <w:r w:rsidR="00BB4019">
          <w:rPr>
            <w:noProof/>
            <w:webHidden/>
          </w:rPr>
          <w:tab/>
        </w:r>
        <w:r w:rsidR="003366B4">
          <w:rPr>
            <w:noProof/>
            <w:webHidden/>
          </w:rPr>
          <w:fldChar w:fldCharType="begin"/>
        </w:r>
        <w:r w:rsidR="00BB4019">
          <w:rPr>
            <w:noProof/>
            <w:webHidden/>
          </w:rPr>
          <w:instrText xml:space="preserve"> PAGEREF _Toc459108586 \h </w:instrText>
        </w:r>
        <w:r w:rsidR="003366B4">
          <w:rPr>
            <w:noProof/>
            <w:webHidden/>
          </w:rPr>
        </w:r>
        <w:r w:rsidR="003366B4">
          <w:rPr>
            <w:noProof/>
            <w:webHidden/>
          </w:rPr>
          <w:fldChar w:fldCharType="separate"/>
        </w:r>
        <w:r>
          <w:rPr>
            <w:noProof/>
            <w:webHidden/>
          </w:rPr>
          <w:t>10</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87" w:history="1">
        <w:r w:rsidR="00BB4019" w:rsidRPr="00B76E0F">
          <w:rPr>
            <w:rStyle w:val="Hyperlink"/>
            <w:noProof/>
          </w:rPr>
          <w:t>Figure 3. Overview of the environmental impact assessment process.</w:t>
        </w:r>
        <w:r w:rsidR="00BB4019">
          <w:rPr>
            <w:noProof/>
            <w:webHidden/>
          </w:rPr>
          <w:tab/>
        </w:r>
        <w:r w:rsidR="003366B4">
          <w:rPr>
            <w:noProof/>
            <w:webHidden/>
          </w:rPr>
          <w:fldChar w:fldCharType="begin"/>
        </w:r>
        <w:r w:rsidR="00BB4019">
          <w:rPr>
            <w:noProof/>
            <w:webHidden/>
          </w:rPr>
          <w:instrText xml:space="preserve"> PAGEREF _Toc459108587 \h </w:instrText>
        </w:r>
        <w:r w:rsidR="003366B4">
          <w:rPr>
            <w:noProof/>
            <w:webHidden/>
          </w:rPr>
        </w:r>
        <w:r w:rsidR="003366B4">
          <w:rPr>
            <w:noProof/>
            <w:webHidden/>
          </w:rPr>
          <w:fldChar w:fldCharType="separate"/>
        </w:r>
        <w:r>
          <w:rPr>
            <w:noProof/>
            <w:webHidden/>
          </w:rPr>
          <w:t>14</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88" w:history="1">
        <w:r w:rsidR="00BB4019" w:rsidRPr="00B76E0F">
          <w:rPr>
            <w:rStyle w:val="Hyperlink"/>
            <w:noProof/>
          </w:rPr>
          <w:t>Figure 4. The standard referral process for environmental impact assessment</w:t>
        </w:r>
        <w:r w:rsidR="00BB4019">
          <w:rPr>
            <w:noProof/>
            <w:webHidden/>
          </w:rPr>
          <w:tab/>
        </w:r>
        <w:r w:rsidR="003366B4">
          <w:rPr>
            <w:noProof/>
            <w:webHidden/>
          </w:rPr>
          <w:fldChar w:fldCharType="begin"/>
        </w:r>
        <w:r w:rsidR="00BB4019">
          <w:rPr>
            <w:noProof/>
            <w:webHidden/>
          </w:rPr>
          <w:instrText xml:space="preserve"> PAGEREF _Toc459108588 \h </w:instrText>
        </w:r>
        <w:r w:rsidR="003366B4">
          <w:rPr>
            <w:noProof/>
            <w:webHidden/>
          </w:rPr>
        </w:r>
        <w:r w:rsidR="003366B4">
          <w:rPr>
            <w:noProof/>
            <w:webHidden/>
          </w:rPr>
          <w:fldChar w:fldCharType="separate"/>
        </w:r>
        <w:r>
          <w:rPr>
            <w:noProof/>
            <w:webHidden/>
          </w:rPr>
          <w:t>15</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89" w:history="1">
        <w:r w:rsidR="00BB4019" w:rsidRPr="00B76E0F">
          <w:rPr>
            <w:rStyle w:val="Hyperlink"/>
            <w:noProof/>
          </w:rPr>
          <w:t>Figure 5. The EPBC Act cost recovery charging model for environmental impact assessments.</w:t>
        </w:r>
        <w:r w:rsidR="00BB4019">
          <w:rPr>
            <w:noProof/>
            <w:webHidden/>
          </w:rPr>
          <w:tab/>
        </w:r>
        <w:r w:rsidR="003366B4">
          <w:rPr>
            <w:noProof/>
            <w:webHidden/>
          </w:rPr>
          <w:fldChar w:fldCharType="begin"/>
        </w:r>
        <w:r w:rsidR="00BB4019">
          <w:rPr>
            <w:noProof/>
            <w:webHidden/>
          </w:rPr>
          <w:instrText xml:space="preserve"> PAGEREF _Toc459108589 \h </w:instrText>
        </w:r>
        <w:r w:rsidR="003366B4">
          <w:rPr>
            <w:noProof/>
            <w:webHidden/>
          </w:rPr>
        </w:r>
        <w:r w:rsidR="003366B4">
          <w:rPr>
            <w:noProof/>
            <w:webHidden/>
          </w:rPr>
          <w:fldChar w:fldCharType="separate"/>
        </w:r>
        <w:r>
          <w:rPr>
            <w:noProof/>
            <w:webHidden/>
          </w:rPr>
          <w:t>36</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90" w:history="1">
        <w:r w:rsidR="00BB4019" w:rsidRPr="00B76E0F">
          <w:rPr>
            <w:rStyle w:val="Hyperlink"/>
            <w:noProof/>
          </w:rPr>
          <w:t>Figure 6. Fee stages flow chart for assessment on referral information.</w:t>
        </w:r>
        <w:r w:rsidR="00BB4019">
          <w:rPr>
            <w:noProof/>
            <w:webHidden/>
          </w:rPr>
          <w:tab/>
        </w:r>
        <w:r w:rsidR="003366B4">
          <w:rPr>
            <w:noProof/>
            <w:webHidden/>
          </w:rPr>
          <w:fldChar w:fldCharType="begin"/>
        </w:r>
        <w:r w:rsidR="00BB4019">
          <w:rPr>
            <w:noProof/>
            <w:webHidden/>
          </w:rPr>
          <w:instrText xml:space="preserve"> PAGEREF _Toc459108590 \h </w:instrText>
        </w:r>
        <w:r w:rsidR="003366B4">
          <w:rPr>
            <w:noProof/>
            <w:webHidden/>
          </w:rPr>
        </w:r>
        <w:r w:rsidR="003366B4">
          <w:rPr>
            <w:noProof/>
            <w:webHidden/>
          </w:rPr>
          <w:fldChar w:fldCharType="separate"/>
        </w:r>
        <w:r>
          <w:rPr>
            <w:noProof/>
            <w:webHidden/>
          </w:rPr>
          <w:t>41</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91" w:history="1">
        <w:r w:rsidR="00BB4019" w:rsidRPr="00B76E0F">
          <w:rPr>
            <w:rStyle w:val="Hyperlink"/>
            <w:noProof/>
          </w:rPr>
          <w:t>Figure 7. Fee stages flow chart for preliminary documentation.</w:t>
        </w:r>
        <w:r w:rsidR="00BB4019">
          <w:rPr>
            <w:noProof/>
            <w:webHidden/>
          </w:rPr>
          <w:tab/>
        </w:r>
        <w:r w:rsidR="003366B4">
          <w:rPr>
            <w:noProof/>
            <w:webHidden/>
          </w:rPr>
          <w:fldChar w:fldCharType="begin"/>
        </w:r>
        <w:r w:rsidR="00BB4019">
          <w:rPr>
            <w:noProof/>
            <w:webHidden/>
          </w:rPr>
          <w:instrText xml:space="preserve"> PAGEREF _Toc459108591 \h </w:instrText>
        </w:r>
        <w:r w:rsidR="003366B4">
          <w:rPr>
            <w:noProof/>
            <w:webHidden/>
          </w:rPr>
        </w:r>
        <w:r w:rsidR="003366B4">
          <w:rPr>
            <w:noProof/>
            <w:webHidden/>
          </w:rPr>
          <w:fldChar w:fldCharType="separate"/>
        </w:r>
        <w:r>
          <w:rPr>
            <w:noProof/>
            <w:webHidden/>
          </w:rPr>
          <w:t>44</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92" w:history="1">
        <w:r w:rsidR="00BB4019" w:rsidRPr="00B76E0F">
          <w:rPr>
            <w:rStyle w:val="Hyperlink"/>
            <w:noProof/>
          </w:rPr>
          <w:t>Figure 8. Fee stages flowchart for public environment report and environmental impact statement process.</w:t>
        </w:r>
        <w:r w:rsidR="00BB4019">
          <w:rPr>
            <w:noProof/>
            <w:webHidden/>
          </w:rPr>
          <w:tab/>
        </w:r>
        <w:r w:rsidR="003366B4">
          <w:rPr>
            <w:noProof/>
            <w:webHidden/>
          </w:rPr>
          <w:fldChar w:fldCharType="begin"/>
        </w:r>
        <w:r w:rsidR="00BB4019">
          <w:rPr>
            <w:noProof/>
            <w:webHidden/>
          </w:rPr>
          <w:instrText xml:space="preserve"> PAGEREF _Toc459108592 \h </w:instrText>
        </w:r>
        <w:r w:rsidR="003366B4">
          <w:rPr>
            <w:noProof/>
            <w:webHidden/>
          </w:rPr>
        </w:r>
        <w:r w:rsidR="003366B4">
          <w:rPr>
            <w:noProof/>
            <w:webHidden/>
          </w:rPr>
          <w:fldChar w:fldCharType="separate"/>
        </w:r>
        <w:r>
          <w:rPr>
            <w:noProof/>
            <w:webHidden/>
          </w:rPr>
          <w:t>48</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93" w:history="1">
        <w:r w:rsidR="00BB4019" w:rsidRPr="00B76E0F">
          <w:rPr>
            <w:rStyle w:val="Hyperlink"/>
            <w:noProof/>
          </w:rPr>
          <w:t>Figure 9. Fee stages flowchart for bilateral or accredited assessment process.</w:t>
        </w:r>
        <w:r w:rsidR="00BB4019">
          <w:rPr>
            <w:noProof/>
            <w:webHidden/>
          </w:rPr>
          <w:tab/>
        </w:r>
        <w:r w:rsidR="003366B4">
          <w:rPr>
            <w:noProof/>
            <w:webHidden/>
          </w:rPr>
          <w:fldChar w:fldCharType="begin"/>
        </w:r>
        <w:r w:rsidR="00BB4019">
          <w:rPr>
            <w:noProof/>
            <w:webHidden/>
          </w:rPr>
          <w:instrText xml:space="preserve"> PAGEREF _Toc459108593 \h </w:instrText>
        </w:r>
        <w:r w:rsidR="003366B4">
          <w:rPr>
            <w:noProof/>
            <w:webHidden/>
          </w:rPr>
        </w:r>
        <w:r w:rsidR="003366B4">
          <w:rPr>
            <w:noProof/>
            <w:webHidden/>
          </w:rPr>
          <w:fldChar w:fldCharType="separate"/>
        </w:r>
        <w:r>
          <w:rPr>
            <w:noProof/>
            <w:webHidden/>
          </w:rPr>
          <w:t>52</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94" w:history="1">
        <w:r w:rsidR="00BB4019" w:rsidRPr="00B76E0F">
          <w:rPr>
            <w:rStyle w:val="Hyperlink"/>
            <w:noProof/>
          </w:rPr>
          <w:t>Figure 10. Strategic assessments process.</w:t>
        </w:r>
        <w:r w:rsidR="00BB4019">
          <w:rPr>
            <w:noProof/>
            <w:webHidden/>
          </w:rPr>
          <w:tab/>
        </w:r>
        <w:r w:rsidR="003366B4">
          <w:rPr>
            <w:noProof/>
            <w:webHidden/>
          </w:rPr>
          <w:fldChar w:fldCharType="begin"/>
        </w:r>
        <w:r w:rsidR="00BB4019">
          <w:rPr>
            <w:noProof/>
            <w:webHidden/>
          </w:rPr>
          <w:instrText xml:space="preserve"> PAGEREF _Toc459108594 \h </w:instrText>
        </w:r>
        <w:r w:rsidR="003366B4">
          <w:rPr>
            <w:noProof/>
            <w:webHidden/>
          </w:rPr>
        </w:r>
        <w:r w:rsidR="003366B4">
          <w:rPr>
            <w:noProof/>
            <w:webHidden/>
          </w:rPr>
          <w:fldChar w:fldCharType="separate"/>
        </w:r>
        <w:r>
          <w:rPr>
            <w:noProof/>
            <w:webHidden/>
          </w:rPr>
          <w:t>58</w:t>
        </w:r>
        <w:r w:rsidR="003366B4">
          <w:rPr>
            <w:noProof/>
            <w:webHidden/>
          </w:rPr>
          <w:fldChar w:fldCharType="end"/>
        </w:r>
      </w:hyperlink>
    </w:p>
    <w:p w:rsidR="00BB4019" w:rsidRDefault="00FF3730">
      <w:pPr>
        <w:pStyle w:val="TableofFigures"/>
        <w:tabs>
          <w:tab w:val="right" w:leader="dot" w:pos="9202"/>
        </w:tabs>
        <w:rPr>
          <w:rFonts w:eastAsiaTheme="minorEastAsia" w:cstheme="minorBidi"/>
          <w:i w:val="0"/>
          <w:iCs w:val="0"/>
          <w:noProof/>
          <w:sz w:val="22"/>
          <w:szCs w:val="22"/>
          <w:lang w:eastAsia="en-AU"/>
        </w:rPr>
      </w:pPr>
      <w:hyperlink w:anchor="_Toc459108595" w:history="1">
        <w:r w:rsidR="00BB4019" w:rsidRPr="00B76E0F">
          <w:rPr>
            <w:rStyle w:val="Hyperlink"/>
            <w:noProof/>
          </w:rPr>
          <w:t>Figure 11. Average of calendar days from referral to approval: 2008 - 2015</w:t>
        </w:r>
        <w:r w:rsidR="00BB4019">
          <w:rPr>
            <w:noProof/>
            <w:webHidden/>
          </w:rPr>
          <w:tab/>
        </w:r>
        <w:r w:rsidR="003366B4">
          <w:rPr>
            <w:noProof/>
            <w:webHidden/>
          </w:rPr>
          <w:fldChar w:fldCharType="begin"/>
        </w:r>
        <w:r w:rsidR="00BB4019">
          <w:rPr>
            <w:noProof/>
            <w:webHidden/>
          </w:rPr>
          <w:instrText xml:space="preserve"> PAGEREF _Toc459108595 \h </w:instrText>
        </w:r>
        <w:r w:rsidR="003366B4">
          <w:rPr>
            <w:noProof/>
            <w:webHidden/>
          </w:rPr>
        </w:r>
        <w:r w:rsidR="003366B4">
          <w:rPr>
            <w:noProof/>
            <w:webHidden/>
          </w:rPr>
          <w:fldChar w:fldCharType="separate"/>
        </w:r>
        <w:r>
          <w:rPr>
            <w:noProof/>
            <w:webHidden/>
          </w:rPr>
          <w:t>78</w:t>
        </w:r>
        <w:r w:rsidR="003366B4">
          <w:rPr>
            <w:noProof/>
            <w:webHidden/>
          </w:rPr>
          <w:fldChar w:fldCharType="end"/>
        </w:r>
      </w:hyperlink>
    </w:p>
    <w:p w:rsidR="00397365" w:rsidRDefault="003366B4">
      <w:pPr>
        <w:spacing w:after="0" w:line="240" w:lineRule="auto"/>
      </w:pPr>
      <w:r>
        <w:fldChar w:fldCharType="end"/>
      </w:r>
    </w:p>
    <w:p w:rsidR="001A641D" w:rsidRDefault="007E5C0A" w:rsidP="001A641D">
      <w:pPr>
        <w:pStyle w:val="TOAHeading"/>
      </w:pPr>
      <w:r>
        <w:t>List of Examples</w:t>
      </w:r>
    </w:p>
    <w:p w:rsidR="00397365" w:rsidRDefault="003366B4">
      <w:pPr>
        <w:pStyle w:val="TableofFigures"/>
        <w:tabs>
          <w:tab w:val="right" w:leader="dot" w:pos="9202"/>
        </w:tabs>
        <w:rPr>
          <w:noProof/>
          <w:sz w:val="22"/>
        </w:rPr>
      </w:pPr>
      <w:r>
        <w:fldChar w:fldCharType="begin"/>
      </w:r>
      <w:r w:rsidR="007E5C0A">
        <w:instrText xml:space="preserve"> TOC \h \z \c "Example" </w:instrText>
      </w:r>
      <w:r>
        <w:fldChar w:fldCharType="separate"/>
      </w:r>
      <w:hyperlink w:anchor="_Toc256000404" w:history="1">
        <w:r w:rsidR="007E5C0A">
          <w:rPr>
            <w:rStyle w:val="Hyperlink"/>
          </w:rPr>
          <w:t xml:space="preserve">Example 1. </w:t>
        </w:r>
        <w:r w:rsidR="007E5C0A" w:rsidRPr="003345C9">
          <w:rPr>
            <w:rStyle w:val="Hyperlink"/>
          </w:rPr>
          <w:t>Highway upgrade (Assessment on referral information)</w:t>
        </w:r>
        <w:r w:rsidR="007E5C0A">
          <w:rPr>
            <w:rStyle w:val="Hyperlink"/>
          </w:rPr>
          <w:tab/>
        </w:r>
        <w:r>
          <w:fldChar w:fldCharType="begin"/>
        </w:r>
        <w:r w:rsidR="007E5C0A">
          <w:rPr>
            <w:rStyle w:val="Hyperlink"/>
          </w:rPr>
          <w:instrText xml:space="preserve"> PAGEREF _Toc256000404 \h </w:instrText>
        </w:r>
        <w:r>
          <w:fldChar w:fldCharType="separate"/>
        </w:r>
        <w:r w:rsidR="00FF3730">
          <w:rPr>
            <w:rStyle w:val="Hyperlink"/>
            <w:noProof/>
          </w:rPr>
          <w:t>42</w:t>
        </w:r>
        <w:r>
          <w:fldChar w:fldCharType="end"/>
        </w:r>
      </w:hyperlink>
    </w:p>
    <w:p w:rsidR="00397365" w:rsidRDefault="00FF3730">
      <w:pPr>
        <w:pStyle w:val="TableofFigures"/>
        <w:tabs>
          <w:tab w:val="right" w:leader="dot" w:pos="9202"/>
        </w:tabs>
        <w:rPr>
          <w:noProof/>
          <w:sz w:val="22"/>
        </w:rPr>
      </w:pPr>
      <w:hyperlink w:anchor="_Toc256000405" w:history="1">
        <w:r w:rsidR="007E5C0A">
          <w:rPr>
            <w:rStyle w:val="Hyperlink"/>
          </w:rPr>
          <w:t xml:space="preserve">Example 2. </w:t>
        </w:r>
        <w:r w:rsidR="007E5C0A" w:rsidRPr="000D4E93">
          <w:rPr>
            <w:rStyle w:val="Hyperlink"/>
          </w:rPr>
          <w:t>Residential development (preliminary documentation)</w:t>
        </w:r>
        <w:r w:rsidR="007E5C0A">
          <w:rPr>
            <w:rStyle w:val="Hyperlink"/>
          </w:rPr>
          <w:tab/>
        </w:r>
        <w:r w:rsidR="003366B4">
          <w:fldChar w:fldCharType="begin"/>
        </w:r>
        <w:r w:rsidR="007E5C0A">
          <w:rPr>
            <w:rStyle w:val="Hyperlink"/>
          </w:rPr>
          <w:instrText xml:space="preserve"> PAGEREF _Toc256000405 \h </w:instrText>
        </w:r>
        <w:r w:rsidR="003366B4">
          <w:fldChar w:fldCharType="separate"/>
        </w:r>
        <w:r>
          <w:rPr>
            <w:rStyle w:val="Hyperlink"/>
            <w:noProof/>
          </w:rPr>
          <w:t>45</w:t>
        </w:r>
        <w:r w:rsidR="003366B4">
          <w:fldChar w:fldCharType="end"/>
        </w:r>
      </w:hyperlink>
    </w:p>
    <w:p w:rsidR="00397365" w:rsidRDefault="00FF3730">
      <w:pPr>
        <w:pStyle w:val="TableofFigures"/>
        <w:tabs>
          <w:tab w:val="right" w:leader="dot" w:pos="9202"/>
        </w:tabs>
        <w:rPr>
          <w:noProof/>
          <w:sz w:val="22"/>
        </w:rPr>
      </w:pPr>
      <w:hyperlink w:anchor="_Toc256000406" w:history="1">
        <w:r w:rsidR="007E5C0A">
          <w:rPr>
            <w:rStyle w:val="Hyperlink"/>
          </w:rPr>
          <w:t xml:space="preserve">Example 3. </w:t>
        </w:r>
        <w:r w:rsidR="007E5C0A" w:rsidRPr="008675B7">
          <w:rPr>
            <w:rStyle w:val="Hyperlink"/>
          </w:rPr>
          <w:t>Residential development (preliminary documentation)</w:t>
        </w:r>
        <w:r w:rsidR="007E5C0A">
          <w:rPr>
            <w:rStyle w:val="Hyperlink"/>
          </w:rPr>
          <w:tab/>
        </w:r>
        <w:r w:rsidR="003366B4">
          <w:fldChar w:fldCharType="begin"/>
        </w:r>
        <w:r w:rsidR="007E5C0A">
          <w:rPr>
            <w:rStyle w:val="Hyperlink"/>
          </w:rPr>
          <w:instrText xml:space="preserve"> PAGEREF _Toc256000406 \h </w:instrText>
        </w:r>
        <w:r w:rsidR="003366B4">
          <w:fldChar w:fldCharType="separate"/>
        </w:r>
        <w:r>
          <w:rPr>
            <w:rStyle w:val="Hyperlink"/>
            <w:noProof/>
          </w:rPr>
          <w:t>46</w:t>
        </w:r>
        <w:r w:rsidR="003366B4">
          <w:fldChar w:fldCharType="end"/>
        </w:r>
      </w:hyperlink>
    </w:p>
    <w:p w:rsidR="00397365" w:rsidRDefault="00FF3730">
      <w:pPr>
        <w:pStyle w:val="TableofFigures"/>
        <w:tabs>
          <w:tab w:val="right" w:leader="dot" w:pos="9202"/>
        </w:tabs>
        <w:rPr>
          <w:noProof/>
          <w:sz w:val="22"/>
        </w:rPr>
      </w:pPr>
      <w:hyperlink w:anchor="_Toc256000407" w:history="1">
        <w:r w:rsidR="007E5C0A">
          <w:rPr>
            <w:rStyle w:val="Hyperlink"/>
          </w:rPr>
          <w:t xml:space="preserve">Example 4. </w:t>
        </w:r>
        <w:r w:rsidR="007E5C0A" w:rsidRPr="00BC693E">
          <w:rPr>
            <w:rStyle w:val="Hyperlink"/>
          </w:rPr>
          <w:t xml:space="preserve">Mine, rail </w:t>
        </w:r>
        <w:r w:rsidR="007E5C0A">
          <w:rPr>
            <w:rStyle w:val="Hyperlink"/>
          </w:rPr>
          <w:t>&amp;</w:t>
        </w:r>
        <w:r w:rsidR="007E5C0A" w:rsidRPr="00BC693E">
          <w:rPr>
            <w:rStyle w:val="Hyperlink"/>
          </w:rPr>
          <w:t xml:space="preserve"> port development with associated offshore dredging (environmental impact statement)</w:t>
        </w:r>
        <w:r w:rsidR="007E5C0A">
          <w:rPr>
            <w:rStyle w:val="Hyperlink"/>
          </w:rPr>
          <w:tab/>
        </w:r>
        <w:r w:rsidR="003366B4">
          <w:fldChar w:fldCharType="begin"/>
        </w:r>
        <w:r w:rsidR="007E5C0A">
          <w:rPr>
            <w:rStyle w:val="Hyperlink"/>
          </w:rPr>
          <w:instrText xml:space="preserve"> PAGEREF _Toc256000407 \h </w:instrText>
        </w:r>
        <w:r w:rsidR="003366B4">
          <w:fldChar w:fldCharType="separate"/>
        </w:r>
        <w:r>
          <w:rPr>
            <w:rStyle w:val="Hyperlink"/>
            <w:noProof/>
          </w:rPr>
          <w:t>49</w:t>
        </w:r>
        <w:r w:rsidR="003366B4">
          <w:fldChar w:fldCharType="end"/>
        </w:r>
      </w:hyperlink>
    </w:p>
    <w:p w:rsidR="00397365" w:rsidRDefault="00FF3730">
      <w:pPr>
        <w:pStyle w:val="TableofFigures"/>
        <w:tabs>
          <w:tab w:val="right" w:leader="dot" w:pos="9202"/>
        </w:tabs>
        <w:rPr>
          <w:noProof/>
          <w:sz w:val="22"/>
        </w:rPr>
      </w:pPr>
      <w:hyperlink w:anchor="_Toc256000408" w:history="1">
        <w:r w:rsidR="007E5C0A">
          <w:rPr>
            <w:rStyle w:val="Hyperlink"/>
          </w:rPr>
          <w:t xml:space="preserve">Example 5. </w:t>
        </w:r>
        <w:r w:rsidR="007E5C0A" w:rsidRPr="003119F7">
          <w:rPr>
            <w:rStyle w:val="Hyperlink"/>
          </w:rPr>
          <w:t>Mine, Rail &amp; Port with associated offshore dredging (bilateral assessment)</w:t>
        </w:r>
        <w:r w:rsidR="007E5C0A">
          <w:rPr>
            <w:rStyle w:val="Hyperlink"/>
          </w:rPr>
          <w:tab/>
        </w:r>
        <w:r w:rsidR="003366B4">
          <w:fldChar w:fldCharType="begin"/>
        </w:r>
        <w:r w:rsidR="007E5C0A">
          <w:rPr>
            <w:rStyle w:val="Hyperlink"/>
          </w:rPr>
          <w:instrText xml:space="preserve"> PAGEREF _Toc256000408 \h </w:instrText>
        </w:r>
        <w:r w:rsidR="003366B4">
          <w:fldChar w:fldCharType="separate"/>
        </w:r>
        <w:r>
          <w:rPr>
            <w:rStyle w:val="Hyperlink"/>
            <w:noProof/>
          </w:rPr>
          <w:t>53</w:t>
        </w:r>
        <w:r w:rsidR="003366B4">
          <w:fldChar w:fldCharType="end"/>
        </w:r>
      </w:hyperlink>
    </w:p>
    <w:p w:rsidR="00397365" w:rsidRDefault="00FF3730">
      <w:pPr>
        <w:pStyle w:val="TableofFigures"/>
        <w:tabs>
          <w:tab w:val="right" w:leader="dot" w:pos="9202"/>
        </w:tabs>
        <w:rPr>
          <w:noProof/>
          <w:sz w:val="22"/>
        </w:rPr>
      </w:pPr>
      <w:hyperlink w:anchor="_Toc256000409" w:history="1">
        <w:r w:rsidR="007E5C0A" w:rsidRPr="00AC5C46">
          <w:rPr>
            <w:rStyle w:val="Hyperlink"/>
          </w:rPr>
          <w:t>Example 6. Strategic assessment</w:t>
        </w:r>
        <w:r w:rsidR="007E5C0A">
          <w:rPr>
            <w:rStyle w:val="Hyperlink"/>
          </w:rPr>
          <w:tab/>
        </w:r>
        <w:r w:rsidR="003366B4">
          <w:fldChar w:fldCharType="begin"/>
        </w:r>
        <w:r w:rsidR="007E5C0A">
          <w:rPr>
            <w:rStyle w:val="Hyperlink"/>
          </w:rPr>
          <w:instrText xml:space="preserve"> PAGEREF _Toc256000409 \h </w:instrText>
        </w:r>
        <w:r w:rsidR="003366B4">
          <w:fldChar w:fldCharType="separate"/>
        </w:r>
        <w:r>
          <w:rPr>
            <w:rStyle w:val="Hyperlink"/>
            <w:noProof/>
          </w:rPr>
          <w:t>62</w:t>
        </w:r>
        <w:r w:rsidR="003366B4">
          <w:fldChar w:fldCharType="end"/>
        </w:r>
      </w:hyperlink>
    </w:p>
    <w:p w:rsidR="00397365" w:rsidRDefault="003366B4" w:rsidP="001A641D">
      <w:pPr>
        <w:pStyle w:val="TOAHeading"/>
      </w:pPr>
      <w:r>
        <w:fldChar w:fldCharType="end"/>
      </w:r>
    </w:p>
    <w:p w:rsidR="001A641D" w:rsidRDefault="007E5C0A" w:rsidP="001A641D">
      <w:pPr>
        <w:rPr>
          <w:rFonts w:asciiTheme="majorHAnsi" w:eastAsiaTheme="majorEastAsia" w:hAnsiTheme="majorHAnsi" w:cstheme="majorBidi"/>
          <w:sz w:val="24"/>
          <w:szCs w:val="24"/>
        </w:rPr>
      </w:pPr>
      <w:r>
        <w:br w:type="page"/>
      </w:r>
    </w:p>
    <w:p w:rsidR="001A641D" w:rsidRDefault="007E5C0A" w:rsidP="001A641D">
      <w:pPr>
        <w:pStyle w:val="TOAHeading"/>
      </w:pPr>
      <w:r>
        <w:t>List of Tables</w:t>
      </w:r>
    </w:p>
    <w:p w:rsidR="00397365" w:rsidRDefault="003366B4">
      <w:pPr>
        <w:pStyle w:val="TableofFigures"/>
        <w:tabs>
          <w:tab w:val="right" w:leader="dot" w:pos="9202"/>
        </w:tabs>
        <w:rPr>
          <w:noProof/>
          <w:sz w:val="22"/>
        </w:rPr>
      </w:pPr>
      <w:r>
        <w:fldChar w:fldCharType="begin"/>
      </w:r>
      <w:r w:rsidR="007E5C0A">
        <w:instrText xml:space="preserve"> TOC \h \z \c "Table" </w:instrText>
      </w:r>
      <w:r>
        <w:fldChar w:fldCharType="separate"/>
      </w:r>
      <w:hyperlink w:anchor="_Toc256000410" w:history="1">
        <w:r w:rsidR="007E5C0A">
          <w:rPr>
            <w:rStyle w:val="Hyperlink"/>
          </w:rPr>
          <w:t xml:space="preserve">Table 1. </w:t>
        </w:r>
        <w:r w:rsidR="007E5C0A" w:rsidRPr="00717AC8">
          <w:rPr>
            <w:rStyle w:val="Hyperlink"/>
          </w:rPr>
          <w:t>Summary of referral costs.</w:t>
        </w:r>
        <w:r w:rsidR="007E5C0A">
          <w:rPr>
            <w:rStyle w:val="Hyperlink"/>
          </w:rPr>
          <w:tab/>
        </w:r>
        <w:r>
          <w:fldChar w:fldCharType="begin"/>
        </w:r>
        <w:r w:rsidR="007E5C0A">
          <w:rPr>
            <w:rStyle w:val="Hyperlink"/>
          </w:rPr>
          <w:instrText xml:space="preserve"> PAGEREF _Toc256000410 \h </w:instrText>
        </w:r>
        <w:r>
          <w:fldChar w:fldCharType="separate"/>
        </w:r>
        <w:r w:rsidR="00FF3730">
          <w:rPr>
            <w:rStyle w:val="Hyperlink"/>
            <w:noProof/>
          </w:rPr>
          <w:t>19</w:t>
        </w:r>
        <w:r>
          <w:fldChar w:fldCharType="end"/>
        </w:r>
      </w:hyperlink>
    </w:p>
    <w:p w:rsidR="00397365" w:rsidRDefault="00FF3730">
      <w:pPr>
        <w:pStyle w:val="TableofFigures"/>
        <w:tabs>
          <w:tab w:val="right" w:leader="dot" w:pos="9202"/>
        </w:tabs>
        <w:rPr>
          <w:noProof/>
          <w:sz w:val="22"/>
        </w:rPr>
      </w:pPr>
      <w:hyperlink w:anchor="_Toc256000411" w:history="1">
        <w:r w:rsidR="007E5C0A">
          <w:rPr>
            <w:rStyle w:val="Hyperlink"/>
          </w:rPr>
          <w:t xml:space="preserve">Table 2. </w:t>
        </w:r>
        <w:r w:rsidR="007E5C0A" w:rsidRPr="008A3353">
          <w:rPr>
            <w:rStyle w:val="Hyperlink"/>
          </w:rPr>
          <w:t xml:space="preserve">Summary of </w:t>
        </w:r>
        <w:r w:rsidR="007E5C0A">
          <w:rPr>
            <w:rStyle w:val="Hyperlink"/>
          </w:rPr>
          <w:t>costs to evaluate an action management plan post approval</w:t>
        </w:r>
        <w:r w:rsidR="007E5C0A" w:rsidRPr="008A3353">
          <w:rPr>
            <w:rStyle w:val="Hyperlink"/>
          </w:rPr>
          <w:t>.</w:t>
        </w:r>
        <w:r w:rsidR="007E5C0A">
          <w:rPr>
            <w:rStyle w:val="Hyperlink"/>
          </w:rPr>
          <w:tab/>
        </w:r>
        <w:r w:rsidR="003366B4">
          <w:fldChar w:fldCharType="begin"/>
        </w:r>
        <w:r w:rsidR="007E5C0A">
          <w:rPr>
            <w:rStyle w:val="Hyperlink"/>
          </w:rPr>
          <w:instrText xml:space="preserve"> PAGEREF _Toc256000411 \h </w:instrText>
        </w:r>
        <w:r w:rsidR="003366B4">
          <w:fldChar w:fldCharType="separate"/>
        </w:r>
        <w:r>
          <w:rPr>
            <w:rStyle w:val="Hyperlink"/>
            <w:noProof/>
          </w:rPr>
          <w:t>20</w:t>
        </w:r>
        <w:r w:rsidR="003366B4">
          <w:fldChar w:fldCharType="end"/>
        </w:r>
      </w:hyperlink>
    </w:p>
    <w:p w:rsidR="00397365" w:rsidRDefault="00FF3730">
      <w:pPr>
        <w:pStyle w:val="TableofFigures"/>
        <w:tabs>
          <w:tab w:val="right" w:leader="dot" w:pos="9202"/>
        </w:tabs>
        <w:rPr>
          <w:noProof/>
          <w:sz w:val="22"/>
        </w:rPr>
      </w:pPr>
      <w:hyperlink w:anchor="_Toc256000412" w:history="1">
        <w:r w:rsidR="007E5C0A">
          <w:rPr>
            <w:rStyle w:val="Hyperlink"/>
          </w:rPr>
          <w:t xml:space="preserve">Table 3. </w:t>
        </w:r>
        <w:r w:rsidR="007E5C0A" w:rsidRPr="00624990">
          <w:rPr>
            <w:rStyle w:val="Hyperlink"/>
          </w:rPr>
          <w:t>Summary of contingent activities.</w:t>
        </w:r>
        <w:r w:rsidR="007E5C0A">
          <w:rPr>
            <w:rStyle w:val="Hyperlink"/>
          </w:rPr>
          <w:tab/>
        </w:r>
        <w:r w:rsidR="003366B4">
          <w:fldChar w:fldCharType="begin"/>
        </w:r>
        <w:r w:rsidR="007E5C0A">
          <w:rPr>
            <w:rStyle w:val="Hyperlink"/>
          </w:rPr>
          <w:instrText xml:space="preserve"> PAGEREF _Toc256000412 \h </w:instrText>
        </w:r>
        <w:r w:rsidR="003366B4">
          <w:fldChar w:fldCharType="separate"/>
        </w:r>
        <w:r>
          <w:rPr>
            <w:rStyle w:val="Hyperlink"/>
            <w:noProof/>
          </w:rPr>
          <w:t>21</w:t>
        </w:r>
        <w:r w:rsidR="003366B4">
          <w:fldChar w:fldCharType="end"/>
        </w:r>
      </w:hyperlink>
    </w:p>
    <w:p w:rsidR="00397365" w:rsidRDefault="00FF3730">
      <w:pPr>
        <w:pStyle w:val="TableofFigures"/>
        <w:tabs>
          <w:tab w:val="right" w:leader="dot" w:pos="9202"/>
        </w:tabs>
        <w:rPr>
          <w:noProof/>
          <w:sz w:val="22"/>
        </w:rPr>
      </w:pPr>
      <w:hyperlink w:anchor="_Toc256000413" w:history="1">
        <w:r w:rsidR="007E5C0A">
          <w:rPr>
            <w:rStyle w:val="Hyperlink"/>
          </w:rPr>
          <w:t xml:space="preserve">Table 4. </w:t>
        </w:r>
        <w:r w:rsidR="007E5C0A" w:rsidRPr="003A222D">
          <w:rPr>
            <w:rStyle w:val="Hyperlink"/>
          </w:rPr>
          <w:t xml:space="preserve">Summary of costs </w:t>
        </w:r>
        <w:r w:rsidR="007E5C0A">
          <w:rPr>
            <w:rStyle w:val="Hyperlink"/>
          </w:rPr>
          <w:t>of</w:t>
        </w:r>
        <w:r w:rsidR="007E5C0A" w:rsidRPr="003A222D">
          <w:rPr>
            <w:rStyle w:val="Hyperlink"/>
          </w:rPr>
          <w:t xml:space="preserve"> contingent activities.</w:t>
        </w:r>
        <w:r w:rsidR="007E5C0A">
          <w:rPr>
            <w:rStyle w:val="Hyperlink"/>
          </w:rPr>
          <w:tab/>
        </w:r>
        <w:r w:rsidR="003366B4">
          <w:fldChar w:fldCharType="begin"/>
        </w:r>
        <w:r w:rsidR="007E5C0A">
          <w:rPr>
            <w:rStyle w:val="Hyperlink"/>
          </w:rPr>
          <w:instrText xml:space="preserve"> PAGEREF _Toc256000413 \h </w:instrText>
        </w:r>
        <w:r w:rsidR="003366B4">
          <w:fldChar w:fldCharType="separate"/>
        </w:r>
        <w:r>
          <w:rPr>
            <w:rStyle w:val="Hyperlink"/>
            <w:noProof/>
          </w:rPr>
          <w:t>22</w:t>
        </w:r>
        <w:r w:rsidR="003366B4">
          <w:fldChar w:fldCharType="end"/>
        </w:r>
      </w:hyperlink>
    </w:p>
    <w:p w:rsidR="00397365" w:rsidRDefault="00FF3730">
      <w:pPr>
        <w:pStyle w:val="TableofFigures"/>
        <w:tabs>
          <w:tab w:val="right" w:leader="dot" w:pos="9202"/>
        </w:tabs>
        <w:rPr>
          <w:noProof/>
          <w:sz w:val="22"/>
        </w:rPr>
      </w:pPr>
      <w:hyperlink w:anchor="_Toc256000414" w:history="1">
        <w:r w:rsidR="007E5C0A">
          <w:rPr>
            <w:rStyle w:val="Hyperlink"/>
          </w:rPr>
          <w:t xml:space="preserve">Table 5. </w:t>
        </w:r>
        <w:r w:rsidR="007E5C0A" w:rsidRPr="00E80CC6">
          <w:rPr>
            <w:rStyle w:val="Hyperlink"/>
          </w:rPr>
          <w:t xml:space="preserve">Summary of </w:t>
        </w:r>
        <w:r w:rsidR="007E5C0A">
          <w:rPr>
            <w:rStyle w:val="Hyperlink"/>
          </w:rPr>
          <w:t>b</w:t>
        </w:r>
        <w:r w:rsidR="007E5C0A" w:rsidRPr="00E80CC6">
          <w:rPr>
            <w:rStyle w:val="Hyperlink"/>
          </w:rPr>
          <w:t xml:space="preserve">ase costs </w:t>
        </w:r>
        <w:r w:rsidR="007E5C0A">
          <w:rPr>
            <w:rStyle w:val="Hyperlink"/>
          </w:rPr>
          <w:t>for</w:t>
        </w:r>
        <w:r w:rsidR="007E5C0A" w:rsidRPr="00E80CC6">
          <w:rPr>
            <w:rStyle w:val="Hyperlink"/>
          </w:rPr>
          <w:t xml:space="preserve"> assessment on referral information.</w:t>
        </w:r>
        <w:r w:rsidR="007E5C0A">
          <w:rPr>
            <w:rStyle w:val="Hyperlink"/>
          </w:rPr>
          <w:tab/>
        </w:r>
        <w:r w:rsidR="003366B4">
          <w:fldChar w:fldCharType="begin"/>
        </w:r>
        <w:r w:rsidR="007E5C0A">
          <w:rPr>
            <w:rStyle w:val="Hyperlink"/>
          </w:rPr>
          <w:instrText xml:space="preserve"> PAGEREF _Toc256000414 \h </w:instrText>
        </w:r>
        <w:r w:rsidR="003366B4">
          <w:fldChar w:fldCharType="separate"/>
        </w:r>
        <w:r>
          <w:rPr>
            <w:rStyle w:val="Hyperlink"/>
            <w:noProof/>
          </w:rPr>
          <w:t>25</w:t>
        </w:r>
        <w:r w:rsidR="003366B4">
          <w:fldChar w:fldCharType="end"/>
        </w:r>
      </w:hyperlink>
    </w:p>
    <w:p w:rsidR="00397365" w:rsidRDefault="00FF3730">
      <w:pPr>
        <w:pStyle w:val="TableofFigures"/>
        <w:tabs>
          <w:tab w:val="right" w:leader="dot" w:pos="9202"/>
        </w:tabs>
        <w:rPr>
          <w:noProof/>
          <w:sz w:val="22"/>
        </w:rPr>
      </w:pPr>
      <w:hyperlink w:anchor="_Toc256000415" w:history="1">
        <w:r w:rsidR="007E5C0A">
          <w:rPr>
            <w:rStyle w:val="Hyperlink"/>
          </w:rPr>
          <w:t xml:space="preserve">Table 6. </w:t>
        </w:r>
        <w:r w:rsidR="007E5C0A" w:rsidRPr="005909B6">
          <w:rPr>
            <w:rStyle w:val="Hyperlink"/>
          </w:rPr>
          <w:t xml:space="preserve">Summary of </w:t>
        </w:r>
        <w:r w:rsidR="007E5C0A">
          <w:rPr>
            <w:rStyle w:val="Hyperlink"/>
          </w:rPr>
          <w:t>b</w:t>
        </w:r>
        <w:r w:rsidR="007E5C0A" w:rsidRPr="005909B6">
          <w:rPr>
            <w:rStyle w:val="Hyperlink"/>
          </w:rPr>
          <w:t xml:space="preserve">ase costs for </w:t>
        </w:r>
        <w:r w:rsidR="007E5C0A">
          <w:rPr>
            <w:rStyle w:val="Hyperlink"/>
          </w:rPr>
          <w:t xml:space="preserve">assessment on </w:t>
        </w:r>
        <w:r w:rsidR="007E5C0A" w:rsidRPr="005909B6">
          <w:rPr>
            <w:rStyle w:val="Hyperlink"/>
          </w:rPr>
          <w:t>preliminary documentation.</w:t>
        </w:r>
        <w:r w:rsidR="007E5C0A">
          <w:rPr>
            <w:rStyle w:val="Hyperlink"/>
          </w:rPr>
          <w:tab/>
        </w:r>
        <w:r w:rsidR="003366B4">
          <w:fldChar w:fldCharType="begin"/>
        </w:r>
        <w:r w:rsidR="007E5C0A">
          <w:rPr>
            <w:rStyle w:val="Hyperlink"/>
          </w:rPr>
          <w:instrText xml:space="preserve"> PAGEREF _Toc256000415 \h </w:instrText>
        </w:r>
        <w:r w:rsidR="003366B4">
          <w:fldChar w:fldCharType="separate"/>
        </w:r>
        <w:r>
          <w:rPr>
            <w:rStyle w:val="Hyperlink"/>
            <w:noProof/>
          </w:rPr>
          <w:t>26</w:t>
        </w:r>
        <w:r w:rsidR="003366B4">
          <w:fldChar w:fldCharType="end"/>
        </w:r>
      </w:hyperlink>
    </w:p>
    <w:p w:rsidR="00397365" w:rsidRDefault="00FF3730">
      <w:pPr>
        <w:pStyle w:val="TableofFigures"/>
        <w:tabs>
          <w:tab w:val="right" w:leader="dot" w:pos="9202"/>
        </w:tabs>
        <w:rPr>
          <w:noProof/>
          <w:sz w:val="22"/>
        </w:rPr>
      </w:pPr>
      <w:hyperlink w:anchor="_Toc256000416" w:history="1">
        <w:r w:rsidR="007E5C0A">
          <w:rPr>
            <w:rStyle w:val="Hyperlink"/>
          </w:rPr>
          <w:t xml:space="preserve">Table 7. </w:t>
        </w:r>
        <w:r w:rsidR="007E5C0A" w:rsidRPr="002A1F24">
          <w:rPr>
            <w:rStyle w:val="Hyperlink"/>
          </w:rPr>
          <w:t xml:space="preserve">Summary of </w:t>
        </w:r>
        <w:r w:rsidR="007E5C0A">
          <w:rPr>
            <w:rStyle w:val="Hyperlink"/>
          </w:rPr>
          <w:t>b</w:t>
        </w:r>
        <w:r w:rsidR="007E5C0A" w:rsidRPr="002A1F24">
          <w:rPr>
            <w:rStyle w:val="Hyperlink"/>
          </w:rPr>
          <w:t xml:space="preserve">ase costs </w:t>
        </w:r>
        <w:r w:rsidR="007E5C0A">
          <w:rPr>
            <w:rStyle w:val="Hyperlink"/>
          </w:rPr>
          <w:t>of assessment by public environment</w:t>
        </w:r>
        <w:r w:rsidR="007E5C0A" w:rsidRPr="002A1F24">
          <w:rPr>
            <w:rStyle w:val="Hyperlink"/>
          </w:rPr>
          <w:t xml:space="preserve"> report</w:t>
        </w:r>
        <w:r w:rsidR="007E5C0A">
          <w:rPr>
            <w:rStyle w:val="Hyperlink"/>
          </w:rPr>
          <w:t xml:space="preserve"> or </w:t>
        </w:r>
        <w:r w:rsidR="007E5C0A" w:rsidRPr="002A1F24">
          <w:rPr>
            <w:rStyle w:val="Hyperlink"/>
          </w:rPr>
          <w:t>environmental impact statement.</w:t>
        </w:r>
        <w:r w:rsidR="007E5C0A">
          <w:rPr>
            <w:rStyle w:val="Hyperlink"/>
          </w:rPr>
          <w:tab/>
        </w:r>
        <w:r w:rsidR="003366B4">
          <w:fldChar w:fldCharType="begin"/>
        </w:r>
        <w:r w:rsidR="007E5C0A">
          <w:rPr>
            <w:rStyle w:val="Hyperlink"/>
          </w:rPr>
          <w:instrText xml:space="preserve"> PAGEREF _Toc256000416 \h </w:instrText>
        </w:r>
        <w:r w:rsidR="003366B4">
          <w:fldChar w:fldCharType="separate"/>
        </w:r>
        <w:r>
          <w:rPr>
            <w:rStyle w:val="Hyperlink"/>
            <w:noProof/>
          </w:rPr>
          <w:t>27</w:t>
        </w:r>
        <w:r w:rsidR="003366B4">
          <w:fldChar w:fldCharType="end"/>
        </w:r>
      </w:hyperlink>
    </w:p>
    <w:p w:rsidR="00397365" w:rsidRDefault="00FF3730">
      <w:pPr>
        <w:pStyle w:val="TableofFigures"/>
        <w:tabs>
          <w:tab w:val="right" w:leader="dot" w:pos="9202"/>
        </w:tabs>
        <w:rPr>
          <w:noProof/>
          <w:sz w:val="22"/>
        </w:rPr>
      </w:pPr>
      <w:hyperlink w:anchor="_Toc256000417" w:history="1">
        <w:r w:rsidR="007E5C0A">
          <w:rPr>
            <w:rStyle w:val="Hyperlink"/>
          </w:rPr>
          <w:t>Table 8. Summary of b</w:t>
        </w:r>
        <w:r w:rsidR="007E5C0A" w:rsidRPr="009B69D8">
          <w:rPr>
            <w:rStyle w:val="Hyperlink"/>
          </w:rPr>
          <w:t xml:space="preserve">ase costs </w:t>
        </w:r>
        <w:r w:rsidR="007E5C0A">
          <w:rPr>
            <w:rStyle w:val="Hyperlink"/>
          </w:rPr>
          <w:t>of assessment by</w:t>
        </w:r>
        <w:r w:rsidR="007E5C0A" w:rsidRPr="009B69D8">
          <w:rPr>
            <w:rStyle w:val="Hyperlink"/>
          </w:rPr>
          <w:t xml:space="preserve"> bilateral agreement </w:t>
        </w:r>
        <w:r w:rsidR="007E5C0A">
          <w:rPr>
            <w:rStyle w:val="Hyperlink"/>
          </w:rPr>
          <w:t>or</w:t>
        </w:r>
        <w:r w:rsidR="007E5C0A" w:rsidRPr="009B69D8">
          <w:rPr>
            <w:rStyle w:val="Hyperlink"/>
          </w:rPr>
          <w:t xml:space="preserve"> accredited </w:t>
        </w:r>
        <w:r w:rsidR="007E5C0A">
          <w:rPr>
            <w:rStyle w:val="Hyperlink"/>
          </w:rPr>
          <w:t>process</w:t>
        </w:r>
        <w:r w:rsidR="007E5C0A" w:rsidRPr="009B69D8">
          <w:rPr>
            <w:rStyle w:val="Hyperlink"/>
          </w:rPr>
          <w:t>.</w:t>
        </w:r>
        <w:r w:rsidR="007E5C0A">
          <w:rPr>
            <w:rStyle w:val="Hyperlink"/>
          </w:rPr>
          <w:tab/>
        </w:r>
        <w:r w:rsidR="003366B4">
          <w:fldChar w:fldCharType="begin"/>
        </w:r>
        <w:r w:rsidR="007E5C0A">
          <w:rPr>
            <w:rStyle w:val="Hyperlink"/>
          </w:rPr>
          <w:instrText xml:space="preserve"> PAGEREF _Toc256000417 \h </w:instrText>
        </w:r>
        <w:r w:rsidR="003366B4">
          <w:fldChar w:fldCharType="separate"/>
        </w:r>
        <w:r>
          <w:rPr>
            <w:rStyle w:val="Hyperlink"/>
            <w:noProof/>
          </w:rPr>
          <w:t>28</w:t>
        </w:r>
        <w:r w:rsidR="003366B4">
          <w:fldChar w:fldCharType="end"/>
        </w:r>
      </w:hyperlink>
    </w:p>
    <w:p w:rsidR="00397365" w:rsidRDefault="00FF3730">
      <w:pPr>
        <w:pStyle w:val="TableofFigures"/>
        <w:tabs>
          <w:tab w:val="right" w:leader="dot" w:pos="9202"/>
        </w:tabs>
        <w:rPr>
          <w:noProof/>
          <w:sz w:val="22"/>
        </w:rPr>
      </w:pPr>
      <w:hyperlink w:anchor="_Toc256000418" w:history="1">
        <w:r w:rsidR="007E5C0A">
          <w:rPr>
            <w:rStyle w:val="Hyperlink"/>
          </w:rPr>
          <w:t>Table 9. Complexity drivers.</w:t>
        </w:r>
        <w:r w:rsidR="007E5C0A">
          <w:rPr>
            <w:rStyle w:val="Hyperlink"/>
          </w:rPr>
          <w:tab/>
        </w:r>
        <w:r w:rsidR="003366B4">
          <w:fldChar w:fldCharType="begin"/>
        </w:r>
        <w:r w:rsidR="007E5C0A">
          <w:rPr>
            <w:rStyle w:val="Hyperlink"/>
          </w:rPr>
          <w:instrText xml:space="preserve"> PAGEREF _Toc256000418 \h </w:instrText>
        </w:r>
        <w:r w:rsidR="003366B4">
          <w:fldChar w:fldCharType="separate"/>
        </w:r>
        <w:r>
          <w:rPr>
            <w:rStyle w:val="Hyperlink"/>
            <w:noProof/>
          </w:rPr>
          <w:t>30</w:t>
        </w:r>
        <w:r w:rsidR="003366B4">
          <w:fldChar w:fldCharType="end"/>
        </w:r>
      </w:hyperlink>
    </w:p>
    <w:p w:rsidR="00397365" w:rsidRDefault="00FF3730">
      <w:pPr>
        <w:pStyle w:val="TableofFigures"/>
        <w:tabs>
          <w:tab w:val="right" w:leader="dot" w:pos="9202"/>
        </w:tabs>
        <w:rPr>
          <w:noProof/>
          <w:sz w:val="22"/>
        </w:rPr>
      </w:pPr>
      <w:hyperlink w:anchor="_Toc256000419" w:history="1">
        <w:r w:rsidR="007E5C0A">
          <w:rPr>
            <w:rStyle w:val="Hyperlink"/>
          </w:rPr>
          <w:t xml:space="preserve">Table 10. </w:t>
        </w:r>
        <w:r w:rsidR="007E5C0A" w:rsidRPr="00A921B8">
          <w:rPr>
            <w:rStyle w:val="Hyperlink"/>
          </w:rPr>
          <w:t>Summary of assessment fees.</w:t>
        </w:r>
        <w:r w:rsidR="007E5C0A">
          <w:rPr>
            <w:rStyle w:val="Hyperlink"/>
          </w:rPr>
          <w:tab/>
        </w:r>
        <w:r w:rsidR="003366B4">
          <w:fldChar w:fldCharType="begin"/>
        </w:r>
        <w:r w:rsidR="007E5C0A">
          <w:rPr>
            <w:rStyle w:val="Hyperlink"/>
          </w:rPr>
          <w:instrText xml:space="preserve"> PAGEREF _Toc256000419 \h </w:instrText>
        </w:r>
        <w:r w:rsidR="003366B4">
          <w:fldChar w:fldCharType="separate"/>
        </w:r>
        <w:r>
          <w:rPr>
            <w:rStyle w:val="Hyperlink"/>
            <w:noProof/>
          </w:rPr>
          <w:t>35</w:t>
        </w:r>
        <w:r w:rsidR="003366B4">
          <w:fldChar w:fldCharType="end"/>
        </w:r>
      </w:hyperlink>
    </w:p>
    <w:p w:rsidR="00397365" w:rsidRDefault="00FF3730">
      <w:pPr>
        <w:pStyle w:val="TableofFigures"/>
        <w:tabs>
          <w:tab w:val="right" w:leader="dot" w:pos="9202"/>
        </w:tabs>
        <w:rPr>
          <w:noProof/>
          <w:sz w:val="22"/>
        </w:rPr>
      </w:pPr>
      <w:hyperlink w:anchor="_Toc256000420" w:history="1">
        <w:r w:rsidR="007E5C0A">
          <w:rPr>
            <w:rStyle w:val="Hyperlink"/>
          </w:rPr>
          <w:t xml:space="preserve">Table 11. </w:t>
        </w:r>
        <w:r w:rsidR="007E5C0A" w:rsidRPr="006C2B02">
          <w:rPr>
            <w:rStyle w:val="Hyperlink"/>
          </w:rPr>
          <w:t>Summary of assessment on referral information fees.</w:t>
        </w:r>
        <w:r w:rsidR="007E5C0A">
          <w:rPr>
            <w:rStyle w:val="Hyperlink"/>
          </w:rPr>
          <w:tab/>
        </w:r>
        <w:r w:rsidR="003366B4">
          <w:fldChar w:fldCharType="begin"/>
        </w:r>
        <w:r w:rsidR="007E5C0A">
          <w:rPr>
            <w:rStyle w:val="Hyperlink"/>
          </w:rPr>
          <w:instrText xml:space="preserve"> PAGEREF _Toc256000420 \h </w:instrText>
        </w:r>
        <w:r w:rsidR="003366B4">
          <w:fldChar w:fldCharType="separate"/>
        </w:r>
        <w:r>
          <w:rPr>
            <w:rStyle w:val="Hyperlink"/>
            <w:noProof/>
          </w:rPr>
          <w:t>40</w:t>
        </w:r>
        <w:r w:rsidR="003366B4">
          <w:fldChar w:fldCharType="end"/>
        </w:r>
      </w:hyperlink>
    </w:p>
    <w:p w:rsidR="00397365" w:rsidRDefault="00FF3730">
      <w:pPr>
        <w:pStyle w:val="TableofFigures"/>
        <w:tabs>
          <w:tab w:val="right" w:leader="dot" w:pos="9202"/>
        </w:tabs>
        <w:rPr>
          <w:noProof/>
          <w:sz w:val="22"/>
        </w:rPr>
      </w:pPr>
      <w:hyperlink w:anchor="_Toc256000421" w:history="1">
        <w:r w:rsidR="007E5C0A">
          <w:rPr>
            <w:rStyle w:val="Hyperlink"/>
          </w:rPr>
          <w:t xml:space="preserve">Table 12. Proportion of </w:t>
        </w:r>
        <w:r w:rsidR="007E5C0A" w:rsidRPr="00F90105">
          <w:rPr>
            <w:rStyle w:val="Hyperlink"/>
          </w:rPr>
          <w:t xml:space="preserve">fees payable at each assessment stage for </w:t>
        </w:r>
        <w:r w:rsidR="007E5C0A">
          <w:rPr>
            <w:rStyle w:val="Hyperlink"/>
          </w:rPr>
          <w:t xml:space="preserve">an </w:t>
        </w:r>
        <w:r w:rsidR="007E5C0A" w:rsidRPr="00F90105">
          <w:rPr>
            <w:rStyle w:val="Hyperlink"/>
          </w:rPr>
          <w:t>assessment on referral information</w:t>
        </w:r>
        <w:r w:rsidR="007E5C0A">
          <w:rPr>
            <w:rStyle w:val="Hyperlink"/>
          </w:rPr>
          <w:tab/>
        </w:r>
        <w:r w:rsidR="003366B4">
          <w:fldChar w:fldCharType="begin"/>
        </w:r>
        <w:r w:rsidR="007E5C0A">
          <w:rPr>
            <w:rStyle w:val="Hyperlink"/>
          </w:rPr>
          <w:instrText xml:space="preserve"> PAGEREF _Toc256000421 \h </w:instrText>
        </w:r>
        <w:r w:rsidR="003366B4">
          <w:fldChar w:fldCharType="separate"/>
        </w:r>
        <w:r>
          <w:rPr>
            <w:rStyle w:val="Hyperlink"/>
            <w:noProof/>
          </w:rPr>
          <w:t>40</w:t>
        </w:r>
        <w:r w:rsidR="003366B4">
          <w:fldChar w:fldCharType="end"/>
        </w:r>
      </w:hyperlink>
    </w:p>
    <w:p w:rsidR="00397365" w:rsidRDefault="00FF3730">
      <w:pPr>
        <w:pStyle w:val="TableofFigures"/>
        <w:tabs>
          <w:tab w:val="right" w:leader="dot" w:pos="9202"/>
        </w:tabs>
        <w:rPr>
          <w:noProof/>
          <w:sz w:val="22"/>
        </w:rPr>
      </w:pPr>
      <w:hyperlink w:anchor="_Toc256000422" w:history="1">
        <w:r w:rsidR="007E5C0A">
          <w:rPr>
            <w:rStyle w:val="Hyperlink"/>
          </w:rPr>
          <w:t xml:space="preserve">Table 13. </w:t>
        </w:r>
        <w:r w:rsidR="007E5C0A" w:rsidRPr="005C3A7C">
          <w:rPr>
            <w:rStyle w:val="Hyperlink"/>
          </w:rPr>
          <w:t>Summary of preliminary documentation fees.</w:t>
        </w:r>
        <w:r w:rsidR="007E5C0A">
          <w:rPr>
            <w:rStyle w:val="Hyperlink"/>
          </w:rPr>
          <w:tab/>
        </w:r>
        <w:r w:rsidR="003366B4">
          <w:fldChar w:fldCharType="begin"/>
        </w:r>
        <w:r w:rsidR="007E5C0A">
          <w:rPr>
            <w:rStyle w:val="Hyperlink"/>
          </w:rPr>
          <w:instrText xml:space="preserve"> PAGEREF _Toc256000422 \h </w:instrText>
        </w:r>
        <w:r w:rsidR="003366B4">
          <w:fldChar w:fldCharType="separate"/>
        </w:r>
        <w:r>
          <w:rPr>
            <w:rStyle w:val="Hyperlink"/>
            <w:noProof/>
          </w:rPr>
          <w:t>43</w:t>
        </w:r>
        <w:r w:rsidR="003366B4">
          <w:fldChar w:fldCharType="end"/>
        </w:r>
      </w:hyperlink>
    </w:p>
    <w:p w:rsidR="00397365" w:rsidRDefault="00FF3730">
      <w:pPr>
        <w:pStyle w:val="TableofFigures"/>
        <w:tabs>
          <w:tab w:val="right" w:leader="dot" w:pos="9202"/>
        </w:tabs>
        <w:rPr>
          <w:noProof/>
          <w:sz w:val="22"/>
        </w:rPr>
      </w:pPr>
      <w:hyperlink w:anchor="_Toc256000423" w:history="1">
        <w:r w:rsidR="007E5C0A">
          <w:rPr>
            <w:rStyle w:val="Hyperlink"/>
          </w:rPr>
          <w:t>Table 14. Proportion</w:t>
        </w:r>
        <w:r w:rsidR="007E5C0A" w:rsidRPr="005C1743">
          <w:rPr>
            <w:rStyle w:val="Hyperlink"/>
          </w:rPr>
          <w:t xml:space="preserve"> of fees payable at each assessment stage for </w:t>
        </w:r>
        <w:r w:rsidR="007E5C0A">
          <w:rPr>
            <w:rStyle w:val="Hyperlink"/>
          </w:rPr>
          <w:t xml:space="preserve">an </w:t>
        </w:r>
        <w:r w:rsidR="007E5C0A" w:rsidRPr="005C1743">
          <w:rPr>
            <w:rStyle w:val="Hyperlink"/>
          </w:rPr>
          <w:t>assessment on preliminary documentation</w:t>
        </w:r>
        <w:r w:rsidR="007E5C0A">
          <w:rPr>
            <w:rStyle w:val="Hyperlink"/>
          </w:rPr>
          <w:tab/>
        </w:r>
        <w:r w:rsidR="003366B4">
          <w:fldChar w:fldCharType="begin"/>
        </w:r>
        <w:r w:rsidR="007E5C0A">
          <w:rPr>
            <w:rStyle w:val="Hyperlink"/>
          </w:rPr>
          <w:instrText xml:space="preserve"> PAGEREF _Toc256000423 \h </w:instrText>
        </w:r>
        <w:r w:rsidR="003366B4">
          <w:fldChar w:fldCharType="separate"/>
        </w:r>
        <w:r>
          <w:rPr>
            <w:rStyle w:val="Hyperlink"/>
            <w:noProof/>
          </w:rPr>
          <w:t>43</w:t>
        </w:r>
        <w:r w:rsidR="003366B4">
          <w:fldChar w:fldCharType="end"/>
        </w:r>
      </w:hyperlink>
    </w:p>
    <w:p w:rsidR="00397365" w:rsidRDefault="00FF3730">
      <w:pPr>
        <w:pStyle w:val="TableofFigures"/>
        <w:tabs>
          <w:tab w:val="right" w:leader="dot" w:pos="9202"/>
        </w:tabs>
        <w:rPr>
          <w:noProof/>
          <w:sz w:val="22"/>
        </w:rPr>
      </w:pPr>
      <w:hyperlink w:anchor="_Toc256000424" w:history="1">
        <w:r w:rsidR="007E5C0A">
          <w:rPr>
            <w:rStyle w:val="Hyperlink"/>
          </w:rPr>
          <w:t>Table 15. Summary of public environment</w:t>
        </w:r>
        <w:r w:rsidR="007E5C0A" w:rsidRPr="00CE4389">
          <w:rPr>
            <w:rStyle w:val="Hyperlink"/>
          </w:rPr>
          <w:t xml:space="preserve"> report and environmental impact statement </w:t>
        </w:r>
        <w:r w:rsidR="007E5C0A">
          <w:rPr>
            <w:rStyle w:val="Hyperlink"/>
          </w:rPr>
          <w:t>fees</w:t>
        </w:r>
        <w:r w:rsidR="007E5C0A" w:rsidRPr="00CE4389">
          <w:rPr>
            <w:rStyle w:val="Hyperlink"/>
          </w:rPr>
          <w:t>.</w:t>
        </w:r>
        <w:r w:rsidR="007E5C0A">
          <w:rPr>
            <w:rStyle w:val="Hyperlink"/>
          </w:rPr>
          <w:tab/>
        </w:r>
        <w:r w:rsidR="003366B4">
          <w:fldChar w:fldCharType="begin"/>
        </w:r>
        <w:r w:rsidR="007E5C0A">
          <w:rPr>
            <w:rStyle w:val="Hyperlink"/>
          </w:rPr>
          <w:instrText xml:space="preserve"> PAGEREF _Toc256000424 \h </w:instrText>
        </w:r>
        <w:r w:rsidR="003366B4">
          <w:fldChar w:fldCharType="separate"/>
        </w:r>
        <w:r>
          <w:rPr>
            <w:rStyle w:val="Hyperlink"/>
            <w:noProof/>
          </w:rPr>
          <w:t>47</w:t>
        </w:r>
        <w:r w:rsidR="003366B4">
          <w:fldChar w:fldCharType="end"/>
        </w:r>
      </w:hyperlink>
    </w:p>
    <w:p w:rsidR="00397365" w:rsidRDefault="00FF3730">
      <w:pPr>
        <w:pStyle w:val="TableofFigures"/>
        <w:tabs>
          <w:tab w:val="right" w:leader="dot" w:pos="9202"/>
        </w:tabs>
        <w:rPr>
          <w:noProof/>
          <w:sz w:val="22"/>
        </w:rPr>
      </w:pPr>
      <w:hyperlink w:anchor="_Toc256000425" w:history="1">
        <w:r w:rsidR="007E5C0A">
          <w:rPr>
            <w:rStyle w:val="Hyperlink"/>
          </w:rPr>
          <w:t>Table 16. Proportion</w:t>
        </w:r>
        <w:r w:rsidR="007E5C0A" w:rsidRPr="00957C04">
          <w:rPr>
            <w:rStyle w:val="Hyperlink"/>
          </w:rPr>
          <w:t xml:space="preserve"> of fees payable at each assessment stage for </w:t>
        </w:r>
        <w:r w:rsidR="007E5C0A">
          <w:rPr>
            <w:rStyle w:val="Hyperlink"/>
          </w:rPr>
          <w:t xml:space="preserve">an </w:t>
        </w:r>
        <w:r w:rsidR="007E5C0A" w:rsidRPr="00957C04">
          <w:rPr>
            <w:rStyle w:val="Hyperlink"/>
          </w:rPr>
          <w:t>as</w:t>
        </w:r>
        <w:r w:rsidR="007E5C0A">
          <w:rPr>
            <w:rStyle w:val="Hyperlink"/>
          </w:rPr>
          <w:t>sessment by public environment</w:t>
        </w:r>
        <w:r w:rsidR="007E5C0A" w:rsidRPr="00957C04">
          <w:rPr>
            <w:rStyle w:val="Hyperlink"/>
          </w:rPr>
          <w:t xml:space="preserve"> report or environmental impact statement</w:t>
        </w:r>
        <w:r w:rsidR="007E5C0A">
          <w:rPr>
            <w:rStyle w:val="Hyperlink"/>
          </w:rPr>
          <w:tab/>
        </w:r>
        <w:r w:rsidR="003366B4">
          <w:fldChar w:fldCharType="begin"/>
        </w:r>
        <w:r w:rsidR="007E5C0A">
          <w:rPr>
            <w:rStyle w:val="Hyperlink"/>
          </w:rPr>
          <w:instrText xml:space="preserve"> PAGEREF _Toc256000425 \h </w:instrText>
        </w:r>
        <w:r w:rsidR="003366B4">
          <w:fldChar w:fldCharType="separate"/>
        </w:r>
        <w:r>
          <w:rPr>
            <w:rStyle w:val="Hyperlink"/>
            <w:noProof/>
          </w:rPr>
          <w:t>47</w:t>
        </w:r>
        <w:r w:rsidR="003366B4">
          <w:fldChar w:fldCharType="end"/>
        </w:r>
      </w:hyperlink>
    </w:p>
    <w:p w:rsidR="00397365" w:rsidRDefault="00FF3730">
      <w:pPr>
        <w:pStyle w:val="TableofFigures"/>
        <w:tabs>
          <w:tab w:val="right" w:leader="dot" w:pos="9202"/>
        </w:tabs>
        <w:rPr>
          <w:noProof/>
          <w:sz w:val="22"/>
        </w:rPr>
      </w:pPr>
      <w:hyperlink w:anchor="_Toc256000426" w:history="1">
        <w:r w:rsidR="007E5C0A">
          <w:rPr>
            <w:rStyle w:val="Hyperlink"/>
          </w:rPr>
          <w:t xml:space="preserve">Table 17. </w:t>
        </w:r>
        <w:r w:rsidR="007E5C0A" w:rsidRPr="00521BA1">
          <w:rPr>
            <w:rStyle w:val="Hyperlink"/>
          </w:rPr>
          <w:t>Summary of bilateral agreement / accredited process fees.</w:t>
        </w:r>
        <w:r w:rsidR="007E5C0A">
          <w:rPr>
            <w:rStyle w:val="Hyperlink"/>
          </w:rPr>
          <w:tab/>
        </w:r>
        <w:r w:rsidR="003366B4">
          <w:fldChar w:fldCharType="begin"/>
        </w:r>
        <w:r w:rsidR="007E5C0A">
          <w:rPr>
            <w:rStyle w:val="Hyperlink"/>
          </w:rPr>
          <w:instrText xml:space="preserve"> PAGEREF _Toc256000426 \h </w:instrText>
        </w:r>
        <w:r w:rsidR="003366B4">
          <w:fldChar w:fldCharType="separate"/>
        </w:r>
        <w:r>
          <w:rPr>
            <w:rStyle w:val="Hyperlink"/>
            <w:noProof/>
          </w:rPr>
          <w:t>51</w:t>
        </w:r>
        <w:r w:rsidR="003366B4">
          <w:fldChar w:fldCharType="end"/>
        </w:r>
      </w:hyperlink>
    </w:p>
    <w:p w:rsidR="00397365" w:rsidRDefault="00FF3730">
      <w:pPr>
        <w:pStyle w:val="TableofFigures"/>
        <w:tabs>
          <w:tab w:val="right" w:leader="dot" w:pos="9202"/>
        </w:tabs>
        <w:rPr>
          <w:noProof/>
          <w:sz w:val="22"/>
        </w:rPr>
      </w:pPr>
      <w:hyperlink w:anchor="_Toc256000427" w:history="1">
        <w:r w:rsidR="007E5C0A">
          <w:rPr>
            <w:rStyle w:val="Hyperlink"/>
          </w:rPr>
          <w:t>Table 18. Proportion</w:t>
        </w:r>
        <w:r w:rsidR="007E5C0A" w:rsidRPr="009617A1">
          <w:rPr>
            <w:rStyle w:val="Hyperlink"/>
          </w:rPr>
          <w:t xml:space="preserve"> of fees payable at each assessment stage for </w:t>
        </w:r>
        <w:r w:rsidR="007E5C0A">
          <w:rPr>
            <w:rStyle w:val="Hyperlink"/>
          </w:rPr>
          <w:t xml:space="preserve">an </w:t>
        </w:r>
        <w:r w:rsidR="007E5C0A" w:rsidRPr="009617A1">
          <w:rPr>
            <w:rStyle w:val="Hyperlink"/>
          </w:rPr>
          <w:t>assessment by bilateral agreement or accredited process</w:t>
        </w:r>
        <w:r w:rsidR="007E5C0A">
          <w:rPr>
            <w:rStyle w:val="Hyperlink"/>
          </w:rPr>
          <w:tab/>
        </w:r>
        <w:r w:rsidR="003366B4">
          <w:fldChar w:fldCharType="begin"/>
        </w:r>
        <w:r w:rsidR="007E5C0A">
          <w:rPr>
            <w:rStyle w:val="Hyperlink"/>
          </w:rPr>
          <w:instrText xml:space="preserve"> PAGEREF _Toc256000427 \h </w:instrText>
        </w:r>
        <w:r w:rsidR="003366B4">
          <w:fldChar w:fldCharType="separate"/>
        </w:r>
        <w:r>
          <w:rPr>
            <w:rStyle w:val="Hyperlink"/>
            <w:noProof/>
          </w:rPr>
          <w:t>51</w:t>
        </w:r>
        <w:r w:rsidR="003366B4">
          <w:fldChar w:fldCharType="end"/>
        </w:r>
      </w:hyperlink>
    </w:p>
    <w:p w:rsidR="00397365" w:rsidRDefault="00FF3730">
      <w:pPr>
        <w:pStyle w:val="TableofFigures"/>
        <w:tabs>
          <w:tab w:val="right" w:leader="dot" w:pos="9202"/>
        </w:tabs>
        <w:rPr>
          <w:noProof/>
          <w:sz w:val="22"/>
        </w:rPr>
      </w:pPr>
      <w:hyperlink w:anchor="_Toc256000428" w:history="1">
        <w:r w:rsidR="007E5C0A">
          <w:rPr>
            <w:rStyle w:val="Hyperlink"/>
          </w:rPr>
          <w:t>Table 19. Referrals, a</w:t>
        </w:r>
        <w:r w:rsidR="007E5C0A" w:rsidRPr="006B2AB9">
          <w:rPr>
            <w:rStyle w:val="Hyperlink"/>
          </w:rPr>
          <w:t xml:space="preserve">ssessments </w:t>
        </w:r>
        <w:r w:rsidR="007E5C0A">
          <w:rPr>
            <w:rStyle w:val="Hyperlink"/>
          </w:rPr>
          <w:t xml:space="preserve">and post approval management plans </w:t>
        </w:r>
        <w:r w:rsidR="007E5C0A" w:rsidRPr="006B2AB9">
          <w:rPr>
            <w:rStyle w:val="Hyperlink"/>
          </w:rPr>
          <w:t>– estimated activity volume.</w:t>
        </w:r>
        <w:r w:rsidR="007E5C0A">
          <w:rPr>
            <w:rStyle w:val="Hyperlink"/>
          </w:rPr>
          <w:tab/>
        </w:r>
        <w:r w:rsidR="003366B4">
          <w:fldChar w:fldCharType="begin"/>
        </w:r>
        <w:r w:rsidR="007E5C0A">
          <w:rPr>
            <w:rStyle w:val="Hyperlink"/>
          </w:rPr>
          <w:instrText xml:space="preserve"> PAGEREF _Toc256000428 \h </w:instrText>
        </w:r>
        <w:r w:rsidR="003366B4">
          <w:fldChar w:fldCharType="separate"/>
        </w:r>
        <w:r>
          <w:rPr>
            <w:rStyle w:val="Hyperlink"/>
            <w:noProof/>
          </w:rPr>
          <w:t>68</w:t>
        </w:r>
        <w:r w:rsidR="003366B4">
          <w:fldChar w:fldCharType="end"/>
        </w:r>
      </w:hyperlink>
    </w:p>
    <w:p w:rsidR="00397365" w:rsidRDefault="00FF3730">
      <w:pPr>
        <w:pStyle w:val="TableofFigures"/>
        <w:tabs>
          <w:tab w:val="right" w:leader="dot" w:pos="9202"/>
        </w:tabs>
        <w:rPr>
          <w:noProof/>
          <w:sz w:val="22"/>
        </w:rPr>
      </w:pPr>
      <w:hyperlink w:anchor="_Toc256000429" w:history="1">
        <w:r w:rsidR="007E5C0A">
          <w:rPr>
            <w:rStyle w:val="Hyperlink"/>
          </w:rPr>
          <w:t xml:space="preserve">Table 20. </w:t>
        </w:r>
        <w:r w:rsidR="007E5C0A" w:rsidRPr="00250128">
          <w:rPr>
            <w:rStyle w:val="Hyperlink"/>
          </w:rPr>
          <w:t xml:space="preserve">Contingent </w:t>
        </w:r>
        <w:r w:rsidR="007E5C0A">
          <w:rPr>
            <w:rStyle w:val="Hyperlink"/>
          </w:rPr>
          <w:t>activities</w:t>
        </w:r>
        <w:r w:rsidR="007E5C0A" w:rsidRPr="00250128">
          <w:rPr>
            <w:rStyle w:val="Hyperlink"/>
          </w:rPr>
          <w:t xml:space="preserve"> – estimated activity volume.</w:t>
        </w:r>
        <w:r w:rsidR="007E5C0A">
          <w:rPr>
            <w:rStyle w:val="Hyperlink"/>
          </w:rPr>
          <w:tab/>
        </w:r>
        <w:r w:rsidR="003366B4">
          <w:fldChar w:fldCharType="begin"/>
        </w:r>
        <w:r w:rsidR="007E5C0A">
          <w:rPr>
            <w:rStyle w:val="Hyperlink"/>
          </w:rPr>
          <w:instrText xml:space="preserve"> PAGEREF _Toc256000429 \h </w:instrText>
        </w:r>
        <w:r w:rsidR="003366B4">
          <w:fldChar w:fldCharType="separate"/>
        </w:r>
        <w:r>
          <w:rPr>
            <w:rStyle w:val="Hyperlink"/>
            <w:noProof/>
          </w:rPr>
          <w:t>69</w:t>
        </w:r>
        <w:r w:rsidR="003366B4">
          <w:fldChar w:fldCharType="end"/>
        </w:r>
      </w:hyperlink>
    </w:p>
    <w:p w:rsidR="00397365" w:rsidRDefault="00FF3730">
      <w:pPr>
        <w:pStyle w:val="TableofFigures"/>
        <w:tabs>
          <w:tab w:val="right" w:leader="dot" w:pos="9202"/>
        </w:tabs>
        <w:rPr>
          <w:noProof/>
          <w:sz w:val="22"/>
        </w:rPr>
      </w:pPr>
      <w:hyperlink w:anchor="_Toc256000430" w:history="1">
        <w:r w:rsidR="007E5C0A">
          <w:rPr>
            <w:rStyle w:val="Hyperlink"/>
          </w:rPr>
          <w:t>Table 21. Referral, a</w:t>
        </w:r>
        <w:r w:rsidR="007E5C0A" w:rsidRPr="001F2E75">
          <w:rPr>
            <w:rStyle w:val="Hyperlink"/>
          </w:rPr>
          <w:t>ssessment</w:t>
        </w:r>
        <w:r w:rsidR="007E5C0A">
          <w:rPr>
            <w:rStyle w:val="Hyperlink"/>
          </w:rPr>
          <w:t xml:space="preserve"> and post approval management plan</w:t>
        </w:r>
        <w:r w:rsidR="007E5C0A" w:rsidRPr="001F2E75">
          <w:rPr>
            <w:rStyle w:val="Hyperlink"/>
          </w:rPr>
          <w:t xml:space="preserve"> activities (expenses and revenue summary)</w:t>
        </w:r>
        <w:r w:rsidR="007E5C0A">
          <w:rPr>
            <w:rStyle w:val="Hyperlink"/>
          </w:rPr>
          <w:tab/>
        </w:r>
        <w:r w:rsidR="003366B4">
          <w:fldChar w:fldCharType="begin"/>
        </w:r>
        <w:r w:rsidR="007E5C0A">
          <w:rPr>
            <w:rStyle w:val="Hyperlink"/>
          </w:rPr>
          <w:instrText xml:space="preserve"> PAGEREF _Toc256000430 \h </w:instrText>
        </w:r>
        <w:r w:rsidR="003366B4">
          <w:fldChar w:fldCharType="separate"/>
        </w:r>
        <w:r>
          <w:rPr>
            <w:rStyle w:val="Hyperlink"/>
            <w:noProof/>
          </w:rPr>
          <w:t>71</w:t>
        </w:r>
        <w:r w:rsidR="003366B4">
          <w:fldChar w:fldCharType="end"/>
        </w:r>
      </w:hyperlink>
    </w:p>
    <w:p w:rsidR="00397365" w:rsidRDefault="00FF3730">
      <w:pPr>
        <w:pStyle w:val="TableofFigures"/>
        <w:tabs>
          <w:tab w:val="right" w:leader="dot" w:pos="9202"/>
        </w:tabs>
        <w:rPr>
          <w:noProof/>
          <w:sz w:val="22"/>
        </w:rPr>
      </w:pPr>
      <w:hyperlink w:anchor="_Toc256000431" w:history="1">
        <w:r w:rsidR="007E5C0A">
          <w:rPr>
            <w:rStyle w:val="Hyperlink"/>
          </w:rPr>
          <w:t xml:space="preserve">Table 22. </w:t>
        </w:r>
        <w:r w:rsidR="007E5C0A" w:rsidRPr="006B5FA6">
          <w:rPr>
            <w:rStyle w:val="Hyperlink"/>
          </w:rPr>
          <w:t xml:space="preserve">Contingent </w:t>
        </w:r>
        <w:r w:rsidR="007E5C0A">
          <w:rPr>
            <w:rStyle w:val="Hyperlink"/>
          </w:rPr>
          <w:t>activities</w:t>
        </w:r>
        <w:r w:rsidR="007E5C0A" w:rsidRPr="006B5FA6">
          <w:rPr>
            <w:rStyle w:val="Hyperlink"/>
          </w:rPr>
          <w:t xml:space="preserve"> (expenses and revenue summary)</w:t>
        </w:r>
        <w:r w:rsidR="007E5C0A">
          <w:rPr>
            <w:rStyle w:val="Hyperlink"/>
          </w:rPr>
          <w:tab/>
        </w:r>
        <w:r w:rsidR="003366B4">
          <w:fldChar w:fldCharType="begin"/>
        </w:r>
        <w:r w:rsidR="007E5C0A">
          <w:rPr>
            <w:rStyle w:val="Hyperlink"/>
          </w:rPr>
          <w:instrText xml:space="preserve"> PAGEREF _Toc256000431 \h </w:instrText>
        </w:r>
        <w:r w:rsidR="003366B4">
          <w:fldChar w:fldCharType="separate"/>
        </w:r>
        <w:r>
          <w:rPr>
            <w:rStyle w:val="Hyperlink"/>
            <w:noProof/>
          </w:rPr>
          <w:t>73</w:t>
        </w:r>
        <w:r w:rsidR="003366B4">
          <w:fldChar w:fldCharType="end"/>
        </w:r>
      </w:hyperlink>
    </w:p>
    <w:p w:rsidR="00397365" w:rsidRDefault="00FF3730">
      <w:pPr>
        <w:pStyle w:val="TableofFigures"/>
        <w:tabs>
          <w:tab w:val="right" w:leader="dot" w:pos="9202"/>
        </w:tabs>
        <w:rPr>
          <w:noProof/>
          <w:sz w:val="22"/>
        </w:rPr>
      </w:pPr>
      <w:hyperlink w:anchor="_Toc256000432" w:history="1">
        <w:r w:rsidR="007E5C0A">
          <w:rPr>
            <w:rStyle w:val="Hyperlink"/>
          </w:rPr>
          <w:t xml:space="preserve">Table 23. </w:t>
        </w:r>
        <w:r w:rsidR="007E5C0A" w:rsidRPr="00836D71">
          <w:rPr>
            <w:rStyle w:val="Hyperlink"/>
          </w:rPr>
          <w:t>Total en</w:t>
        </w:r>
        <w:r w:rsidR="007E5C0A">
          <w:rPr>
            <w:rStyle w:val="Hyperlink"/>
          </w:rPr>
          <w:t>vironmental impact assessment activities</w:t>
        </w:r>
        <w:r w:rsidR="007E5C0A" w:rsidRPr="00836D71">
          <w:rPr>
            <w:rStyle w:val="Hyperlink"/>
          </w:rPr>
          <w:t xml:space="preserve"> (expenses and revenue summary)</w:t>
        </w:r>
        <w:r w:rsidR="007E5C0A">
          <w:rPr>
            <w:rStyle w:val="Hyperlink"/>
          </w:rPr>
          <w:tab/>
        </w:r>
        <w:r w:rsidR="003366B4">
          <w:fldChar w:fldCharType="begin"/>
        </w:r>
        <w:r w:rsidR="007E5C0A">
          <w:rPr>
            <w:rStyle w:val="Hyperlink"/>
          </w:rPr>
          <w:instrText xml:space="preserve"> PAGEREF _Toc256000432 \h </w:instrText>
        </w:r>
        <w:r w:rsidR="003366B4">
          <w:fldChar w:fldCharType="separate"/>
        </w:r>
        <w:r>
          <w:rPr>
            <w:rStyle w:val="Hyperlink"/>
            <w:noProof/>
          </w:rPr>
          <w:t>74</w:t>
        </w:r>
        <w:r w:rsidR="003366B4">
          <w:fldChar w:fldCharType="end"/>
        </w:r>
      </w:hyperlink>
    </w:p>
    <w:p w:rsidR="00397365" w:rsidRDefault="00FF3730">
      <w:pPr>
        <w:pStyle w:val="TableofFigures"/>
        <w:tabs>
          <w:tab w:val="right" w:leader="dot" w:pos="9202"/>
        </w:tabs>
        <w:rPr>
          <w:noProof/>
          <w:sz w:val="22"/>
        </w:rPr>
      </w:pPr>
      <w:hyperlink w:anchor="_Toc256000433" w:history="1">
        <w:r w:rsidR="007E5C0A">
          <w:rPr>
            <w:rStyle w:val="Hyperlink"/>
          </w:rPr>
          <w:t xml:space="preserve">Table 24. </w:t>
        </w:r>
        <w:r w:rsidR="007E5C0A" w:rsidRPr="00882F56">
          <w:rPr>
            <w:rStyle w:val="Hyperlink"/>
          </w:rPr>
          <w:t>Financial performance of EPBC Act cost recovery during the 2014-15 and 2015-16 financial years</w:t>
        </w:r>
        <w:r w:rsidR="007E5C0A">
          <w:rPr>
            <w:rStyle w:val="Hyperlink"/>
          </w:rPr>
          <w:tab/>
        </w:r>
        <w:r w:rsidR="003366B4">
          <w:fldChar w:fldCharType="begin"/>
        </w:r>
        <w:r w:rsidR="007E5C0A">
          <w:rPr>
            <w:rStyle w:val="Hyperlink"/>
          </w:rPr>
          <w:instrText xml:space="preserve"> PAGEREF _Toc256000433 \h </w:instrText>
        </w:r>
        <w:r w:rsidR="003366B4">
          <w:fldChar w:fldCharType="separate"/>
        </w:r>
        <w:r>
          <w:rPr>
            <w:rStyle w:val="Hyperlink"/>
            <w:noProof/>
          </w:rPr>
          <w:t>75</w:t>
        </w:r>
        <w:r w:rsidR="003366B4">
          <w:fldChar w:fldCharType="end"/>
        </w:r>
      </w:hyperlink>
    </w:p>
    <w:p w:rsidR="00397365" w:rsidRDefault="00FF3730">
      <w:pPr>
        <w:pStyle w:val="TableofFigures"/>
        <w:tabs>
          <w:tab w:val="right" w:leader="dot" w:pos="9202"/>
        </w:tabs>
        <w:rPr>
          <w:noProof/>
          <w:sz w:val="22"/>
        </w:rPr>
      </w:pPr>
      <w:hyperlink w:anchor="_Toc256000434" w:history="1">
        <w:r w:rsidR="007E5C0A">
          <w:rPr>
            <w:rStyle w:val="Hyperlink"/>
          </w:rPr>
          <w:t>Table 25. Compliance with statutory timeframes</w:t>
        </w:r>
        <w:r w:rsidR="007E5C0A" w:rsidRPr="00CF08C5">
          <w:rPr>
            <w:rStyle w:val="Hyperlink"/>
          </w:rPr>
          <w:t xml:space="preserve"> under the EPBC Act</w:t>
        </w:r>
        <w:r w:rsidR="007E5C0A">
          <w:rPr>
            <w:rStyle w:val="Hyperlink"/>
          </w:rPr>
          <w:t xml:space="preserve"> for specific types of decisions</w:t>
        </w:r>
        <w:r w:rsidR="007E5C0A">
          <w:rPr>
            <w:rStyle w:val="Hyperlink"/>
          </w:rPr>
          <w:tab/>
        </w:r>
        <w:r w:rsidR="003366B4">
          <w:fldChar w:fldCharType="begin"/>
        </w:r>
        <w:r w:rsidR="007E5C0A">
          <w:rPr>
            <w:rStyle w:val="Hyperlink"/>
          </w:rPr>
          <w:instrText xml:space="preserve"> PAGEREF _Toc256000434 \h </w:instrText>
        </w:r>
        <w:r w:rsidR="003366B4">
          <w:fldChar w:fldCharType="separate"/>
        </w:r>
        <w:r>
          <w:rPr>
            <w:rStyle w:val="Hyperlink"/>
            <w:noProof/>
          </w:rPr>
          <w:t>77</w:t>
        </w:r>
        <w:r w:rsidR="003366B4">
          <w:fldChar w:fldCharType="end"/>
        </w:r>
      </w:hyperlink>
    </w:p>
    <w:p w:rsidR="00397365" w:rsidRDefault="003366B4" w:rsidP="001A641D">
      <w:pPr>
        <w:tabs>
          <w:tab w:val="right" w:leader="underscore" w:pos="9356"/>
        </w:tabs>
        <w:spacing w:after="0" w:line="240" w:lineRule="auto"/>
      </w:pPr>
      <w:r>
        <w:fldChar w:fldCharType="end"/>
      </w:r>
    </w:p>
    <w:p w:rsidR="001A641D" w:rsidRPr="00CD103F" w:rsidRDefault="001A641D" w:rsidP="001A641D"/>
    <w:p w:rsidR="001A641D" w:rsidRDefault="007E5C0A">
      <w:pPr>
        <w:spacing w:after="0" w:line="240" w:lineRule="auto"/>
      </w:pPr>
      <w:r>
        <w:br w:type="page"/>
      </w:r>
    </w:p>
    <w:p w:rsidR="001A641D" w:rsidRDefault="007E5C0A">
      <w:pPr>
        <w:pStyle w:val="TOCHeading"/>
      </w:pPr>
      <w:r w:rsidRPr="008F227E">
        <w:t>GLOSSARY</w:t>
      </w:r>
    </w:p>
    <w:p w:rsidR="001A641D" w:rsidRPr="00C65E52" w:rsidRDefault="007E5C0A" w:rsidP="001A641D">
      <w:pPr>
        <w:rPr>
          <w:lang w:val="en-US"/>
        </w:rPr>
      </w:pPr>
      <w:r>
        <w:rPr>
          <w:lang w:val="en-US"/>
        </w:rPr>
        <w:t>The following list is a summary of commonly used words and acronyms within this document.</w:t>
      </w:r>
    </w:p>
    <w:tbl>
      <w:tblPr>
        <w:tblStyle w:val="TableGrid"/>
        <w:tblW w:w="0" w:type="auto"/>
        <w:tblLook w:val="04A0" w:firstRow="1" w:lastRow="0" w:firstColumn="1" w:lastColumn="0" w:noHBand="0" w:noVBand="1"/>
      </w:tblPr>
      <w:tblGrid>
        <w:gridCol w:w="2198"/>
        <w:gridCol w:w="7045"/>
      </w:tblGrid>
      <w:tr w:rsidR="00397365" w:rsidTr="001A641D">
        <w:trPr>
          <w:cnfStyle w:val="100000000000" w:firstRow="1" w:lastRow="0" w:firstColumn="0" w:lastColumn="0" w:oddVBand="0" w:evenVBand="0" w:oddHBand="0"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Applicant</w:t>
            </w:r>
          </w:p>
        </w:tc>
        <w:tc>
          <w:tcPr>
            <w:tcW w:w="7045" w:type="dxa"/>
          </w:tcPr>
          <w:p w:rsidR="001A641D" w:rsidRDefault="007E5C0A" w:rsidP="001A641D">
            <w:pPr>
              <w:spacing w:after="120"/>
              <w:rPr>
                <w:lang w:val="en-US"/>
              </w:rPr>
            </w:pPr>
            <w:r>
              <w:rPr>
                <w:lang w:val="en-US"/>
              </w:rPr>
              <w:t>Refers to both the ‘person proposing to take the action’ for an environmental impact assessment and</w:t>
            </w:r>
            <w:r>
              <w:t xml:space="preserve"> the ‘person responsible for the adoption or implementation of a policy, plan or program’ for a strategic assessment</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The Cost Recovery Guidelines</w:t>
            </w:r>
          </w:p>
        </w:tc>
        <w:tc>
          <w:tcPr>
            <w:tcW w:w="7045" w:type="dxa"/>
          </w:tcPr>
          <w:p w:rsidR="001A641D" w:rsidRPr="00C65E52" w:rsidRDefault="007E5C0A" w:rsidP="001A641D">
            <w:pPr>
              <w:spacing w:after="120"/>
              <w:rPr>
                <w:lang w:val="en-US"/>
              </w:rPr>
            </w:pPr>
            <w:r w:rsidRPr="00C65E52">
              <w:rPr>
                <w:lang w:val="en-US"/>
              </w:rPr>
              <w:t>Australian Government document outlining the principles and criteria for cost recovery activities</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Pr>
                <w:b/>
                <w:lang w:val="en-US"/>
              </w:rPr>
              <w:t>CA</w:t>
            </w:r>
          </w:p>
        </w:tc>
        <w:tc>
          <w:tcPr>
            <w:tcW w:w="7045" w:type="dxa"/>
          </w:tcPr>
          <w:p w:rsidR="001A641D" w:rsidRPr="00C65E52" w:rsidRDefault="007E5C0A" w:rsidP="001A641D">
            <w:pPr>
              <w:spacing w:after="120"/>
              <w:rPr>
                <w:lang w:val="en-US"/>
              </w:rPr>
            </w:pPr>
            <w:r w:rsidRPr="00C65E52">
              <w:rPr>
                <w:lang w:val="en-US"/>
              </w:rPr>
              <w:t>Controlled Action</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CITES</w:t>
            </w:r>
          </w:p>
        </w:tc>
        <w:tc>
          <w:tcPr>
            <w:tcW w:w="7045" w:type="dxa"/>
          </w:tcPr>
          <w:p w:rsidR="001A641D" w:rsidRPr="00C65E52" w:rsidRDefault="007E5C0A" w:rsidP="001A641D">
            <w:pPr>
              <w:spacing w:after="120"/>
              <w:rPr>
                <w:lang w:val="en-US"/>
              </w:rPr>
            </w:pPr>
            <w:r w:rsidRPr="00C65E52">
              <w:rPr>
                <w:lang w:val="en-US"/>
              </w:rPr>
              <w:t>Convention on International Trade in Endangered Species of Wild Flora and Fauna</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Pr>
                <w:b/>
                <w:lang w:val="en-US"/>
              </w:rPr>
              <w:t>Class of Actions</w:t>
            </w:r>
          </w:p>
        </w:tc>
        <w:tc>
          <w:tcPr>
            <w:tcW w:w="7045" w:type="dxa"/>
          </w:tcPr>
          <w:p w:rsidR="001A641D" w:rsidRPr="00C65E52" w:rsidRDefault="007E5C0A" w:rsidP="001A641D">
            <w:pPr>
              <w:spacing w:after="120"/>
              <w:rPr>
                <w:lang w:val="en-US"/>
              </w:rPr>
            </w:pPr>
            <w:r>
              <w:rPr>
                <w:lang w:val="en-US"/>
              </w:rPr>
              <w:t>A description of a group of actions that can be subject to a particular decision under the EPBC Act, for instance, a class of actions that is exempt from a Part 9 approval because it meets requirements under a bilateral agreement or a strategic assessment approval</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CRIS</w:t>
            </w:r>
          </w:p>
        </w:tc>
        <w:tc>
          <w:tcPr>
            <w:tcW w:w="7045" w:type="dxa"/>
          </w:tcPr>
          <w:p w:rsidR="001A641D" w:rsidRPr="00C65E52" w:rsidRDefault="007E5C0A" w:rsidP="001A641D">
            <w:pPr>
              <w:spacing w:after="120"/>
              <w:rPr>
                <w:lang w:val="en-US"/>
              </w:rPr>
            </w:pPr>
            <w:r w:rsidRPr="00C65E52">
              <w:rPr>
                <w:lang w:val="en-US"/>
              </w:rPr>
              <w:t xml:space="preserve">Cost Recovery </w:t>
            </w:r>
            <w:r>
              <w:rPr>
                <w:lang w:val="en-US"/>
              </w:rPr>
              <w:t>Implementation</w:t>
            </w:r>
            <w:r w:rsidRPr="00C65E52">
              <w:rPr>
                <w:lang w:val="en-US"/>
              </w:rPr>
              <w:t xml:space="preserve"> Statement</w:t>
            </w:r>
            <w:r>
              <w:rPr>
                <w:lang w:val="en-US"/>
              </w:rPr>
              <w:t xml:space="preserve"> </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sidRPr="001D5FB9">
              <w:rPr>
                <w:b/>
                <w:lang w:val="en-US"/>
              </w:rPr>
              <w:t>Direct costs</w:t>
            </w:r>
          </w:p>
        </w:tc>
        <w:tc>
          <w:tcPr>
            <w:tcW w:w="7045" w:type="dxa"/>
          </w:tcPr>
          <w:p w:rsidR="001A641D" w:rsidRPr="00C65E52" w:rsidRDefault="007E5C0A" w:rsidP="001A641D">
            <w:pPr>
              <w:spacing w:after="120"/>
              <w:rPr>
                <w:lang w:val="en-US"/>
              </w:rPr>
            </w:pPr>
            <w:r w:rsidRPr="00C65E52">
              <w:t xml:space="preserve">Those costs that can directly and unequivocally be attributed to </w:t>
            </w:r>
            <w:r>
              <w:t xml:space="preserve">making </w:t>
            </w:r>
            <w:r w:rsidRPr="00C65E52">
              <w:t>a product</w:t>
            </w:r>
            <w:r>
              <w:t xml:space="preserve"> or delivering a service</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EPBC Act</w:t>
            </w:r>
          </w:p>
        </w:tc>
        <w:tc>
          <w:tcPr>
            <w:tcW w:w="7045" w:type="dxa"/>
          </w:tcPr>
          <w:p w:rsidR="001A641D" w:rsidRPr="00C65E52" w:rsidRDefault="007E5C0A" w:rsidP="001A641D">
            <w:pPr>
              <w:spacing w:after="120"/>
              <w:rPr>
                <w:lang w:val="en-US"/>
              </w:rPr>
            </w:pPr>
            <w:r w:rsidRPr="00C65E52">
              <w:rPr>
                <w:i/>
                <w:lang w:val="en-US"/>
              </w:rPr>
              <w:t>Environment Protection and Biodiversity Conservation Act 1999</w:t>
            </w:r>
            <w:r>
              <w:rPr>
                <w:i/>
                <w:lang w:val="en-US"/>
              </w:rPr>
              <w:t xml:space="preserve"> (Cth)</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Pr>
                <w:b/>
                <w:lang w:val="en-US"/>
              </w:rPr>
              <w:t>Fee Point</w:t>
            </w:r>
          </w:p>
        </w:tc>
        <w:tc>
          <w:tcPr>
            <w:tcW w:w="7045" w:type="dxa"/>
          </w:tcPr>
          <w:p w:rsidR="001A641D" w:rsidRPr="00C65E52" w:rsidRDefault="007E5C0A" w:rsidP="001A641D">
            <w:pPr>
              <w:spacing w:after="120"/>
              <w:rPr>
                <w:lang w:val="en-US"/>
              </w:rPr>
            </w:pPr>
            <w:r w:rsidRPr="00C65E52">
              <w:rPr>
                <w:lang w:val="en-US"/>
              </w:rPr>
              <w:t>The point in the assessment or application process that a fee is charged</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Indirect costs</w:t>
            </w:r>
          </w:p>
        </w:tc>
        <w:tc>
          <w:tcPr>
            <w:tcW w:w="7045" w:type="dxa"/>
          </w:tcPr>
          <w:p w:rsidR="001A641D" w:rsidRPr="00C65E52" w:rsidRDefault="007E5C0A" w:rsidP="001A641D">
            <w:pPr>
              <w:spacing w:after="120"/>
              <w:rPr>
                <w:lang w:val="en-US"/>
              </w:rPr>
            </w:pPr>
            <w:r>
              <w:t>C</w:t>
            </w:r>
            <w:r w:rsidRPr="00C65E52">
              <w:t xml:space="preserve">osts that are not directly attributable to </w:t>
            </w:r>
            <w:r>
              <w:t xml:space="preserve">making </w:t>
            </w:r>
            <w:r w:rsidRPr="00C65E52">
              <w:t>a product</w:t>
            </w:r>
            <w:r>
              <w:t xml:space="preserve"> or delivering a service, o</w:t>
            </w:r>
            <w:r w:rsidRPr="00C65E52">
              <w:t xml:space="preserve">ften referred to as </w:t>
            </w:r>
            <w:r>
              <w:t>‘</w:t>
            </w:r>
            <w:r w:rsidRPr="00C65E52">
              <w:t>overheads</w:t>
            </w:r>
            <w:r>
              <w:t>’</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Pr>
                <w:b/>
                <w:lang w:val="en-US"/>
              </w:rPr>
              <w:t>NCA</w:t>
            </w:r>
          </w:p>
        </w:tc>
        <w:tc>
          <w:tcPr>
            <w:tcW w:w="7045" w:type="dxa"/>
          </w:tcPr>
          <w:p w:rsidR="001A641D" w:rsidRPr="00C65E52" w:rsidRDefault="007E5C0A" w:rsidP="001A641D">
            <w:pPr>
              <w:spacing w:after="120"/>
              <w:rPr>
                <w:lang w:val="en-US"/>
              </w:rPr>
            </w:pPr>
            <w:r w:rsidRPr="00C65E52">
              <w:rPr>
                <w:lang w:val="en-US"/>
              </w:rPr>
              <w:t>Not a Controlled Action</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2198" w:type="dxa"/>
          </w:tcPr>
          <w:p w:rsidR="001A641D" w:rsidRDefault="007E5C0A" w:rsidP="001A641D">
            <w:pPr>
              <w:spacing w:after="120"/>
              <w:rPr>
                <w:b/>
                <w:lang w:val="en-US"/>
              </w:rPr>
            </w:pPr>
            <w:r>
              <w:rPr>
                <w:b/>
                <w:lang w:val="en-US"/>
              </w:rPr>
              <w:t>NCA-PM</w:t>
            </w:r>
          </w:p>
        </w:tc>
        <w:tc>
          <w:tcPr>
            <w:tcW w:w="7045" w:type="dxa"/>
          </w:tcPr>
          <w:p w:rsidR="001A641D" w:rsidRPr="00C65E52" w:rsidRDefault="007E5C0A" w:rsidP="001A641D">
            <w:pPr>
              <w:spacing w:after="120"/>
              <w:rPr>
                <w:lang w:val="en-US"/>
              </w:rPr>
            </w:pPr>
            <w:r w:rsidRPr="00C65E52">
              <w:rPr>
                <w:lang w:val="en-US"/>
              </w:rPr>
              <w:t>Not a Controlled Action, provided the action is undertaken in a particular manner</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Pr>
                <w:b/>
                <w:lang w:val="en-US"/>
              </w:rPr>
              <w:t>Post approval</w:t>
            </w:r>
          </w:p>
        </w:tc>
        <w:tc>
          <w:tcPr>
            <w:tcW w:w="7045" w:type="dxa"/>
          </w:tcPr>
          <w:p w:rsidR="001A641D" w:rsidRDefault="007E5C0A" w:rsidP="001A641D">
            <w:pPr>
              <w:pStyle w:val="Default"/>
              <w:spacing w:after="120"/>
              <w:rPr>
                <w:rFonts w:cs="Arial"/>
              </w:rPr>
            </w:pPr>
            <w:r w:rsidRPr="00CA3ABF">
              <w:rPr>
                <w:rFonts w:ascii="Arial" w:hAnsi="Arial" w:cs="Arial"/>
                <w:sz w:val="22"/>
                <w:szCs w:val="22"/>
              </w:rPr>
              <w:t xml:space="preserve">Functions that occur subsequent to an approval under </w:t>
            </w:r>
            <w:r>
              <w:rPr>
                <w:rFonts w:ascii="Arial" w:hAnsi="Arial" w:cs="Arial"/>
                <w:sz w:val="22"/>
                <w:szCs w:val="22"/>
              </w:rPr>
              <w:t>Part 9 of Chapter 4 of the EPBC Act. e</w:t>
            </w:r>
            <w:r w:rsidRPr="00CA3ABF">
              <w:rPr>
                <w:rFonts w:ascii="Arial" w:hAnsi="Arial" w:cs="Arial"/>
                <w:sz w:val="22"/>
                <w:szCs w:val="22"/>
              </w:rPr>
              <w:t xml:space="preserve">.g. </w:t>
            </w:r>
            <w:r>
              <w:rPr>
                <w:rFonts w:ascii="Arial" w:hAnsi="Arial" w:cs="Arial"/>
                <w:sz w:val="22"/>
                <w:szCs w:val="22"/>
              </w:rPr>
              <w:t>evaluation</w:t>
            </w:r>
            <w:r w:rsidRPr="00CA3ABF">
              <w:rPr>
                <w:rFonts w:ascii="Arial" w:hAnsi="Arial" w:cs="Arial"/>
                <w:sz w:val="22"/>
                <w:szCs w:val="22"/>
              </w:rPr>
              <w:t xml:space="preserve"> of </w:t>
            </w:r>
            <w:r>
              <w:rPr>
                <w:rFonts w:ascii="Arial" w:hAnsi="Arial" w:cs="Arial"/>
                <w:sz w:val="22"/>
                <w:szCs w:val="22"/>
              </w:rPr>
              <w:t xml:space="preserve">post-approval action </w:t>
            </w:r>
            <w:r w:rsidRPr="00CA3ABF">
              <w:rPr>
                <w:rFonts w:ascii="Arial" w:hAnsi="Arial" w:cs="Arial"/>
                <w:sz w:val="22"/>
                <w:szCs w:val="22"/>
              </w:rPr>
              <w:t xml:space="preserve">management plans </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Policy, plan or program</w:t>
            </w:r>
          </w:p>
        </w:tc>
        <w:tc>
          <w:tcPr>
            <w:tcW w:w="7045" w:type="dxa"/>
          </w:tcPr>
          <w:p w:rsidR="001A641D" w:rsidRDefault="007E5C0A" w:rsidP="001A641D">
            <w:pPr>
              <w:spacing w:after="120"/>
              <w:rPr>
                <w:iCs/>
              </w:rPr>
            </w:pPr>
            <w:r>
              <w:rPr>
                <w:iCs/>
              </w:rPr>
              <w:t>Policy, Plan or Program for a strategic assessment under Part 10 of the EPBC Act</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2198" w:type="dxa"/>
          </w:tcPr>
          <w:p w:rsidR="001A641D" w:rsidRDefault="007E5C0A" w:rsidP="001A641D">
            <w:pPr>
              <w:spacing w:after="120"/>
              <w:rPr>
                <w:b/>
                <w:lang w:val="en-US"/>
              </w:rPr>
            </w:pPr>
            <w:r>
              <w:rPr>
                <w:b/>
                <w:lang w:val="en-US"/>
              </w:rPr>
              <w:t>Regulations</w:t>
            </w:r>
          </w:p>
        </w:tc>
        <w:tc>
          <w:tcPr>
            <w:tcW w:w="7045" w:type="dxa"/>
          </w:tcPr>
          <w:p w:rsidR="001A641D" w:rsidRPr="009447A5" w:rsidRDefault="007E5C0A" w:rsidP="001A641D">
            <w:pPr>
              <w:pStyle w:val="Default"/>
              <w:spacing w:after="120" w:line="276" w:lineRule="auto"/>
              <w:rPr>
                <w:rFonts w:ascii="Arial" w:hAnsi="Arial" w:cs="Arial"/>
                <w:sz w:val="22"/>
                <w:szCs w:val="22"/>
              </w:rPr>
            </w:pPr>
            <w:r w:rsidRPr="00B87931">
              <w:rPr>
                <w:rFonts w:ascii="Arial" w:hAnsi="Arial" w:cs="Arial"/>
                <w:sz w:val="22"/>
                <w:szCs w:val="22"/>
              </w:rPr>
              <w:t>Environment Protection and Biodiversity Conservation Regulations</w:t>
            </w:r>
            <w:r>
              <w:rPr>
                <w:rFonts w:ascii="Arial" w:hAnsi="Arial" w:cs="Arial"/>
                <w:sz w:val="22"/>
                <w:szCs w:val="22"/>
              </w:rPr>
              <w:t xml:space="preserve"> 2000</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Stop clock</w:t>
            </w:r>
          </w:p>
        </w:tc>
        <w:tc>
          <w:tcPr>
            <w:tcW w:w="7045" w:type="dxa"/>
          </w:tcPr>
          <w:p w:rsidR="001A641D" w:rsidRDefault="007E5C0A" w:rsidP="001A641D">
            <w:pPr>
              <w:pStyle w:val="Default"/>
              <w:spacing w:after="120"/>
              <w:rPr>
                <w:rFonts w:cs="Arial"/>
                <w:iCs/>
              </w:rPr>
            </w:pPr>
            <w:r w:rsidRPr="00CA3ABF">
              <w:rPr>
                <w:rFonts w:ascii="Arial" w:hAnsi="Arial" w:cs="Arial"/>
                <w:sz w:val="22"/>
                <w:szCs w:val="22"/>
              </w:rPr>
              <w:t>Suspension of the statutory timeframe of an EPBC Act referra</w:t>
            </w:r>
            <w:r>
              <w:rPr>
                <w:rFonts w:ascii="Arial" w:hAnsi="Arial" w:cs="Arial"/>
                <w:sz w:val="22"/>
                <w:szCs w:val="22"/>
              </w:rPr>
              <w:t>l or assessment by the Minister</w:t>
            </w:r>
            <w:r w:rsidRPr="00CA3ABF">
              <w:rPr>
                <w:rFonts w:ascii="Arial" w:hAnsi="Arial" w:cs="Arial"/>
                <w:sz w:val="22"/>
                <w:szCs w:val="22"/>
              </w:rPr>
              <w:t xml:space="preserve"> </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2198" w:type="dxa"/>
          </w:tcPr>
          <w:p w:rsidR="001A641D" w:rsidRDefault="007E5C0A" w:rsidP="001A641D">
            <w:pPr>
              <w:spacing w:after="120"/>
              <w:rPr>
                <w:b/>
                <w:lang w:val="en-US"/>
              </w:rPr>
            </w:pPr>
            <w:r>
              <w:rPr>
                <w:b/>
                <w:lang w:val="en-US"/>
              </w:rPr>
              <w:t>The Department</w:t>
            </w:r>
          </w:p>
        </w:tc>
        <w:tc>
          <w:tcPr>
            <w:tcW w:w="7045" w:type="dxa"/>
          </w:tcPr>
          <w:p w:rsidR="001A641D" w:rsidRDefault="007E5C0A" w:rsidP="001A641D">
            <w:pPr>
              <w:spacing w:after="120"/>
              <w:rPr>
                <w:lang w:val="en-US"/>
              </w:rPr>
            </w:pPr>
            <w:r>
              <w:rPr>
                <w:iCs/>
              </w:rPr>
              <w:t>The Department responsible for administering the EPBC Act, currently the Department of the Environment and Energy</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2198" w:type="dxa"/>
          </w:tcPr>
          <w:p w:rsidR="001A641D" w:rsidRDefault="007E5C0A" w:rsidP="001A641D">
            <w:pPr>
              <w:spacing w:after="120"/>
              <w:rPr>
                <w:b/>
                <w:lang w:val="en-US"/>
              </w:rPr>
            </w:pPr>
            <w:r>
              <w:rPr>
                <w:b/>
                <w:lang w:val="en-US"/>
              </w:rPr>
              <w:t>The Minister</w:t>
            </w:r>
          </w:p>
        </w:tc>
        <w:tc>
          <w:tcPr>
            <w:tcW w:w="7045" w:type="dxa"/>
          </w:tcPr>
          <w:p w:rsidR="001A641D" w:rsidRDefault="007E5C0A" w:rsidP="001A641D">
            <w:pPr>
              <w:spacing w:after="120"/>
              <w:rPr>
                <w:iCs/>
              </w:rPr>
            </w:pPr>
            <w:r>
              <w:rPr>
                <w:iCs/>
              </w:rPr>
              <w:t>The Minister responsible for administering the EPBC Act, currently the Minister for the Environment and Energy (also includes a delegate of the Minister)</w:t>
            </w:r>
          </w:p>
        </w:tc>
      </w:tr>
    </w:tbl>
    <w:p w:rsidR="001A641D" w:rsidRDefault="007E5C0A" w:rsidP="001A641D">
      <w:pPr>
        <w:keepNext/>
      </w:pPr>
      <w:r>
        <w:rPr>
          <w:rFonts w:eastAsia="Times New Roman"/>
          <w:b/>
          <w:bCs/>
          <w:u w:val="single"/>
        </w:rPr>
        <w:t>Staffing classifications</w:t>
      </w:r>
    </w:p>
    <w:tbl>
      <w:tblPr>
        <w:tblW w:w="92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7586"/>
      </w:tblGrid>
      <w:tr w:rsidR="00397365" w:rsidTr="001A641D">
        <w:trPr>
          <w:trHeight w:val="153"/>
          <w:tblCellSpacing w:w="15" w:type="dxa"/>
        </w:trPr>
        <w:tc>
          <w:tcPr>
            <w:tcW w:w="0" w:type="auto"/>
            <w:tcMar>
              <w:top w:w="15" w:type="dxa"/>
              <w:left w:w="15" w:type="dxa"/>
              <w:bottom w:w="15" w:type="dxa"/>
              <w:right w:w="15" w:type="dxa"/>
            </w:tcMar>
            <w:vAlign w:val="center"/>
            <w:hideMark/>
          </w:tcPr>
          <w:p w:rsidR="001A641D" w:rsidRDefault="007E5C0A">
            <w:pPr>
              <w:spacing w:line="153" w:lineRule="atLeast"/>
              <w:rPr>
                <w:rFonts w:eastAsia="Times New Roman"/>
                <w:sz w:val="24"/>
                <w:szCs w:val="24"/>
              </w:rPr>
            </w:pPr>
            <w:r>
              <w:rPr>
                <w:rFonts w:eastAsia="Times New Roman"/>
                <w:b/>
                <w:bCs/>
              </w:rPr>
              <w:t xml:space="preserve">APS 4 </w:t>
            </w:r>
          </w:p>
        </w:tc>
        <w:tc>
          <w:tcPr>
            <w:tcW w:w="0" w:type="auto"/>
            <w:tcMar>
              <w:top w:w="15" w:type="dxa"/>
              <w:left w:w="15" w:type="dxa"/>
              <w:bottom w:w="15" w:type="dxa"/>
              <w:right w:w="15" w:type="dxa"/>
            </w:tcMar>
            <w:vAlign w:val="center"/>
            <w:hideMark/>
          </w:tcPr>
          <w:p w:rsidR="001A641D" w:rsidRDefault="007E5C0A" w:rsidP="001A641D">
            <w:pPr>
              <w:spacing w:line="153" w:lineRule="atLeast"/>
              <w:rPr>
                <w:rFonts w:eastAsia="Times New Roman"/>
                <w:sz w:val="24"/>
                <w:szCs w:val="24"/>
              </w:rPr>
            </w:pPr>
            <w:r>
              <w:rPr>
                <w:rFonts w:eastAsia="Times New Roman"/>
              </w:rPr>
              <w:t xml:space="preserve">Assessment Officer / Project Officer </w:t>
            </w:r>
          </w:p>
        </w:tc>
      </w:tr>
      <w:tr w:rsidR="00397365" w:rsidTr="001A641D">
        <w:trPr>
          <w:trHeight w:val="153"/>
          <w:tblCellSpacing w:w="15" w:type="dxa"/>
        </w:trPr>
        <w:tc>
          <w:tcPr>
            <w:tcW w:w="0" w:type="auto"/>
            <w:tcMar>
              <w:top w:w="15" w:type="dxa"/>
              <w:left w:w="15" w:type="dxa"/>
              <w:bottom w:w="15" w:type="dxa"/>
              <w:right w:w="15" w:type="dxa"/>
            </w:tcMar>
            <w:vAlign w:val="center"/>
            <w:hideMark/>
          </w:tcPr>
          <w:p w:rsidR="001A641D" w:rsidRDefault="007E5C0A">
            <w:pPr>
              <w:spacing w:line="153" w:lineRule="atLeast"/>
              <w:rPr>
                <w:rFonts w:eastAsia="Times New Roman"/>
                <w:sz w:val="24"/>
                <w:szCs w:val="24"/>
              </w:rPr>
            </w:pPr>
            <w:r>
              <w:rPr>
                <w:rFonts w:eastAsia="Times New Roman"/>
                <w:b/>
                <w:bCs/>
              </w:rPr>
              <w:t xml:space="preserve">APS 5 / 6 </w:t>
            </w:r>
          </w:p>
        </w:tc>
        <w:tc>
          <w:tcPr>
            <w:tcW w:w="0" w:type="auto"/>
            <w:tcMar>
              <w:top w:w="15" w:type="dxa"/>
              <w:left w:w="15" w:type="dxa"/>
              <w:bottom w:w="15" w:type="dxa"/>
              <w:right w:w="15" w:type="dxa"/>
            </w:tcMar>
            <w:vAlign w:val="center"/>
            <w:hideMark/>
          </w:tcPr>
          <w:p w:rsidR="001A641D" w:rsidRDefault="007E5C0A" w:rsidP="001A641D">
            <w:pPr>
              <w:spacing w:line="153" w:lineRule="atLeast"/>
              <w:rPr>
                <w:rFonts w:eastAsia="Times New Roman"/>
                <w:sz w:val="24"/>
                <w:szCs w:val="24"/>
              </w:rPr>
            </w:pPr>
            <w:r>
              <w:rPr>
                <w:rFonts w:eastAsia="Times New Roman"/>
              </w:rPr>
              <w:t xml:space="preserve">Assessment Officer / Project Manager </w:t>
            </w:r>
          </w:p>
        </w:tc>
      </w:tr>
      <w:tr w:rsidR="00397365" w:rsidTr="001A641D">
        <w:trPr>
          <w:trHeight w:val="153"/>
          <w:tblCellSpacing w:w="15" w:type="dxa"/>
        </w:trPr>
        <w:tc>
          <w:tcPr>
            <w:tcW w:w="0" w:type="auto"/>
            <w:tcMar>
              <w:top w:w="15" w:type="dxa"/>
              <w:left w:w="15" w:type="dxa"/>
              <w:bottom w:w="15" w:type="dxa"/>
              <w:right w:w="15" w:type="dxa"/>
            </w:tcMar>
            <w:vAlign w:val="center"/>
            <w:hideMark/>
          </w:tcPr>
          <w:p w:rsidR="001A641D" w:rsidRDefault="007E5C0A">
            <w:pPr>
              <w:spacing w:line="153" w:lineRule="atLeast"/>
              <w:rPr>
                <w:rFonts w:eastAsia="Times New Roman"/>
                <w:sz w:val="24"/>
                <w:szCs w:val="24"/>
              </w:rPr>
            </w:pPr>
            <w:r>
              <w:rPr>
                <w:rFonts w:eastAsia="Times New Roman"/>
                <w:b/>
                <w:bCs/>
              </w:rPr>
              <w:t xml:space="preserve">EL 1 </w:t>
            </w:r>
          </w:p>
        </w:tc>
        <w:tc>
          <w:tcPr>
            <w:tcW w:w="0" w:type="auto"/>
            <w:tcMar>
              <w:top w:w="15" w:type="dxa"/>
              <w:left w:w="15" w:type="dxa"/>
              <w:bottom w:w="15" w:type="dxa"/>
              <w:right w:w="15" w:type="dxa"/>
            </w:tcMar>
            <w:vAlign w:val="center"/>
            <w:hideMark/>
          </w:tcPr>
          <w:p w:rsidR="001A641D" w:rsidRDefault="007E5C0A" w:rsidP="001A641D">
            <w:pPr>
              <w:spacing w:line="153" w:lineRule="atLeast"/>
              <w:rPr>
                <w:rFonts w:eastAsia="Times New Roman"/>
                <w:sz w:val="24"/>
                <w:szCs w:val="24"/>
              </w:rPr>
            </w:pPr>
            <w:r>
              <w:rPr>
                <w:rFonts w:eastAsia="Times New Roman"/>
              </w:rPr>
              <w:t xml:space="preserve">Assistant Director / Team Manager </w:t>
            </w:r>
          </w:p>
        </w:tc>
      </w:tr>
      <w:tr w:rsidR="00397365" w:rsidTr="001A641D">
        <w:trPr>
          <w:trHeight w:val="153"/>
          <w:tblCellSpacing w:w="15" w:type="dxa"/>
        </w:trPr>
        <w:tc>
          <w:tcPr>
            <w:tcW w:w="0" w:type="auto"/>
            <w:tcMar>
              <w:top w:w="15" w:type="dxa"/>
              <w:left w:w="15" w:type="dxa"/>
              <w:bottom w:w="15" w:type="dxa"/>
              <w:right w:w="15" w:type="dxa"/>
            </w:tcMar>
            <w:vAlign w:val="center"/>
            <w:hideMark/>
          </w:tcPr>
          <w:p w:rsidR="001A641D" w:rsidRDefault="007E5C0A">
            <w:pPr>
              <w:spacing w:line="153" w:lineRule="atLeast"/>
              <w:rPr>
                <w:rFonts w:eastAsia="Times New Roman"/>
                <w:sz w:val="24"/>
                <w:szCs w:val="24"/>
              </w:rPr>
            </w:pPr>
            <w:r>
              <w:rPr>
                <w:rFonts w:eastAsia="Times New Roman"/>
                <w:b/>
                <w:bCs/>
              </w:rPr>
              <w:t xml:space="preserve">EL 2 </w:t>
            </w:r>
          </w:p>
        </w:tc>
        <w:tc>
          <w:tcPr>
            <w:tcW w:w="0" w:type="auto"/>
            <w:tcMar>
              <w:top w:w="15" w:type="dxa"/>
              <w:left w:w="15" w:type="dxa"/>
              <w:bottom w:w="15" w:type="dxa"/>
              <w:right w:w="15" w:type="dxa"/>
            </w:tcMar>
            <w:vAlign w:val="center"/>
            <w:hideMark/>
          </w:tcPr>
          <w:p w:rsidR="001A641D" w:rsidRDefault="007E5C0A">
            <w:pPr>
              <w:spacing w:line="153" w:lineRule="atLeast"/>
              <w:rPr>
                <w:rFonts w:eastAsia="Times New Roman"/>
                <w:sz w:val="24"/>
                <w:szCs w:val="24"/>
              </w:rPr>
            </w:pPr>
            <w:r>
              <w:rPr>
                <w:rFonts w:eastAsia="Times New Roman"/>
              </w:rPr>
              <w:t xml:space="preserve">Director / Section Manager </w:t>
            </w:r>
          </w:p>
        </w:tc>
      </w:tr>
      <w:tr w:rsidR="00397365" w:rsidTr="001A641D">
        <w:trPr>
          <w:trHeight w:val="153"/>
          <w:tblCellSpacing w:w="15" w:type="dxa"/>
        </w:trPr>
        <w:tc>
          <w:tcPr>
            <w:tcW w:w="0" w:type="auto"/>
            <w:tcMar>
              <w:top w:w="15" w:type="dxa"/>
              <w:left w:w="15" w:type="dxa"/>
              <w:bottom w:w="15" w:type="dxa"/>
              <w:right w:w="15" w:type="dxa"/>
            </w:tcMar>
            <w:vAlign w:val="center"/>
            <w:hideMark/>
          </w:tcPr>
          <w:p w:rsidR="001A641D" w:rsidRDefault="007E5C0A">
            <w:pPr>
              <w:spacing w:line="153" w:lineRule="atLeast"/>
              <w:rPr>
                <w:rFonts w:eastAsia="Times New Roman"/>
                <w:sz w:val="24"/>
                <w:szCs w:val="24"/>
              </w:rPr>
            </w:pPr>
            <w:r>
              <w:rPr>
                <w:rFonts w:eastAsia="Times New Roman"/>
                <w:b/>
                <w:bCs/>
              </w:rPr>
              <w:t xml:space="preserve">SES 1 </w:t>
            </w:r>
          </w:p>
        </w:tc>
        <w:tc>
          <w:tcPr>
            <w:tcW w:w="0" w:type="auto"/>
            <w:tcMar>
              <w:top w:w="15" w:type="dxa"/>
              <w:left w:w="15" w:type="dxa"/>
              <w:bottom w:w="15" w:type="dxa"/>
              <w:right w:w="15" w:type="dxa"/>
            </w:tcMar>
            <w:vAlign w:val="center"/>
            <w:hideMark/>
          </w:tcPr>
          <w:p w:rsidR="001A641D" w:rsidRDefault="007E5C0A" w:rsidP="001A641D">
            <w:pPr>
              <w:spacing w:line="153" w:lineRule="atLeast"/>
              <w:rPr>
                <w:rFonts w:eastAsia="Times New Roman"/>
                <w:sz w:val="24"/>
                <w:szCs w:val="24"/>
              </w:rPr>
            </w:pPr>
            <w:r>
              <w:rPr>
                <w:rFonts w:eastAsia="Times New Roman"/>
              </w:rPr>
              <w:t xml:space="preserve">Assistant Secretary / Senior Executive Officer </w:t>
            </w:r>
          </w:p>
        </w:tc>
      </w:tr>
    </w:tbl>
    <w:p w:rsidR="001A641D" w:rsidRDefault="007E5C0A" w:rsidP="001A641D">
      <w:pPr>
        <w:rPr>
          <w:rFonts w:ascii="Calibri" w:eastAsia="Times New Roman" w:hAnsi="Calibri"/>
          <w:sz w:val="23"/>
          <w:szCs w:val="23"/>
        </w:rPr>
      </w:pPr>
      <w:r>
        <w:rPr>
          <w:rFonts w:ascii="Calibri" w:eastAsia="Times New Roman" w:hAnsi="Calibri"/>
          <w:color w:val="1F497D"/>
        </w:rPr>
        <w:t> </w:t>
      </w:r>
    </w:p>
    <w:p w:rsidR="001A641D" w:rsidRDefault="001A641D">
      <w:pPr>
        <w:spacing w:after="0" w:line="240" w:lineRule="auto"/>
        <w:rPr>
          <w:rFonts w:cs="Arial"/>
          <w:b/>
        </w:rPr>
      </w:pPr>
    </w:p>
    <w:p w:rsidR="001A641D" w:rsidRDefault="001A641D" w:rsidP="001A641D">
      <w:pPr>
        <w:pStyle w:val="Heading1"/>
        <w:sectPr w:rsidR="001A641D" w:rsidSect="001A641D">
          <w:headerReference w:type="even" r:id="rId14"/>
          <w:headerReference w:type="default" r:id="rId15"/>
          <w:footerReference w:type="default" r:id="rId16"/>
          <w:headerReference w:type="first" r:id="rId17"/>
          <w:pgSz w:w="11906" w:h="16838"/>
          <w:pgMar w:top="1418" w:right="1276" w:bottom="567" w:left="1418" w:header="425" w:footer="425" w:gutter="0"/>
          <w:pgNumType w:fmt="lowerRoman" w:start="1"/>
          <w:cols w:space="708"/>
          <w:docGrid w:linePitch="360"/>
        </w:sectPr>
      </w:pPr>
    </w:p>
    <w:p w:rsidR="001A641D" w:rsidRDefault="007E5C0A">
      <w:pPr>
        <w:pStyle w:val="Heading1"/>
      </w:pPr>
      <w:bookmarkStart w:id="3" w:name="_Toc387064747"/>
      <w:bookmarkStart w:id="4" w:name="_Toc387064959"/>
      <w:bookmarkStart w:id="5" w:name="_Toc387065165"/>
      <w:bookmarkStart w:id="6" w:name="_Toc387065376"/>
      <w:bookmarkStart w:id="7" w:name="_Toc387065582"/>
      <w:bookmarkStart w:id="8" w:name="_Toc387065787"/>
      <w:bookmarkStart w:id="9" w:name="_Toc387065993"/>
      <w:bookmarkStart w:id="10" w:name="_Toc387066196"/>
      <w:bookmarkStart w:id="11" w:name="_Toc387069432"/>
      <w:bookmarkStart w:id="12" w:name="_Toc387069619"/>
      <w:bookmarkStart w:id="13" w:name="_Toc387069828"/>
      <w:bookmarkStart w:id="14" w:name="_Toc387070027"/>
      <w:bookmarkStart w:id="15" w:name="_Toc387072292"/>
      <w:bookmarkStart w:id="16" w:name="_Toc387072503"/>
      <w:bookmarkStart w:id="17" w:name="_Toc387392531"/>
      <w:bookmarkStart w:id="18" w:name="_Toc256000240"/>
      <w:bookmarkStart w:id="19" w:name="_Toc256000132"/>
      <w:bookmarkStart w:id="20" w:name="_Toc256000024"/>
      <w:bookmarkStart w:id="21" w:name="_Toc256000001"/>
      <w:bookmarkStart w:id="22" w:name="_Toc4581705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BE02B0">
        <w:t>INTRODUCTION</w:t>
      </w:r>
      <w:bookmarkEnd w:id="18"/>
      <w:bookmarkEnd w:id="19"/>
      <w:bookmarkEnd w:id="20"/>
      <w:bookmarkEnd w:id="21"/>
      <w:bookmarkEnd w:id="22"/>
    </w:p>
    <w:p w:rsidR="001A641D" w:rsidRPr="009153B8" w:rsidRDefault="007E5C0A" w:rsidP="001A641D">
      <w:pPr>
        <w:pStyle w:val="ListBullet"/>
        <w:numPr>
          <w:ilvl w:val="0"/>
          <w:numId w:val="0"/>
        </w:numPr>
        <w:spacing w:after="120"/>
        <w:rPr>
          <w:lang w:eastAsia="en-AU"/>
        </w:rPr>
      </w:pPr>
      <w:r w:rsidRPr="00094341">
        <w:rPr>
          <w:lang w:eastAsia="en-AU"/>
        </w:rPr>
        <w:t xml:space="preserve">The </w:t>
      </w:r>
      <w:r w:rsidRPr="00927AE3">
        <w:rPr>
          <w:i/>
          <w:iCs/>
        </w:rPr>
        <w:t>Environment Protection and Biodiversity Conservation Act</w:t>
      </w:r>
      <w:r w:rsidRPr="00927AE3">
        <w:rPr>
          <w:iCs/>
        </w:rPr>
        <w:t xml:space="preserve"> </w:t>
      </w:r>
      <w:r w:rsidRPr="008E11E4">
        <w:rPr>
          <w:i/>
          <w:iCs/>
        </w:rPr>
        <w:t>1999</w:t>
      </w:r>
      <w:r w:rsidRPr="00927AE3">
        <w:rPr>
          <w:iCs/>
        </w:rPr>
        <w:t xml:space="preserve"> (Cth)</w:t>
      </w:r>
      <w:r>
        <w:rPr>
          <w:iCs/>
        </w:rPr>
        <w:t xml:space="preserve"> </w:t>
      </w:r>
      <w:r w:rsidRPr="00927AE3">
        <w:rPr>
          <w:iCs/>
        </w:rPr>
        <w:t>(</w:t>
      </w:r>
      <w:r w:rsidRPr="00094341">
        <w:rPr>
          <w:lang w:eastAsia="en-AU"/>
        </w:rPr>
        <w:t>EPBC Act) is the Australian Government's central piece of environmental legislation.</w:t>
      </w:r>
      <w:r>
        <w:rPr>
          <w:lang w:eastAsia="en-AU"/>
        </w:rPr>
        <w:t xml:space="preserve"> </w:t>
      </w:r>
      <w:r w:rsidRPr="00094341">
        <w:rPr>
          <w:lang w:eastAsia="en-AU"/>
        </w:rPr>
        <w:t xml:space="preserve">It provides a legal framework to protect and manage nationally and internationally important flora, fauna, ecological communities and heritage places </w:t>
      </w:r>
      <w:r>
        <w:rPr>
          <w:lang w:eastAsia="en-AU"/>
        </w:rPr>
        <w:t xml:space="preserve">- </w:t>
      </w:r>
      <w:r w:rsidRPr="00094341">
        <w:rPr>
          <w:lang w:eastAsia="en-AU"/>
        </w:rPr>
        <w:t>defined in the Act as matters of national environmental significance</w:t>
      </w:r>
      <w:r>
        <w:rPr>
          <w:lang w:eastAsia="en-AU"/>
        </w:rPr>
        <w:t xml:space="preserve">. </w:t>
      </w:r>
      <w:r w:rsidRPr="009153B8">
        <w:rPr>
          <w:lang w:eastAsia="en-AU"/>
        </w:rPr>
        <w:t>The nine matters of national environmental significance to which the EPBC Act applies are:</w:t>
      </w:r>
    </w:p>
    <w:p w:rsidR="001A641D" w:rsidRPr="009153B8" w:rsidRDefault="007E5C0A" w:rsidP="001A641D">
      <w:pPr>
        <w:pStyle w:val="ListBullet"/>
        <w:numPr>
          <w:ilvl w:val="0"/>
          <w:numId w:val="11"/>
        </w:numPr>
        <w:spacing w:after="120"/>
        <w:rPr>
          <w:lang w:eastAsia="en-AU"/>
        </w:rPr>
      </w:pPr>
      <w:r w:rsidRPr="009153B8">
        <w:rPr>
          <w:lang w:eastAsia="en-AU"/>
        </w:rPr>
        <w:t>world heritage properties</w:t>
      </w:r>
    </w:p>
    <w:p w:rsidR="001A641D" w:rsidRPr="009153B8" w:rsidRDefault="007E5C0A" w:rsidP="001A641D">
      <w:pPr>
        <w:pStyle w:val="ListBullet"/>
        <w:numPr>
          <w:ilvl w:val="0"/>
          <w:numId w:val="11"/>
        </w:numPr>
        <w:spacing w:after="120"/>
        <w:rPr>
          <w:lang w:eastAsia="en-AU"/>
        </w:rPr>
      </w:pPr>
      <w:r w:rsidRPr="009153B8">
        <w:rPr>
          <w:lang w:eastAsia="en-AU"/>
        </w:rPr>
        <w:t>national heritage places</w:t>
      </w:r>
    </w:p>
    <w:p w:rsidR="001A641D" w:rsidRPr="009153B8" w:rsidRDefault="007E5C0A" w:rsidP="001A641D">
      <w:pPr>
        <w:pStyle w:val="ListBullet"/>
        <w:numPr>
          <w:ilvl w:val="0"/>
          <w:numId w:val="11"/>
        </w:numPr>
        <w:spacing w:after="120"/>
        <w:rPr>
          <w:lang w:eastAsia="en-AU"/>
        </w:rPr>
      </w:pPr>
      <w:r w:rsidRPr="009153B8">
        <w:rPr>
          <w:lang w:eastAsia="en-AU"/>
        </w:rPr>
        <w:t>wetlands of international importance</w:t>
      </w:r>
    </w:p>
    <w:p w:rsidR="001A641D" w:rsidRPr="009153B8" w:rsidRDefault="007E5C0A" w:rsidP="001A641D">
      <w:pPr>
        <w:pStyle w:val="ListBullet"/>
        <w:numPr>
          <w:ilvl w:val="0"/>
          <w:numId w:val="11"/>
        </w:numPr>
        <w:spacing w:after="120"/>
        <w:rPr>
          <w:lang w:eastAsia="en-AU"/>
        </w:rPr>
      </w:pPr>
      <w:r w:rsidRPr="009153B8">
        <w:rPr>
          <w:lang w:eastAsia="en-AU"/>
        </w:rPr>
        <w:t>nationally threatened species and ecological communities</w:t>
      </w:r>
    </w:p>
    <w:p w:rsidR="001A641D" w:rsidRPr="009153B8" w:rsidRDefault="007E5C0A" w:rsidP="001A641D">
      <w:pPr>
        <w:pStyle w:val="ListBullet"/>
        <w:numPr>
          <w:ilvl w:val="0"/>
          <w:numId w:val="11"/>
        </w:numPr>
        <w:spacing w:after="120"/>
        <w:rPr>
          <w:lang w:eastAsia="en-AU"/>
        </w:rPr>
      </w:pPr>
      <w:r w:rsidRPr="009153B8">
        <w:rPr>
          <w:lang w:eastAsia="en-AU"/>
        </w:rPr>
        <w:t>migratory species</w:t>
      </w:r>
    </w:p>
    <w:p w:rsidR="001A641D" w:rsidRPr="009153B8" w:rsidRDefault="007E5C0A" w:rsidP="001A641D">
      <w:pPr>
        <w:pStyle w:val="ListBullet"/>
        <w:numPr>
          <w:ilvl w:val="0"/>
          <w:numId w:val="11"/>
        </w:numPr>
        <w:spacing w:after="120"/>
        <w:rPr>
          <w:lang w:eastAsia="en-AU"/>
        </w:rPr>
      </w:pPr>
      <w:r w:rsidRPr="009153B8">
        <w:rPr>
          <w:lang w:eastAsia="en-AU"/>
        </w:rPr>
        <w:t>Commonwealth marine areas</w:t>
      </w:r>
    </w:p>
    <w:p w:rsidR="001A641D" w:rsidRPr="009153B8" w:rsidRDefault="007E5C0A" w:rsidP="001A641D">
      <w:pPr>
        <w:pStyle w:val="ListBullet"/>
        <w:numPr>
          <w:ilvl w:val="0"/>
          <w:numId w:val="11"/>
        </w:numPr>
        <w:spacing w:after="120"/>
        <w:rPr>
          <w:lang w:eastAsia="en-AU"/>
        </w:rPr>
      </w:pPr>
      <w:r w:rsidRPr="009153B8">
        <w:rPr>
          <w:lang w:eastAsia="en-AU"/>
        </w:rPr>
        <w:t>the Great Barrier Reef Marine Park</w:t>
      </w:r>
    </w:p>
    <w:p w:rsidR="001A641D" w:rsidRPr="009153B8" w:rsidRDefault="007E5C0A" w:rsidP="001A641D">
      <w:pPr>
        <w:pStyle w:val="ListBullet"/>
        <w:numPr>
          <w:ilvl w:val="0"/>
          <w:numId w:val="11"/>
        </w:numPr>
        <w:spacing w:after="120"/>
        <w:rPr>
          <w:lang w:eastAsia="en-AU"/>
        </w:rPr>
      </w:pPr>
      <w:r w:rsidRPr="009153B8">
        <w:rPr>
          <w:lang w:eastAsia="en-AU"/>
        </w:rPr>
        <w:t>nuclear actions (including uranium mining)</w:t>
      </w:r>
    </w:p>
    <w:p w:rsidR="001A641D" w:rsidRPr="009153B8" w:rsidRDefault="007E5C0A" w:rsidP="001A641D">
      <w:pPr>
        <w:pStyle w:val="ListBullet"/>
        <w:numPr>
          <w:ilvl w:val="0"/>
          <w:numId w:val="11"/>
        </w:numPr>
        <w:spacing w:after="120"/>
        <w:rPr>
          <w:lang w:eastAsia="en-AU"/>
        </w:rPr>
      </w:pPr>
      <w:r w:rsidRPr="009153B8">
        <w:rPr>
          <w:lang w:eastAsia="en-AU"/>
        </w:rPr>
        <w:t>a water resource, in relation to coal seam gas development and large coal mining development.</w:t>
      </w:r>
    </w:p>
    <w:p w:rsidR="001A641D" w:rsidRDefault="007E5C0A" w:rsidP="001A641D">
      <w:pPr>
        <w:pStyle w:val="ListBullet"/>
        <w:numPr>
          <w:ilvl w:val="0"/>
          <w:numId w:val="0"/>
        </w:numPr>
        <w:rPr>
          <w:lang w:eastAsia="en-AU"/>
        </w:rPr>
      </w:pPr>
      <w:r w:rsidRPr="009153B8">
        <w:rPr>
          <w:lang w:eastAsia="en-AU"/>
        </w:rPr>
        <w:t>In addition, the EPBC Act confers jurisdiction over actions that have a significant impact on the environment where the actions affect, or are taken on, Commonwealth land, or are carried out by a Commonwealth agency.</w:t>
      </w:r>
    </w:p>
    <w:p w:rsidR="001A641D" w:rsidRDefault="007E5C0A" w:rsidP="001A641D">
      <w:pPr>
        <w:pStyle w:val="ListBullet"/>
        <w:numPr>
          <w:ilvl w:val="0"/>
          <w:numId w:val="0"/>
        </w:numPr>
      </w:pPr>
      <w:r w:rsidRPr="00BC77A1">
        <w:rPr>
          <w:rFonts w:cs="Calibri"/>
          <w:color w:val="000000"/>
          <w:lang w:val="en-US" w:eastAsia="en-AU"/>
        </w:rPr>
        <w:t xml:space="preserve">The Department </w:t>
      </w:r>
      <w:r w:rsidRPr="00056D27">
        <w:t xml:space="preserve">is responsible for administering the regulatory functions of the EPBC Act. </w:t>
      </w:r>
      <w:r w:rsidRPr="009153B8">
        <w:rPr>
          <w:lang w:eastAsia="en-AU"/>
        </w:rPr>
        <w:t>The EPBC Act comes into play when a proposal has the potential to have a significant impact on a matter of national environmental significance.</w:t>
      </w:r>
      <w:r>
        <w:rPr>
          <w:lang w:eastAsia="en-AU"/>
        </w:rPr>
        <w:t xml:space="preserve"> </w:t>
      </w:r>
      <w:r w:rsidRPr="009153B8">
        <w:rPr>
          <w:lang w:eastAsia="en-AU"/>
        </w:rPr>
        <w:t xml:space="preserve">When a person wants </w:t>
      </w:r>
      <w:r>
        <w:rPr>
          <w:lang w:eastAsia="en-AU"/>
        </w:rPr>
        <w:t>to undertake such an</w:t>
      </w:r>
      <w:r w:rsidRPr="009153B8">
        <w:rPr>
          <w:lang w:eastAsia="en-AU"/>
        </w:rPr>
        <w:t xml:space="preserve"> action, he or she must refer the project to the Department</w:t>
      </w:r>
      <w:r w:rsidRPr="00D416E3">
        <w:rPr>
          <w:lang w:eastAsia="en-AU"/>
        </w:rPr>
        <w:t xml:space="preserve"> </w:t>
      </w:r>
      <w:r>
        <w:rPr>
          <w:lang w:eastAsia="en-AU"/>
        </w:rPr>
        <w:t xml:space="preserve">to be </w:t>
      </w:r>
      <w:r w:rsidRPr="009153B8">
        <w:rPr>
          <w:lang w:eastAsia="en-AU"/>
        </w:rPr>
        <w:t>assessed for environmental impacts under the EPBC Act.</w:t>
      </w:r>
      <w:r>
        <w:rPr>
          <w:lang w:eastAsia="en-AU"/>
        </w:rPr>
        <w:t xml:space="preserve"> </w:t>
      </w:r>
      <w:r w:rsidRPr="00056D27">
        <w:t>Further detail is available at:</w:t>
      </w:r>
      <w:r>
        <w:t xml:space="preserve"> </w:t>
      </w:r>
      <w:hyperlink r:id="rId18" w:history="1">
        <w:r w:rsidRPr="007E5AD0">
          <w:rPr>
            <w:rStyle w:val="Hyperlink"/>
            <w:color w:val="548DD4" w:themeColor="text2" w:themeTint="99"/>
          </w:rPr>
          <w:t>www.environment.gov.au</w:t>
        </w:r>
      </w:hyperlink>
      <w:r w:rsidRPr="00056D27">
        <w:t>.</w:t>
      </w:r>
    </w:p>
    <w:p w:rsidR="001A641D" w:rsidRPr="00927AE3" w:rsidRDefault="007E5C0A" w:rsidP="001A641D">
      <w:pPr>
        <w:pStyle w:val="Heading2"/>
      </w:pPr>
      <w:bookmarkStart w:id="23" w:name="_Toc256000275"/>
      <w:bookmarkStart w:id="24" w:name="_Toc256000167"/>
      <w:bookmarkStart w:id="25" w:name="_Toc256000059"/>
      <w:bookmarkStart w:id="26" w:name="_Toc256000002"/>
      <w:bookmarkStart w:id="27" w:name="_Toc458170507"/>
      <w:r w:rsidRPr="00927AE3">
        <w:t xml:space="preserve">Purpose of </w:t>
      </w:r>
      <w:r>
        <w:t>this</w:t>
      </w:r>
      <w:r w:rsidRPr="00927AE3">
        <w:t xml:space="preserve"> cost recovery imp</w:t>
      </w:r>
      <w:r>
        <w:t>lementation</w:t>
      </w:r>
      <w:r w:rsidRPr="00927AE3">
        <w:t xml:space="preserve"> statement</w:t>
      </w:r>
      <w:r>
        <w:t xml:space="preserve"> (CRIS)</w:t>
      </w:r>
      <w:bookmarkEnd w:id="23"/>
      <w:bookmarkEnd w:id="24"/>
      <w:bookmarkEnd w:id="25"/>
      <w:bookmarkEnd w:id="26"/>
      <w:bookmarkEnd w:id="27"/>
    </w:p>
    <w:p w:rsidR="001A641D" w:rsidRPr="00056D27" w:rsidRDefault="007E5C0A" w:rsidP="001A641D">
      <w:r w:rsidRPr="001E2096">
        <w:t>Cost recovery more equitably share</w:t>
      </w:r>
      <w:r>
        <w:t>s</w:t>
      </w:r>
      <w:r w:rsidRPr="001E2096">
        <w:t xml:space="preserve"> the costs of protecting the environment between the community and those who derive a private benefit from the ability to apply for approval to undertake an </w:t>
      </w:r>
      <w:r>
        <w:t>action</w:t>
      </w:r>
      <w:r w:rsidRPr="001E2096">
        <w:t xml:space="preserve"> otherwise prohibited by the EPBC Act</w:t>
      </w:r>
      <w:r w:rsidRPr="0022151B">
        <w:t xml:space="preserve">. Cost recovery, by providing a source of funding related to the actual amount of assessment activity undertaken in the Department, improves the Department’s ability to respond to changes in demand for its services. </w:t>
      </w:r>
      <w:r>
        <w:t>Consistent</w:t>
      </w:r>
      <w:r w:rsidRPr="0022151B">
        <w:t xml:space="preserve"> with the </w:t>
      </w:r>
      <w:r>
        <w:t>2014 Australian Government Cost Recovery Guidelines</w:t>
      </w:r>
      <w:r>
        <w:rPr>
          <w:rStyle w:val="FootnoteReference"/>
        </w:rPr>
        <w:footnoteReference w:id="1"/>
      </w:r>
      <w:r>
        <w:t xml:space="preserve"> (Cost Recovery Guidelines)</w:t>
      </w:r>
      <w:r w:rsidRPr="0022151B">
        <w:t xml:space="preserve">, the fees charged reflect the efficient provision of services under the EPBC Act – that is, work conducted to fulfil legislative requirements within statutory timeframes. Cost recovery provides incentives to industry to undertake early engagement and incorporate the most environmentally acceptable outcomes into their business planning, as this may reduce the level of assessment required and therefore the </w:t>
      </w:r>
      <w:r>
        <w:t>fees</w:t>
      </w:r>
      <w:r w:rsidRPr="0022151B">
        <w:t xml:space="preserve"> payable.</w:t>
      </w:r>
      <w:r w:rsidRPr="00056D27">
        <w:t xml:space="preserve"> </w:t>
      </w:r>
    </w:p>
    <w:p w:rsidR="001A641D" w:rsidRDefault="007E5C0A" w:rsidP="001A641D">
      <w:pPr>
        <w:keepLines/>
      </w:pPr>
      <w:r>
        <w:t>This CRIS provides information on how the Department implements cost recovery for environmental impact assessments under the EPBC Act. It also reports financial and non-financial performance information for environmental impact assessments and contains financial forecasts for 2016-17 and three forward years. The Department will maintain the CRIS until the activity or cost recovery for the activity has been discontinued.</w:t>
      </w:r>
    </w:p>
    <w:p w:rsidR="001A641D" w:rsidRDefault="007E5C0A" w:rsidP="001A641D">
      <w:pPr>
        <w:pStyle w:val="Heading2"/>
      </w:pPr>
      <w:bookmarkStart w:id="28" w:name="_Toc256000327"/>
      <w:bookmarkStart w:id="29" w:name="_Toc256000219"/>
      <w:bookmarkStart w:id="30" w:name="_Toc256000111"/>
      <w:bookmarkStart w:id="31" w:name="_Toc256000003"/>
      <w:bookmarkStart w:id="32" w:name="_Toc458170508"/>
      <w:r>
        <w:t>Description of the activity to be cost recovered</w:t>
      </w:r>
      <w:bookmarkEnd w:id="28"/>
      <w:bookmarkEnd w:id="29"/>
      <w:bookmarkEnd w:id="30"/>
      <w:bookmarkEnd w:id="31"/>
      <w:bookmarkEnd w:id="32"/>
    </w:p>
    <w:p w:rsidR="001A641D" w:rsidRDefault="007E5C0A" w:rsidP="001A641D">
      <w:bookmarkStart w:id="33" w:name="_Toc343850243"/>
      <w:bookmarkStart w:id="34" w:name="_Toc343850846"/>
      <w:bookmarkStart w:id="35" w:name="_Toc343851441"/>
      <w:bookmarkStart w:id="36" w:name="_Toc343852033"/>
      <w:bookmarkStart w:id="37" w:name="_Toc343852616"/>
      <w:bookmarkStart w:id="38" w:name="_Toc343853197"/>
      <w:bookmarkStart w:id="39" w:name="_Toc343853779"/>
      <w:bookmarkStart w:id="40" w:name="_Toc343853172"/>
      <w:bookmarkStart w:id="41" w:name="_Toc343854835"/>
      <w:bookmarkStart w:id="42" w:name="_Toc343855411"/>
      <w:bookmarkStart w:id="43" w:name="_Toc343855983"/>
      <w:bookmarkStart w:id="44" w:name="_Toc343850244"/>
      <w:bookmarkStart w:id="45" w:name="_Toc344895136"/>
      <w:bookmarkStart w:id="46" w:name="_Toc346285311"/>
      <w:bookmarkEnd w:id="33"/>
      <w:bookmarkEnd w:id="34"/>
      <w:bookmarkEnd w:id="35"/>
      <w:bookmarkEnd w:id="36"/>
      <w:bookmarkEnd w:id="37"/>
      <w:bookmarkEnd w:id="38"/>
      <w:bookmarkEnd w:id="39"/>
      <w:bookmarkEnd w:id="40"/>
      <w:bookmarkEnd w:id="41"/>
      <w:bookmarkEnd w:id="42"/>
      <w:bookmarkEnd w:id="43"/>
      <w:r>
        <w:t>This CRIS relates to environmental assessments under the EPBC Act</w:t>
      </w:r>
      <w:r w:rsidRPr="00C55FA1">
        <w:t xml:space="preserve">. </w:t>
      </w:r>
      <w:r>
        <w:t xml:space="preserve">The main purpose of the Australian Government undertaking environmental assessment activities is to provide for the protection of matters of national environmental significance, the protection and conservation of heritage, and to promote the conservation of biodiversity. </w:t>
      </w:r>
    </w:p>
    <w:p w:rsidR="001A641D" w:rsidRDefault="007E5C0A" w:rsidP="001A641D">
      <w:pPr>
        <w:pStyle w:val="Heading3"/>
        <w:ind w:left="0" w:firstLine="0"/>
      </w:pPr>
      <w:bookmarkStart w:id="47" w:name="_Toc256000328"/>
      <w:bookmarkStart w:id="48" w:name="_Toc256000220"/>
      <w:bookmarkStart w:id="49" w:name="_Toc256000112"/>
      <w:bookmarkStart w:id="50" w:name="_Toc256000004"/>
      <w:bookmarkStart w:id="51" w:name="_Toc458170509"/>
      <w:r>
        <w:t>Environmental Impact Assessments</w:t>
      </w:r>
      <w:bookmarkEnd w:id="47"/>
      <w:bookmarkEnd w:id="48"/>
      <w:bookmarkEnd w:id="49"/>
      <w:bookmarkEnd w:id="50"/>
      <w:bookmarkEnd w:id="51"/>
    </w:p>
    <w:p w:rsidR="001A641D" w:rsidRDefault="007E5C0A" w:rsidP="001A641D">
      <w:pPr>
        <w:tabs>
          <w:tab w:val="left" w:pos="7655"/>
        </w:tabs>
      </w:pPr>
      <w:r>
        <w:t>Any person proposing to take an action which will or is likely to have a significant impact on a matter of national environmental significance must refer that action under the EPBC Act. Applicant</w:t>
      </w:r>
      <w:r w:rsidRPr="00FC12C4">
        <w:t xml:space="preserve">s </w:t>
      </w:r>
      <w:r>
        <w:t>can therefore include</w:t>
      </w:r>
      <w:r w:rsidRPr="00FC12C4">
        <w:t xml:space="preserve"> local, </w:t>
      </w:r>
      <w:r>
        <w:t>s</w:t>
      </w:r>
      <w:r w:rsidRPr="00FC12C4">
        <w:t>tate</w:t>
      </w:r>
      <w:r>
        <w:t xml:space="preserve"> and territory,</w:t>
      </w:r>
      <w:r w:rsidRPr="00FC12C4">
        <w:t xml:space="preserve"> and Australian Government agencies, private individuals</w:t>
      </w:r>
      <w:r>
        <w:t xml:space="preserve">, and </w:t>
      </w:r>
      <w:r w:rsidRPr="00FC12C4">
        <w:t>small businesses</w:t>
      </w:r>
      <w:r>
        <w:t xml:space="preserve"> through</w:t>
      </w:r>
      <w:r w:rsidRPr="00FC12C4">
        <w:t xml:space="preserve"> to large companies. </w:t>
      </w:r>
      <w:r>
        <w:t>Many different</w:t>
      </w:r>
      <w:r w:rsidRPr="00FC12C4">
        <w:t xml:space="preserve"> </w:t>
      </w:r>
      <w:r>
        <w:t xml:space="preserve">types of </w:t>
      </w:r>
      <w:r w:rsidRPr="00FC12C4">
        <w:t>industries</w:t>
      </w:r>
      <w:r>
        <w:t xml:space="preserve"> undertake actions requiring referral under the EPBC </w:t>
      </w:r>
      <w:r w:rsidRPr="00F406C8">
        <w:t xml:space="preserve">Act (see </w:t>
      </w:r>
      <w:r w:rsidR="00FF3730">
        <w:fldChar w:fldCharType="begin"/>
      </w:r>
      <w:r w:rsidR="00FF3730">
        <w:instrText xml:space="preserve"> REF _Ref457912548 \h  \* MERGEFORMAT </w:instrText>
      </w:r>
      <w:r w:rsidR="00FF3730">
        <w:fldChar w:fldCharType="separate"/>
      </w:r>
      <w:r w:rsidR="00FF3730">
        <w:t>Figure 1</w:t>
      </w:r>
      <w:r w:rsidR="00FF3730">
        <w:fldChar w:fldCharType="end"/>
      </w:r>
      <w:r w:rsidRPr="00F406C8">
        <w:t xml:space="preserve"> below</w:t>
      </w:r>
      <w:r>
        <w:t>).</w:t>
      </w:r>
      <w:r w:rsidRPr="00892079">
        <w:t xml:space="preserve"> </w:t>
      </w:r>
      <w:r w:rsidRPr="00E56D23">
        <w:t>A total of 2</w:t>
      </w:r>
      <w:r>
        <w:t>889</w:t>
      </w:r>
      <w:r w:rsidRPr="00E56D23">
        <w:t xml:space="preserve"> referrals were </w:t>
      </w:r>
      <w:r w:rsidRPr="00F406C8">
        <w:t xml:space="preserve">received during the period from 1 July 2007 to 30 June 2016. Trends in this diagram are further discussed in Section </w:t>
      </w:r>
      <w:r w:rsidR="00FF3730">
        <w:fldChar w:fldCharType="begin"/>
      </w:r>
      <w:r w:rsidR="00FF3730">
        <w:instrText xml:space="preserve"> REF _Ref457912483 \r \h  \* MERGEFORMAT </w:instrText>
      </w:r>
      <w:r w:rsidR="00FF3730">
        <w:fldChar w:fldCharType="separate"/>
      </w:r>
      <w:r w:rsidR="00FF3730">
        <w:t>7</w:t>
      </w:r>
      <w:r w:rsidR="00FF3730">
        <w:fldChar w:fldCharType="end"/>
      </w:r>
      <w:r>
        <w:t xml:space="preserve"> of this CRIS</w:t>
      </w:r>
      <w:r w:rsidRPr="00F406C8">
        <w:t>.</w:t>
      </w:r>
    </w:p>
    <w:p w:rsidR="001A641D" w:rsidRDefault="007E5C0A" w:rsidP="001A641D">
      <w:pPr>
        <w:pStyle w:val="Caption"/>
        <w:keepNext/>
      </w:pPr>
      <w:bookmarkStart w:id="52" w:name="_Ref387066619"/>
      <w:bookmarkStart w:id="53" w:name="_Toc387072707"/>
      <w:r>
        <w:rPr>
          <w:noProof/>
          <w:lang w:eastAsia="en-AU"/>
        </w:rPr>
        <w:drawing>
          <wp:inline distT="0" distB="0" distL="0" distR="0">
            <wp:extent cx="6019800" cy="4810125"/>
            <wp:effectExtent l="19050" t="0" r="1905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A641D" w:rsidRDefault="007E5C0A" w:rsidP="001A641D">
      <w:pPr>
        <w:pStyle w:val="Caption"/>
        <w:rPr>
          <w:highlight w:val="yellow"/>
        </w:rPr>
      </w:pPr>
      <w:bookmarkStart w:id="54" w:name="_Ref457912548"/>
      <w:bookmarkStart w:id="55" w:name="_Toc256000285"/>
      <w:bookmarkStart w:id="56" w:name="_Toc256000177"/>
      <w:bookmarkStart w:id="57" w:name="_Toc256000069"/>
      <w:bookmarkStart w:id="58" w:name="_Ref457913215"/>
      <w:bookmarkStart w:id="59" w:name="_Toc458170572"/>
      <w:bookmarkStart w:id="60" w:name="_Toc459108585"/>
      <w:r>
        <w:t xml:space="preserve">Figure </w:t>
      </w:r>
      <w:r w:rsidR="003366B4">
        <w:fldChar w:fldCharType="begin"/>
      </w:r>
      <w:r>
        <w:instrText xml:space="preserve"> SEQ Figure \* ARABIC </w:instrText>
      </w:r>
      <w:r w:rsidR="003366B4">
        <w:fldChar w:fldCharType="separate"/>
      </w:r>
      <w:r w:rsidR="00FF3730">
        <w:rPr>
          <w:noProof/>
        </w:rPr>
        <w:t>1</w:t>
      </w:r>
      <w:r w:rsidR="003366B4">
        <w:fldChar w:fldCharType="end"/>
      </w:r>
      <w:bookmarkEnd w:id="54"/>
      <w:r w:rsidRPr="007F6E37">
        <w:t xml:space="preserve">. </w:t>
      </w:r>
      <w:r>
        <w:t xml:space="preserve">Number of </w:t>
      </w:r>
      <w:r w:rsidR="007053F1">
        <w:t xml:space="preserve">EPBC Act </w:t>
      </w:r>
      <w:r>
        <w:t>r</w:t>
      </w:r>
      <w:r w:rsidRPr="007F6E37">
        <w:t xml:space="preserve">eferrals </w:t>
      </w:r>
      <w:r w:rsidR="007053F1">
        <w:t xml:space="preserve">by industry </w:t>
      </w:r>
      <w:r w:rsidRPr="007F6E37">
        <w:t>from 1 July 2007 to 30 June 2016.</w:t>
      </w:r>
      <w:bookmarkEnd w:id="55"/>
      <w:bookmarkEnd w:id="56"/>
      <w:bookmarkEnd w:id="57"/>
      <w:bookmarkEnd w:id="58"/>
      <w:bookmarkEnd w:id="59"/>
      <w:bookmarkEnd w:id="60"/>
    </w:p>
    <w:bookmarkEnd w:id="52"/>
    <w:bookmarkEnd w:id="53"/>
    <w:p w:rsidR="001A641D" w:rsidRDefault="007E5C0A" w:rsidP="001A641D">
      <w:pPr>
        <w:keepLines/>
      </w:pPr>
      <w:r>
        <w:t xml:space="preserve">A number of assessment options are available under the EPBC Act. The Minister decides which method is the most appropriate, depending on the complexity of the proposed action, the scale and magnitude of potential and actual environmental impacts, the level of community interest, and public submissions received in relation to the referral of the action. </w:t>
      </w:r>
    </w:p>
    <w:p w:rsidR="001A641D" w:rsidRDefault="007E5C0A" w:rsidP="001A641D">
      <w:pPr>
        <w:keepNext/>
        <w:spacing w:after="120"/>
      </w:pPr>
      <w:r>
        <w:t>The types of environmental assessment provided for under the EPBC Act for individual proposed actions are:</w:t>
      </w:r>
    </w:p>
    <w:p w:rsidR="001A641D" w:rsidRDefault="007E5C0A" w:rsidP="001A641D">
      <w:pPr>
        <w:pStyle w:val="ListBullet"/>
        <w:spacing w:after="120"/>
      </w:pPr>
      <w:r>
        <w:t>assessment on referral information (ARI);</w:t>
      </w:r>
    </w:p>
    <w:p w:rsidR="001A641D" w:rsidRDefault="007E5C0A" w:rsidP="001A641D">
      <w:pPr>
        <w:pStyle w:val="ListBullet"/>
        <w:spacing w:after="120"/>
      </w:pPr>
      <w:r>
        <w:t>assessment on preliminary documentation (PD);</w:t>
      </w:r>
    </w:p>
    <w:p w:rsidR="001A641D" w:rsidRDefault="007E5C0A" w:rsidP="001A641D">
      <w:pPr>
        <w:pStyle w:val="ListBullet"/>
        <w:spacing w:after="120"/>
      </w:pPr>
      <w:r>
        <w:t>assessment by public environment report (PER);</w:t>
      </w:r>
    </w:p>
    <w:p w:rsidR="001A641D" w:rsidRDefault="007E5C0A" w:rsidP="001A641D">
      <w:pPr>
        <w:pStyle w:val="ListBullet"/>
        <w:spacing w:after="120"/>
      </w:pPr>
      <w:r>
        <w:t>assessment by environmental impact statement (EIS);</w:t>
      </w:r>
    </w:p>
    <w:p w:rsidR="001A641D" w:rsidRDefault="007E5C0A" w:rsidP="001A641D">
      <w:pPr>
        <w:pStyle w:val="ListBullet"/>
        <w:spacing w:after="120"/>
      </w:pPr>
      <w:r>
        <w:t>assessment by public inquiry; or</w:t>
      </w:r>
    </w:p>
    <w:p w:rsidR="001A641D" w:rsidRDefault="007E5C0A">
      <w:pPr>
        <w:pStyle w:val="ListBullet"/>
      </w:pPr>
      <w:r>
        <w:t xml:space="preserve">assessment under a </w:t>
      </w:r>
      <w:r w:rsidRPr="0003360D">
        <w:t>bilateral agreement or accredited assessment process</w:t>
      </w:r>
      <w:r>
        <w:t>.</w:t>
      </w:r>
    </w:p>
    <w:p w:rsidR="001A641D" w:rsidRDefault="007E5C0A" w:rsidP="001A641D">
      <w:r>
        <w:t>A f</w:t>
      </w:r>
      <w:r w:rsidRPr="00C55FA1">
        <w:t xml:space="preserve">ull description of </w:t>
      </w:r>
      <w:r>
        <w:t xml:space="preserve">environmental impact assessments is </w:t>
      </w:r>
      <w:r w:rsidRPr="00F406C8">
        <w:t xml:space="preserve">provided in Section </w:t>
      </w:r>
      <w:r w:rsidR="00FF3730">
        <w:fldChar w:fldCharType="begin"/>
      </w:r>
      <w:r w:rsidR="00FF3730">
        <w:instrText xml:space="preserve"> REF _Ref458074973 \r \h  \* MERGEFORMAT </w:instrText>
      </w:r>
      <w:r w:rsidR="00FF3730">
        <w:fldChar w:fldCharType="separate"/>
      </w:r>
      <w:r w:rsidR="00FF3730">
        <w:t>3</w:t>
      </w:r>
      <w:r w:rsidR="00FF3730">
        <w:fldChar w:fldCharType="end"/>
      </w:r>
      <w:r w:rsidRPr="00F406C8">
        <w:t xml:space="preserve"> of this</w:t>
      </w:r>
      <w:r w:rsidRPr="00355D85">
        <w:t xml:space="preserve"> CRIS</w:t>
      </w:r>
      <w:r w:rsidRPr="00C55FA1">
        <w:t>.</w:t>
      </w:r>
    </w:p>
    <w:p w:rsidR="001A641D" w:rsidRDefault="007E5C0A" w:rsidP="001A641D">
      <w:pPr>
        <w:pStyle w:val="Heading3"/>
        <w:ind w:left="0" w:firstLine="0"/>
      </w:pPr>
      <w:bookmarkStart w:id="61" w:name="_Toc256000329"/>
      <w:bookmarkStart w:id="62" w:name="_Toc256000221"/>
      <w:bookmarkStart w:id="63" w:name="_Toc256000113"/>
      <w:bookmarkStart w:id="64" w:name="_Toc256000005"/>
      <w:bookmarkStart w:id="65" w:name="_Toc458170510"/>
      <w:r>
        <w:t>Strategic Assessments</w:t>
      </w:r>
      <w:bookmarkEnd w:id="61"/>
      <w:bookmarkEnd w:id="62"/>
      <w:bookmarkEnd w:id="63"/>
      <w:bookmarkEnd w:id="64"/>
      <w:bookmarkEnd w:id="65"/>
    </w:p>
    <w:p w:rsidR="001A641D" w:rsidRDefault="007E5C0A">
      <w:r>
        <w:t xml:space="preserve">Part 10 of the EPBC Act allows the Minister to conduct strategic assessments and to grant approvals for a ‘class of actions’ taken in accordance with a policy, plan or program endorsed by the Minister through a strategic assessment. </w:t>
      </w:r>
      <w:r w:rsidRPr="005E2278">
        <w:t xml:space="preserve">Strategic assessments allow for a </w:t>
      </w:r>
      <w:r>
        <w:t>‘landscape scale</w:t>
      </w:r>
      <w:r w:rsidRPr="005E2278">
        <w:t>' approach to assessing environmental impacts under a policy, plan or program</w:t>
      </w:r>
      <w:r>
        <w:t>. Strategic assessments often allow more comprehensive consideration of cumulative impacts of various actions on matters of national environmental significance in a single assessment</w:t>
      </w:r>
      <w:r w:rsidRPr="005E2278">
        <w:t xml:space="preserve">. </w:t>
      </w:r>
    </w:p>
    <w:p w:rsidR="001A641D" w:rsidRPr="00DF2540" w:rsidRDefault="007E5C0A" w:rsidP="001A641D">
      <w:r w:rsidRPr="00DF2540">
        <w:t>The Australian Government is committed to promoting the use of strategic assessments in partnership with state, territory, and local governments and private applicants. Strategic assessments provide opportunities to facilitate development, reduce administrative burden</w:t>
      </w:r>
      <w:r>
        <w:t>,</w:t>
      </w:r>
      <w:r w:rsidRPr="00DF2540">
        <w:t xml:space="preserve"> and deliver improved environmental benefits to the community above those that would arise from individual project approvals. </w:t>
      </w:r>
    </w:p>
    <w:p w:rsidR="001A641D" w:rsidRDefault="007E5C0A">
      <w:r>
        <w:t>When conducting a strategic assessment,</w:t>
      </w:r>
      <w:r w:rsidRPr="005E2278">
        <w:t xml:space="preserve"> the Australian Government work</w:t>
      </w:r>
      <w:r>
        <w:t>s</w:t>
      </w:r>
      <w:r w:rsidRPr="005E2278">
        <w:t xml:space="preserve"> closely with state </w:t>
      </w:r>
      <w:r>
        <w:t>or</w:t>
      </w:r>
      <w:r w:rsidRPr="005E2278">
        <w:t xml:space="preserve"> territory governments</w:t>
      </w:r>
      <w:r>
        <w:t>, and, where relevant, private entities,</w:t>
      </w:r>
      <w:r w:rsidRPr="005E2278">
        <w:t xml:space="preserve"> in the early </w:t>
      </w:r>
      <w:r>
        <w:t>phases</w:t>
      </w:r>
      <w:r w:rsidRPr="005E2278">
        <w:t xml:space="preserve"> of planning</w:t>
      </w:r>
      <w:r>
        <w:t>.</w:t>
      </w:r>
      <w:r w:rsidRPr="005E2278">
        <w:t xml:space="preserve"> </w:t>
      </w:r>
      <w:r>
        <w:t>This</w:t>
      </w:r>
      <w:r w:rsidRPr="005E2278">
        <w:t xml:space="preserve"> ensur</w:t>
      </w:r>
      <w:r>
        <w:t xml:space="preserve">es that governments and businesses take </w:t>
      </w:r>
      <w:r w:rsidRPr="005E2278">
        <w:t xml:space="preserve">environmental issues, including matters of national environmental significance, </w:t>
      </w:r>
      <w:r>
        <w:t xml:space="preserve">into account in broader development strategies. </w:t>
      </w:r>
      <w:r w:rsidRPr="005E2278">
        <w:t xml:space="preserve">Actions </w:t>
      </w:r>
      <w:r>
        <w:t xml:space="preserve">taken under a strategic approval </w:t>
      </w:r>
      <w:r w:rsidRPr="005E2278">
        <w:t xml:space="preserve">in accordance with an endorsed policy, plan or program </w:t>
      </w:r>
      <w:r>
        <w:t>do</w:t>
      </w:r>
      <w:r w:rsidRPr="005E2278">
        <w:t xml:space="preserve"> not require a separate referral and/or approval.</w:t>
      </w:r>
      <w:r>
        <w:t xml:space="preserve"> </w:t>
      </w:r>
    </w:p>
    <w:p w:rsidR="001A641D" w:rsidRDefault="007E5C0A" w:rsidP="001A641D">
      <w:pPr>
        <w:rPr>
          <w:lang w:val="en-US"/>
        </w:rPr>
      </w:pPr>
      <w:r w:rsidRPr="005840D3">
        <w:rPr>
          <w:lang w:val="en-US"/>
        </w:rPr>
        <w:t>To date, strategic assessments have mainly been undertaken in partnership with state and territory governments</w:t>
      </w:r>
      <w:r>
        <w:rPr>
          <w:lang w:val="en-US"/>
        </w:rPr>
        <w:t>.</w:t>
      </w:r>
      <w:r w:rsidRPr="005840D3">
        <w:rPr>
          <w:lang w:val="en-US"/>
        </w:rPr>
        <w:t xml:space="preserve"> </w:t>
      </w:r>
      <w:r>
        <w:rPr>
          <w:lang w:val="en-US"/>
        </w:rPr>
        <w:t>H</w:t>
      </w:r>
      <w:r w:rsidRPr="005840D3">
        <w:rPr>
          <w:lang w:val="en-US"/>
        </w:rPr>
        <w:t>owever, the</w:t>
      </w:r>
      <w:r>
        <w:rPr>
          <w:lang w:val="en-US"/>
        </w:rPr>
        <w:t xml:space="preserve"> EPBC Act allows the Minister to undertake strategic assessments of any policy, plan or program, including those developed by private entities. </w:t>
      </w:r>
      <w:r w:rsidRPr="005840D3">
        <w:rPr>
          <w:lang w:val="en-US"/>
        </w:rPr>
        <w:t xml:space="preserve">The </w:t>
      </w:r>
      <w:r>
        <w:rPr>
          <w:lang w:val="en-US"/>
        </w:rPr>
        <w:t xml:space="preserve">Minister determines the </w:t>
      </w:r>
      <w:r w:rsidRPr="005840D3">
        <w:rPr>
          <w:lang w:val="en-US"/>
        </w:rPr>
        <w:t>appropriateness of proceeding with cost recovery</w:t>
      </w:r>
      <w:r>
        <w:rPr>
          <w:lang w:val="en-US"/>
        </w:rPr>
        <w:t xml:space="preserve"> for future strategic assessments</w:t>
      </w:r>
      <w:r w:rsidRPr="005840D3">
        <w:rPr>
          <w:lang w:val="en-US"/>
        </w:rPr>
        <w:t xml:space="preserve"> on a case-by-case basis.</w:t>
      </w:r>
    </w:p>
    <w:p w:rsidR="001A641D" w:rsidRDefault="007E5C0A" w:rsidP="001A641D">
      <w:r w:rsidRPr="00F406C8">
        <w:t xml:space="preserve">A full description of strategic assessments is provided in Section </w:t>
      </w:r>
      <w:r w:rsidR="00FF3730">
        <w:fldChar w:fldCharType="begin"/>
      </w:r>
      <w:r w:rsidR="00FF3730">
        <w:instrText xml:space="preserve"> REF _Ref387066385 \r \h  \* MERGEFORMAT </w:instrText>
      </w:r>
      <w:r w:rsidR="00FF3730">
        <w:fldChar w:fldCharType="separate"/>
      </w:r>
      <w:r w:rsidR="00FF3730">
        <w:t>4</w:t>
      </w:r>
      <w:r w:rsidR="00FF3730">
        <w:fldChar w:fldCharType="end"/>
      </w:r>
      <w:r w:rsidRPr="00CB30A3">
        <w:t xml:space="preserve"> of this</w:t>
      </w:r>
      <w:r w:rsidRPr="00355D85">
        <w:t xml:space="preserve"> CRIS</w:t>
      </w:r>
      <w:r w:rsidRPr="00C55FA1">
        <w:t>.</w:t>
      </w:r>
    </w:p>
    <w:p w:rsidR="001A641D" w:rsidRDefault="007E5C0A" w:rsidP="001A641D">
      <w:pPr>
        <w:pStyle w:val="Heading3"/>
        <w:ind w:left="0" w:firstLine="0"/>
      </w:pPr>
      <w:bookmarkStart w:id="66" w:name="_Toc387064751"/>
      <w:bookmarkStart w:id="67" w:name="_Toc387064963"/>
      <w:bookmarkStart w:id="68" w:name="_Toc387065169"/>
      <w:bookmarkStart w:id="69" w:name="_Toc387065380"/>
      <w:bookmarkStart w:id="70" w:name="_Toc387065586"/>
      <w:bookmarkStart w:id="71" w:name="_Toc387065791"/>
      <w:bookmarkStart w:id="72" w:name="_Toc387065997"/>
      <w:bookmarkStart w:id="73" w:name="_Toc387066200"/>
      <w:bookmarkStart w:id="74" w:name="_Toc387069436"/>
      <w:bookmarkStart w:id="75" w:name="_Toc387069623"/>
      <w:bookmarkStart w:id="76" w:name="_Toc387069832"/>
      <w:bookmarkStart w:id="77" w:name="_Toc387070031"/>
      <w:bookmarkStart w:id="78" w:name="_Toc387072296"/>
      <w:bookmarkStart w:id="79" w:name="_Toc387072507"/>
      <w:bookmarkStart w:id="80" w:name="_Toc387392535"/>
      <w:bookmarkStart w:id="81" w:name="_Toc256000330"/>
      <w:bookmarkStart w:id="82" w:name="_Toc256000222"/>
      <w:bookmarkStart w:id="83" w:name="_Toc256000114"/>
      <w:bookmarkStart w:id="84" w:name="_Toc256000006"/>
      <w:bookmarkStart w:id="85" w:name="_Toc458170511"/>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C77A1">
        <w:t>De</w:t>
      </w:r>
      <w:r w:rsidRPr="00FC12C4">
        <w:t>sign of cost recovery arrangements</w:t>
      </w:r>
      <w:bookmarkEnd w:id="44"/>
      <w:bookmarkEnd w:id="45"/>
      <w:bookmarkEnd w:id="46"/>
      <w:bookmarkEnd w:id="81"/>
      <w:bookmarkEnd w:id="82"/>
      <w:bookmarkEnd w:id="83"/>
      <w:bookmarkEnd w:id="84"/>
      <w:bookmarkEnd w:id="85"/>
    </w:p>
    <w:p w:rsidR="001A641D" w:rsidRDefault="007E5C0A" w:rsidP="001A641D">
      <w:r>
        <w:t>In April 2015, the Australian Government agreed to implement a whole-of-government charging framework to apply across the general government sector. The Australian Government Charging Framework</w:t>
      </w:r>
      <w:r>
        <w:rPr>
          <w:rStyle w:val="FootnoteReference"/>
        </w:rPr>
        <w:footnoteReference w:id="2"/>
      </w:r>
      <w:r>
        <w:t xml:space="preserve"> (Charging Framework) provides that where an individual or organisation creates the demand for government activity, they should generally be charged for it, unless the Government has decided to fund the activity. The Charging Framework builds on the 2014 Cost Recovery Guidelines and encourages a common approach to planning, implementing and reviewing government charging.</w:t>
      </w:r>
    </w:p>
    <w:p w:rsidR="001A641D" w:rsidRPr="00927AE3" w:rsidRDefault="007E5C0A" w:rsidP="001A641D">
      <w:r w:rsidRPr="00927AE3">
        <w:t>Th</w:t>
      </w:r>
      <w:r w:rsidRPr="00927AE3">
        <w:rPr>
          <w:iCs/>
        </w:rPr>
        <w:t xml:space="preserve">e cost recovery arrangements that the Department </w:t>
      </w:r>
      <w:r>
        <w:rPr>
          <w:iCs/>
        </w:rPr>
        <w:t>u</w:t>
      </w:r>
      <w:r w:rsidRPr="00927AE3">
        <w:rPr>
          <w:iCs/>
        </w:rPr>
        <w:t>ses for environmental assessments under the EPBC Act</w:t>
      </w:r>
      <w:r>
        <w:rPr>
          <w:iCs/>
        </w:rPr>
        <w:t>, as outlined in this CRIS, have been developed in accordance with the Charging Framework and Cost Recovery Guidelines</w:t>
      </w:r>
      <w:r w:rsidRPr="00927AE3">
        <w:rPr>
          <w:iCs/>
        </w:rPr>
        <w:t xml:space="preserve">. </w:t>
      </w:r>
    </w:p>
    <w:p w:rsidR="001A641D" w:rsidRPr="00DD3510" w:rsidRDefault="007E5C0A" w:rsidP="001A641D">
      <w:r w:rsidRPr="00927AE3">
        <w:t xml:space="preserve">This CRIS will be updated on a regular basis to reflect any changes in the cost recovery model, financial status and performance of the activity. The CRIS will be revised </w:t>
      </w:r>
      <w:r>
        <w:t xml:space="preserve">as necessary </w:t>
      </w:r>
      <w:r w:rsidRPr="00927AE3">
        <w:t xml:space="preserve">to reflect </w:t>
      </w:r>
      <w:r>
        <w:t xml:space="preserve">changes to the environmental assessment process, particularly any </w:t>
      </w:r>
      <w:r w:rsidRPr="00927AE3">
        <w:t>efficiency gains</w:t>
      </w:r>
      <w:r>
        <w:t xml:space="preserve"> resulting from streamlining of the regulatory process</w:t>
      </w:r>
      <w:r w:rsidRPr="00927AE3">
        <w:t>.</w:t>
      </w:r>
    </w:p>
    <w:p w:rsidR="001A641D" w:rsidRDefault="007E5C0A" w:rsidP="001A641D">
      <w:pPr>
        <w:spacing w:after="120"/>
      </w:pPr>
      <w:r>
        <w:t xml:space="preserve">Environmental assessment </w:t>
      </w:r>
      <w:r w:rsidRPr="00FC12C4">
        <w:t xml:space="preserve">activities </w:t>
      </w:r>
      <w:r>
        <w:t xml:space="preserve">under the EPBC Act </w:t>
      </w:r>
      <w:r w:rsidRPr="00FC12C4">
        <w:t xml:space="preserve">are </w:t>
      </w:r>
      <w:r>
        <w:t>suitable for cost recovery, consistent with the Cost Recovery Guidelines, because they meet the following criteria:</w:t>
      </w:r>
    </w:p>
    <w:p w:rsidR="001A641D" w:rsidRDefault="007E5C0A" w:rsidP="001A641D">
      <w:pPr>
        <w:pStyle w:val="ListBullet"/>
        <w:spacing w:after="120"/>
      </w:pPr>
      <w:r>
        <w:t>t</w:t>
      </w:r>
      <w:r w:rsidRPr="00FC12C4">
        <w:t>he activities deliver a clear benefit for a particular beneficiary</w:t>
      </w:r>
      <w:r>
        <w:t>;</w:t>
      </w:r>
    </w:p>
    <w:p w:rsidR="001A641D" w:rsidRDefault="007E5C0A" w:rsidP="001A641D">
      <w:pPr>
        <w:pStyle w:val="ListBullet"/>
        <w:spacing w:after="120"/>
      </w:pPr>
      <w:r>
        <w:t>c</w:t>
      </w:r>
      <w:r w:rsidRPr="00FC12C4">
        <w:t xml:space="preserve">harging for these activities does not deliver a ‘free ride’ for other </w:t>
      </w:r>
      <w:r>
        <w:t>applicant</w:t>
      </w:r>
      <w:r w:rsidRPr="00FC12C4">
        <w:t>s</w:t>
      </w:r>
      <w:r>
        <w:t>;</w:t>
      </w:r>
    </w:p>
    <w:p w:rsidR="001A641D" w:rsidRDefault="007E5C0A" w:rsidP="001A641D">
      <w:pPr>
        <w:pStyle w:val="ListBullet"/>
        <w:spacing w:after="120"/>
      </w:pPr>
      <w:r>
        <w:t>c</w:t>
      </w:r>
      <w:r w:rsidRPr="00FC12C4">
        <w:t>harging for these activities is consistent with policy goals under the EPBC Act</w:t>
      </w:r>
      <w:r>
        <w:t>; and</w:t>
      </w:r>
    </w:p>
    <w:p w:rsidR="001A641D" w:rsidRDefault="007E5C0A" w:rsidP="001A641D">
      <w:pPr>
        <w:pStyle w:val="ListBullet"/>
      </w:pPr>
      <w:r>
        <w:t>i</w:t>
      </w:r>
      <w:r w:rsidRPr="00FC12C4">
        <w:t xml:space="preserve">t is efficient to implement cost recovery arrangements on a ‘fee for service’ basis, as the </w:t>
      </w:r>
      <w:r>
        <w:t>Department</w:t>
      </w:r>
      <w:r w:rsidRPr="00FC12C4">
        <w:t xml:space="preserve"> </w:t>
      </w:r>
      <w:r>
        <w:t>can determine costs of its services, attribute these costs to particular applicants and</w:t>
      </w:r>
      <w:r w:rsidRPr="00FC12C4">
        <w:t xml:space="preserve"> </w:t>
      </w:r>
      <w:r>
        <w:t>recover them at</w:t>
      </w:r>
      <w:r w:rsidRPr="00FC12C4">
        <w:t xml:space="preserve"> </w:t>
      </w:r>
      <w:r>
        <w:t>the</w:t>
      </w:r>
      <w:r w:rsidRPr="00FC12C4">
        <w:t xml:space="preserve"> statutory decision points</w:t>
      </w:r>
      <w:r>
        <w:t>.</w:t>
      </w:r>
    </w:p>
    <w:p w:rsidR="001A641D" w:rsidRPr="00FC12C4" w:rsidRDefault="007E5C0A" w:rsidP="001A641D">
      <w:pPr>
        <w:widowControl w:val="0"/>
        <w:autoSpaceDE w:val="0"/>
        <w:autoSpaceDN w:val="0"/>
        <w:adjustRightInd w:val="0"/>
        <w:spacing w:after="120"/>
      </w:pPr>
      <w:r w:rsidRPr="00FC12C4">
        <w:t xml:space="preserve">For each </w:t>
      </w:r>
      <w:r>
        <w:t xml:space="preserve">cost recovery arrangement documented in this CRIS, </w:t>
      </w:r>
      <w:r w:rsidRPr="00FC12C4">
        <w:t xml:space="preserve">the </w:t>
      </w:r>
      <w:r>
        <w:t>Department</w:t>
      </w:r>
      <w:r w:rsidRPr="00FC12C4">
        <w:t xml:space="preserve"> applied the following key principles </w:t>
      </w:r>
      <w:r>
        <w:t>in its</w:t>
      </w:r>
      <w:r w:rsidRPr="00FC12C4">
        <w:t xml:space="preserve"> scoping and design:</w:t>
      </w:r>
    </w:p>
    <w:p w:rsidR="001A641D" w:rsidRDefault="007E5C0A" w:rsidP="001A641D">
      <w:pPr>
        <w:pStyle w:val="ListBullet"/>
        <w:spacing w:after="120"/>
      </w:pPr>
      <w:r>
        <w:t>driving</w:t>
      </w:r>
      <w:r w:rsidRPr="00FC12C4">
        <w:t xml:space="preserve"> efficiency for both stakeholders and the </w:t>
      </w:r>
      <w:r>
        <w:t>Department;</w:t>
      </w:r>
    </w:p>
    <w:p w:rsidR="001A641D" w:rsidRDefault="007E5C0A" w:rsidP="001A641D">
      <w:pPr>
        <w:pStyle w:val="ListBullet"/>
        <w:spacing w:after="120"/>
      </w:pPr>
      <w:r>
        <w:t xml:space="preserve">charges to reflect </w:t>
      </w:r>
      <w:r w:rsidRPr="00FC12C4">
        <w:t xml:space="preserve">‘efficient costs’ </w:t>
      </w:r>
      <w:r>
        <w:t xml:space="preserve">as </w:t>
      </w:r>
      <w:r w:rsidRPr="00FC12C4">
        <w:t>based on ‘best practice’ scenarios</w:t>
      </w:r>
      <w:r>
        <w:t>;</w:t>
      </w:r>
    </w:p>
    <w:p w:rsidR="001A641D" w:rsidRDefault="007E5C0A" w:rsidP="001A641D">
      <w:pPr>
        <w:pStyle w:val="ListBullet"/>
        <w:spacing w:after="120"/>
      </w:pPr>
      <w:r>
        <w:t xml:space="preserve">aligning regulatory effort undertaken with </w:t>
      </w:r>
      <w:r w:rsidRPr="00FC12C4">
        <w:t>statutory charging points</w:t>
      </w:r>
      <w:r>
        <w:t>;</w:t>
      </w:r>
      <w:r w:rsidRPr="00FC12C4">
        <w:t xml:space="preserve"> and</w:t>
      </w:r>
    </w:p>
    <w:p w:rsidR="001A641D" w:rsidRDefault="007E5C0A">
      <w:pPr>
        <w:pStyle w:val="ListBullet"/>
      </w:pPr>
      <w:r>
        <w:t>c</w:t>
      </w:r>
      <w:r w:rsidRPr="00FC12C4">
        <w:t xml:space="preserve">ompliance with the Cost Recovery </w:t>
      </w:r>
      <w:r>
        <w:t>Guidelines</w:t>
      </w:r>
      <w:r w:rsidRPr="00FC12C4">
        <w:t>.</w:t>
      </w:r>
    </w:p>
    <w:p w:rsidR="001A641D" w:rsidRDefault="007E5C0A" w:rsidP="001A641D">
      <w:pPr>
        <w:pStyle w:val="Heading3"/>
        <w:ind w:left="0" w:firstLine="0"/>
      </w:pPr>
      <w:bookmarkStart w:id="86" w:name="_Toc387064753"/>
      <w:bookmarkStart w:id="87" w:name="_Toc387064965"/>
      <w:bookmarkStart w:id="88" w:name="_Toc387065171"/>
      <w:bookmarkStart w:id="89" w:name="_Toc387065382"/>
      <w:bookmarkStart w:id="90" w:name="_Toc387065588"/>
      <w:bookmarkStart w:id="91" w:name="_Toc387065793"/>
      <w:bookmarkStart w:id="92" w:name="_Toc387065999"/>
      <w:bookmarkStart w:id="93" w:name="_Toc387066202"/>
      <w:bookmarkStart w:id="94" w:name="_Toc387069438"/>
      <w:bookmarkStart w:id="95" w:name="_Toc387069625"/>
      <w:bookmarkStart w:id="96" w:name="_Toc387069834"/>
      <w:bookmarkStart w:id="97" w:name="_Toc387070033"/>
      <w:bookmarkStart w:id="98" w:name="_Toc387072298"/>
      <w:bookmarkStart w:id="99" w:name="_Toc387072509"/>
      <w:bookmarkStart w:id="100" w:name="_Toc387392537"/>
      <w:bookmarkStart w:id="101" w:name="_Toc256000331"/>
      <w:bookmarkStart w:id="102" w:name="_Toc256000223"/>
      <w:bookmarkStart w:id="103" w:name="_Toc256000115"/>
      <w:bookmarkStart w:id="104" w:name="_Toc256000007"/>
      <w:bookmarkStart w:id="105" w:name="_Toc343850247"/>
      <w:bookmarkStart w:id="106" w:name="_Toc344895139"/>
      <w:bookmarkStart w:id="107" w:name="_Toc346285314"/>
      <w:bookmarkStart w:id="108" w:name="_Toc458170512"/>
      <w:bookmarkStart w:id="109" w:name="_Toc343850245"/>
      <w:bookmarkStart w:id="110" w:name="_Toc344895137"/>
      <w:bookmarkStart w:id="111" w:name="_Toc34628531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BC77A1">
        <w:t>Basis of charging – fee or levy</w:t>
      </w:r>
      <w:bookmarkEnd w:id="101"/>
      <w:bookmarkEnd w:id="102"/>
      <w:bookmarkEnd w:id="103"/>
      <w:bookmarkEnd w:id="104"/>
      <w:bookmarkEnd w:id="105"/>
      <w:bookmarkEnd w:id="106"/>
      <w:bookmarkEnd w:id="107"/>
      <w:bookmarkEnd w:id="108"/>
    </w:p>
    <w:p w:rsidR="001A641D" w:rsidRDefault="007E5C0A" w:rsidP="001A641D">
      <w:r>
        <w:t>T</w:t>
      </w:r>
      <w:r w:rsidRPr="00FC12C4">
        <w:t xml:space="preserve">he Cost </w:t>
      </w:r>
      <w:r>
        <w:t>R</w:t>
      </w:r>
      <w:r w:rsidRPr="00FC12C4">
        <w:t>ecovery Guidelines</w:t>
      </w:r>
      <w:r>
        <w:t xml:space="preserve"> outline two types of cost recovery charges</w:t>
      </w:r>
      <w:r w:rsidRPr="00FC12C4">
        <w:t>:</w:t>
      </w:r>
    </w:p>
    <w:p w:rsidR="001A641D" w:rsidRDefault="007E5C0A" w:rsidP="001A641D">
      <w:pPr>
        <w:pStyle w:val="ListBullet"/>
      </w:pPr>
      <w:r>
        <w:t>f</w:t>
      </w:r>
      <w:r w:rsidRPr="00FC12C4">
        <w:t>ees that charge individuals or firms directly for the cost of the service</w:t>
      </w:r>
      <w:r>
        <w:t>;</w:t>
      </w:r>
      <w:r w:rsidRPr="00FC12C4">
        <w:t xml:space="preserve"> or</w:t>
      </w:r>
    </w:p>
    <w:p w:rsidR="001A641D" w:rsidRPr="002A550E" w:rsidRDefault="007E5C0A" w:rsidP="001A641D">
      <w:pPr>
        <w:pStyle w:val="ListBullet"/>
      </w:pPr>
      <w:r>
        <w:t>l</w:t>
      </w:r>
      <w:r w:rsidRPr="00DF382D">
        <w:t xml:space="preserve">evies on a group of individuals or firms (legally a form of taxation). A taxation </w:t>
      </w:r>
      <w:r>
        <w:t>a</w:t>
      </w:r>
      <w:r w:rsidRPr="00DF382D">
        <w:t xml:space="preserve">ct is required to </w:t>
      </w:r>
      <w:r w:rsidRPr="002A550E">
        <w:t>collect levies</w:t>
      </w:r>
      <w:r>
        <w:rPr>
          <w:rStyle w:val="FootnoteReference"/>
          <w:iCs/>
        </w:rPr>
        <w:footnoteReference w:id="3"/>
      </w:r>
      <w:r w:rsidRPr="002A550E">
        <w:t>.</w:t>
      </w:r>
    </w:p>
    <w:p w:rsidR="001A641D" w:rsidRDefault="007E5C0A" w:rsidP="001A641D">
      <w:r w:rsidRPr="002A550E">
        <w:rPr>
          <w:noProof/>
          <w:lang w:eastAsia="en-AU"/>
        </w:rPr>
        <w:t>The</w:t>
      </w:r>
      <w:r w:rsidRPr="002A550E">
        <w:t xml:space="preserve"> Cost Recovery Guidelines stipulate that, where appropriate, charges should be based on fees. The Department determined that a fee for service is an appropriate cost recovery charge for regulatory activities under</w:t>
      </w:r>
      <w:r>
        <w:t xml:space="preserve"> </w:t>
      </w:r>
      <w:r w:rsidRPr="00FC12C4">
        <w:t xml:space="preserve">the EPBC Act. </w:t>
      </w:r>
    </w:p>
    <w:p w:rsidR="001A641D" w:rsidRDefault="007E5C0A" w:rsidP="001A641D">
      <w:r w:rsidRPr="00FC12C4">
        <w:t xml:space="preserve">There are two types of fees </w:t>
      </w:r>
      <w:r>
        <w:t xml:space="preserve">that </w:t>
      </w:r>
      <w:r w:rsidRPr="00FC12C4">
        <w:t xml:space="preserve">apply </w:t>
      </w:r>
      <w:r>
        <w:t>to this CRIS</w:t>
      </w:r>
      <w:r w:rsidRPr="00FC12C4">
        <w:t xml:space="preserve">: </w:t>
      </w:r>
    </w:p>
    <w:p w:rsidR="001A641D" w:rsidRDefault="007E5C0A" w:rsidP="001A641D">
      <w:pPr>
        <w:pStyle w:val="ListBullet"/>
      </w:pPr>
      <w:r>
        <w:t>f</w:t>
      </w:r>
      <w:r w:rsidRPr="00FC12C4">
        <w:t xml:space="preserve">ees </w:t>
      </w:r>
      <w:r>
        <w:t>prescribed in R</w:t>
      </w:r>
      <w:r w:rsidRPr="00FC12C4">
        <w:t>egulations</w:t>
      </w:r>
      <w:r>
        <w:t>;</w:t>
      </w:r>
      <w:r w:rsidRPr="00FC12C4">
        <w:t xml:space="preserve"> and </w:t>
      </w:r>
    </w:p>
    <w:p w:rsidR="001A641D" w:rsidRPr="00DD7C8D" w:rsidRDefault="007E5C0A" w:rsidP="001A641D">
      <w:pPr>
        <w:pStyle w:val="ListBullet"/>
      </w:pPr>
      <w:r>
        <w:t>f</w:t>
      </w:r>
      <w:r w:rsidRPr="00FC12C4">
        <w:t xml:space="preserve">ees </w:t>
      </w:r>
      <w:r>
        <w:t xml:space="preserve">determined </w:t>
      </w:r>
      <w:r w:rsidRPr="00DD7C8D">
        <w:t xml:space="preserve">on a case by case basis, such as for strategic assessments. </w:t>
      </w:r>
    </w:p>
    <w:p w:rsidR="001A641D" w:rsidRDefault="00FF3730" w:rsidP="001A641D">
      <w:r>
        <w:fldChar w:fldCharType="begin"/>
      </w:r>
      <w:r>
        <w:instrText xml:space="preserve"> REF _Ref457912634 \h  \* MERGEFORMAT </w:instrText>
      </w:r>
      <w:r>
        <w:fldChar w:fldCharType="separate"/>
      </w:r>
      <w:r>
        <w:t>Figure 2</w:t>
      </w:r>
      <w:r>
        <w:fldChar w:fldCharType="end"/>
      </w:r>
      <w:r w:rsidR="007E5C0A" w:rsidRPr="00DD7C8D">
        <w:t xml:space="preserve"> below shows where prescribed fees will apply, and where the Minister will determine fees on a case-by-case basis. Further information on the application of fees is provided in Sections </w:t>
      </w:r>
      <w:r>
        <w:fldChar w:fldCharType="begin"/>
      </w:r>
      <w:r>
        <w:instrText xml:space="preserve"> REF</w:instrText>
      </w:r>
      <w:r>
        <w:instrText xml:space="preserve"> _Ref458074974 \r \h  \* MERGEFORMAT </w:instrText>
      </w:r>
      <w:r>
        <w:fldChar w:fldCharType="separate"/>
      </w:r>
      <w:r>
        <w:t>3</w:t>
      </w:r>
      <w:r>
        <w:fldChar w:fldCharType="end"/>
      </w:r>
      <w:r w:rsidR="007E5C0A" w:rsidRPr="00DD7C8D">
        <w:t xml:space="preserve"> and </w:t>
      </w:r>
      <w:r>
        <w:fldChar w:fldCharType="begin"/>
      </w:r>
      <w:r>
        <w:instrText xml:space="preserve"> REF _Ref387066385 \r \h  \* MERGEFORMAT </w:instrText>
      </w:r>
      <w:r>
        <w:fldChar w:fldCharType="separate"/>
      </w:r>
      <w:r>
        <w:t>4</w:t>
      </w:r>
      <w:r>
        <w:fldChar w:fldCharType="end"/>
      </w:r>
      <w:r w:rsidR="007E5C0A" w:rsidRPr="00DD7C8D">
        <w:t xml:space="preserve"> describing cost recovery activities</w:t>
      </w:r>
      <w:r w:rsidR="007E5C0A">
        <w:t xml:space="preserve"> for environmental impact assessments and strategic assessments respectively</w:t>
      </w:r>
      <w:r w:rsidR="007E5C0A" w:rsidRPr="00FC12C4">
        <w:t>.</w:t>
      </w:r>
    </w:p>
    <w:p w:rsidR="001A641D" w:rsidRDefault="007E5C0A" w:rsidP="001A641D">
      <w:pPr>
        <w:keepNext/>
      </w:pPr>
      <w:r>
        <w:rPr>
          <w:noProof/>
          <w:lang w:eastAsia="en-AU"/>
        </w:rPr>
        <w:drawing>
          <wp:inline distT="0" distB="0" distL="0" distR="0">
            <wp:extent cx="6031230" cy="1802700"/>
            <wp:effectExtent l="19050" t="0" r="762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cstate="print"/>
                    <a:stretch>
                      <a:fillRect/>
                    </a:stretch>
                  </pic:blipFill>
                  <pic:spPr bwMode="auto">
                    <a:xfrm>
                      <a:off x="0" y="0"/>
                      <a:ext cx="6031230" cy="1802700"/>
                    </a:xfrm>
                    <a:prstGeom prst="rect">
                      <a:avLst/>
                    </a:prstGeom>
                    <a:noFill/>
                    <a:ln w="9525">
                      <a:noFill/>
                      <a:miter lim="800000"/>
                      <a:headEnd/>
                      <a:tailEnd/>
                    </a:ln>
                  </pic:spPr>
                </pic:pic>
              </a:graphicData>
            </a:graphic>
          </wp:inline>
        </w:drawing>
      </w:r>
    </w:p>
    <w:p w:rsidR="001A641D" w:rsidRDefault="007E5C0A" w:rsidP="001A641D">
      <w:pPr>
        <w:pStyle w:val="Caption"/>
        <w:jc w:val="left"/>
      </w:pPr>
      <w:bookmarkStart w:id="112" w:name="_Ref457912634"/>
      <w:bookmarkStart w:id="113" w:name="_Toc256000286"/>
      <w:bookmarkStart w:id="114" w:name="_Toc256000178"/>
      <w:bookmarkStart w:id="115" w:name="_Toc256000070"/>
      <w:bookmarkStart w:id="116" w:name="_Toc458170573"/>
      <w:bookmarkStart w:id="117" w:name="_Toc459108586"/>
      <w:r>
        <w:t xml:space="preserve">Figure </w:t>
      </w:r>
      <w:r w:rsidR="003366B4">
        <w:fldChar w:fldCharType="begin"/>
      </w:r>
      <w:r>
        <w:instrText xml:space="preserve"> SEQ Figure \* ARABIC </w:instrText>
      </w:r>
      <w:r w:rsidR="003366B4">
        <w:fldChar w:fldCharType="separate"/>
      </w:r>
      <w:r w:rsidR="00FF3730">
        <w:rPr>
          <w:noProof/>
        </w:rPr>
        <w:t>2</w:t>
      </w:r>
      <w:r w:rsidR="003366B4">
        <w:fldChar w:fldCharType="end"/>
      </w:r>
      <w:bookmarkEnd w:id="112"/>
      <w:r>
        <w:t xml:space="preserve">. </w:t>
      </w:r>
      <w:r w:rsidRPr="00784537">
        <w:t>The EPBC Act cost recovery charging model</w:t>
      </w:r>
      <w:bookmarkEnd w:id="113"/>
      <w:bookmarkEnd w:id="114"/>
      <w:bookmarkEnd w:id="115"/>
      <w:bookmarkEnd w:id="116"/>
      <w:bookmarkEnd w:id="117"/>
    </w:p>
    <w:p w:rsidR="001A641D" w:rsidRDefault="007E5C0A" w:rsidP="001A641D">
      <w:pPr>
        <w:pStyle w:val="Heading3"/>
        <w:ind w:left="0" w:firstLine="0"/>
      </w:pPr>
      <w:bookmarkStart w:id="118" w:name="_Toc256000332"/>
      <w:bookmarkStart w:id="119" w:name="_Toc256000224"/>
      <w:bookmarkStart w:id="120" w:name="_Toc256000116"/>
      <w:bookmarkStart w:id="121" w:name="_Toc256000008"/>
      <w:bookmarkStart w:id="122" w:name="_Toc458170513"/>
      <w:r w:rsidRPr="00FC12C4">
        <w:t xml:space="preserve">Who pays the </w:t>
      </w:r>
      <w:r>
        <w:t>f</w:t>
      </w:r>
      <w:r w:rsidRPr="00FC12C4">
        <w:t>ees</w:t>
      </w:r>
      <w:bookmarkEnd w:id="109"/>
      <w:bookmarkEnd w:id="110"/>
      <w:bookmarkEnd w:id="111"/>
      <w:bookmarkEnd w:id="118"/>
      <w:bookmarkEnd w:id="119"/>
      <w:bookmarkEnd w:id="120"/>
      <w:bookmarkEnd w:id="121"/>
      <w:bookmarkEnd w:id="122"/>
      <w:r w:rsidRPr="00FC12C4">
        <w:t xml:space="preserve"> </w:t>
      </w:r>
    </w:p>
    <w:p w:rsidR="001A641D" w:rsidRDefault="007E5C0A" w:rsidP="001A641D">
      <w:r w:rsidRPr="00E71AF8">
        <w:t xml:space="preserve">The person proposing to take the action </w:t>
      </w:r>
      <w:r>
        <w:t>is</w:t>
      </w:r>
      <w:r w:rsidRPr="00E71AF8">
        <w:t xml:space="preserve"> responsible for paying cost recovery fees</w:t>
      </w:r>
      <w:r>
        <w:t xml:space="preserve"> for environmental impact assessments under the EPBC Act</w:t>
      </w:r>
      <w:r w:rsidRPr="00E71AF8">
        <w:t xml:space="preserve">. </w:t>
      </w:r>
      <w:r>
        <w:t>T</w:t>
      </w:r>
      <w:r w:rsidRPr="00E71AF8">
        <w:t xml:space="preserve">he person proposing to take the action can be different from the </w:t>
      </w:r>
      <w:r>
        <w:t>person the Minister designates as the ‘proponent’ under the EPBC Act, who may be managing the assessment process for the person proposing to take the action. F</w:t>
      </w:r>
      <w:r w:rsidRPr="00E71AF8">
        <w:t xml:space="preserve">or the purposes of this CRIS the ‘person proposing to take the action’ </w:t>
      </w:r>
      <w:r>
        <w:t>is</w:t>
      </w:r>
      <w:r w:rsidRPr="00E71AF8">
        <w:t xml:space="preserve"> referred to as the ‘</w:t>
      </w:r>
      <w:r>
        <w:t>applicant’ and is liable for the payment of fees</w:t>
      </w:r>
      <w:r w:rsidRPr="00E71AF8">
        <w:t>.</w:t>
      </w:r>
    </w:p>
    <w:p w:rsidR="001A641D" w:rsidRDefault="007E5C0A" w:rsidP="001A641D">
      <w:r>
        <w:t>Applicants</w:t>
      </w:r>
      <w:r w:rsidRPr="00FC12C4">
        <w:t xml:space="preserve"> </w:t>
      </w:r>
      <w:r>
        <w:t xml:space="preserve">subject </w:t>
      </w:r>
      <w:r w:rsidRPr="00FC12C4">
        <w:t>to cost recover</w:t>
      </w:r>
      <w:r>
        <w:t>y</w:t>
      </w:r>
      <w:r w:rsidRPr="00FC12C4">
        <w:t xml:space="preserve"> include private entities</w:t>
      </w:r>
      <w:r>
        <w:t xml:space="preserve">, </w:t>
      </w:r>
      <w:r w:rsidRPr="00FC12C4">
        <w:t>individuals</w:t>
      </w:r>
      <w:r>
        <w:t xml:space="preserve">, and </w:t>
      </w:r>
      <w:r w:rsidRPr="00FC12C4">
        <w:t>government</w:t>
      </w:r>
      <w:r>
        <w:t xml:space="preserve"> agencies</w:t>
      </w:r>
      <w:r w:rsidRPr="00A5211A">
        <w:t>.</w:t>
      </w:r>
      <w:r>
        <w:t xml:space="preserve"> </w:t>
      </w:r>
      <w:r w:rsidRPr="00A5211A">
        <w:t>Some applicants may be eligible for exemptions and waivers.</w:t>
      </w:r>
      <w:r>
        <w:t xml:space="preserve"> Where an applicant is eligible for a waiver or exemption, the costs of t</w:t>
      </w:r>
      <w:r w:rsidRPr="00FC12C4">
        <w:t xml:space="preserve">hese services </w:t>
      </w:r>
      <w:r>
        <w:t>are</w:t>
      </w:r>
      <w:r w:rsidRPr="00FC12C4">
        <w:t xml:space="preserve"> </w:t>
      </w:r>
      <w:r>
        <w:t>met through the Department’s annual appropriation (i.e. ‘budget-</w:t>
      </w:r>
      <w:r w:rsidRPr="00FC12C4">
        <w:t>funded</w:t>
      </w:r>
      <w:r>
        <w:t>’)</w:t>
      </w:r>
      <w:r w:rsidRPr="00E13558">
        <w:t xml:space="preserve"> so that</w:t>
      </w:r>
      <w:r>
        <w:t xml:space="preserve"> applicants subject to cost recovery do not subsidise applicants subject to waivers and exemptions. Cost recovery fees therefore reflect the cost of carrying out an individual assessment.</w:t>
      </w:r>
      <w:r w:rsidRPr="00E13558">
        <w:t xml:space="preserve"> </w:t>
      </w:r>
      <w:r>
        <w:t xml:space="preserve">This arrangement ensures </w:t>
      </w:r>
      <w:r w:rsidRPr="00E13558">
        <w:t>there is no cross-subsidisation between cost recovered and non-cost recovered activities under the EPBC Act or across stakeholder groups</w:t>
      </w:r>
      <w:r w:rsidRPr="00355D85">
        <w:t xml:space="preserve">. Further information on exemptions and </w:t>
      </w:r>
      <w:r w:rsidRPr="00DD7C8D">
        <w:t xml:space="preserve">waivers is provided in sections </w:t>
      </w:r>
      <w:r w:rsidR="00FF3730">
        <w:fldChar w:fldCharType="begin"/>
      </w:r>
      <w:r w:rsidR="00FF3730">
        <w:instrText xml:space="preserve"> REF _Ref387054414 \r \h  \* MERGEFORMAT </w:instrText>
      </w:r>
      <w:r w:rsidR="00FF3730">
        <w:fldChar w:fldCharType="separate"/>
      </w:r>
      <w:r w:rsidR="00FF3730">
        <w:t>3.3.7</w:t>
      </w:r>
      <w:r w:rsidR="00FF3730">
        <w:fldChar w:fldCharType="end"/>
      </w:r>
      <w:r w:rsidRPr="00DD7C8D">
        <w:t xml:space="preserve"> and </w:t>
      </w:r>
      <w:r w:rsidR="00FF3730">
        <w:fldChar w:fldCharType="begin"/>
      </w:r>
      <w:r w:rsidR="00FF3730">
        <w:instrText xml:space="preserve"> REF _Ref457912872 \r \h  \* MERGEFORMAT </w:instrText>
      </w:r>
      <w:r w:rsidR="00FF3730">
        <w:fldChar w:fldCharType="separate"/>
      </w:r>
      <w:r w:rsidR="00FF3730">
        <w:t>3.3.8</w:t>
      </w:r>
      <w:r w:rsidR="00FF3730">
        <w:fldChar w:fldCharType="end"/>
      </w:r>
      <w:r>
        <w:t xml:space="preserve"> of this CRIS</w:t>
      </w:r>
      <w:r w:rsidRPr="00DD7C8D">
        <w:t>.</w:t>
      </w:r>
    </w:p>
    <w:p w:rsidR="001A641D" w:rsidRDefault="007E5C0A" w:rsidP="001A641D">
      <w:r>
        <w:t xml:space="preserve">For strategic assessments, where cost recovery applies, the person responsible for the adoption or implementation of a policy, plan or program is responsible for paying cost recovery fees for the strategic assessment under the EPBC Act. The person responsible for a policy, plan or program is referred to as the ‘applicant’ for the purposes of this CRIS. The applicant for a strategic assessment may be a state or territory government or a private entity. </w:t>
      </w:r>
    </w:p>
    <w:p w:rsidR="001A641D" w:rsidRDefault="007E5C0A" w:rsidP="001A641D">
      <w:r>
        <w:t xml:space="preserve">There are no exemptions or fee waivers available for strategic assessments, however, some strategic assessments may be wholly or partially budget funded where the assessment will benefit the community as a whole. Further information on cost recovery for strategic assessments is provided </w:t>
      </w:r>
      <w:r w:rsidRPr="00DD7C8D">
        <w:t xml:space="preserve">in Section </w:t>
      </w:r>
      <w:r w:rsidR="00FF3730">
        <w:fldChar w:fldCharType="begin"/>
      </w:r>
      <w:r w:rsidR="00FF3730">
        <w:instrText xml:space="preserve"> REF _Ref387066385 \r \h  \* MERGEFORMAT </w:instrText>
      </w:r>
      <w:r w:rsidR="00FF3730">
        <w:fldChar w:fldCharType="separate"/>
      </w:r>
      <w:r w:rsidR="00FF3730">
        <w:t>4</w:t>
      </w:r>
      <w:r w:rsidR="00FF3730">
        <w:fldChar w:fldCharType="end"/>
      </w:r>
      <w:r w:rsidRPr="00DD7C8D">
        <w:t xml:space="preserve"> of</w:t>
      </w:r>
      <w:r>
        <w:t xml:space="preserve"> this CRIS.</w:t>
      </w:r>
    </w:p>
    <w:p w:rsidR="001A641D" w:rsidRDefault="007E5C0A" w:rsidP="001A641D">
      <w:pPr>
        <w:pStyle w:val="Heading3"/>
        <w:ind w:left="0" w:firstLine="0"/>
      </w:pPr>
      <w:bookmarkStart w:id="123" w:name="_Toc256000333"/>
      <w:bookmarkStart w:id="124" w:name="_Toc256000225"/>
      <w:bookmarkStart w:id="125" w:name="_Toc256000117"/>
      <w:bookmarkStart w:id="126" w:name="_Toc256000009"/>
      <w:bookmarkStart w:id="127" w:name="_Toc343850246"/>
      <w:bookmarkStart w:id="128" w:name="_Toc344895138"/>
      <w:bookmarkStart w:id="129" w:name="_Toc346285313"/>
      <w:bookmarkStart w:id="130" w:name="_Toc458170514"/>
      <w:r w:rsidRPr="00040DA4">
        <w:t>Inter/intra governmental charging</w:t>
      </w:r>
      <w:bookmarkEnd w:id="123"/>
      <w:bookmarkEnd w:id="124"/>
      <w:bookmarkEnd w:id="125"/>
      <w:bookmarkEnd w:id="126"/>
      <w:bookmarkEnd w:id="127"/>
      <w:bookmarkEnd w:id="128"/>
      <w:bookmarkEnd w:id="129"/>
      <w:bookmarkEnd w:id="130"/>
    </w:p>
    <w:p w:rsidR="001A641D" w:rsidRDefault="007E5C0A" w:rsidP="001A641D">
      <w:pPr>
        <w:widowControl w:val="0"/>
        <w:autoSpaceDE w:val="0"/>
        <w:autoSpaceDN w:val="0"/>
        <w:adjustRightInd w:val="0"/>
        <w:rPr>
          <w:rFonts w:eastAsia="SimSun"/>
          <w:sz w:val="28"/>
          <w:szCs w:val="28"/>
          <w:lang w:val="en-US"/>
        </w:rPr>
      </w:pPr>
      <w:r w:rsidRPr="00040DA4">
        <w:rPr>
          <w:rFonts w:eastAsia="SimSun"/>
          <w:lang w:val="en-US"/>
        </w:rPr>
        <w:t xml:space="preserve">Cost recovery arrangements outlined in this CRIS </w:t>
      </w:r>
      <w:r>
        <w:rPr>
          <w:rFonts w:eastAsia="SimSun"/>
          <w:lang w:val="en-US"/>
        </w:rPr>
        <w:t xml:space="preserve">generally </w:t>
      </w:r>
      <w:r w:rsidRPr="00040DA4">
        <w:rPr>
          <w:rFonts w:eastAsia="SimSun"/>
          <w:lang w:val="en-US"/>
        </w:rPr>
        <w:t xml:space="preserve">apply </w:t>
      </w:r>
      <w:r>
        <w:rPr>
          <w:rFonts w:eastAsia="SimSun"/>
          <w:lang w:val="en-US"/>
        </w:rPr>
        <w:t xml:space="preserve">equally </w:t>
      </w:r>
      <w:r w:rsidRPr="00040DA4">
        <w:rPr>
          <w:rFonts w:eastAsia="SimSun"/>
          <w:lang w:val="en-US"/>
        </w:rPr>
        <w:t xml:space="preserve">to </w:t>
      </w:r>
      <w:r>
        <w:t xml:space="preserve">government </w:t>
      </w:r>
      <w:r w:rsidRPr="00040DA4">
        <w:t>agenc</w:t>
      </w:r>
      <w:r>
        <w:t>ies and the private sector</w:t>
      </w:r>
      <w:r w:rsidRPr="00856370">
        <w:t>, unless an exemption or waiver applies.</w:t>
      </w:r>
      <w:r>
        <w:t xml:space="preserve"> Where government agencies are applicants, they derive the same benefits from services provided under the EPBC Act as private sector individuals and organisations. Therefore it is appropriate to charge applicant government agencies in the same manner as the private sector.</w:t>
      </w:r>
    </w:p>
    <w:p w:rsidR="001A641D" w:rsidRDefault="007E5C0A">
      <w:pPr>
        <w:spacing w:after="0" w:line="240" w:lineRule="auto"/>
        <w:rPr>
          <w:rFonts w:cs="Arial"/>
          <w:b/>
        </w:rPr>
      </w:pPr>
      <w:r>
        <w:br w:type="page"/>
      </w:r>
    </w:p>
    <w:p w:rsidR="001A641D" w:rsidRDefault="007E5C0A" w:rsidP="001A641D">
      <w:pPr>
        <w:pStyle w:val="Heading1"/>
      </w:pPr>
      <w:bookmarkStart w:id="131" w:name="_Toc256000334"/>
      <w:bookmarkStart w:id="132" w:name="_Toc256000226"/>
      <w:bookmarkStart w:id="133" w:name="_Toc256000118"/>
      <w:bookmarkStart w:id="134" w:name="_Toc256000010"/>
      <w:bookmarkStart w:id="135" w:name="_Toc458170515"/>
      <w:r>
        <w:t>POLICY AND STATUTORY AUTHORITY TO COST RECOVER</w:t>
      </w:r>
      <w:bookmarkEnd w:id="131"/>
      <w:bookmarkEnd w:id="132"/>
      <w:bookmarkEnd w:id="133"/>
      <w:bookmarkEnd w:id="134"/>
      <w:bookmarkEnd w:id="135"/>
    </w:p>
    <w:p w:rsidR="001A641D" w:rsidRPr="00F854A1" w:rsidRDefault="007E5C0A" w:rsidP="001A641D">
      <w:pPr>
        <w:pStyle w:val="Heading2"/>
      </w:pPr>
      <w:bookmarkStart w:id="136" w:name="_Toc456102669"/>
      <w:bookmarkStart w:id="137" w:name="_Toc456103421"/>
      <w:bookmarkStart w:id="138" w:name="_Toc456104153"/>
      <w:bookmarkStart w:id="139" w:name="_Toc456104867"/>
      <w:bookmarkStart w:id="140" w:name="_Toc456105580"/>
      <w:bookmarkStart w:id="141" w:name="_Toc456106292"/>
      <w:bookmarkStart w:id="142" w:name="_Toc456106992"/>
      <w:bookmarkStart w:id="143" w:name="_Toc456166668"/>
      <w:bookmarkStart w:id="144" w:name="_Toc456168508"/>
      <w:bookmarkStart w:id="145" w:name="_Toc456178639"/>
      <w:bookmarkStart w:id="146" w:name="_Toc456179170"/>
      <w:bookmarkStart w:id="147" w:name="_Toc456179708"/>
      <w:bookmarkStart w:id="148" w:name="_Toc456180244"/>
      <w:bookmarkStart w:id="149" w:name="_Toc456180780"/>
      <w:bookmarkStart w:id="150" w:name="_Toc456181316"/>
      <w:bookmarkStart w:id="151" w:name="_Toc456181853"/>
      <w:bookmarkStart w:id="152" w:name="_Toc456182392"/>
      <w:bookmarkStart w:id="153" w:name="_Toc456182927"/>
      <w:bookmarkStart w:id="154" w:name="_Toc456183464"/>
      <w:bookmarkStart w:id="155" w:name="_Toc456184000"/>
      <w:bookmarkStart w:id="156" w:name="_Toc456184532"/>
      <w:bookmarkStart w:id="157" w:name="_Toc456185065"/>
      <w:bookmarkStart w:id="158" w:name="_Toc456185662"/>
      <w:bookmarkStart w:id="159" w:name="_Toc456186194"/>
      <w:bookmarkStart w:id="160" w:name="_Toc456186726"/>
      <w:bookmarkStart w:id="161" w:name="_Toc456360342"/>
      <w:bookmarkStart w:id="162" w:name="_Toc456364058"/>
      <w:bookmarkStart w:id="163" w:name="_Toc456365277"/>
      <w:bookmarkStart w:id="164" w:name="_Toc456366497"/>
      <w:bookmarkStart w:id="165" w:name="_Toc456367124"/>
      <w:bookmarkStart w:id="166" w:name="_Toc456367756"/>
      <w:bookmarkStart w:id="167" w:name="_Toc456368385"/>
      <w:bookmarkStart w:id="168" w:name="_Toc456369014"/>
      <w:bookmarkStart w:id="169" w:name="_Toc456369695"/>
      <w:bookmarkStart w:id="170" w:name="_Toc456370372"/>
      <w:bookmarkStart w:id="171" w:name="_Toc456371050"/>
      <w:bookmarkStart w:id="172" w:name="_Toc456517076"/>
      <w:bookmarkStart w:id="173" w:name="_Toc456102670"/>
      <w:bookmarkStart w:id="174" w:name="_Toc456103422"/>
      <w:bookmarkStart w:id="175" w:name="_Toc456104154"/>
      <w:bookmarkStart w:id="176" w:name="_Toc456104868"/>
      <w:bookmarkStart w:id="177" w:name="_Toc456105581"/>
      <w:bookmarkStart w:id="178" w:name="_Toc456106293"/>
      <w:bookmarkStart w:id="179" w:name="_Toc456106993"/>
      <w:bookmarkStart w:id="180" w:name="_Toc456166669"/>
      <w:bookmarkStart w:id="181" w:name="_Toc456168509"/>
      <w:bookmarkStart w:id="182" w:name="_Toc456178640"/>
      <w:bookmarkStart w:id="183" w:name="_Toc456179171"/>
      <w:bookmarkStart w:id="184" w:name="_Toc456179709"/>
      <w:bookmarkStart w:id="185" w:name="_Toc456180245"/>
      <w:bookmarkStart w:id="186" w:name="_Toc456180781"/>
      <w:bookmarkStart w:id="187" w:name="_Toc456181317"/>
      <w:bookmarkStart w:id="188" w:name="_Toc456181854"/>
      <w:bookmarkStart w:id="189" w:name="_Toc456182393"/>
      <w:bookmarkStart w:id="190" w:name="_Toc456182928"/>
      <w:bookmarkStart w:id="191" w:name="_Toc456183465"/>
      <w:bookmarkStart w:id="192" w:name="_Toc456184001"/>
      <w:bookmarkStart w:id="193" w:name="_Toc456184533"/>
      <w:bookmarkStart w:id="194" w:name="_Toc456185066"/>
      <w:bookmarkStart w:id="195" w:name="_Toc456185663"/>
      <w:bookmarkStart w:id="196" w:name="_Toc456186195"/>
      <w:bookmarkStart w:id="197" w:name="_Toc456186727"/>
      <w:bookmarkStart w:id="198" w:name="_Toc456360343"/>
      <w:bookmarkStart w:id="199" w:name="_Toc456364059"/>
      <w:bookmarkStart w:id="200" w:name="_Toc456365278"/>
      <w:bookmarkStart w:id="201" w:name="_Toc456366498"/>
      <w:bookmarkStart w:id="202" w:name="_Toc456367125"/>
      <w:bookmarkStart w:id="203" w:name="_Toc456367757"/>
      <w:bookmarkStart w:id="204" w:name="_Toc456368386"/>
      <w:bookmarkStart w:id="205" w:name="_Toc456369015"/>
      <w:bookmarkStart w:id="206" w:name="_Toc456369696"/>
      <w:bookmarkStart w:id="207" w:name="_Toc456370373"/>
      <w:bookmarkStart w:id="208" w:name="_Toc456371051"/>
      <w:bookmarkStart w:id="209" w:name="_Toc456517077"/>
      <w:bookmarkStart w:id="210" w:name="_Toc456102671"/>
      <w:bookmarkStart w:id="211" w:name="_Toc456103423"/>
      <w:bookmarkStart w:id="212" w:name="_Toc456104155"/>
      <w:bookmarkStart w:id="213" w:name="_Toc456104869"/>
      <w:bookmarkStart w:id="214" w:name="_Toc456105582"/>
      <w:bookmarkStart w:id="215" w:name="_Toc456106294"/>
      <w:bookmarkStart w:id="216" w:name="_Toc456106994"/>
      <w:bookmarkStart w:id="217" w:name="_Toc456166670"/>
      <w:bookmarkStart w:id="218" w:name="_Toc456168510"/>
      <w:bookmarkStart w:id="219" w:name="_Toc456178641"/>
      <w:bookmarkStart w:id="220" w:name="_Toc456179172"/>
      <w:bookmarkStart w:id="221" w:name="_Toc456179710"/>
      <w:bookmarkStart w:id="222" w:name="_Toc456180246"/>
      <w:bookmarkStart w:id="223" w:name="_Toc456180782"/>
      <w:bookmarkStart w:id="224" w:name="_Toc456181318"/>
      <w:bookmarkStart w:id="225" w:name="_Toc456181855"/>
      <w:bookmarkStart w:id="226" w:name="_Toc456182394"/>
      <w:bookmarkStart w:id="227" w:name="_Toc456182929"/>
      <w:bookmarkStart w:id="228" w:name="_Toc456183466"/>
      <w:bookmarkStart w:id="229" w:name="_Toc456184002"/>
      <w:bookmarkStart w:id="230" w:name="_Toc456184534"/>
      <w:bookmarkStart w:id="231" w:name="_Toc456185067"/>
      <w:bookmarkStart w:id="232" w:name="_Toc456185664"/>
      <w:bookmarkStart w:id="233" w:name="_Toc456186196"/>
      <w:bookmarkStart w:id="234" w:name="_Toc456186728"/>
      <w:bookmarkStart w:id="235" w:name="_Toc456360344"/>
      <w:bookmarkStart w:id="236" w:name="_Toc456364060"/>
      <w:bookmarkStart w:id="237" w:name="_Toc456365279"/>
      <w:bookmarkStart w:id="238" w:name="_Toc456366499"/>
      <w:bookmarkStart w:id="239" w:name="_Toc456367126"/>
      <w:bookmarkStart w:id="240" w:name="_Toc456367758"/>
      <w:bookmarkStart w:id="241" w:name="_Toc456368387"/>
      <w:bookmarkStart w:id="242" w:name="_Toc456369016"/>
      <w:bookmarkStart w:id="243" w:name="_Toc456369697"/>
      <w:bookmarkStart w:id="244" w:name="_Toc456370374"/>
      <w:bookmarkStart w:id="245" w:name="_Toc456371052"/>
      <w:bookmarkStart w:id="246" w:name="_Toc456517078"/>
      <w:bookmarkStart w:id="247" w:name="_Toc456102672"/>
      <w:bookmarkStart w:id="248" w:name="_Toc456103424"/>
      <w:bookmarkStart w:id="249" w:name="_Toc456104156"/>
      <w:bookmarkStart w:id="250" w:name="_Toc456104870"/>
      <w:bookmarkStart w:id="251" w:name="_Toc456105583"/>
      <w:bookmarkStart w:id="252" w:name="_Toc456106295"/>
      <w:bookmarkStart w:id="253" w:name="_Toc456106995"/>
      <w:bookmarkStart w:id="254" w:name="_Toc456166671"/>
      <w:bookmarkStart w:id="255" w:name="_Toc456168511"/>
      <w:bookmarkStart w:id="256" w:name="_Toc456178642"/>
      <w:bookmarkStart w:id="257" w:name="_Toc456179173"/>
      <w:bookmarkStart w:id="258" w:name="_Toc456179711"/>
      <w:bookmarkStart w:id="259" w:name="_Toc456180247"/>
      <w:bookmarkStart w:id="260" w:name="_Toc456180783"/>
      <w:bookmarkStart w:id="261" w:name="_Toc456181319"/>
      <w:bookmarkStart w:id="262" w:name="_Toc456181856"/>
      <w:bookmarkStart w:id="263" w:name="_Toc456182395"/>
      <w:bookmarkStart w:id="264" w:name="_Toc456182930"/>
      <w:bookmarkStart w:id="265" w:name="_Toc456183467"/>
      <w:bookmarkStart w:id="266" w:name="_Toc456184003"/>
      <w:bookmarkStart w:id="267" w:name="_Toc456184535"/>
      <w:bookmarkStart w:id="268" w:name="_Toc456185068"/>
      <w:bookmarkStart w:id="269" w:name="_Toc456185665"/>
      <w:bookmarkStart w:id="270" w:name="_Toc456186197"/>
      <w:bookmarkStart w:id="271" w:name="_Toc456186729"/>
      <w:bookmarkStart w:id="272" w:name="_Toc456360345"/>
      <w:bookmarkStart w:id="273" w:name="_Toc456364061"/>
      <w:bookmarkStart w:id="274" w:name="_Toc456365280"/>
      <w:bookmarkStart w:id="275" w:name="_Toc456366500"/>
      <w:bookmarkStart w:id="276" w:name="_Toc456367127"/>
      <w:bookmarkStart w:id="277" w:name="_Toc456367759"/>
      <w:bookmarkStart w:id="278" w:name="_Toc456368388"/>
      <w:bookmarkStart w:id="279" w:name="_Toc456369017"/>
      <w:bookmarkStart w:id="280" w:name="_Toc456369698"/>
      <w:bookmarkStart w:id="281" w:name="_Toc456370375"/>
      <w:bookmarkStart w:id="282" w:name="_Toc456371053"/>
      <w:bookmarkStart w:id="283" w:name="_Toc456517079"/>
      <w:bookmarkStart w:id="284" w:name="_Toc456102673"/>
      <w:bookmarkStart w:id="285" w:name="_Toc456103425"/>
      <w:bookmarkStart w:id="286" w:name="_Toc456104157"/>
      <w:bookmarkStart w:id="287" w:name="_Toc456104871"/>
      <w:bookmarkStart w:id="288" w:name="_Toc456105584"/>
      <w:bookmarkStart w:id="289" w:name="_Toc456106296"/>
      <w:bookmarkStart w:id="290" w:name="_Toc456106996"/>
      <w:bookmarkStart w:id="291" w:name="_Toc456166672"/>
      <w:bookmarkStart w:id="292" w:name="_Toc456168512"/>
      <w:bookmarkStart w:id="293" w:name="_Toc456178643"/>
      <w:bookmarkStart w:id="294" w:name="_Toc456179174"/>
      <w:bookmarkStart w:id="295" w:name="_Toc456179712"/>
      <w:bookmarkStart w:id="296" w:name="_Toc456180248"/>
      <w:bookmarkStart w:id="297" w:name="_Toc456180784"/>
      <w:bookmarkStart w:id="298" w:name="_Toc456181320"/>
      <w:bookmarkStart w:id="299" w:name="_Toc456181857"/>
      <w:bookmarkStart w:id="300" w:name="_Toc456182396"/>
      <w:bookmarkStart w:id="301" w:name="_Toc456182931"/>
      <w:bookmarkStart w:id="302" w:name="_Toc456183468"/>
      <w:bookmarkStart w:id="303" w:name="_Toc456184004"/>
      <w:bookmarkStart w:id="304" w:name="_Toc456184536"/>
      <w:bookmarkStart w:id="305" w:name="_Toc456185069"/>
      <w:bookmarkStart w:id="306" w:name="_Toc456185666"/>
      <w:bookmarkStart w:id="307" w:name="_Toc456186198"/>
      <w:bookmarkStart w:id="308" w:name="_Toc456186730"/>
      <w:bookmarkStart w:id="309" w:name="_Toc456360346"/>
      <w:bookmarkStart w:id="310" w:name="_Toc456364062"/>
      <w:bookmarkStart w:id="311" w:name="_Toc456365281"/>
      <w:bookmarkStart w:id="312" w:name="_Toc456366501"/>
      <w:bookmarkStart w:id="313" w:name="_Toc456367128"/>
      <w:bookmarkStart w:id="314" w:name="_Toc456367760"/>
      <w:bookmarkStart w:id="315" w:name="_Toc456368389"/>
      <w:bookmarkStart w:id="316" w:name="_Toc456369018"/>
      <w:bookmarkStart w:id="317" w:name="_Toc456369699"/>
      <w:bookmarkStart w:id="318" w:name="_Toc456370376"/>
      <w:bookmarkStart w:id="319" w:name="_Toc456371054"/>
      <w:bookmarkStart w:id="320" w:name="_Toc456517080"/>
      <w:bookmarkStart w:id="321" w:name="_Toc456102674"/>
      <w:bookmarkStart w:id="322" w:name="_Toc456103426"/>
      <w:bookmarkStart w:id="323" w:name="_Toc456104158"/>
      <w:bookmarkStart w:id="324" w:name="_Toc456104872"/>
      <w:bookmarkStart w:id="325" w:name="_Toc456105585"/>
      <w:bookmarkStart w:id="326" w:name="_Toc456106297"/>
      <w:bookmarkStart w:id="327" w:name="_Toc456106997"/>
      <w:bookmarkStart w:id="328" w:name="_Toc456166673"/>
      <w:bookmarkStart w:id="329" w:name="_Toc456168513"/>
      <w:bookmarkStart w:id="330" w:name="_Toc456178644"/>
      <w:bookmarkStart w:id="331" w:name="_Toc456179175"/>
      <w:bookmarkStart w:id="332" w:name="_Toc456179713"/>
      <w:bookmarkStart w:id="333" w:name="_Toc456180249"/>
      <w:bookmarkStart w:id="334" w:name="_Toc456180785"/>
      <w:bookmarkStart w:id="335" w:name="_Toc456181321"/>
      <w:bookmarkStart w:id="336" w:name="_Toc456181858"/>
      <w:bookmarkStart w:id="337" w:name="_Toc456182397"/>
      <w:bookmarkStart w:id="338" w:name="_Toc456182932"/>
      <w:bookmarkStart w:id="339" w:name="_Toc456183469"/>
      <w:bookmarkStart w:id="340" w:name="_Toc456184005"/>
      <w:bookmarkStart w:id="341" w:name="_Toc456184537"/>
      <w:bookmarkStart w:id="342" w:name="_Toc456185070"/>
      <w:bookmarkStart w:id="343" w:name="_Toc456185667"/>
      <w:bookmarkStart w:id="344" w:name="_Toc456186199"/>
      <w:bookmarkStart w:id="345" w:name="_Toc456186731"/>
      <w:bookmarkStart w:id="346" w:name="_Toc456360347"/>
      <w:bookmarkStart w:id="347" w:name="_Toc456364063"/>
      <w:bookmarkStart w:id="348" w:name="_Toc456365282"/>
      <w:bookmarkStart w:id="349" w:name="_Toc456366502"/>
      <w:bookmarkStart w:id="350" w:name="_Toc456367129"/>
      <w:bookmarkStart w:id="351" w:name="_Toc456367761"/>
      <w:bookmarkStart w:id="352" w:name="_Toc456368390"/>
      <w:bookmarkStart w:id="353" w:name="_Toc456369019"/>
      <w:bookmarkStart w:id="354" w:name="_Toc456369700"/>
      <w:bookmarkStart w:id="355" w:name="_Toc456370377"/>
      <w:bookmarkStart w:id="356" w:name="_Toc456371055"/>
      <w:bookmarkStart w:id="357" w:name="_Toc456517081"/>
      <w:bookmarkStart w:id="358" w:name="_Toc456102675"/>
      <w:bookmarkStart w:id="359" w:name="_Toc456103427"/>
      <w:bookmarkStart w:id="360" w:name="_Toc456104159"/>
      <w:bookmarkStart w:id="361" w:name="_Toc456104873"/>
      <w:bookmarkStart w:id="362" w:name="_Toc456105586"/>
      <w:bookmarkStart w:id="363" w:name="_Toc456106298"/>
      <w:bookmarkStart w:id="364" w:name="_Toc456106998"/>
      <w:bookmarkStart w:id="365" w:name="_Toc456166674"/>
      <w:bookmarkStart w:id="366" w:name="_Toc456168514"/>
      <w:bookmarkStart w:id="367" w:name="_Toc456178645"/>
      <w:bookmarkStart w:id="368" w:name="_Toc456179176"/>
      <w:bookmarkStart w:id="369" w:name="_Toc456179714"/>
      <w:bookmarkStart w:id="370" w:name="_Toc456180250"/>
      <w:bookmarkStart w:id="371" w:name="_Toc456180786"/>
      <w:bookmarkStart w:id="372" w:name="_Toc456181322"/>
      <w:bookmarkStart w:id="373" w:name="_Toc456181859"/>
      <w:bookmarkStart w:id="374" w:name="_Toc456182398"/>
      <w:bookmarkStart w:id="375" w:name="_Toc456182933"/>
      <w:bookmarkStart w:id="376" w:name="_Toc456183470"/>
      <w:bookmarkStart w:id="377" w:name="_Toc456184006"/>
      <w:bookmarkStart w:id="378" w:name="_Toc456184538"/>
      <w:bookmarkStart w:id="379" w:name="_Toc456185071"/>
      <w:bookmarkStart w:id="380" w:name="_Toc456185668"/>
      <w:bookmarkStart w:id="381" w:name="_Toc456186200"/>
      <w:bookmarkStart w:id="382" w:name="_Toc456186732"/>
      <w:bookmarkStart w:id="383" w:name="_Toc456360348"/>
      <w:bookmarkStart w:id="384" w:name="_Toc456364064"/>
      <w:bookmarkStart w:id="385" w:name="_Toc456365283"/>
      <w:bookmarkStart w:id="386" w:name="_Toc456366503"/>
      <w:bookmarkStart w:id="387" w:name="_Toc456367130"/>
      <w:bookmarkStart w:id="388" w:name="_Toc456367762"/>
      <w:bookmarkStart w:id="389" w:name="_Toc456368391"/>
      <w:bookmarkStart w:id="390" w:name="_Toc456369020"/>
      <w:bookmarkStart w:id="391" w:name="_Toc456369701"/>
      <w:bookmarkStart w:id="392" w:name="_Toc456370378"/>
      <w:bookmarkStart w:id="393" w:name="_Toc456371056"/>
      <w:bookmarkStart w:id="394" w:name="_Toc456517082"/>
      <w:bookmarkStart w:id="395" w:name="_Toc456102676"/>
      <w:bookmarkStart w:id="396" w:name="_Toc456103428"/>
      <w:bookmarkStart w:id="397" w:name="_Toc456104160"/>
      <w:bookmarkStart w:id="398" w:name="_Toc456104874"/>
      <w:bookmarkStart w:id="399" w:name="_Toc456105587"/>
      <w:bookmarkStart w:id="400" w:name="_Toc456106299"/>
      <w:bookmarkStart w:id="401" w:name="_Toc456106999"/>
      <w:bookmarkStart w:id="402" w:name="_Toc456166675"/>
      <w:bookmarkStart w:id="403" w:name="_Toc456168515"/>
      <w:bookmarkStart w:id="404" w:name="_Toc456178646"/>
      <w:bookmarkStart w:id="405" w:name="_Toc456179177"/>
      <w:bookmarkStart w:id="406" w:name="_Toc456179715"/>
      <w:bookmarkStart w:id="407" w:name="_Toc456180251"/>
      <w:bookmarkStart w:id="408" w:name="_Toc456180787"/>
      <w:bookmarkStart w:id="409" w:name="_Toc456181323"/>
      <w:bookmarkStart w:id="410" w:name="_Toc456181860"/>
      <w:bookmarkStart w:id="411" w:name="_Toc456182399"/>
      <w:bookmarkStart w:id="412" w:name="_Toc456182934"/>
      <w:bookmarkStart w:id="413" w:name="_Toc456183471"/>
      <w:bookmarkStart w:id="414" w:name="_Toc456184007"/>
      <w:bookmarkStart w:id="415" w:name="_Toc456184539"/>
      <w:bookmarkStart w:id="416" w:name="_Toc456185072"/>
      <w:bookmarkStart w:id="417" w:name="_Toc456185669"/>
      <w:bookmarkStart w:id="418" w:name="_Toc456186201"/>
      <w:bookmarkStart w:id="419" w:name="_Toc456186733"/>
      <w:bookmarkStart w:id="420" w:name="_Toc456360349"/>
      <w:bookmarkStart w:id="421" w:name="_Toc456364065"/>
      <w:bookmarkStart w:id="422" w:name="_Toc456365284"/>
      <w:bookmarkStart w:id="423" w:name="_Toc456366504"/>
      <w:bookmarkStart w:id="424" w:name="_Toc456367131"/>
      <w:bookmarkStart w:id="425" w:name="_Toc456367763"/>
      <w:bookmarkStart w:id="426" w:name="_Toc456368392"/>
      <w:bookmarkStart w:id="427" w:name="_Toc456369021"/>
      <w:bookmarkStart w:id="428" w:name="_Toc456369702"/>
      <w:bookmarkStart w:id="429" w:name="_Toc456370379"/>
      <w:bookmarkStart w:id="430" w:name="_Toc456371057"/>
      <w:bookmarkStart w:id="431" w:name="_Toc456517083"/>
      <w:bookmarkStart w:id="432" w:name="_Toc456102677"/>
      <w:bookmarkStart w:id="433" w:name="_Toc456103429"/>
      <w:bookmarkStart w:id="434" w:name="_Toc456104161"/>
      <w:bookmarkStart w:id="435" w:name="_Toc456104875"/>
      <w:bookmarkStart w:id="436" w:name="_Toc456105588"/>
      <w:bookmarkStart w:id="437" w:name="_Toc456106300"/>
      <w:bookmarkStart w:id="438" w:name="_Toc456107000"/>
      <w:bookmarkStart w:id="439" w:name="_Toc456166676"/>
      <w:bookmarkStart w:id="440" w:name="_Toc456168516"/>
      <w:bookmarkStart w:id="441" w:name="_Toc456178647"/>
      <w:bookmarkStart w:id="442" w:name="_Toc456179178"/>
      <w:bookmarkStart w:id="443" w:name="_Toc456179716"/>
      <w:bookmarkStart w:id="444" w:name="_Toc456180252"/>
      <w:bookmarkStart w:id="445" w:name="_Toc456180788"/>
      <w:bookmarkStart w:id="446" w:name="_Toc456181324"/>
      <w:bookmarkStart w:id="447" w:name="_Toc456181861"/>
      <w:bookmarkStart w:id="448" w:name="_Toc456182400"/>
      <w:bookmarkStart w:id="449" w:name="_Toc456182935"/>
      <w:bookmarkStart w:id="450" w:name="_Toc456183472"/>
      <w:bookmarkStart w:id="451" w:name="_Toc456184008"/>
      <w:bookmarkStart w:id="452" w:name="_Toc456184540"/>
      <w:bookmarkStart w:id="453" w:name="_Toc456185073"/>
      <w:bookmarkStart w:id="454" w:name="_Toc456185670"/>
      <w:bookmarkStart w:id="455" w:name="_Toc456186202"/>
      <w:bookmarkStart w:id="456" w:name="_Toc456186734"/>
      <w:bookmarkStart w:id="457" w:name="_Toc456360350"/>
      <w:bookmarkStart w:id="458" w:name="_Toc456364066"/>
      <w:bookmarkStart w:id="459" w:name="_Toc456365285"/>
      <w:bookmarkStart w:id="460" w:name="_Toc456366505"/>
      <w:bookmarkStart w:id="461" w:name="_Toc456367132"/>
      <w:bookmarkStart w:id="462" w:name="_Toc456367764"/>
      <w:bookmarkStart w:id="463" w:name="_Toc456368393"/>
      <w:bookmarkStart w:id="464" w:name="_Toc456369022"/>
      <w:bookmarkStart w:id="465" w:name="_Toc456369703"/>
      <w:bookmarkStart w:id="466" w:name="_Toc456370380"/>
      <w:bookmarkStart w:id="467" w:name="_Toc456371058"/>
      <w:bookmarkStart w:id="468" w:name="_Toc456517084"/>
      <w:bookmarkStart w:id="469" w:name="_Toc387064758"/>
      <w:bookmarkStart w:id="470" w:name="_Toc387064970"/>
      <w:bookmarkStart w:id="471" w:name="_Toc387065176"/>
      <w:bookmarkStart w:id="472" w:name="_Toc387065387"/>
      <w:bookmarkStart w:id="473" w:name="_Toc387065593"/>
      <w:bookmarkStart w:id="474" w:name="_Toc387065798"/>
      <w:bookmarkStart w:id="475" w:name="_Toc387066004"/>
      <w:bookmarkStart w:id="476" w:name="_Toc387066207"/>
      <w:bookmarkStart w:id="477" w:name="_Toc387069443"/>
      <w:bookmarkStart w:id="478" w:name="_Toc387069630"/>
      <w:bookmarkStart w:id="479" w:name="_Toc387069839"/>
      <w:bookmarkStart w:id="480" w:name="_Toc387070038"/>
      <w:bookmarkStart w:id="481" w:name="_Toc387072303"/>
      <w:bookmarkStart w:id="482" w:name="_Toc387072514"/>
      <w:bookmarkStart w:id="483" w:name="_Toc387392542"/>
      <w:bookmarkStart w:id="484" w:name="_Toc256000335"/>
      <w:bookmarkStart w:id="485" w:name="_Toc256000227"/>
      <w:bookmarkStart w:id="486" w:name="_Toc256000119"/>
      <w:bookmarkStart w:id="487" w:name="_Toc256000011"/>
      <w:bookmarkStart w:id="488" w:name="_Toc45817051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t>Policy and Statutory Authority to cost recover</w:t>
      </w:r>
      <w:bookmarkEnd w:id="484"/>
      <w:bookmarkEnd w:id="485"/>
      <w:bookmarkEnd w:id="486"/>
      <w:bookmarkEnd w:id="487"/>
      <w:bookmarkEnd w:id="488"/>
      <w:r>
        <w:t xml:space="preserve"> </w:t>
      </w:r>
    </w:p>
    <w:p w:rsidR="001A641D" w:rsidRPr="00092B60" w:rsidRDefault="007E5C0A" w:rsidP="001A641D">
      <w:pPr>
        <w:pStyle w:val="Heading3"/>
        <w:ind w:left="0" w:firstLine="0"/>
      </w:pPr>
      <w:bookmarkStart w:id="489" w:name="_Toc256000336"/>
      <w:bookmarkStart w:id="490" w:name="_Toc256000228"/>
      <w:bookmarkStart w:id="491" w:name="_Toc256000120"/>
      <w:bookmarkStart w:id="492" w:name="_Toc256000012"/>
      <w:bookmarkStart w:id="493" w:name="_Toc458170517"/>
      <w:r w:rsidRPr="00092B60">
        <w:t>Government policy approval to cost recover</w:t>
      </w:r>
      <w:bookmarkEnd w:id="489"/>
      <w:bookmarkEnd w:id="490"/>
      <w:bookmarkEnd w:id="491"/>
      <w:bookmarkEnd w:id="492"/>
      <w:bookmarkEnd w:id="493"/>
      <w:r w:rsidRPr="00092B60">
        <w:t xml:space="preserve"> </w:t>
      </w:r>
    </w:p>
    <w:p w:rsidR="001A641D" w:rsidRDefault="007E5C0A" w:rsidP="001A641D">
      <w:pPr>
        <w:rPr>
          <w:highlight w:val="yellow"/>
        </w:rPr>
      </w:pPr>
      <w:r w:rsidRPr="000B6B7E">
        <w:t>The Australian Government</w:t>
      </w:r>
      <w:r>
        <w:t xml:space="preserve"> announced in the 2012-13 Budget</w:t>
      </w:r>
      <w:r>
        <w:rPr>
          <w:rStyle w:val="FootnoteReference"/>
        </w:rPr>
        <w:footnoteReference w:id="4"/>
      </w:r>
      <w:r>
        <w:t xml:space="preserve"> the implementation of full </w:t>
      </w:r>
      <w:r w:rsidRPr="000B6B7E">
        <w:t>cost recover</w:t>
      </w:r>
      <w:r>
        <w:t>y for</w:t>
      </w:r>
      <w:r w:rsidRPr="000B6B7E">
        <w:t xml:space="preserve"> environmental assessments under the EPBC Act </w:t>
      </w:r>
      <w:r>
        <w:t>from December 2012. In the 2013</w:t>
      </w:r>
      <w:r>
        <w:noBreakHyphen/>
        <w:t>14 Budget</w:t>
      </w:r>
      <w:r>
        <w:rPr>
          <w:rStyle w:val="FootnoteReference"/>
        </w:rPr>
        <w:footnoteReference w:id="5"/>
      </w:r>
      <w:r>
        <w:t xml:space="preserve"> the introduction of cost recovery under the EPBC Act was deferred from 1 December 2012 to 1 July 2014. Cost recovery commenced on 1 October 2014.</w:t>
      </w:r>
    </w:p>
    <w:p w:rsidR="001A641D" w:rsidRDefault="007E5C0A" w:rsidP="001A641D">
      <w:pPr>
        <w:pStyle w:val="Heading3"/>
        <w:ind w:left="0" w:firstLine="0"/>
      </w:pPr>
      <w:bookmarkStart w:id="494" w:name="_Toc256000337"/>
      <w:bookmarkStart w:id="495" w:name="_Toc256000229"/>
      <w:bookmarkStart w:id="496" w:name="_Toc256000121"/>
      <w:bookmarkStart w:id="497" w:name="_Toc256000013"/>
      <w:bookmarkStart w:id="498" w:name="_Toc458170518"/>
      <w:r>
        <w:t>Statutory authority to impose cost recovery charges</w:t>
      </w:r>
      <w:bookmarkEnd w:id="494"/>
      <w:bookmarkEnd w:id="495"/>
      <w:bookmarkEnd w:id="496"/>
      <w:bookmarkEnd w:id="497"/>
      <w:bookmarkEnd w:id="498"/>
    </w:p>
    <w:p w:rsidR="001A641D" w:rsidRDefault="007E5C0A" w:rsidP="001A641D">
      <w:r>
        <w:t>It was necessary to make a</w:t>
      </w:r>
      <w:r w:rsidRPr="00FC12C4">
        <w:t xml:space="preserve">mendments to the EPBC Act and </w:t>
      </w:r>
      <w:r>
        <w:t>R</w:t>
      </w:r>
      <w:r w:rsidRPr="00FC12C4">
        <w:t xml:space="preserve">egulations </w:t>
      </w:r>
      <w:r>
        <w:t>in order to introduce cost recovery for environmental assessments under the EPBC Act</w:t>
      </w:r>
      <w:r w:rsidRPr="00730CD7">
        <w:t>.</w:t>
      </w:r>
      <w:r>
        <w:t xml:space="preserve"> The </w:t>
      </w:r>
      <w:r w:rsidRPr="008815AA">
        <w:rPr>
          <w:i/>
        </w:rPr>
        <w:t>Environment Protection and Biodiversity Conservation Amendment (Cost Recovery) Act 2014</w:t>
      </w:r>
      <w:r>
        <w:t xml:space="preserve"> (Cth) received Royal Assent on 30 June 2014. T</w:t>
      </w:r>
      <w:r w:rsidRPr="00730CD7">
        <w:t xml:space="preserve">he </w:t>
      </w:r>
      <w:r w:rsidRPr="008815AA">
        <w:rPr>
          <w:i/>
        </w:rPr>
        <w:t>Environment Protection and Biodiversity Conservation Amendment (Cost Recovery) Regulation 2014</w:t>
      </w:r>
      <w:r>
        <w:t xml:space="preserve"> (Cth) was </w:t>
      </w:r>
      <w:r>
        <w:rPr>
          <w:color w:val="000000"/>
        </w:rPr>
        <w:t>registered on the Federal Register of Legislative Instruments on 9 September 2014</w:t>
      </w:r>
      <w:r w:rsidRPr="00CA3ABF">
        <w:t>.</w:t>
      </w:r>
      <w:r>
        <w:t xml:space="preserve"> </w:t>
      </w:r>
    </w:p>
    <w:p w:rsidR="001A641D" w:rsidRDefault="007E5C0A" w:rsidP="001A641D">
      <w:r>
        <w:t>The amendments to the EPBC Act enabled the Minister to determine fees for environmental assessments, including strategic assessments. The Regulations provide for cost recovery fees consistent with the arrangements set out in this CRIS.</w:t>
      </w:r>
    </w:p>
    <w:p w:rsidR="001A641D" w:rsidRDefault="007E5C0A" w:rsidP="001A641D">
      <w:pPr>
        <w:tabs>
          <w:tab w:val="left" w:pos="1701"/>
        </w:tabs>
      </w:pPr>
      <w:r w:rsidRPr="00FC12C4">
        <w:t xml:space="preserve">The </w:t>
      </w:r>
      <w:r>
        <w:t>R</w:t>
      </w:r>
      <w:r w:rsidRPr="00FC12C4">
        <w:t>egulations</w:t>
      </w:r>
      <w:r>
        <w:t xml:space="preserve"> </w:t>
      </w:r>
      <w:r w:rsidRPr="00FC12C4">
        <w:t>include</w:t>
      </w:r>
      <w:r>
        <w:t>d:</w:t>
      </w:r>
      <w:r w:rsidRPr="00FC12C4">
        <w:t xml:space="preserve"> </w:t>
      </w:r>
    </w:p>
    <w:p w:rsidR="001A641D" w:rsidRDefault="007E5C0A">
      <w:pPr>
        <w:pStyle w:val="ListBullet"/>
      </w:pPr>
      <w:r>
        <w:t>t</w:t>
      </w:r>
      <w:r w:rsidRPr="00FC12C4">
        <w:t>he commencement date</w:t>
      </w:r>
      <w:r>
        <w:t xml:space="preserve"> of 1 October 2014</w:t>
      </w:r>
      <w:r w:rsidRPr="00FC12C4">
        <w:t xml:space="preserve"> for </w:t>
      </w:r>
      <w:r>
        <w:t>the new</w:t>
      </w:r>
      <w:r w:rsidRPr="00FC12C4">
        <w:t xml:space="preserve"> cost recovery charges</w:t>
      </w:r>
      <w:r>
        <w:t>;</w:t>
      </w:r>
    </w:p>
    <w:p w:rsidR="001A641D" w:rsidRDefault="007E5C0A">
      <w:pPr>
        <w:pStyle w:val="ListBullet"/>
      </w:pPr>
      <w:r>
        <w:t>t</w:t>
      </w:r>
      <w:r w:rsidRPr="00FC12C4">
        <w:t>he requirement for full payment of relevant fees as part of statutory processes</w:t>
      </w:r>
      <w:r>
        <w:t>;</w:t>
      </w:r>
    </w:p>
    <w:p w:rsidR="001A641D" w:rsidRDefault="007E5C0A">
      <w:pPr>
        <w:pStyle w:val="ListBullet"/>
      </w:pPr>
      <w:r>
        <w:t>methods for calculating fees;</w:t>
      </w:r>
    </w:p>
    <w:p w:rsidR="001A641D" w:rsidRDefault="007E5C0A">
      <w:pPr>
        <w:pStyle w:val="ListBullet"/>
      </w:pPr>
      <w:r>
        <w:t>requirements as to the timing of fee payments; and</w:t>
      </w:r>
    </w:p>
    <w:p w:rsidR="001A641D" w:rsidRDefault="007E5C0A">
      <w:pPr>
        <w:pStyle w:val="ListBullet"/>
      </w:pPr>
      <w:r>
        <w:t>provision for</w:t>
      </w:r>
      <w:r w:rsidRPr="008558EB">
        <w:t xml:space="preserve"> exemptions</w:t>
      </w:r>
      <w:r>
        <w:t>,</w:t>
      </w:r>
      <w:r w:rsidRPr="008558EB">
        <w:t xml:space="preserve"> waivers</w:t>
      </w:r>
      <w:r>
        <w:t xml:space="preserve"> and refunds.</w:t>
      </w:r>
      <w:r w:rsidRPr="008558EB">
        <w:t xml:space="preserve"> </w:t>
      </w:r>
    </w:p>
    <w:p w:rsidR="001A641D" w:rsidRDefault="007E5C0A" w:rsidP="001A641D">
      <w:pPr>
        <w:pStyle w:val="ListBullet"/>
        <w:numPr>
          <w:ilvl w:val="0"/>
          <w:numId w:val="0"/>
        </w:numPr>
      </w:pPr>
      <w:bookmarkStart w:id="499" w:name="_Toc387064763"/>
      <w:bookmarkStart w:id="500" w:name="_Toc387064975"/>
      <w:bookmarkStart w:id="501" w:name="_Toc387065181"/>
      <w:bookmarkStart w:id="502" w:name="_Toc387065392"/>
      <w:bookmarkStart w:id="503" w:name="_Toc387065598"/>
      <w:bookmarkStart w:id="504" w:name="_Toc387065803"/>
      <w:bookmarkStart w:id="505" w:name="_Toc387066009"/>
      <w:bookmarkStart w:id="506" w:name="_Toc387066212"/>
      <w:bookmarkStart w:id="507" w:name="_Toc387069448"/>
      <w:bookmarkStart w:id="508" w:name="_Toc387069635"/>
      <w:bookmarkStart w:id="509" w:name="_Toc387069844"/>
      <w:bookmarkStart w:id="510" w:name="_Toc387070043"/>
      <w:bookmarkStart w:id="511" w:name="_Toc387072308"/>
      <w:bookmarkStart w:id="512" w:name="_Toc387072519"/>
      <w:bookmarkStart w:id="513" w:name="_Toc387392547"/>
      <w:bookmarkStart w:id="514" w:name="_Toc343850251"/>
      <w:bookmarkStart w:id="515" w:name="_Toc344895143"/>
      <w:bookmarkStart w:id="516" w:name="_Toc34628531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t xml:space="preserve">An amendment to the Regulations will be necessary to give effect to the altered arrangements and changed fees </w:t>
      </w:r>
      <w:r w:rsidRPr="00DD7C8D">
        <w:t xml:space="preserve">discussed at section </w:t>
      </w:r>
      <w:r w:rsidR="00FF3730">
        <w:fldChar w:fldCharType="begin"/>
      </w:r>
      <w:r w:rsidR="00FF3730">
        <w:instrText xml:space="preserve"> REF _Ref457987306 \r \h  \* MERGEFORMAT </w:instrText>
      </w:r>
      <w:r w:rsidR="00FF3730">
        <w:fldChar w:fldCharType="separate"/>
      </w:r>
      <w:r w:rsidR="00FF3730">
        <w:t>6.1</w:t>
      </w:r>
      <w:r w:rsidR="00FF3730">
        <w:fldChar w:fldCharType="end"/>
      </w:r>
      <w:r w:rsidRPr="00DD7C8D">
        <w:t xml:space="preserve"> and outlined</w:t>
      </w:r>
      <w:r>
        <w:t xml:space="preserve"> in this CRIS. A copy of the current EPBC Act and Regulations can be found at </w:t>
      </w:r>
      <w:hyperlink r:id="rId21" w:history="1">
        <w:r w:rsidRPr="00FE5FB2">
          <w:rPr>
            <w:rStyle w:val="Hyperlink"/>
            <w:color w:val="0000FF"/>
            <w:u w:val="single"/>
          </w:rPr>
          <w:t>www.legislation.gov.au</w:t>
        </w:r>
      </w:hyperlink>
      <w:r w:rsidRPr="004D3246">
        <w:rPr>
          <w:color w:val="0070C0"/>
        </w:rPr>
        <w:t>.</w:t>
      </w:r>
      <w:r>
        <w:t xml:space="preserve"> </w:t>
      </w:r>
    </w:p>
    <w:p w:rsidR="001A641D" w:rsidRDefault="007E5C0A" w:rsidP="001A641D">
      <w:pPr>
        <w:pStyle w:val="Heading3"/>
        <w:ind w:left="0" w:firstLine="0"/>
      </w:pPr>
      <w:bookmarkStart w:id="517" w:name="_Toc256000338"/>
      <w:bookmarkStart w:id="518" w:name="_Toc256000230"/>
      <w:bookmarkStart w:id="519" w:name="_Toc256000122"/>
      <w:bookmarkStart w:id="520" w:name="_Toc256000014"/>
      <w:bookmarkStart w:id="521" w:name="_Toc458170519"/>
      <w:r>
        <w:t xml:space="preserve">Commencement </w:t>
      </w:r>
      <w:r w:rsidRPr="00FC12C4">
        <w:t xml:space="preserve">of </w:t>
      </w:r>
      <w:r>
        <w:t>charging</w:t>
      </w:r>
      <w:bookmarkEnd w:id="514"/>
      <w:bookmarkEnd w:id="515"/>
      <w:bookmarkEnd w:id="516"/>
      <w:bookmarkEnd w:id="517"/>
      <w:bookmarkEnd w:id="518"/>
      <w:bookmarkEnd w:id="519"/>
      <w:bookmarkEnd w:id="520"/>
      <w:bookmarkEnd w:id="521"/>
    </w:p>
    <w:p w:rsidR="001A641D" w:rsidRDefault="007E5C0A" w:rsidP="001A641D">
      <w:r>
        <w:t>Cost recovery for environmental impact assessments commenced on 1 October 2014.</w:t>
      </w:r>
    </w:p>
    <w:p w:rsidR="001A641D" w:rsidRDefault="007E5C0A" w:rsidP="001A641D">
      <w:r w:rsidRPr="00FC12C4">
        <w:t xml:space="preserve">Any </w:t>
      </w:r>
      <w:r>
        <w:t xml:space="preserve">person who referred a </w:t>
      </w:r>
      <w:r w:rsidRPr="00FC12C4">
        <w:t xml:space="preserve">proposed action to the </w:t>
      </w:r>
      <w:r>
        <w:t xml:space="preserve">Department on </w:t>
      </w:r>
      <w:r w:rsidRPr="00DB38CC">
        <w:t xml:space="preserve">or after </w:t>
      </w:r>
      <w:r w:rsidRPr="00D61B8B">
        <w:rPr>
          <w:iCs/>
        </w:rPr>
        <w:t>14 May 2014</w:t>
      </w:r>
      <w:r w:rsidRPr="00DB38CC">
        <w:t xml:space="preserve"> </w:t>
      </w:r>
      <w:r>
        <w:t>is</w:t>
      </w:r>
      <w:r w:rsidRPr="00FC12C4">
        <w:t xml:space="preserve"> liable for </w:t>
      </w:r>
      <w:r>
        <w:t xml:space="preserve">payment of </w:t>
      </w:r>
      <w:r w:rsidRPr="00FC12C4">
        <w:t>relevant fees</w:t>
      </w:r>
      <w:r>
        <w:t>,</w:t>
      </w:r>
      <w:r w:rsidRPr="00FC12C4">
        <w:t xml:space="preserve"> </w:t>
      </w:r>
      <w:r>
        <w:t xml:space="preserve">as detailed </w:t>
      </w:r>
      <w:r w:rsidRPr="00DD7C8D">
        <w:t xml:space="preserve">in Section </w:t>
      </w:r>
      <w:r w:rsidR="00FF3730">
        <w:fldChar w:fldCharType="begin"/>
      </w:r>
      <w:r w:rsidR="00FF3730">
        <w:instrText xml:space="preserve"> REF _Ref458075076 \r \h  \* MERGEFORMAT </w:instrText>
      </w:r>
      <w:r w:rsidR="00FF3730">
        <w:fldChar w:fldCharType="separate"/>
      </w:r>
      <w:r w:rsidR="00FF3730">
        <w:t>3</w:t>
      </w:r>
      <w:r w:rsidR="00FF3730">
        <w:fldChar w:fldCharType="end"/>
      </w:r>
      <w:r w:rsidRPr="00DD7C8D">
        <w:t xml:space="preserve"> of this</w:t>
      </w:r>
      <w:r>
        <w:t xml:space="preserve"> CRIS, for any assessment activities conducted by the Department </w:t>
      </w:r>
      <w:r w:rsidRPr="00FC12C4">
        <w:t xml:space="preserve">on or after </w:t>
      </w:r>
      <w:r>
        <w:t>1 October 2014</w:t>
      </w:r>
      <w:r w:rsidRPr="00FC12C4">
        <w:t>.</w:t>
      </w:r>
    </w:p>
    <w:p w:rsidR="001A641D" w:rsidRPr="001D2957" w:rsidRDefault="007E5C0A" w:rsidP="001A641D">
      <w:pPr>
        <w:rPr>
          <w:iCs/>
          <w:highlight w:val="yellow"/>
        </w:rPr>
      </w:pPr>
      <w:r w:rsidRPr="00206F14">
        <w:t xml:space="preserve">Any </w:t>
      </w:r>
      <w:r>
        <w:t>proposed action</w:t>
      </w:r>
      <w:r w:rsidRPr="00206F14">
        <w:t xml:space="preserve"> referred prior to </w:t>
      </w:r>
      <w:r w:rsidRPr="00D61B8B">
        <w:rPr>
          <w:iCs/>
        </w:rPr>
        <w:t>14 May 2014</w:t>
      </w:r>
      <w:r>
        <w:rPr>
          <w:iCs/>
        </w:rPr>
        <w:t xml:space="preserve"> </w:t>
      </w:r>
      <w:r>
        <w:t xml:space="preserve">is </w:t>
      </w:r>
      <w:r w:rsidRPr="00206F14">
        <w:t xml:space="preserve">not </w:t>
      </w:r>
      <w:r w:rsidRPr="00FC12C4">
        <w:t xml:space="preserve">subject to </w:t>
      </w:r>
      <w:r>
        <w:t>fees at any stage in the assessment of the action</w:t>
      </w:r>
      <w:r w:rsidRPr="00FC12C4">
        <w:t>.</w:t>
      </w:r>
    </w:p>
    <w:p w:rsidR="001A641D" w:rsidRDefault="007E5C0A" w:rsidP="001A641D">
      <w:pPr>
        <w:pStyle w:val="Heading3"/>
        <w:ind w:left="0" w:firstLine="0"/>
      </w:pPr>
      <w:bookmarkStart w:id="522" w:name="_Toc256000339"/>
      <w:bookmarkStart w:id="523" w:name="_Toc256000231"/>
      <w:bookmarkStart w:id="524" w:name="_Toc256000123"/>
      <w:bookmarkStart w:id="525" w:name="_Toc256000015"/>
      <w:bookmarkStart w:id="526" w:name="_Toc458170520"/>
      <w:bookmarkStart w:id="527" w:name="_Toc344895144"/>
      <w:bookmarkStart w:id="528" w:name="_Toc346285319"/>
      <w:r>
        <w:t>Transitional arrangements for amended cost recovery arrangements</w:t>
      </w:r>
      <w:bookmarkEnd w:id="522"/>
      <w:bookmarkEnd w:id="523"/>
      <w:bookmarkEnd w:id="524"/>
      <w:bookmarkEnd w:id="525"/>
      <w:bookmarkEnd w:id="526"/>
    </w:p>
    <w:p w:rsidR="001A641D" w:rsidRDefault="007E5C0A" w:rsidP="001A641D">
      <w:r>
        <w:t>The amended cost recovery arrangements set out in this CRIS will come into effect as of the commencement date specified in the amended Regulations. The new fees will apply to all cost recovered activities, including upcoming stages of existing assessments, that commence from this date.</w:t>
      </w:r>
    </w:p>
    <w:p w:rsidR="001A641D" w:rsidRDefault="007E5C0A" w:rsidP="001A641D">
      <w:r>
        <w:t>To facilitate this transition, upon commencement of the new arrangements, all applicants with an active assessment, where a fee schedule has been provided and one or more cost recovery stages are yet to be paid, will be provided with an updated fee schedule setting out the fees for the remaining stages of their assessment under the new fee arrangements. These revised fees will become payable at the relevant stages of the assessment.</w:t>
      </w:r>
    </w:p>
    <w:p w:rsidR="001A641D" w:rsidRDefault="007E5C0A" w:rsidP="001A641D">
      <w:r>
        <w:t>Fees included in the revised fee schedules may be adjusted, at the Minister’s discretion, for any applicants whose remaining fees have increased under the new arrangements. Although overall project fees will generally reduce as a result of these changes, there may be some instances where changes to the proportion of fees payable at different stages could result in fees for the remaining stages increasing beyond the original fee schedule. In these cases an adjustment may be appropriate.</w:t>
      </w:r>
    </w:p>
    <w:p w:rsidR="001A641D" w:rsidRPr="001E42F8" w:rsidRDefault="007E5C0A" w:rsidP="001A641D">
      <w:r>
        <w:t>There will be no adjustments for payments made prior to the commencement date, even if the relevant assessment process is still underway.</w:t>
      </w:r>
    </w:p>
    <w:p w:rsidR="001A641D" w:rsidRDefault="007E5C0A">
      <w:pPr>
        <w:spacing w:after="0" w:line="240" w:lineRule="auto"/>
        <w:rPr>
          <w:rFonts w:cs="Arial"/>
          <w:b/>
        </w:rPr>
      </w:pPr>
      <w:bookmarkStart w:id="529" w:name="_Ref387066384"/>
      <w:bookmarkStart w:id="530" w:name="_Ref457912575"/>
      <w:bookmarkStart w:id="531" w:name="_Ref457912655"/>
      <w:bookmarkStart w:id="532" w:name="_Ref457912945"/>
      <w:bookmarkEnd w:id="527"/>
      <w:bookmarkEnd w:id="528"/>
      <w:r>
        <w:br w:type="page"/>
      </w:r>
    </w:p>
    <w:p w:rsidR="001A641D" w:rsidRDefault="007E5C0A" w:rsidP="001A641D">
      <w:pPr>
        <w:pStyle w:val="Heading1"/>
      </w:pPr>
      <w:bookmarkStart w:id="533" w:name="_Toc256000340"/>
      <w:bookmarkStart w:id="534" w:name="_Toc256000232"/>
      <w:bookmarkStart w:id="535" w:name="_Toc256000124"/>
      <w:bookmarkStart w:id="536" w:name="_Toc256000016"/>
      <w:bookmarkStart w:id="537" w:name="_Ref458074973"/>
      <w:bookmarkStart w:id="538" w:name="_Ref458074974"/>
      <w:bookmarkStart w:id="539" w:name="_Ref458075076"/>
      <w:bookmarkStart w:id="540" w:name="_Toc458170521"/>
      <w:r w:rsidRPr="007C02B8">
        <w:t>COST RECOVERY MODEL</w:t>
      </w:r>
      <w:bookmarkEnd w:id="529"/>
      <w:r>
        <w:t xml:space="preserve"> FOR ENVIRONMENTAL IMPACT ASSESSMENTS</w:t>
      </w:r>
      <w:bookmarkEnd w:id="530"/>
      <w:bookmarkEnd w:id="531"/>
      <w:bookmarkEnd w:id="532"/>
      <w:bookmarkEnd w:id="533"/>
      <w:bookmarkEnd w:id="534"/>
      <w:bookmarkEnd w:id="535"/>
      <w:bookmarkEnd w:id="536"/>
      <w:bookmarkEnd w:id="537"/>
      <w:bookmarkEnd w:id="538"/>
      <w:bookmarkEnd w:id="539"/>
      <w:bookmarkEnd w:id="540"/>
    </w:p>
    <w:p w:rsidR="001A641D" w:rsidRPr="00F73342" w:rsidRDefault="007E5C0A" w:rsidP="001A641D">
      <w:pPr>
        <w:autoSpaceDE w:val="0"/>
        <w:autoSpaceDN w:val="0"/>
        <w:adjustRightInd w:val="0"/>
        <w:rPr>
          <w:lang w:eastAsia="en-AU"/>
        </w:rPr>
      </w:pPr>
      <w:r w:rsidRPr="00F73342">
        <w:rPr>
          <w:lang w:eastAsia="en-AU"/>
        </w:rPr>
        <w:t xml:space="preserve">The cost recovery model for </w:t>
      </w:r>
      <w:r>
        <w:rPr>
          <w:lang w:eastAsia="en-AU"/>
        </w:rPr>
        <w:t>environmental impact assessments</w:t>
      </w:r>
      <w:r w:rsidRPr="00F73342">
        <w:rPr>
          <w:lang w:eastAsia="en-AU"/>
        </w:rPr>
        <w:t xml:space="preserve"> in this </w:t>
      </w:r>
      <w:r>
        <w:rPr>
          <w:lang w:eastAsia="en-AU"/>
        </w:rPr>
        <w:t>section</w:t>
      </w:r>
      <w:r w:rsidRPr="00F73342">
        <w:rPr>
          <w:lang w:eastAsia="en-AU"/>
        </w:rPr>
        <w:t xml:space="preserve"> relates to</w:t>
      </w:r>
      <w:r>
        <w:rPr>
          <w:lang w:eastAsia="en-AU"/>
        </w:rPr>
        <w:t xml:space="preserve"> the following functions </w:t>
      </w:r>
      <w:r w:rsidRPr="00F73342">
        <w:rPr>
          <w:lang w:eastAsia="en-AU"/>
        </w:rPr>
        <w:t>under Chapter 4 of the EPBC Act</w:t>
      </w:r>
      <w:r>
        <w:rPr>
          <w:lang w:eastAsia="en-AU"/>
        </w:rPr>
        <w:t>:</w:t>
      </w:r>
    </w:p>
    <w:p w:rsidR="001A641D" w:rsidRDefault="007E5C0A" w:rsidP="001A641D">
      <w:pPr>
        <w:pStyle w:val="ListBullet"/>
        <w:rPr>
          <w:lang w:eastAsia="en-AU"/>
        </w:rPr>
      </w:pPr>
      <w:r>
        <w:rPr>
          <w:lang w:eastAsia="en-AU"/>
        </w:rPr>
        <w:t>r</w:t>
      </w:r>
      <w:r w:rsidRPr="00DB2E42">
        <w:rPr>
          <w:lang w:eastAsia="en-AU"/>
        </w:rPr>
        <w:t>eferrals</w:t>
      </w:r>
      <w:r>
        <w:rPr>
          <w:lang w:eastAsia="en-AU"/>
        </w:rPr>
        <w:t>;</w:t>
      </w:r>
    </w:p>
    <w:p w:rsidR="001A641D" w:rsidRDefault="007E5C0A" w:rsidP="001A641D">
      <w:pPr>
        <w:pStyle w:val="ListBullet"/>
        <w:rPr>
          <w:lang w:eastAsia="en-AU"/>
        </w:rPr>
      </w:pPr>
      <w:r>
        <w:rPr>
          <w:lang w:eastAsia="en-AU"/>
        </w:rPr>
        <w:t>assessment</w:t>
      </w:r>
      <w:r w:rsidRPr="00DB2E42">
        <w:rPr>
          <w:lang w:eastAsia="en-AU"/>
        </w:rPr>
        <w:t xml:space="preserve"> on referral information</w:t>
      </w:r>
      <w:r>
        <w:rPr>
          <w:lang w:eastAsia="en-AU"/>
        </w:rPr>
        <w:t>;</w:t>
      </w:r>
    </w:p>
    <w:p w:rsidR="001A641D" w:rsidRDefault="007E5C0A" w:rsidP="001A641D">
      <w:pPr>
        <w:pStyle w:val="ListBullet"/>
        <w:rPr>
          <w:lang w:eastAsia="en-AU"/>
        </w:rPr>
      </w:pPr>
      <w:r>
        <w:rPr>
          <w:lang w:eastAsia="en-AU"/>
        </w:rPr>
        <w:t>a</w:t>
      </w:r>
      <w:r w:rsidRPr="00DB2E42">
        <w:rPr>
          <w:lang w:eastAsia="en-AU"/>
        </w:rPr>
        <w:t xml:space="preserve">ssessments </w:t>
      </w:r>
      <w:r>
        <w:rPr>
          <w:lang w:eastAsia="en-AU"/>
        </w:rPr>
        <w:t>on</w:t>
      </w:r>
      <w:r w:rsidRPr="00DB2E42">
        <w:rPr>
          <w:lang w:eastAsia="en-AU"/>
        </w:rPr>
        <w:t xml:space="preserve"> preliminary documentation</w:t>
      </w:r>
      <w:r>
        <w:rPr>
          <w:lang w:eastAsia="en-AU"/>
        </w:rPr>
        <w:t>;</w:t>
      </w:r>
    </w:p>
    <w:p w:rsidR="001A641D" w:rsidRDefault="007E5C0A">
      <w:pPr>
        <w:pStyle w:val="ListBullet"/>
        <w:rPr>
          <w:lang w:eastAsia="en-AU"/>
        </w:rPr>
      </w:pPr>
      <w:r>
        <w:rPr>
          <w:lang w:eastAsia="en-AU"/>
        </w:rPr>
        <w:t>assessments by public environment report;</w:t>
      </w:r>
    </w:p>
    <w:p w:rsidR="001A641D" w:rsidRDefault="007E5C0A">
      <w:pPr>
        <w:pStyle w:val="ListBullet"/>
        <w:rPr>
          <w:lang w:eastAsia="en-AU"/>
        </w:rPr>
      </w:pPr>
      <w:r>
        <w:rPr>
          <w:lang w:eastAsia="en-AU"/>
        </w:rPr>
        <w:t>a</w:t>
      </w:r>
      <w:r w:rsidRPr="00DB2E42">
        <w:rPr>
          <w:lang w:eastAsia="en-AU"/>
        </w:rPr>
        <w:t>ssessments by environmental impact statement</w:t>
      </w:r>
      <w:r>
        <w:rPr>
          <w:lang w:eastAsia="en-AU"/>
        </w:rPr>
        <w:t>;</w:t>
      </w:r>
    </w:p>
    <w:p w:rsidR="001A641D" w:rsidRDefault="007E5C0A">
      <w:pPr>
        <w:pStyle w:val="ListBullet"/>
        <w:rPr>
          <w:lang w:eastAsia="en-AU"/>
        </w:rPr>
      </w:pPr>
      <w:r>
        <w:rPr>
          <w:lang w:eastAsia="en-AU"/>
        </w:rPr>
        <w:t>a</w:t>
      </w:r>
      <w:r w:rsidRPr="00DB2E42">
        <w:rPr>
          <w:lang w:eastAsia="en-AU"/>
        </w:rPr>
        <w:t xml:space="preserve">ssessments under </w:t>
      </w:r>
      <w:r>
        <w:rPr>
          <w:lang w:eastAsia="en-AU"/>
        </w:rPr>
        <w:t xml:space="preserve">a </w:t>
      </w:r>
      <w:r w:rsidRPr="00DB2E42">
        <w:rPr>
          <w:lang w:eastAsia="en-AU"/>
        </w:rPr>
        <w:t>bilateral agreement or accredited assessment process</w:t>
      </w:r>
      <w:r>
        <w:rPr>
          <w:lang w:eastAsia="en-AU"/>
        </w:rPr>
        <w:t>;</w:t>
      </w:r>
    </w:p>
    <w:p w:rsidR="001A641D" w:rsidRDefault="007E5C0A">
      <w:pPr>
        <w:pStyle w:val="ListBullet"/>
        <w:rPr>
          <w:lang w:eastAsia="en-AU"/>
        </w:rPr>
      </w:pPr>
      <w:r>
        <w:rPr>
          <w:lang w:eastAsia="en-AU"/>
        </w:rPr>
        <w:t>assessments by public inquiry; and</w:t>
      </w:r>
    </w:p>
    <w:p w:rsidR="001A641D" w:rsidRPr="009F65E0" w:rsidRDefault="007E5C0A">
      <w:pPr>
        <w:pStyle w:val="ListBullet"/>
        <w:rPr>
          <w:lang w:eastAsia="en-AU"/>
        </w:rPr>
      </w:pPr>
      <w:r>
        <w:rPr>
          <w:lang w:eastAsia="en-AU"/>
        </w:rPr>
        <w:t xml:space="preserve">post approval activities, including evaluation of action management plans.  </w:t>
      </w:r>
    </w:p>
    <w:p w:rsidR="001A641D" w:rsidRDefault="00FF3730">
      <w:pPr>
        <w:rPr>
          <w:lang w:val="en-US"/>
        </w:rPr>
      </w:pPr>
      <w:r>
        <w:fldChar w:fldCharType="begin"/>
      </w:r>
      <w:r>
        <w:instrText xml:space="preserve"> REF _Ref457912966 \h  \* MERGEFORMAT </w:instrText>
      </w:r>
      <w:r>
        <w:fldChar w:fldCharType="separate"/>
      </w:r>
      <w:r>
        <w:t>Figure 3</w:t>
      </w:r>
      <w:r>
        <w:fldChar w:fldCharType="end"/>
      </w:r>
      <w:r w:rsidR="007E5C0A" w:rsidRPr="00DD7C8D">
        <w:rPr>
          <w:lang w:val="en-US"/>
        </w:rPr>
        <w:t xml:space="preserve"> below</w:t>
      </w:r>
      <w:r w:rsidR="007E5C0A">
        <w:rPr>
          <w:lang w:val="en-US"/>
        </w:rPr>
        <w:t xml:space="preserve"> provides an outline of t</w:t>
      </w:r>
      <w:r w:rsidR="007E5C0A" w:rsidRPr="00DB2E42">
        <w:rPr>
          <w:lang w:val="en-US"/>
        </w:rPr>
        <w:t xml:space="preserve">he </w:t>
      </w:r>
      <w:r w:rsidR="007E5C0A">
        <w:rPr>
          <w:lang w:val="en-US"/>
        </w:rPr>
        <w:t>environmental impact assessment</w:t>
      </w:r>
      <w:r w:rsidR="007E5C0A" w:rsidRPr="00DB2E42">
        <w:rPr>
          <w:lang w:val="en-US"/>
        </w:rPr>
        <w:t xml:space="preserve"> process</w:t>
      </w:r>
      <w:r w:rsidR="007E5C0A">
        <w:rPr>
          <w:lang w:val="en-US"/>
        </w:rPr>
        <w:t xml:space="preserve"> under the EPBC Act,</w:t>
      </w:r>
      <w:r w:rsidR="007E5C0A" w:rsidRPr="00DB2E42">
        <w:rPr>
          <w:lang w:val="en-US"/>
        </w:rPr>
        <w:t xml:space="preserve"> </w:t>
      </w:r>
      <w:r w:rsidR="007E5C0A">
        <w:rPr>
          <w:lang w:val="en-US"/>
        </w:rPr>
        <w:t>including the v</w:t>
      </w:r>
      <w:r w:rsidR="007E5C0A" w:rsidRPr="00DB2E42">
        <w:rPr>
          <w:lang w:val="en-US"/>
        </w:rPr>
        <w:t xml:space="preserve">arious assessment methods </w:t>
      </w:r>
      <w:r w:rsidR="007E5C0A">
        <w:rPr>
          <w:lang w:val="en-US"/>
        </w:rPr>
        <w:t xml:space="preserve">available. </w:t>
      </w:r>
    </w:p>
    <w:p w:rsidR="001A641D" w:rsidRDefault="007E5C0A" w:rsidP="001A641D">
      <w:pPr>
        <w:keepNext/>
      </w:pPr>
      <w:r w:rsidRPr="00C94A25">
        <w:t xml:space="preserve"> </w:t>
      </w:r>
      <w:r>
        <w:rPr>
          <w:noProof/>
          <w:lang w:eastAsia="en-AU"/>
        </w:rPr>
        <w:drawing>
          <wp:inline distT="0" distB="0" distL="0" distR="0">
            <wp:extent cx="6031230" cy="3854846"/>
            <wp:effectExtent l="19050" t="0" r="762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2" cstate="print"/>
                    <a:stretch>
                      <a:fillRect/>
                    </a:stretch>
                  </pic:blipFill>
                  <pic:spPr bwMode="auto">
                    <a:xfrm>
                      <a:off x="0" y="0"/>
                      <a:ext cx="6031230" cy="3854846"/>
                    </a:xfrm>
                    <a:prstGeom prst="rect">
                      <a:avLst/>
                    </a:prstGeom>
                    <a:noFill/>
                    <a:ln w="9525">
                      <a:noFill/>
                      <a:miter lim="800000"/>
                      <a:headEnd/>
                      <a:tailEnd/>
                    </a:ln>
                  </pic:spPr>
                </pic:pic>
              </a:graphicData>
            </a:graphic>
          </wp:inline>
        </w:drawing>
      </w:r>
    </w:p>
    <w:p w:rsidR="001A641D" w:rsidRDefault="007E5C0A" w:rsidP="001A641D">
      <w:pPr>
        <w:pStyle w:val="Caption"/>
        <w:jc w:val="left"/>
      </w:pPr>
      <w:bookmarkStart w:id="541" w:name="_Ref457912966"/>
      <w:bookmarkStart w:id="542" w:name="_Toc256000287"/>
      <w:bookmarkStart w:id="543" w:name="_Toc256000179"/>
      <w:bookmarkStart w:id="544" w:name="_Toc256000071"/>
      <w:bookmarkStart w:id="545" w:name="_Ref458075572"/>
      <w:bookmarkStart w:id="546" w:name="_Toc458170574"/>
      <w:bookmarkStart w:id="547" w:name="_Toc459108587"/>
      <w:r>
        <w:t xml:space="preserve">Figure </w:t>
      </w:r>
      <w:r w:rsidR="003366B4">
        <w:fldChar w:fldCharType="begin"/>
      </w:r>
      <w:r>
        <w:instrText xml:space="preserve"> SEQ Figure \* ARABIC </w:instrText>
      </w:r>
      <w:r w:rsidR="003366B4">
        <w:fldChar w:fldCharType="separate"/>
      </w:r>
      <w:r w:rsidR="00FF3730">
        <w:rPr>
          <w:noProof/>
        </w:rPr>
        <w:t>3</w:t>
      </w:r>
      <w:r w:rsidR="003366B4">
        <w:fldChar w:fldCharType="end"/>
      </w:r>
      <w:bookmarkEnd w:id="541"/>
      <w:r>
        <w:t xml:space="preserve">. </w:t>
      </w:r>
      <w:r w:rsidRPr="00A12CA3">
        <w:t>Overview of the environmental impact assessment process</w:t>
      </w:r>
      <w:r>
        <w:t>.</w:t>
      </w:r>
      <w:bookmarkEnd w:id="542"/>
      <w:bookmarkEnd w:id="543"/>
      <w:bookmarkEnd w:id="544"/>
      <w:bookmarkEnd w:id="545"/>
      <w:bookmarkEnd w:id="546"/>
      <w:bookmarkEnd w:id="547"/>
    </w:p>
    <w:p w:rsidR="001A641D" w:rsidRDefault="007E5C0A" w:rsidP="001A641D">
      <w:pPr>
        <w:pStyle w:val="Heading2"/>
      </w:pPr>
      <w:bookmarkStart w:id="548" w:name="_Toc379956149"/>
      <w:bookmarkStart w:id="549" w:name="_Toc379956234"/>
      <w:bookmarkStart w:id="550" w:name="_Toc379963152"/>
      <w:bookmarkStart w:id="551" w:name="_Toc379966273"/>
      <w:bookmarkStart w:id="552" w:name="_Toc380053090"/>
      <w:bookmarkStart w:id="553" w:name="_Toc380065055"/>
      <w:bookmarkStart w:id="554" w:name="_Toc380142265"/>
      <w:bookmarkStart w:id="555" w:name="_Toc387064775"/>
      <w:bookmarkStart w:id="556" w:name="_Toc387064987"/>
      <w:bookmarkStart w:id="557" w:name="_Toc387065193"/>
      <w:bookmarkStart w:id="558" w:name="_Toc387065404"/>
      <w:bookmarkStart w:id="559" w:name="_Toc387065610"/>
      <w:bookmarkStart w:id="560" w:name="_Toc387065815"/>
      <w:bookmarkStart w:id="561" w:name="_Toc387066021"/>
      <w:bookmarkStart w:id="562" w:name="_Toc387066224"/>
      <w:bookmarkStart w:id="563" w:name="_Toc387069460"/>
      <w:bookmarkStart w:id="564" w:name="_Toc387069647"/>
      <w:bookmarkStart w:id="565" w:name="_Toc387069856"/>
      <w:bookmarkStart w:id="566" w:name="_Toc387070055"/>
      <w:bookmarkStart w:id="567" w:name="_Toc387072320"/>
      <w:bookmarkStart w:id="568" w:name="_Toc387072531"/>
      <w:bookmarkStart w:id="569" w:name="_Toc387392559"/>
      <w:bookmarkStart w:id="570" w:name="_Toc379444990"/>
      <w:bookmarkStart w:id="571" w:name="_Toc256000341"/>
      <w:bookmarkStart w:id="572" w:name="_Toc256000233"/>
      <w:bookmarkStart w:id="573" w:name="_Toc256000125"/>
      <w:bookmarkStart w:id="574" w:name="_Toc256000017"/>
      <w:bookmarkStart w:id="575" w:name="_Toc458170522"/>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t xml:space="preserve">Outputs </w:t>
      </w:r>
      <w:bookmarkEnd w:id="570"/>
      <w:r>
        <w:t>and business processes – environmental impact assessments</w:t>
      </w:r>
      <w:bookmarkEnd w:id="571"/>
      <w:bookmarkEnd w:id="572"/>
      <w:bookmarkEnd w:id="573"/>
      <w:bookmarkEnd w:id="574"/>
      <w:bookmarkEnd w:id="575"/>
      <w:r>
        <w:t xml:space="preserve"> </w:t>
      </w:r>
    </w:p>
    <w:p w:rsidR="001A641D" w:rsidRDefault="007E5C0A" w:rsidP="001A641D">
      <w:pPr>
        <w:pStyle w:val="Heading3"/>
        <w:ind w:left="0" w:firstLine="0"/>
      </w:pPr>
      <w:bookmarkStart w:id="576" w:name="_Toc256000342"/>
      <w:bookmarkStart w:id="577" w:name="_Toc256000234"/>
      <w:bookmarkStart w:id="578" w:name="_Toc256000126"/>
      <w:bookmarkStart w:id="579" w:name="_Toc256000018"/>
      <w:bookmarkStart w:id="580" w:name="_Toc458170523"/>
      <w:r>
        <w:t>Description of activity - environmental impact assessments</w:t>
      </w:r>
      <w:bookmarkEnd w:id="576"/>
      <w:bookmarkEnd w:id="577"/>
      <w:bookmarkEnd w:id="578"/>
      <w:bookmarkEnd w:id="579"/>
      <w:bookmarkEnd w:id="580"/>
    </w:p>
    <w:p w:rsidR="001A641D" w:rsidRDefault="007E5C0A" w:rsidP="001A641D">
      <w:pPr>
        <w:keepNext/>
        <w:autoSpaceDE w:val="0"/>
        <w:autoSpaceDN w:val="0"/>
        <w:adjustRightInd w:val="0"/>
        <w:rPr>
          <w:lang w:eastAsia="en-AU"/>
        </w:rPr>
      </w:pPr>
      <w:r>
        <w:rPr>
          <w:lang w:eastAsia="en-AU"/>
        </w:rPr>
        <w:t>Applicant</w:t>
      </w:r>
      <w:r w:rsidRPr="0021591F">
        <w:rPr>
          <w:lang w:eastAsia="en-AU"/>
        </w:rPr>
        <w:t xml:space="preserve">s are required to refer proposed actions to the </w:t>
      </w:r>
      <w:r>
        <w:rPr>
          <w:lang w:eastAsia="en-AU"/>
        </w:rPr>
        <w:t>D</w:t>
      </w:r>
      <w:r w:rsidRPr="0021591F">
        <w:rPr>
          <w:lang w:eastAsia="en-AU"/>
        </w:rPr>
        <w:t>epartment where:</w:t>
      </w:r>
    </w:p>
    <w:p w:rsidR="001A641D" w:rsidRDefault="007E5C0A" w:rsidP="001A641D">
      <w:pPr>
        <w:pStyle w:val="ListBullet"/>
        <w:rPr>
          <w:lang w:eastAsia="en-AU"/>
        </w:rPr>
      </w:pPr>
      <w:r>
        <w:rPr>
          <w:lang w:eastAsia="en-AU"/>
        </w:rPr>
        <w:t>a</w:t>
      </w:r>
      <w:r w:rsidRPr="00FC12C4">
        <w:rPr>
          <w:lang w:eastAsia="en-AU"/>
        </w:rPr>
        <w:t xml:space="preserve"> proposed action is likely to have</w:t>
      </w:r>
      <w:r>
        <w:rPr>
          <w:lang w:eastAsia="en-AU"/>
        </w:rPr>
        <w:t xml:space="preserve"> or will have</w:t>
      </w:r>
      <w:r w:rsidRPr="00FC12C4">
        <w:rPr>
          <w:lang w:eastAsia="en-AU"/>
        </w:rPr>
        <w:t xml:space="preserve"> a significant impact on one or more matters of </w:t>
      </w:r>
      <w:r>
        <w:rPr>
          <w:lang w:eastAsia="en-AU"/>
        </w:rPr>
        <w:t>national environmental significance;</w:t>
      </w:r>
    </w:p>
    <w:p w:rsidR="001A641D" w:rsidRDefault="007E5C0A" w:rsidP="001A641D">
      <w:pPr>
        <w:pStyle w:val="ListBullet"/>
        <w:rPr>
          <w:lang w:eastAsia="en-AU"/>
        </w:rPr>
      </w:pPr>
      <w:r>
        <w:rPr>
          <w:lang w:eastAsia="en-AU"/>
        </w:rPr>
        <w:t>a</w:t>
      </w:r>
      <w:r w:rsidRPr="00FC12C4">
        <w:rPr>
          <w:lang w:eastAsia="en-AU"/>
        </w:rPr>
        <w:t xml:space="preserve"> proposed action is like</w:t>
      </w:r>
      <w:r>
        <w:rPr>
          <w:lang w:eastAsia="en-AU"/>
        </w:rPr>
        <w:t>ly</w:t>
      </w:r>
      <w:r w:rsidRPr="00FC12C4">
        <w:rPr>
          <w:lang w:eastAsia="en-AU"/>
        </w:rPr>
        <w:t xml:space="preserve"> to have </w:t>
      </w:r>
      <w:r>
        <w:rPr>
          <w:lang w:eastAsia="en-AU"/>
        </w:rPr>
        <w:t xml:space="preserve">or will have </w:t>
      </w:r>
      <w:r w:rsidRPr="00FC12C4">
        <w:rPr>
          <w:lang w:eastAsia="en-AU"/>
        </w:rPr>
        <w:t>a significant impact on the environment o</w:t>
      </w:r>
      <w:r>
        <w:rPr>
          <w:lang w:eastAsia="en-AU"/>
        </w:rPr>
        <w:t>n</w:t>
      </w:r>
      <w:r w:rsidRPr="00FC12C4">
        <w:rPr>
          <w:lang w:eastAsia="en-AU"/>
        </w:rPr>
        <w:t xml:space="preserve"> Commonwealth land</w:t>
      </w:r>
      <w:r>
        <w:rPr>
          <w:lang w:eastAsia="en-AU"/>
        </w:rPr>
        <w:t>;</w:t>
      </w:r>
      <w:r w:rsidRPr="00FC12C4">
        <w:rPr>
          <w:lang w:eastAsia="en-AU"/>
        </w:rPr>
        <w:t xml:space="preserve"> or</w:t>
      </w:r>
    </w:p>
    <w:p w:rsidR="001A641D" w:rsidRDefault="007E5C0A" w:rsidP="001A641D">
      <w:pPr>
        <w:pStyle w:val="ListBullet"/>
        <w:rPr>
          <w:lang w:eastAsia="en-AU"/>
        </w:rPr>
      </w:pPr>
      <w:r>
        <w:rPr>
          <w:lang w:eastAsia="en-AU"/>
        </w:rPr>
        <w:t>a</w:t>
      </w:r>
      <w:r w:rsidRPr="00FC12C4">
        <w:rPr>
          <w:lang w:eastAsia="en-AU"/>
        </w:rPr>
        <w:t xml:space="preserve"> proposed action is </w:t>
      </w:r>
      <w:r>
        <w:rPr>
          <w:lang w:eastAsia="en-AU"/>
        </w:rPr>
        <w:t>under</w:t>
      </w:r>
      <w:r w:rsidRPr="00FC12C4">
        <w:rPr>
          <w:lang w:eastAsia="en-AU"/>
        </w:rPr>
        <w:t xml:space="preserve">taken by a Commonwealth agency </w:t>
      </w:r>
      <w:r>
        <w:rPr>
          <w:lang w:eastAsia="en-AU"/>
        </w:rPr>
        <w:t>inside or outside the Australian jurisdiction</w:t>
      </w:r>
      <w:r w:rsidRPr="00FC12C4">
        <w:rPr>
          <w:lang w:eastAsia="en-AU"/>
        </w:rPr>
        <w:t xml:space="preserve">, and is likely to have a significant impact on the environment. </w:t>
      </w:r>
    </w:p>
    <w:p w:rsidR="001A641D" w:rsidRDefault="007E5C0A">
      <w:pPr>
        <w:pStyle w:val="Heading4"/>
      </w:pPr>
      <w:r w:rsidRPr="006F2E02">
        <w:t>Referrals</w:t>
      </w:r>
    </w:p>
    <w:p w:rsidR="001A641D" w:rsidRDefault="007E5C0A" w:rsidP="001A641D">
      <w:pPr>
        <w:keepNext/>
      </w:pPr>
      <w:r>
        <w:t xml:space="preserve">The standard referral process for environmental impact assessment is shown in </w:t>
      </w:r>
      <w:r w:rsidR="00FF3730">
        <w:fldChar w:fldCharType="begin"/>
      </w:r>
      <w:r w:rsidR="00FF3730">
        <w:instrText xml:space="preserve"> REF _Ref457913028 \h  \* MERGEFORMAT </w:instrText>
      </w:r>
      <w:r w:rsidR="00FF3730">
        <w:fldChar w:fldCharType="separate"/>
      </w:r>
      <w:r w:rsidR="00FF3730">
        <w:t>Figure 4</w:t>
      </w:r>
      <w:r w:rsidR="00FF3730">
        <w:fldChar w:fldCharType="end"/>
      </w:r>
      <w:r w:rsidRPr="00DD7C8D">
        <w:t xml:space="preserve"> below</w:t>
      </w:r>
      <w:r>
        <w:t>.</w:t>
      </w:r>
    </w:p>
    <w:p w:rsidR="001A641D" w:rsidRDefault="007E5C0A" w:rsidP="001A641D">
      <w:pPr>
        <w:keepNext/>
        <w:jc w:val="center"/>
      </w:pPr>
      <w:r>
        <w:rPr>
          <w:noProof/>
          <w:lang w:eastAsia="en-AU"/>
        </w:rPr>
        <w:drawing>
          <wp:inline distT="0" distB="0" distL="0" distR="0">
            <wp:extent cx="4943475" cy="3924300"/>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stretch>
                      <a:fillRect/>
                    </a:stretch>
                  </pic:blipFill>
                  <pic:spPr bwMode="auto">
                    <a:xfrm>
                      <a:off x="0" y="0"/>
                      <a:ext cx="4943475" cy="3924300"/>
                    </a:xfrm>
                    <a:prstGeom prst="rect">
                      <a:avLst/>
                    </a:prstGeom>
                    <a:noFill/>
                    <a:ln w="9525">
                      <a:noFill/>
                      <a:miter lim="800000"/>
                      <a:headEnd/>
                      <a:tailEnd/>
                    </a:ln>
                  </pic:spPr>
                </pic:pic>
              </a:graphicData>
            </a:graphic>
          </wp:inline>
        </w:drawing>
      </w:r>
    </w:p>
    <w:p w:rsidR="001A641D" w:rsidRDefault="007E5C0A" w:rsidP="001A641D">
      <w:pPr>
        <w:pStyle w:val="Caption"/>
        <w:jc w:val="left"/>
      </w:pPr>
      <w:bookmarkStart w:id="581" w:name="_Ref457913028"/>
      <w:bookmarkStart w:id="582" w:name="_Toc256000288"/>
      <w:bookmarkStart w:id="583" w:name="_Toc256000180"/>
      <w:bookmarkStart w:id="584" w:name="_Toc256000072"/>
      <w:bookmarkStart w:id="585" w:name="_Toc458170575"/>
      <w:bookmarkStart w:id="586" w:name="_Toc459108588"/>
      <w:r>
        <w:t xml:space="preserve">Figure </w:t>
      </w:r>
      <w:r w:rsidR="003366B4">
        <w:fldChar w:fldCharType="begin"/>
      </w:r>
      <w:r>
        <w:instrText xml:space="preserve"> SEQ Figure \* ARABIC </w:instrText>
      </w:r>
      <w:r w:rsidR="003366B4">
        <w:fldChar w:fldCharType="separate"/>
      </w:r>
      <w:r w:rsidR="00FF3730">
        <w:rPr>
          <w:noProof/>
        </w:rPr>
        <w:t>4</w:t>
      </w:r>
      <w:r w:rsidR="003366B4">
        <w:fldChar w:fldCharType="end"/>
      </w:r>
      <w:bookmarkEnd w:id="581"/>
      <w:r>
        <w:t xml:space="preserve">. </w:t>
      </w:r>
      <w:r w:rsidRPr="00CD6CAC">
        <w:t>The standard referral process for environmental impact assessment</w:t>
      </w:r>
      <w:bookmarkEnd w:id="582"/>
      <w:bookmarkEnd w:id="583"/>
      <w:bookmarkEnd w:id="584"/>
      <w:bookmarkEnd w:id="585"/>
      <w:bookmarkEnd w:id="586"/>
    </w:p>
    <w:p w:rsidR="001A641D" w:rsidRDefault="007E5C0A" w:rsidP="001A641D">
      <w:pPr>
        <w:rPr>
          <w:lang w:eastAsia="en-AU"/>
        </w:rPr>
      </w:pPr>
      <w:r>
        <w:rPr>
          <w:lang w:eastAsia="en-AU"/>
        </w:rPr>
        <w:t>Applicant</w:t>
      </w:r>
      <w:r w:rsidRPr="00FC12C4">
        <w:rPr>
          <w:lang w:eastAsia="en-AU"/>
        </w:rPr>
        <w:t>s can refer a propos</w:t>
      </w:r>
      <w:r>
        <w:rPr>
          <w:lang w:eastAsia="en-AU"/>
        </w:rPr>
        <w:t>ed action</w:t>
      </w:r>
      <w:r w:rsidRPr="00FC12C4">
        <w:rPr>
          <w:lang w:eastAsia="en-AU"/>
        </w:rPr>
        <w:t xml:space="preserve"> to the </w:t>
      </w:r>
      <w:r>
        <w:rPr>
          <w:lang w:eastAsia="en-AU"/>
        </w:rPr>
        <w:t>D</w:t>
      </w:r>
      <w:r w:rsidRPr="00FC12C4">
        <w:rPr>
          <w:lang w:eastAsia="en-AU"/>
        </w:rPr>
        <w:t xml:space="preserve">epartment for a decision as to whether or not the action will have </w:t>
      </w:r>
      <w:r>
        <w:rPr>
          <w:lang w:eastAsia="en-AU"/>
        </w:rPr>
        <w:t xml:space="preserve">or is likely to have </w:t>
      </w:r>
      <w:r w:rsidRPr="00FC12C4">
        <w:rPr>
          <w:lang w:eastAsia="en-AU"/>
        </w:rPr>
        <w:t>a significant impact on matters</w:t>
      </w:r>
      <w:r>
        <w:rPr>
          <w:lang w:eastAsia="en-AU"/>
        </w:rPr>
        <w:t xml:space="preserve"> of national environmental significance</w:t>
      </w:r>
      <w:r w:rsidRPr="00FC12C4">
        <w:rPr>
          <w:lang w:eastAsia="en-AU"/>
        </w:rPr>
        <w:t>. The statutory timeframe for the referral decision making process is 20 business days.</w:t>
      </w:r>
      <w:r>
        <w:rPr>
          <w:lang w:eastAsia="en-AU"/>
        </w:rPr>
        <w:t xml:space="preserve"> </w:t>
      </w:r>
      <w:r>
        <w:rPr>
          <w:lang w:val="en-US"/>
        </w:rPr>
        <w:t>If the Minister does not have sufficient information in the referral documentation to make a decision, the referral timeframe may be suspended and further information requested under section 76 of the EPBC Act.</w:t>
      </w:r>
    </w:p>
    <w:p w:rsidR="001A641D" w:rsidRDefault="007E5C0A" w:rsidP="001A641D">
      <w:pPr>
        <w:keepLines/>
        <w:rPr>
          <w:lang w:val="en-US"/>
        </w:rPr>
      </w:pPr>
      <w:r w:rsidRPr="00FC12C4">
        <w:rPr>
          <w:lang w:val="en-US"/>
        </w:rPr>
        <w:t xml:space="preserve">If </w:t>
      </w:r>
      <w:r>
        <w:rPr>
          <w:lang w:val="en-US"/>
        </w:rPr>
        <w:t xml:space="preserve">the Minister does not consider that the proposed action will have </w:t>
      </w:r>
      <w:r w:rsidRPr="00FC12C4">
        <w:rPr>
          <w:lang w:val="en-US"/>
        </w:rPr>
        <w:t>a significant impact</w:t>
      </w:r>
      <w:r>
        <w:rPr>
          <w:lang w:val="en-US"/>
        </w:rPr>
        <w:t xml:space="preserve"> on a matter</w:t>
      </w:r>
      <w:r w:rsidRPr="00FC12C4">
        <w:rPr>
          <w:lang w:val="en-US"/>
        </w:rPr>
        <w:t xml:space="preserve"> </w:t>
      </w:r>
      <w:r>
        <w:rPr>
          <w:lang w:val="en-US"/>
        </w:rPr>
        <w:t xml:space="preserve">of national environmental significance </w:t>
      </w:r>
      <w:r w:rsidRPr="00FC12C4">
        <w:rPr>
          <w:lang w:val="en-US"/>
        </w:rPr>
        <w:t>then further assessment is not required</w:t>
      </w:r>
      <w:r>
        <w:rPr>
          <w:lang w:val="en-US"/>
        </w:rPr>
        <w:t>. T</w:t>
      </w:r>
      <w:r w:rsidRPr="00FC12C4">
        <w:rPr>
          <w:lang w:val="en-US"/>
        </w:rPr>
        <w:t xml:space="preserve">he </w:t>
      </w:r>
      <w:r>
        <w:rPr>
          <w:lang w:val="en-US"/>
        </w:rPr>
        <w:t xml:space="preserve">Minister will then make a decision that the </w:t>
      </w:r>
      <w:r w:rsidRPr="00FC12C4">
        <w:rPr>
          <w:lang w:val="en-US"/>
        </w:rPr>
        <w:t>propos</w:t>
      </w:r>
      <w:r>
        <w:rPr>
          <w:lang w:val="en-US"/>
        </w:rPr>
        <w:t xml:space="preserve">ed action is </w:t>
      </w:r>
      <w:r w:rsidRPr="00FC12C4">
        <w:rPr>
          <w:lang w:val="en-US"/>
        </w:rPr>
        <w:t xml:space="preserve">‘not a controlled action’ and can </w:t>
      </w:r>
      <w:r>
        <w:rPr>
          <w:lang w:val="en-US"/>
        </w:rPr>
        <w:t xml:space="preserve">therefore </w:t>
      </w:r>
      <w:r w:rsidRPr="00FC12C4">
        <w:rPr>
          <w:lang w:val="en-US"/>
        </w:rPr>
        <w:t>proceed</w:t>
      </w:r>
      <w:r>
        <w:rPr>
          <w:lang w:val="en-US"/>
        </w:rPr>
        <w:t xml:space="preserve"> without any further assessment under the EPBC Act.</w:t>
      </w:r>
      <w:r w:rsidRPr="00FC12C4">
        <w:rPr>
          <w:lang w:val="en-US"/>
        </w:rPr>
        <w:t xml:space="preserve"> </w:t>
      </w:r>
      <w:r>
        <w:rPr>
          <w:lang w:val="en-US"/>
        </w:rPr>
        <w:t xml:space="preserve">The Minister may also determine that the proposed action is </w:t>
      </w:r>
      <w:r w:rsidRPr="00FC12C4">
        <w:rPr>
          <w:lang w:val="en-US"/>
        </w:rPr>
        <w:t>‘not a controlled action’ provided it is undertaken in a ‘particular manner’.  Th</w:t>
      </w:r>
      <w:r>
        <w:rPr>
          <w:lang w:val="en-US"/>
        </w:rPr>
        <w:t>e</w:t>
      </w:r>
      <w:r w:rsidRPr="00FC12C4">
        <w:rPr>
          <w:lang w:val="en-US"/>
        </w:rPr>
        <w:t xml:space="preserve"> ‘</w:t>
      </w:r>
      <w:r>
        <w:rPr>
          <w:lang w:val="en-US"/>
        </w:rPr>
        <w:t xml:space="preserve">particular </w:t>
      </w:r>
      <w:r w:rsidRPr="00FC12C4">
        <w:rPr>
          <w:lang w:val="en-US"/>
        </w:rPr>
        <w:t xml:space="preserve">manner’ </w:t>
      </w:r>
      <w:r>
        <w:rPr>
          <w:lang w:val="en-US"/>
        </w:rPr>
        <w:t>will be</w:t>
      </w:r>
      <w:r w:rsidRPr="00FC12C4">
        <w:rPr>
          <w:lang w:val="en-US"/>
        </w:rPr>
        <w:t xml:space="preserve"> specified in the decision notice</w:t>
      </w:r>
      <w:r>
        <w:rPr>
          <w:lang w:val="en-US"/>
        </w:rPr>
        <w:t xml:space="preserve">, and the action will not be subject to any further assessment under the EPBC Act as long as the action is taken in the specified manner. </w:t>
      </w:r>
    </w:p>
    <w:p w:rsidR="001A641D" w:rsidRDefault="007E5C0A" w:rsidP="001A641D">
      <w:pPr>
        <w:rPr>
          <w:lang w:val="en-US"/>
        </w:rPr>
      </w:pPr>
      <w:r w:rsidRPr="00FC12C4">
        <w:rPr>
          <w:lang w:val="en-US"/>
        </w:rPr>
        <w:t xml:space="preserve">If </w:t>
      </w:r>
      <w:r>
        <w:rPr>
          <w:lang w:val="en-US"/>
        </w:rPr>
        <w:t xml:space="preserve">the Minister considers that </w:t>
      </w:r>
      <w:r w:rsidRPr="00FC12C4">
        <w:rPr>
          <w:lang w:val="en-US"/>
        </w:rPr>
        <w:t>a significant impact</w:t>
      </w:r>
      <w:r>
        <w:rPr>
          <w:lang w:val="en-US"/>
        </w:rPr>
        <w:t xml:space="preserve"> on a matter of national environmental significance</w:t>
      </w:r>
      <w:r w:rsidRPr="00FC12C4">
        <w:rPr>
          <w:lang w:val="en-US"/>
        </w:rPr>
        <w:t xml:space="preserve"> is likely</w:t>
      </w:r>
      <w:r>
        <w:rPr>
          <w:lang w:val="en-US"/>
        </w:rPr>
        <w:t xml:space="preserve"> or will happen</w:t>
      </w:r>
      <w:r w:rsidRPr="00FC12C4">
        <w:rPr>
          <w:lang w:val="en-US"/>
        </w:rPr>
        <w:t xml:space="preserve">, </w:t>
      </w:r>
      <w:r>
        <w:rPr>
          <w:lang w:val="en-US"/>
        </w:rPr>
        <w:t xml:space="preserve">the Minister makes a determination that </w:t>
      </w:r>
      <w:r w:rsidRPr="00FC12C4">
        <w:rPr>
          <w:lang w:val="en-US"/>
        </w:rPr>
        <w:t>this action is a ‘controlled action’</w:t>
      </w:r>
      <w:r>
        <w:rPr>
          <w:lang w:val="en-US"/>
        </w:rPr>
        <w:t>, and which ‘controlling provisions’ apply. The controlling provisions for an action are the categories of matters protected under the EPBC Act that may be significantly impacted by the proposal, such as ‘listed threatened species and ecological communities’ or ‘World Heritage properties’. Within each controlling provision, multiple protected matters, such as individual species or particular heritage properties, may be impacted or require assessment. The proposed action is then subject to f</w:t>
      </w:r>
      <w:r w:rsidRPr="00FC12C4">
        <w:rPr>
          <w:lang w:val="en-US"/>
        </w:rPr>
        <w:t xml:space="preserve">urther assessment prior to the Minister deciding whether to approve the </w:t>
      </w:r>
      <w:r>
        <w:rPr>
          <w:lang w:val="en-US"/>
        </w:rPr>
        <w:t>action</w:t>
      </w:r>
      <w:r w:rsidRPr="00FC12C4">
        <w:rPr>
          <w:lang w:val="en-US"/>
        </w:rPr>
        <w:t xml:space="preserve"> </w:t>
      </w:r>
      <w:r>
        <w:rPr>
          <w:lang w:val="en-US"/>
        </w:rPr>
        <w:t>under</w:t>
      </w:r>
      <w:r w:rsidRPr="00FC12C4">
        <w:rPr>
          <w:lang w:val="en-US"/>
        </w:rPr>
        <w:t xml:space="preserve"> the EPBC</w:t>
      </w:r>
      <w:r>
        <w:rPr>
          <w:lang w:val="en-US"/>
        </w:rPr>
        <w:t> </w:t>
      </w:r>
      <w:r w:rsidRPr="00FC12C4">
        <w:rPr>
          <w:lang w:val="en-US"/>
        </w:rPr>
        <w:t xml:space="preserve">Act.  </w:t>
      </w:r>
    </w:p>
    <w:p w:rsidR="001A641D" w:rsidRPr="00DC4050" w:rsidRDefault="007E5C0A" w:rsidP="001A641D">
      <w:pPr>
        <w:pStyle w:val="Heading4"/>
      </w:pPr>
      <w:r>
        <w:t>Assessments</w:t>
      </w:r>
    </w:p>
    <w:p w:rsidR="001A641D" w:rsidRDefault="007E5C0A" w:rsidP="001A641D">
      <w:pPr>
        <w:rPr>
          <w:lang w:val="en-US"/>
        </w:rPr>
      </w:pPr>
      <w:r>
        <w:rPr>
          <w:lang w:val="en-US"/>
        </w:rPr>
        <w:t>If the proposed action is a controlled action, the Minister then decides which of the following approaches must be used to assess the relevant impacts of the action</w:t>
      </w:r>
      <w:r w:rsidRPr="00FC12C4">
        <w:rPr>
          <w:lang w:val="en-US"/>
        </w:rPr>
        <w:t xml:space="preserve">: </w:t>
      </w:r>
    </w:p>
    <w:p w:rsidR="001A641D" w:rsidRDefault="007E5C0A" w:rsidP="001A641D">
      <w:pPr>
        <w:pStyle w:val="ListBullet"/>
        <w:rPr>
          <w:lang w:val="en-US"/>
        </w:rPr>
      </w:pPr>
      <w:r>
        <w:rPr>
          <w:lang w:val="en-US"/>
        </w:rPr>
        <w:t>assessment</w:t>
      </w:r>
      <w:r w:rsidRPr="00BC77A1">
        <w:rPr>
          <w:lang w:val="en-US"/>
        </w:rPr>
        <w:t xml:space="preserve"> on referral information</w:t>
      </w:r>
      <w:r>
        <w:rPr>
          <w:lang w:val="en-US"/>
        </w:rPr>
        <w:t xml:space="preserve"> (ARI);</w:t>
      </w:r>
    </w:p>
    <w:p w:rsidR="001A641D" w:rsidRDefault="007E5C0A" w:rsidP="001A641D">
      <w:pPr>
        <w:pStyle w:val="ListBullet"/>
        <w:rPr>
          <w:lang w:val="en-US"/>
        </w:rPr>
      </w:pPr>
      <w:r>
        <w:rPr>
          <w:lang w:val="en-US"/>
        </w:rPr>
        <w:t>a</w:t>
      </w:r>
      <w:r w:rsidRPr="00BC77A1">
        <w:rPr>
          <w:lang w:val="en-US"/>
        </w:rPr>
        <w:t>ssessment on preliminary documentation</w:t>
      </w:r>
      <w:r>
        <w:rPr>
          <w:lang w:val="en-US"/>
        </w:rPr>
        <w:t xml:space="preserve"> (PD);</w:t>
      </w:r>
    </w:p>
    <w:p w:rsidR="001A641D" w:rsidRDefault="007E5C0A" w:rsidP="001A641D">
      <w:pPr>
        <w:pStyle w:val="ListBullet"/>
        <w:rPr>
          <w:lang w:val="en-US"/>
        </w:rPr>
      </w:pPr>
      <w:r>
        <w:rPr>
          <w:lang w:val="en-US"/>
        </w:rPr>
        <w:t>assessment by public environment report (PER);</w:t>
      </w:r>
    </w:p>
    <w:p w:rsidR="001A641D" w:rsidRDefault="007E5C0A">
      <w:pPr>
        <w:pStyle w:val="ListBullet"/>
        <w:rPr>
          <w:lang w:val="en-US"/>
        </w:rPr>
      </w:pPr>
      <w:r>
        <w:rPr>
          <w:lang w:val="en-US"/>
        </w:rPr>
        <w:t>a</w:t>
      </w:r>
      <w:r w:rsidRPr="00BC77A1">
        <w:rPr>
          <w:lang w:val="en-US"/>
        </w:rPr>
        <w:t xml:space="preserve">ssessment by </w:t>
      </w:r>
      <w:r>
        <w:rPr>
          <w:lang w:val="en-US"/>
        </w:rPr>
        <w:t>environmental impact statement (EIS);</w:t>
      </w:r>
      <w:r w:rsidRPr="00BC77A1">
        <w:rPr>
          <w:lang w:val="en-US"/>
        </w:rPr>
        <w:t xml:space="preserve"> </w:t>
      </w:r>
    </w:p>
    <w:p w:rsidR="001A641D" w:rsidRDefault="007E5C0A">
      <w:pPr>
        <w:pStyle w:val="ListBullet"/>
        <w:rPr>
          <w:lang w:val="en-US"/>
        </w:rPr>
      </w:pPr>
      <w:r>
        <w:rPr>
          <w:lang w:val="en-US"/>
        </w:rPr>
        <w:t>a</w:t>
      </w:r>
      <w:r w:rsidRPr="00BC77A1">
        <w:rPr>
          <w:lang w:val="en-US"/>
        </w:rPr>
        <w:t xml:space="preserve">ssessment under </w:t>
      </w:r>
      <w:r>
        <w:rPr>
          <w:lang w:val="en-US"/>
        </w:rPr>
        <w:t xml:space="preserve">a </w:t>
      </w:r>
      <w:r w:rsidRPr="00BC77A1">
        <w:rPr>
          <w:lang w:val="en-US"/>
        </w:rPr>
        <w:t>bilateral agreement or accredited assessment</w:t>
      </w:r>
      <w:r>
        <w:rPr>
          <w:lang w:val="en-US"/>
        </w:rPr>
        <w:t>; or</w:t>
      </w:r>
      <w:r w:rsidRPr="00BC77A1">
        <w:rPr>
          <w:lang w:val="en-US"/>
        </w:rPr>
        <w:t xml:space="preserve"> </w:t>
      </w:r>
    </w:p>
    <w:p w:rsidR="001A641D" w:rsidRPr="004E73AA" w:rsidRDefault="007E5C0A">
      <w:pPr>
        <w:pStyle w:val="ListBullet"/>
        <w:rPr>
          <w:lang w:val="en-US"/>
        </w:rPr>
      </w:pPr>
      <w:r>
        <w:rPr>
          <w:lang w:val="en-US"/>
        </w:rPr>
        <w:t>a</w:t>
      </w:r>
      <w:r w:rsidRPr="00BC77A1">
        <w:rPr>
          <w:lang w:val="en-US"/>
        </w:rPr>
        <w:t xml:space="preserve">ssessment by public inquiry. </w:t>
      </w:r>
    </w:p>
    <w:p w:rsidR="001A641D" w:rsidRDefault="007E5C0A" w:rsidP="001A641D">
      <w:pPr>
        <w:rPr>
          <w:lang w:val="en-US"/>
        </w:rPr>
      </w:pPr>
      <w:r w:rsidRPr="00FC12C4">
        <w:rPr>
          <w:lang w:val="en-US"/>
        </w:rPr>
        <w:t xml:space="preserve">The </w:t>
      </w:r>
      <w:r>
        <w:rPr>
          <w:lang w:val="en-US"/>
        </w:rPr>
        <w:t xml:space="preserve">Minister determines the </w:t>
      </w:r>
      <w:r w:rsidRPr="00FC12C4">
        <w:rPr>
          <w:lang w:val="en-US"/>
        </w:rPr>
        <w:t xml:space="preserve">assessment method </w:t>
      </w:r>
      <w:r>
        <w:rPr>
          <w:lang w:val="en-US"/>
        </w:rPr>
        <w:t xml:space="preserve">based </w:t>
      </w:r>
      <w:r w:rsidRPr="00FC12C4">
        <w:rPr>
          <w:lang w:val="en-US"/>
        </w:rPr>
        <w:t>on the complexity of the</w:t>
      </w:r>
      <w:r>
        <w:rPr>
          <w:lang w:val="en-US"/>
        </w:rPr>
        <w:t xml:space="preserve"> proposed</w:t>
      </w:r>
      <w:r w:rsidRPr="00FC12C4">
        <w:rPr>
          <w:lang w:val="en-US"/>
        </w:rPr>
        <w:t xml:space="preserve"> acti</w:t>
      </w:r>
      <w:r>
        <w:rPr>
          <w:lang w:val="en-US"/>
        </w:rPr>
        <w:t>on and</w:t>
      </w:r>
      <w:r w:rsidRPr="00FC12C4">
        <w:rPr>
          <w:lang w:val="en-US"/>
        </w:rPr>
        <w:t xml:space="preserve"> the information required to assess whether or not the action should be approved</w:t>
      </w:r>
      <w:r>
        <w:rPr>
          <w:lang w:val="en-US"/>
        </w:rPr>
        <w:t>. If the Minister does not have sufficient information in the referral documentation to make a decision, further information may be requested under section 89 of the EPBC Act.</w:t>
      </w:r>
    </w:p>
    <w:p w:rsidR="001A641D" w:rsidRDefault="007E5C0A" w:rsidP="001A641D">
      <w:pPr>
        <w:rPr>
          <w:lang w:val="en-US"/>
        </w:rPr>
      </w:pPr>
      <w:r>
        <w:rPr>
          <w:lang w:val="en-US"/>
        </w:rPr>
        <w:t>The basic assessment process under all methods typically involves:</w:t>
      </w:r>
    </w:p>
    <w:p w:rsidR="001A641D" w:rsidRDefault="007E5C0A" w:rsidP="001A641D">
      <w:pPr>
        <w:pStyle w:val="ListParagraph"/>
        <w:numPr>
          <w:ilvl w:val="0"/>
          <w:numId w:val="16"/>
        </w:numPr>
        <w:rPr>
          <w:lang w:val="en-US"/>
        </w:rPr>
      </w:pPr>
      <w:r>
        <w:rPr>
          <w:lang w:val="en-US"/>
        </w:rPr>
        <w:t>requesting particular information or issuing guidelines for the assessment documentation;</w:t>
      </w:r>
    </w:p>
    <w:p w:rsidR="001A641D" w:rsidRPr="009F0E07" w:rsidRDefault="007E5C0A" w:rsidP="001A641D">
      <w:pPr>
        <w:pStyle w:val="ListParagraph"/>
        <w:numPr>
          <w:ilvl w:val="0"/>
          <w:numId w:val="16"/>
        </w:numPr>
        <w:rPr>
          <w:lang w:val="en-US"/>
        </w:rPr>
      </w:pPr>
      <w:r w:rsidRPr="009F0E07">
        <w:rPr>
          <w:lang w:val="en-US"/>
        </w:rPr>
        <w:t>reviewing the draft assessment documentation and directing the proponent to publish the assessment documentation for public comment;</w:t>
      </w:r>
    </w:p>
    <w:p w:rsidR="001A641D" w:rsidRDefault="007E5C0A" w:rsidP="001A641D">
      <w:pPr>
        <w:pStyle w:val="ListParagraph"/>
        <w:numPr>
          <w:ilvl w:val="0"/>
          <w:numId w:val="16"/>
        </w:numPr>
        <w:rPr>
          <w:lang w:val="en-US"/>
        </w:rPr>
      </w:pPr>
      <w:r>
        <w:rPr>
          <w:lang w:val="en-US"/>
        </w:rPr>
        <w:t>reviewing the finalised assessment documentation addressing the public comments; and</w:t>
      </w:r>
    </w:p>
    <w:p w:rsidR="001A641D" w:rsidRDefault="007E5C0A" w:rsidP="001A641D">
      <w:pPr>
        <w:pStyle w:val="ListParagraph"/>
        <w:numPr>
          <w:ilvl w:val="0"/>
          <w:numId w:val="16"/>
        </w:numPr>
        <w:rPr>
          <w:lang w:val="en-US"/>
        </w:rPr>
      </w:pPr>
      <w:r>
        <w:rPr>
          <w:lang w:val="en-US"/>
        </w:rPr>
        <w:t>preparing a recommendation report.</w:t>
      </w:r>
    </w:p>
    <w:p w:rsidR="001A641D" w:rsidRDefault="007E5C0A" w:rsidP="001A641D">
      <w:pPr>
        <w:keepLines/>
        <w:rPr>
          <w:lang w:val="en-US"/>
        </w:rPr>
      </w:pPr>
      <w:r w:rsidRPr="00376319">
        <w:rPr>
          <w:lang w:val="en-US"/>
        </w:rPr>
        <w:t xml:space="preserve">Sometimes a state or territory may also be undertaking an assessment of a project. Where an assessment bilateral agreement with a state or territory covers the process, the state assessment also satisfies Commonwealth assessment requirements. If there is no assessment bilateral agreement, but the Minister is satisfied that the state process can satisfy Commonwealth assessment requirements, the Minister may accredit the state process as satisfying the requirements of the EPBC Act for a particular project. In both of these scenarios, the Department still works with the state agencies to ensure that the assessment adequately addresses matters of national environmental significance. </w:t>
      </w:r>
    </w:p>
    <w:p w:rsidR="001A641D" w:rsidRPr="00DC4050" w:rsidRDefault="007E5C0A" w:rsidP="001A641D">
      <w:pPr>
        <w:pStyle w:val="Heading4"/>
      </w:pPr>
      <w:r>
        <w:t>Approvals</w:t>
      </w:r>
    </w:p>
    <w:p w:rsidR="001A641D" w:rsidRDefault="007E5C0A" w:rsidP="001A641D">
      <w:pPr>
        <w:rPr>
          <w:lang w:val="en-US"/>
        </w:rPr>
      </w:pPr>
      <w:r>
        <w:rPr>
          <w:lang w:val="en-US"/>
        </w:rPr>
        <w:t>Following completion of the assessment, the Minister will then decide whether or not to approve the action (with or without conditions) under the EPBC Act. The statutory timeframe for the approval process is 20 business days for an assessment on referral information, 30 business days for a bilateral or accredited assessment, or 40 business days for all other assessment methods. If the Minister does not have sufficient information at the end of the assessment process to make a decision, the approval timeframe may be suspended and further information requested under section 132 of the EPBC Act.</w:t>
      </w:r>
    </w:p>
    <w:p w:rsidR="001A641D" w:rsidRPr="00DC4050" w:rsidRDefault="007E5C0A" w:rsidP="001A641D">
      <w:pPr>
        <w:pStyle w:val="Heading4"/>
      </w:pPr>
      <w:r>
        <w:t>Action management plans</w:t>
      </w:r>
    </w:p>
    <w:p w:rsidR="001A641D" w:rsidRDefault="007E5C0A" w:rsidP="001A641D">
      <w:pPr>
        <w:rPr>
          <w:lang w:val="en-US"/>
        </w:rPr>
      </w:pPr>
      <w:r>
        <w:rPr>
          <w:lang w:val="en-US"/>
        </w:rPr>
        <w:t>Conditions can include a requirement for the approval holder to develop and submit action management plans to the Minister for approval. Action management plans are plans for managing the impacts of the action on a protected matter, such as a plan for conserving habitat of a protected species. These plans allow for adaptive management of an action and its impacts in the post approval stage, ensuring the approval holder develops and implements measures to effectively manage impacts upon matters of national environmental significance</w:t>
      </w:r>
      <w:r w:rsidRPr="001E38AC">
        <w:rPr>
          <w:lang w:val="en-US"/>
        </w:rPr>
        <w:t>.</w:t>
      </w:r>
    </w:p>
    <w:p w:rsidR="001A641D" w:rsidRDefault="007E5C0A" w:rsidP="001A641D">
      <w:r w:rsidRPr="007B09E6">
        <w:t>Should there be a requirement for a</w:t>
      </w:r>
      <w:r>
        <w:t>n</w:t>
      </w:r>
      <w:r w:rsidRPr="007B09E6">
        <w:t xml:space="preserve"> </w:t>
      </w:r>
      <w:r>
        <w:t xml:space="preserve">action </w:t>
      </w:r>
      <w:r w:rsidRPr="007B09E6">
        <w:t xml:space="preserve">management plan, the </w:t>
      </w:r>
      <w:r>
        <w:t>applicant</w:t>
      </w:r>
      <w:r w:rsidRPr="007B09E6">
        <w:t xml:space="preserve"> can provide </w:t>
      </w:r>
      <w:r>
        <w:t xml:space="preserve">the plan as a part of the </w:t>
      </w:r>
      <w:r w:rsidRPr="007B09E6">
        <w:t xml:space="preserve">assessment </w:t>
      </w:r>
      <w:r>
        <w:t>documentation</w:t>
      </w:r>
      <w:r w:rsidRPr="007B09E6">
        <w:t xml:space="preserve"> or elect </w:t>
      </w:r>
      <w:r>
        <w:t xml:space="preserve">under section 132 of the EPBC Act </w:t>
      </w:r>
      <w:r w:rsidRPr="007B09E6">
        <w:t xml:space="preserve">to provide it following an approval as a post approval </w:t>
      </w:r>
      <w:r>
        <w:t xml:space="preserve">action </w:t>
      </w:r>
      <w:r w:rsidRPr="007B09E6">
        <w:t>management plan.</w:t>
      </w:r>
      <w:r>
        <w:t xml:space="preserve"> </w:t>
      </w:r>
      <w:r>
        <w:rPr>
          <w:lang w:val="en-US"/>
        </w:rPr>
        <w:t>If the Minister does not have sufficient information to approve an action management plan as a part of the approval, further information may be requested under section 134(3D) of the EPBC Act.</w:t>
      </w:r>
    </w:p>
    <w:p w:rsidR="001A641D" w:rsidRDefault="007E5C0A" w:rsidP="001A641D">
      <w:r>
        <w:t>Action management plans can also be revised over the life of the approval, either substantively</w:t>
      </w:r>
      <w:r w:rsidRPr="00E502D0">
        <w:t xml:space="preserve"> </w:t>
      </w:r>
      <w:r>
        <w:t>or administratively. Substantive changes include changes to how the protected matter is proposed to be managed. Administrative changes are amendments to administrative details of the plan such as structure, layout, contact names or details, which are unrelated to environmental impacts or risks.</w:t>
      </w:r>
    </w:p>
    <w:p w:rsidR="001A641D" w:rsidRPr="00DC4050" w:rsidRDefault="007E5C0A" w:rsidP="001A641D">
      <w:pPr>
        <w:pStyle w:val="Heading4"/>
      </w:pPr>
      <w:bookmarkStart w:id="587" w:name="_Ref457992668"/>
      <w:r>
        <w:t>Post-approval</w:t>
      </w:r>
      <w:bookmarkEnd w:id="587"/>
    </w:p>
    <w:p w:rsidR="001A641D" w:rsidRDefault="007E5C0A" w:rsidP="001A641D">
      <w:pPr>
        <w:rPr>
          <w:lang w:val="en-US"/>
        </w:rPr>
      </w:pPr>
      <w:r>
        <w:rPr>
          <w:lang w:val="en-US"/>
        </w:rPr>
        <w:t xml:space="preserve">If an action is approved, it is monitored for the period of approval. During this post approval phase, various activities can take place at the request of the approval holder, including requests for variations to conditions, transfers of approvals to new approval holders, or extensions to the period of approval.   </w:t>
      </w:r>
    </w:p>
    <w:p w:rsidR="001A641D" w:rsidRPr="001A5216" w:rsidRDefault="007E5C0A" w:rsidP="001A641D">
      <w:pPr>
        <w:pStyle w:val="Heading2"/>
      </w:pPr>
      <w:bookmarkStart w:id="588" w:name="_Toc456360363"/>
      <w:bookmarkStart w:id="589" w:name="_Toc456364079"/>
      <w:bookmarkStart w:id="590" w:name="_Toc456365298"/>
      <w:bookmarkStart w:id="591" w:name="_Toc456366518"/>
      <w:bookmarkStart w:id="592" w:name="_Toc456367145"/>
      <w:bookmarkStart w:id="593" w:name="_Toc456367777"/>
      <w:bookmarkStart w:id="594" w:name="_Toc456368406"/>
      <w:bookmarkStart w:id="595" w:name="_Toc456369035"/>
      <w:bookmarkStart w:id="596" w:name="_Toc456369716"/>
      <w:bookmarkStart w:id="597" w:name="_Toc456370393"/>
      <w:bookmarkStart w:id="598" w:name="_Toc456371071"/>
      <w:bookmarkStart w:id="599" w:name="_Toc456517097"/>
      <w:bookmarkStart w:id="600" w:name="_Toc456360364"/>
      <w:bookmarkStart w:id="601" w:name="_Toc456364080"/>
      <w:bookmarkStart w:id="602" w:name="_Toc456365299"/>
      <w:bookmarkStart w:id="603" w:name="_Toc456366519"/>
      <w:bookmarkStart w:id="604" w:name="_Toc456367146"/>
      <w:bookmarkStart w:id="605" w:name="_Toc456367778"/>
      <w:bookmarkStart w:id="606" w:name="_Toc456368407"/>
      <w:bookmarkStart w:id="607" w:name="_Toc456369036"/>
      <w:bookmarkStart w:id="608" w:name="_Toc456369717"/>
      <w:bookmarkStart w:id="609" w:name="_Toc456370394"/>
      <w:bookmarkStart w:id="610" w:name="_Toc456371072"/>
      <w:bookmarkStart w:id="611" w:name="_Toc456517098"/>
      <w:bookmarkStart w:id="612" w:name="_Toc456360365"/>
      <w:bookmarkStart w:id="613" w:name="_Toc456364081"/>
      <w:bookmarkStart w:id="614" w:name="_Toc456365300"/>
      <w:bookmarkStart w:id="615" w:name="_Toc456366520"/>
      <w:bookmarkStart w:id="616" w:name="_Toc456367147"/>
      <w:bookmarkStart w:id="617" w:name="_Toc456367779"/>
      <w:bookmarkStart w:id="618" w:name="_Toc456368408"/>
      <w:bookmarkStart w:id="619" w:name="_Toc456369037"/>
      <w:bookmarkStart w:id="620" w:name="_Toc456369718"/>
      <w:bookmarkStart w:id="621" w:name="_Toc456370395"/>
      <w:bookmarkStart w:id="622" w:name="_Toc456371073"/>
      <w:bookmarkStart w:id="623" w:name="_Toc456517099"/>
      <w:bookmarkStart w:id="624" w:name="_Toc456360366"/>
      <w:bookmarkStart w:id="625" w:name="_Toc456364082"/>
      <w:bookmarkStart w:id="626" w:name="_Toc456365301"/>
      <w:bookmarkStart w:id="627" w:name="_Toc456366521"/>
      <w:bookmarkStart w:id="628" w:name="_Toc456367148"/>
      <w:bookmarkStart w:id="629" w:name="_Toc456367780"/>
      <w:bookmarkStart w:id="630" w:name="_Toc456368409"/>
      <w:bookmarkStart w:id="631" w:name="_Toc456369038"/>
      <w:bookmarkStart w:id="632" w:name="_Toc456369719"/>
      <w:bookmarkStart w:id="633" w:name="_Toc456370396"/>
      <w:bookmarkStart w:id="634" w:name="_Toc456371074"/>
      <w:bookmarkStart w:id="635" w:name="_Toc456517100"/>
      <w:bookmarkStart w:id="636" w:name="_Toc456360367"/>
      <w:bookmarkStart w:id="637" w:name="_Toc456364083"/>
      <w:bookmarkStart w:id="638" w:name="_Toc456365302"/>
      <w:bookmarkStart w:id="639" w:name="_Toc456366522"/>
      <w:bookmarkStart w:id="640" w:name="_Toc456367149"/>
      <w:bookmarkStart w:id="641" w:name="_Toc456367781"/>
      <w:bookmarkStart w:id="642" w:name="_Toc456368410"/>
      <w:bookmarkStart w:id="643" w:name="_Toc456369039"/>
      <w:bookmarkStart w:id="644" w:name="_Toc456369720"/>
      <w:bookmarkStart w:id="645" w:name="_Toc456370397"/>
      <w:bookmarkStart w:id="646" w:name="_Toc456371075"/>
      <w:bookmarkStart w:id="647" w:name="_Toc456517101"/>
      <w:bookmarkStart w:id="648" w:name="_Toc456360368"/>
      <w:bookmarkStart w:id="649" w:name="_Toc456364084"/>
      <w:bookmarkStart w:id="650" w:name="_Toc456365303"/>
      <w:bookmarkStart w:id="651" w:name="_Toc456366523"/>
      <w:bookmarkStart w:id="652" w:name="_Toc456367150"/>
      <w:bookmarkStart w:id="653" w:name="_Toc456367782"/>
      <w:bookmarkStart w:id="654" w:name="_Toc456368411"/>
      <w:bookmarkStart w:id="655" w:name="_Toc456369040"/>
      <w:bookmarkStart w:id="656" w:name="_Toc456369721"/>
      <w:bookmarkStart w:id="657" w:name="_Toc456370398"/>
      <w:bookmarkStart w:id="658" w:name="_Toc456371076"/>
      <w:bookmarkStart w:id="659" w:name="_Toc456517102"/>
      <w:bookmarkStart w:id="660" w:name="_Toc456360369"/>
      <w:bookmarkStart w:id="661" w:name="_Toc456364085"/>
      <w:bookmarkStart w:id="662" w:name="_Toc456365304"/>
      <w:bookmarkStart w:id="663" w:name="_Toc456366524"/>
      <w:bookmarkStart w:id="664" w:name="_Toc456367151"/>
      <w:bookmarkStart w:id="665" w:name="_Toc456367783"/>
      <w:bookmarkStart w:id="666" w:name="_Toc456368412"/>
      <w:bookmarkStart w:id="667" w:name="_Toc456369041"/>
      <w:bookmarkStart w:id="668" w:name="_Toc456369722"/>
      <w:bookmarkStart w:id="669" w:name="_Toc456370399"/>
      <w:bookmarkStart w:id="670" w:name="_Toc456371077"/>
      <w:bookmarkStart w:id="671" w:name="_Toc456517103"/>
      <w:bookmarkStart w:id="672" w:name="_Toc456360370"/>
      <w:bookmarkStart w:id="673" w:name="_Toc456364086"/>
      <w:bookmarkStart w:id="674" w:name="_Toc456365305"/>
      <w:bookmarkStart w:id="675" w:name="_Toc456366525"/>
      <w:bookmarkStart w:id="676" w:name="_Toc456367152"/>
      <w:bookmarkStart w:id="677" w:name="_Toc456367784"/>
      <w:bookmarkStart w:id="678" w:name="_Toc456368413"/>
      <w:bookmarkStart w:id="679" w:name="_Toc456369042"/>
      <w:bookmarkStart w:id="680" w:name="_Toc456369723"/>
      <w:bookmarkStart w:id="681" w:name="_Toc456370400"/>
      <w:bookmarkStart w:id="682" w:name="_Toc456371078"/>
      <w:bookmarkStart w:id="683" w:name="_Toc456517104"/>
      <w:bookmarkStart w:id="684" w:name="_Toc456360371"/>
      <w:bookmarkStart w:id="685" w:name="_Toc456364087"/>
      <w:bookmarkStart w:id="686" w:name="_Toc456365306"/>
      <w:bookmarkStart w:id="687" w:name="_Toc456366526"/>
      <w:bookmarkStart w:id="688" w:name="_Toc456367153"/>
      <w:bookmarkStart w:id="689" w:name="_Toc456367785"/>
      <w:bookmarkStart w:id="690" w:name="_Toc456368414"/>
      <w:bookmarkStart w:id="691" w:name="_Toc456369043"/>
      <w:bookmarkStart w:id="692" w:name="_Toc456369724"/>
      <w:bookmarkStart w:id="693" w:name="_Toc456370401"/>
      <w:bookmarkStart w:id="694" w:name="_Toc456371079"/>
      <w:bookmarkStart w:id="695" w:name="_Toc456517105"/>
      <w:bookmarkStart w:id="696" w:name="_Toc456360372"/>
      <w:bookmarkStart w:id="697" w:name="_Toc456364088"/>
      <w:bookmarkStart w:id="698" w:name="_Toc456365307"/>
      <w:bookmarkStart w:id="699" w:name="_Toc456366527"/>
      <w:bookmarkStart w:id="700" w:name="_Toc456367154"/>
      <w:bookmarkStart w:id="701" w:name="_Toc456367786"/>
      <w:bookmarkStart w:id="702" w:name="_Toc456368415"/>
      <w:bookmarkStart w:id="703" w:name="_Toc456369044"/>
      <w:bookmarkStart w:id="704" w:name="_Toc456369725"/>
      <w:bookmarkStart w:id="705" w:name="_Toc456370402"/>
      <w:bookmarkStart w:id="706" w:name="_Toc456371080"/>
      <w:bookmarkStart w:id="707" w:name="_Toc456517106"/>
      <w:bookmarkStart w:id="708" w:name="_Toc256000343"/>
      <w:bookmarkStart w:id="709" w:name="_Toc256000235"/>
      <w:bookmarkStart w:id="710" w:name="_Toc256000127"/>
      <w:bookmarkStart w:id="711" w:name="_Toc256000019"/>
      <w:bookmarkStart w:id="712" w:name="_Toc4581705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t>Costs of environmental impact assessments</w:t>
      </w:r>
      <w:bookmarkEnd w:id="708"/>
      <w:bookmarkEnd w:id="709"/>
      <w:bookmarkEnd w:id="710"/>
      <w:bookmarkEnd w:id="711"/>
      <w:bookmarkEnd w:id="712"/>
    </w:p>
    <w:p w:rsidR="001A641D" w:rsidRDefault="007E5C0A" w:rsidP="001A641D">
      <w:pPr>
        <w:keepLines/>
        <w:spacing w:after="120"/>
        <w:rPr>
          <w:lang w:val="en-US"/>
        </w:rPr>
      </w:pPr>
      <w:r w:rsidRPr="001A5216">
        <w:t xml:space="preserve">The </w:t>
      </w:r>
      <w:r>
        <w:t>cost</w:t>
      </w:r>
      <w:r w:rsidRPr="001A5216">
        <w:t xml:space="preserve"> for an environmental impact assessment </w:t>
      </w:r>
      <w:r>
        <w:t xml:space="preserve">generally relates to </w:t>
      </w:r>
      <w:r w:rsidRPr="001A5216">
        <w:t>staff costs. Staff costs include the base salary, superannuation and other on-costs for staff</w:t>
      </w:r>
      <w:r>
        <w:t>, at a range of classifications,</w:t>
      </w:r>
      <w:r w:rsidRPr="001A5216">
        <w:t xml:space="preserve"> who are directly involved in the assessment process. The total </w:t>
      </w:r>
      <w:r>
        <w:t>cost</w:t>
      </w:r>
      <w:r w:rsidRPr="001A5216">
        <w:t xml:space="preserve"> also includes a component of accommodation and property expenses, information technology costs and human resources support that can be attributed to staff</w:t>
      </w:r>
      <w:r>
        <w:t xml:space="preserve"> who are directly involved in the assessment process</w:t>
      </w:r>
      <w:r w:rsidRPr="00FC12C4">
        <w:t xml:space="preserve">. </w:t>
      </w:r>
      <w:r>
        <w:t>The cost of undertaking</w:t>
      </w:r>
      <w:r w:rsidRPr="00FC12C4">
        <w:t xml:space="preserve"> these </w:t>
      </w:r>
      <w:r>
        <w:t>functions</w:t>
      </w:r>
      <w:r w:rsidRPr="00FC12C4">
        <w:t xml:space="preserve"> has been </w:t>
      </w:r>
      <w:r>
        <w:t>calculated on the basis of</w:t>
      </w:r>
      <w:r w:rsidRPr="00FC12C4">
        <w:t xml:space="preserve"> best practice </w:t>
      </w:r>
      <w:r>
        <w:t xml:space="preserve">for activities necessary to conduct the function, </w:t>
      </w:r>
      <w:r w:rsidRPr="00FC12C4">
        <w:t xml:space="preserve">and </w:t>
      </w:r>
      <w:r>
        <w:t xml:space="preserve">what is </w:t>
      </w:r>
      <w:r w:rsidRPr="00FC12C4">
        <w:t xml:space="preserve">the most efficient time </w:t>
      </w:r>
      <w:r>
        <w:t xml:space="preserve">in which </w:t>
      </w:r>
      <w:r w:rsidRPr="00FC12C4">
        <w:t>to complete the activity</w:t>
      </w:r>
      <w:r>
        <w:t>.</w:t>
      </w:r>
      <w:r w:rsidRPr="00FA47C0">
        <w:rPr>
          <w:lang w:val="en-US"/>
        </w:rPr>
        <w:t xml:space="preserve"> </w:t>
      </w:r>
    </w:p>
    <w:p w:rsidR="001A641D" w:rsidRDefault="007E5C0A" w:rsidP="001A641D">
      <w:pPr>
        <w:pStyle w:val="Heading4"/>
      </w:pPr>
      <w:r w:rsidRPr="00FC12C4">
        <w:t>Changes in cost base</w:t>
      </w:r>
    </w:p>
    <w:p w:rsidR="001A641D" w:rsidRDefault="007E5C0A" w:rsidP="001A641D">
      <w:r>
        <w:t>During the 2016-17 financial year the Department does not anticipate significant capital expenditure nor increases in salary or supplier costs.  If these expenses do increase, the Department will revise the cost recovery fees in accordance with the Australian Government’s Cost Recovery Guidelines and Charging Framework.</w:t>
      </w:r>
    </w:p>
    <w:p w:rsidR="001A641D" w:rsidRPr="00DA3D23" w:rsidRDefault="007E5C0A" w:rsidP="001A641D">
      <w:pPr>
        <w:pStyle w:val="Heading4"/>
      </w:pPr>
      <w:r w:rsidRPr="00DA3D23">
        <w:t>Model assumptions – efficient costs</w:t>
      </w:r>
    </w:p>
    <w:p w:rsidR="001A641D" w:rsidRDefault="007E5C0A" w:rsidP="001A641D">
      <w:r w:rsidRPr="00CA3ABF">
        <w:t xml:space="preserve">The cost estimates for environmental impact assessments documented in this CRIS have been derived from </w:t>
      </w:r>
      <w:r>
        <w:t xml:space="preserve">targeted effort monitoring of projects, and </w:t>
      </w:r>
      <w:r w:rsidRPr="00CA3ABF">
        <w:t>a</w:t>
      </w:r>
      <w:r>
        <w:t xml:space="preserve"> further</w:t>
      </w:r>
      <w:r w:rsidRPr="00CA3ABF">
        <w:t xml:space="preserve"> analysis of projects that the Department considered to be ‘best practice’ –</w:t>
      </w:r>
      <w:r>
        <w:t xml:space="preserve"> that is,</w:t>
      </w:r>
      <w:r w:rsidRPr="00CA3ABF">
        <w:t xml:space="preserve"> projects which were assessed in the most efficient manner possible. In order to determine ‘efficient costs’</w:t>
      </w:r>
      <w:r>
        <w:t>,</w:t>
      </w:r>
      <w:r w:rsidRPr="00CA3ABF">
        <w:t xml:space="preserve"> the Department conducted focus group discussions with assessment officers with experience of a large number of assessments within the Department. </w:t>
      </w:r>
    </w:p>
    <w:p w:rsidR="001A641D" w:rsidRDefault="007E5C0A" w:rsidP="001A641D">
      <w:r w:rsidRPr="00CA3ABF">
        <w:t>The features of ‘best practice’ projects examined by these focus groups were:</w:t>
      </w:r>
    </w:p>
    <w:p w:rsidR="001A641D" w:rsidRDefault="007E5C0A" w:rsidP="001A641D">
      <w:pPr>
        <w:pStyle w:val="ListBullet"/>
      </w:pPr>
      <w:r>
        <w:rPr>
          <w:lang w:val="en-US"/>
        </w:rPr>
        <w:t>e</w:t>
      </w:r>
      <w:r w:rsidRPr="00436DFE">
        <w:rPr>
          <w:lang w:val="en-US"/>
        </w:rPr>
        <w:t xml:space="preserve">arly engagement with </w:t>
      </w:r>
      <w:r>
        <w:rPr>
          <w:lang w:val="en-US"/>
        </w:rPr>
        <w:t>applicant</w:t>
      </w:r>
      <w:r w:rsidRPr="00436DFE">
        <w:rPr>
          <w:lang w:val="en-US"/>
        </w:rPr>
        <w:t>s</w:t>
      </w:r>
      <w:r>
        <w:rPr>
          <w:lang w:val="en-US"/>
        </w:rPr>
        <w:t>;</w:t>
      </w:r>
    </w:p>
    <w:p w:rsidR="001A641D" w:rsidRDefault="007E5C0A" w:rsidP="001A641D">
      <w:pPr>
        <w:pStyle w:val="ListBullet"/>
      </w:pPr>
      <w:r>
        <w:rPr>
          <w:lang w:val="en-US"/>
        </w:rPr>
        <w:t>adequate and timely information provided by the applicant;</w:t>
      </w:r>
    </w:p>
    <w:p w:rsidR="001A641D" w:rsidRDefault="007E5C0A" w:rsidP="001A641D">
      <w:pPr>
        <w:pStyle w:val="ListBullet"/>
      </w:pPr>
      <w:r>
        <w:rPr>
          <w:lang w:val="en-US"/>
        </w:rPr>
        <w:t>ti</w:t>
      </w:r>
      <w:r w:rsidRPr="00436DFE">
        <w:rPr>
          <w:lang w:val="en-US"/>
        </w:rPr>
        <w:t>mely assessment at each stage</w:t>
      </w:r>
      <w:r>
        <w:rPr>
          <w:lang w:val="en-US"/>
        </w:rPr>
        <w:t>;</w:t>
      </w:r>
      <w:r w:rsidRPr="00436DFE">
        <w:rPr>
          <w:lang w:val="en-US"/>
        </w:rPr>
        <w:t xml:space="preserve"> and </w:t>
      </w:r>
    </w:p>
    <w:p w:rsidR="001A641D" w:rsidRDefault="007E5C0A" w:rsidP="001A641D">
      <w:pPr>
        <w:pStyle w:val="ListBullet"/>
      </w:pPr>
      <w:r>
        <w:rPr>
          <w:lang w:val="en-US"/>
        </w:rPr>
        <w:t>r</w:t>
      </w:r>
      <w:r w:rsidRPr="00436DFE">
        <w:rPr>
          <w:lang w:val="en-US"/>
        </w:rPr>
        <w:t xml:space="preserve">egular liaison with the </w:t>
      </w:r>
      <w:r>
        <w:rPr>
          <w:lang w:val="en-US"/>
        </w:rPr>
        <w:t>applicant</w:t>
      </w:r>
      <w:r w:rsidRPr="00436DFE">
        <w:rPr>
          <w:lang w:val="en-US"/>
        </w:rPr>
        <w:t xml:space="preserve"> throughout the assessment period</w:t>
      </w:r>
      <w:r>
        <w:rPr>
          <w:lang w:val="en-US"/>
        </w:rPr>
        <w:t>.</w:t>
      </w:r>
      <w:r w:rsidRPr="00436DFE">
        <w:rPr>
          <w:lang w:val="en-US"/>
        </w:rPr>
        <w:t xml:space="preserve"> </w:t>
      </w:r>
    </w:p>
    <w:p w:rsidR="001A641D" w:rsidRDefault="007E5C0A" w:rsidP="001A641D">
      <w:pPr>
        <w:rPr>
          <w:lang w:val="en-US"/>
        </w:rPr>
      </w:pPr>
      <w:r>
        <w:rPr>
          <w:lang w:val="en-US"/>
        </w:rPr>
        <w:t xml:space="preserve">For relevant projects, these steps </w:t>
      </w:r>
      <w:r w:rsidRPr="00436DFE">
        <w:rPr>
          <w:lang w:val="en-US"/>
        </w:rPr>
        <w:t xml:space="preserve">resulted in </w:t>
      </w:r>
      <w:r>
        <w:rPr>
          <w:lang w:val="en-US"/>
        </w:rPr>
        <w:t xml:space="preserve">the decision maker </w:t>
      </w:r>
      <w:r w:rsidRPr="00436DFE">
        <w:rPr>
          <w:lang w:val="en-US"/>
        </w:rPr>
        <w:t>meeting statutory timeframes</w:t>
      </w:r>
      <w:r>
        <w:rPr>
          <w:lang w:val="en-US"/>
        </w:rPr>
        <w:t>.</w:t>
      </w:r>
    </w:p>
    <w:p w:rsidR="001A641D" w:rsidRDefault="007E5C0A" w:rsidP="001A641D">
      <w:pPr>
        <w:rPr>
          <w:lang w:val="en-US"/>
        </w:rPr>
      </w:pPr>
      <w:r>
        <w:rPr>
          <w:lang w:val="en-US"/>
        </w:rPr>
        <w:t>The Department has also validated and updated these estimates through targeted effort monitoring, by recording the actual time taken by a range of officers to undertake specific activities during actual assessments.</w:t>
      </w:r>
    </w:p>
    <w:p w:rsidR="001A641D" w:rsidRDefault="007E5C0A">
      <w:pPr>
        <w:spacing w:after="0" w:line="240" w:lineRule="auto"/>
        <w:rPr>
          <w:rFonts w:cs="Arial"/>
          <w:b/>
          <w:i/>
        </w:rPr>
      </w:pPr>
      <w:bookmarkStart w:id="713" w:name="_Toc456517110"/>
      <w:bookmarkEnd w:id="713"/>
      <w:r>
        <w:br w:type="page"/>
      </w:r>
    </w:p>
    <w:p w:rsidR="001A641D" w:rsidRPr="00DA3D23" w:rsidRDefault="007E5C0A" w:rsidP="001A641D">
      <w:pPr>
        <w:pStyle w:val="Heading3"/>
        <w:ind w:left="0" w:firstLine="0"/>
      </w:pPr>
      <w:bookmarkStart w:id="714" w:name="_Toc256000344"/>
      <w:bookmarkStart w:id="715" w:name="_Toc256000236"/>
      <w:bookmarkStart w:id="716" w:name="_Toc256000128"/>
      <w:bookmarkStart w:id="717" w:name="_Toc256000020"/>
      <w:bookmarkStart w:id="718" w:name="_Toc458170525"/>
      <w:r w:rsidRPr="00DA3D23">
        <w:t>Referral Costs</w:t>
      </w:r>
      <w:bookmarkEnd w:id="714"/>
      <w:bookmarkEnd w:id="715"/>
      <w:bookmarkEnd w:id="716"/>
      <w:bookmarkEnd w:id="717"/>
      <w:bookmarkEnd w:id="718"/>
    </w:p>
    <w:p w:rsidR="001A641D" w:rsidRDefault="007E5C0A" w:rsidP="001A641D">
      <w:pPr>
        <w:rPr>
          <w:highlight w:val="yellow"/>
        </w:rPr>
      </w:pPr>
      <w:r w:rsidRPr="003172B8">
        <w:rPr>
          <w:lang w:val="en-US"/>
        </w:rPr>
        <w:t xml:space="preserve">The cost of considering whether </w:t>
      </w:r>
      <w:r>
        <w:rPr>
          <w:lang w:val="en-US"/>
        </w:rPr>
        <w:t xml:space="preserve">or not </w:t>
      </w:r>
      <w:r w:rsidRPr="003172B8">
        <w:rPr>
          <w:lang w:val="en-US"/>
        </w:rPr>
        <w:t xml:space="preserve">a referral is a controlled action are based </w:t>
      </w:r>
      <w:r w:rsidRPr="001B2596">
        <w:rPr>
          <w:lang w:val="en-US"/>
        </w:rPr>
        <w:t>on 8.32</w:t>
      </w:r>
      <w:r w:rsidRPr="003172B8">
        <w:rPr>
          <w:lang w:val="en-US"/>
        </w:rPr>
        <w:t xml:space="preserve"> equivalent person-days for an Assessment Officer </w:t>
      </w:r>
      <w:r w:rsidRPr="001B2596">
        <w:rPr>
          <w:lang w:val="en-US"/>
        </w:rPr>
        <w:t>and 2.82 equivalent</w:t>
      </w:r>
      <w:r w:rsidRPr="003172B8">
        <w:rPr>
          <w:lang w:val="en-US"/>
        </w:rPr>
        <w:t xml:space="preserve"> person-days for an</w:t>
      </w:r>
      <w:r w:rsidRPr="00FC12C4">
        <w:rPr>
          <w:lang w:val="en-US"/>
        </w:rPr>
        <w:t xml:space="preserve"> Assistant Director, along with </w:t>
      </w:r>
      <w:r w:rsidRPr="001B2596">
        <w:rPr>
          <w:lang w:val="en-US"/>
        </w:rPr>
        <w:t>oversight by the Director and Assistant Secretary</w:t>
      </w:r>
      <w:r>
        <w:rPr>
          <w:lang w:val="en-US"/>
        </w:rPr>
        <w:t xml:space="preserve"> </w:t>
      </w:r>
      <w:r w:rsidRPr="00EF179C">
        <w:rPr>
          <w:lang w:val="en-US"/>
        </w:rPr>
        <w:t>as outlined in</w:t>
      </w:r>
      <w:r>
        <w:rPr>
          <w:lang w:val="en-US"/>
        </w:rPr>
        <w:t xml:space="preserve"> </w:t>
      </w:r>
      <w:r w:rsidR="00FF3730">
        <w:fldChar w:fldCharType="begin"/>
      </w:r>
      <w:r w:rsidR="00FF3730">
        <w:instrText xml:space="preserve"> REF _Ref457985103 \h  \* MERGEFORMAT </w:instrText>
      </w:r>
      <w:r w:rsidR="00FF3730">
        <w:fldChar w:fldCharType="separate"/>
      </w:r>
      <w:r w:rsidR="00FF3730">
        <w:t>Table 1</w:t>
      </w:r>
      <w:r w:rsidR="00FF3730">
        <w:fldChar w:fldCharType="end"/>
      </w:r>
      <w:r w:rsidRPr="00DD7C8D">
        <w:t xml:space="preserve"> below.</w:t>
      </w:r>
    </w:p>
    <w:p w:rsidR="001A641D" w:rsidRDefault="007E5C0A" w:rsidP="001A641D">
      <w:pPr>
        <w:keepNext/>
        <w:rPr>
          <w:lang w:val="en-US"/>
        </w:rPr>
      </w:pPr>
      <w:r>
        <w:rPr>
          <w:lang w:val="en-US"/>
        </w:rPr>
        <w:t>Activities involved in the referral process</w:t>
      </w:r>
      <w:r w:rsidRPr="00FC12C4">
        <w:rPr>
          <w:lang w:val="en-US"/>
        </w:rPr>
        <w:t xml:space="preserve"> include: </w:t>
      </w:r>
    </w:p>
    <w:p w:rsidR="001A641D" w:rsidRDefault="007E5C0A" w:rsidP="001A641D">
      <w:pPr>
        <w:pStyle w:val="ListBullet"/>
        <w:keepNext/>
        <w:rPr>
          <w:lang w:val="en-US"/>
        </w:rPr>
      </w:pPr>
      <w:r>
        <w:rPr>
          <w:lang w:val="en-US"/>
        </w:rPr>
        <w:t>one optional p</w:t>
      </w:r>
      <w:r w:rsidRPr="00FC12C4">
        <w:rPr>
          <w:lang w:val="en-US"/>
        </w:rPr>
        <w:t>re-referral consultation</w:t>
      </w:r>
      <w:r>
        <w:rPr>
          <w:lang w:val="en-US"/>
        </w:rPr>
        <w:t xml:space="preserve"> or referral lodgment meeting</w:t>
      </w:r>
      <w:r w:rsidRPr="00FC12C4">
        <w:rPr>
          <w:lang w:val="en-US"/>
        </w:rPr>
        <w:t xml:space="preserve"> with the </w:t>
      </w:r>
      <w:r>
        <w:rPr>
          <w:lang w:val="en-US"/>
        </w:rPr>
        <w:t>applicant;</w:t>
      </w:r>
      <w:r w:rsidRPr="00FC12C4">
        <w:rPr>
          <w:lang w:val="en-US"/>
        </w:rPr>
        <w:t xml:space="preserve"> </w:t>
      </w:r>
    </w:p>
    <w:p w:rsidR="001A641D" w:rsidRDefault="007E5C0A" w:rsidP="001A641D">
      <w:pPr>
        <w:pStyle w:val="ListBullet"/>
        <w:rPr>
          <w:lang w:val="en-US"/>
        </w:rPr>
      </w:pPr>
      <w:r>
        <w:rPr>
          <w:lang w:val="en-US"/>
        </w:rPr>
        <w:t>r</w:t>
      </w:r>
      <w:r w:rsidRPr="00FC12C4">
        <w:rPr>
          <w:lang w:val="en-US"/>
        </w:rPr>
        <w:t>esearch and validation of referral information</w:t>
      </w:r>
      <w:r>
        <w:rPr>
          <w:lang w:val="en-US"/>
        </w:rPr>
        <w:t>;</w:t>
      </w:r>
      <w:r w:rsidRPr="00FC12C4">
        <w:rPr>
          <w:lang w:val="en-US"/>
        </w:rPr>
        <w:t xml:space="preserve"> </w:t>
      </w:r>
    </w:p>
    <w:p w:rsidR="001A641D" w:rsidRDefault="007E5C0A" w:rsidP="001A641D">
      <w:pPr>
        <w:pStyle w:val="ListBullet"/>
        <w:rPr>
          <w:lang w:val="en-US"/>
        </w:rPr>
      </w:pPr>
      <w:r>
        <w:rPr>
          <w:lang w:val="en-US"/>
        </w:rPr>
        <w:t>s</w:t>
      </w:r>
      <w:r w:rsidRPr="00FC12C4">
        <w:rPr>
          <w:lang w:val="en-US"/>
        </w:rPr>
        <w:t xml:space="preserve">ourcing advice from other </w:t>
      </w:r>
      <w:r>
        <w:rPr>
          <w:lang w:val="en-US"/>
        </w:rPr>
        <w:t>departmental</w:t>
      </w:r>
      <w:r w:rsidRPr="00FC12C4">
        <w:rPr>
          <w:lang w:val="en-US"/>
        </w:rPr>
        <w:t xml:space="preserve"> areas</w:t>
      </w:r>
      <w:r>
        <w:rPr>
          <w:lang w:val="en-US"/>
        </w:rPr>
        <w:t>;</w:t>
      </w:r>
      <w:r w:rsidRPr="00FC12C4">
        <w:rPr>
          <w:lang w:val="en-US"/>
        </w:rPr>
        <w:t xml:space="preserve"> </w:t>
      </w:r>
    </w:p>
    <w:p w:rsidR="001A641D" w:rsidRDefault="007E5C0A" w:rsidP="001A641D">
      <w:pPr>
        <w:pStyle w:val="ListBullet"/>
        <w:rPr>
          <w:lang w:val="en-US"/>
        </w:rPr>
      </w:pPr>
      <w:r>
        <w:rPr>
          <w:lang w:val="en-US"/>
        </w:rPr>
        <w:t>p</w:t>
      </w:r>
      <w:r w:rsidRPr="00FC12C4">
        <w:rPr>
          <w:lang w:val="en-US"/>
        </w:rPr>
        <w:t>reparation of advice to the Minister</w:t>
      </w:r>
      <w:r>
        <w:rPr>
          <w:lang w:val="en-US"/>
        </w:rPr>
        <w:t>;</w:t>
      </w:r>
      <w:r w:rsidRPr="00FC12C4">
        <w:rPr>
          <w:lang w:val="en-US"/>
        </w:rPr>
        <w:t xml:space="preserve"> </w:t>
      </w:r>
    </w:p>
    <w:p w:rsidR="001A641D" w:rsidRDefault="007E5C0A" w:rsidP="001A641D">
      <w:pPr>
        <w:pStyle w:val="ListBullet"/>
        <w:rPr>
          <w:lang w:val="en-US"/>
        </w:rPr>
      </w:pPr>
      <w:r>
        <w:rPr>
          <w:lang w:val="en-US"/>
        </w:rPr>
        <w:t>consideration of advice;</w:t>
      </w:r>
      <w:r w:rsidRPr="00FC12C4">
        <w:rPr>
          <w:lang w:val="en-US"/>
        </w:rPr>
        <w:t xml:space="preserve"> </w:t>
      </w:r>
    </w:p>
    <w:p w:rsidR="001A641D" w:rsidRDefault="007E5C0A" w:rsidP="001A641D">
      <w:pPr>
        <w:pStyle w:val="ListBullet"/>
        <w:rPr>
          <w:lang w:val="en-US"/>
        </w:rPr>
      </w:pPr>
      <w:r>
        <w:rPr>
          <w:lang w:val="en-US"/>
        </w:rPr>
        <w:t>d</w:t>
      </w:r>
      <w:r w:rsidRPr="00FC12C4">
        <w:rPr>
          <w:lang w:val="en-US"/>
        </w:rPr>
        <w:t>ecision notification</w:t>
      </w:r>
      <w:r>
        <w:rPr>
          <w:lang w:val="en-US"/>
        </w:rPr>
        <w:t xml:space="preserve">; </w:t>
      </w:r>
      <w:r w:rsidRPr="00FC12C4">
        <w:rPr>
          <w:lang w:val="en-US"/>
        </w:rPr>
        <w:t xml:space="preserve">and </w:t>
      </w:r>
    </w:p>
    <w:p w:rsidR="001A641D" w:rsidRDefault="007E5C0A" w:rsidP="001A641D">
      <w:pPr>
        <w:pStyle w:val="ListBullet"/>
        <w:rPr>
          <w:lang w:val="en-US"/>
        </w:rPr>
      </w:pPr>
      <w:r>
        <w:rPr>
          <w:lang w:val="en-US"/>
        </w:rPr>
        <w:t>d</w:t>
      </w:r>
      <w:r w:rsidRPr="00FC12C4">
        <w:rPr>
          <w:lang w:val="en-US"/>
        </w:rPr>
        <w:t xml:space="preserve">atabase input. </w:t>
      </w:r>
    </w:p>
    <w:p w:rsidR="001A641D" w:rsidRDefault="007E5C0A" w:rsidP="001A641D">
      <w:pPr>
        <w:rPr>
          <w:lang w:val="en-US"/>
        </w:rPr>
      </w:pPr>
      <w:r>
        <w:rPr>
          <w:lang w:val="en-US"/>
        </w:rPr>
        <w:t xml:space="preserve">The resources required for an optional pre-referral meeting are included in the referral costs because if no pre-referral meeting occurs, the Department still needs to do the work to ascertain the kind of information that would have been provided in a pre-referral meeting. In other words, the work represented by the pre-referral meeting needs to occur, but it can happen before or after referral. However, there will be no standalone fee imposed for a pre-referral meeting, where that meeting does not result in a referral.  </w:t>
      </w:r>
    </w:p>
    <w:p w:rsidR="001A641D" w:rsidRDefault="007E5C0A" w:rsidP="001A641D">
      <w:pPr>
        <w:pStyle w:val="Caption"/>
        <w:keepNext/>
      </w:pPr>
      <w:bookmarkStart w:id="719" w:name="_Ref457985103"/>
      <w:bookmarkStart w:id="720" w:name="_Toc256000410"/>
      <w:bookmarkStart w:id="721" w:name="_Toc256000302"/>
      <w:bookmarkStart w:id="722" w:name="_Toc256000194"/>
      <w:bookmarkStart w:id="723" w:name="_Toc256000086"/>
      <w:bookmarkStart w:id="724" w:name="_Toc458170589"/>
      <w:r>
        <w:t xml:space="preserve">Table </w:t>
      </w:r>
      <w:r w:rsidR="003366B4">
        <w:fldChar w:fldCharType="begin"/>
      </w:r>
      <w:r>
        <w:instrText xml:space="preserve"> SEQ Table \* ARABIC </w:instrText>
      </w:r>
      <w:r w:rsidR="003366B4">
        <w:fldChar w:fldCharType="separate"/>
      </w:r>
      <w:r w:rsidR="00FF3730">
        <w:rPr>
          <w:noProof/>
        </w:rPr>
        <w:t>1</w:t>
      </w:r>
      <w:r w:rsidR="003366B4">
        <w:rPr>
          <w:noProof/>
        </w:rPr>
        <w:fldChar w:fldCharType="end"/>
      </w:r>
      <w:bookmarkEnd w:id="719"/>
      <w:r>
        <w:t xml:space="preserve">. </w:t>
      </w:r>
      <w:r w:rsidRPr="00717AC8">
        <w:t>Summary of referral costs.</w:t>
      </w:r>
      <w:bookmarkEnd w:id="720"/>
      <w:bookmarkEnd w:id="721"/>
      <w:bookmarkEnd w:id="722"/>
      <w:bookmarkEnd w:id="723"/>
      <w:bookmarkEnd w:id="724"/>
    </w:p>
    <w:tbl>
      <w:tblPr>
        <w:tblStyle w:val="TableGrid"/>
        <w:tblW w:w="5000" w:type="pct"/>
        <w:tblLook w:val="04A0" w:firstRow="1" w:lastRow="0" w:firstColumn="1" w:lastColumn="0" w:noHBand="0" w:noVBand="1"/>
      </w:tblPr>
      <w:tblGrid>
        <w:gridCol w:w="3358"/>
        <w:gridCol w:w="1554"/>
        <w:gridCol w:w="1553"/>
        <w:gridCol w:w="1129"/>
        <w:gridCol w:w="850"/>
        <w:gridCol w:w="1411"/>
      </w:tblGrid>
      <w:tr w:rsidR="00397365" w:rsidTr="001A641D">
        <w:trPr>
          <w:cnfStyle w:val="100000000000" w:firstRow="1" w:lastRow="0" w:firstColumn="0" w:lastColumn="0" w:oddVBand="0" w:evenVBand="0" w:oddHBand="0" w:evenHBand="0" w:firstRowFirstColumn="0" w:firstRowLastColumn="0" w:lastRowFirstColumn="0" w:lastRowLastColumn="0"/>
        </w:trPr>
        <w:tc>
          <w:tcPr>
            <w:tcW w:w="1703" w:type="pct"/>
            <w:tcBorders>
              <w:top w:val="nil"/>
              <w:left w:val="nil"/>
              <w:bottom w:val="single" w:sz="4" w:space="0" w:color="548DD4" w:themeColor="text2" w:themeTint="99"/>
              <w:right w:val="single" w:sz="4" w:space="0" w:color="548DD4" w:themeColor="text2" w:themeTint="99"/>
            </w:tcBorders>
            <w:shd w:val="clear" w:color="auto" w:fill="auto"/>
            <w:vAlign w:val="center"/>
          </w:tcPr>
          <w:p w:rsidR="001A641D" w:rsidRPr="00E51E7F" w:rsidRDefault="001A641D" w:rsidP="001A641D">
            <w:pPr>
              <w:ind w:left="284"/>
              <w:rPr>
                <w:sz w:val="20"/>
                <w:szCs w:val="20"/>
              </w:rPr>
            </w:pPr>
          </w:p>
        </w:tc>
        <w:tc>
          <w:tcPr>
            <w:tcW w:w="258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E51E7F" w:rsidRDefault="007E5C0A" w:rsidP="001A641D">
            <w:pPr>
              <w:jc w:val="center"/>
              <w:rPr>
                <w:sz w:val="20"/>
                <w:szCs w:val="20"/>
              </w:rPr>
            </w:pPr>
            <w:r w:rsidRPr="00666DE2">
              <w:rPr>
                <w:b/>
                <w:sz w:val="20"/>
                <w:szCs w:val="20"/>
              </w:rPr>
              <w:t>Time (days)</w:t>
            </w:r>
          </w:p>
        </w:tc>
        <w:tc>
          <w:tcPr>
            <w:tcW w:w="716" w:type="pct"/>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E51E7F" w:rsidRDefault="007E5C0A" w:rsidP="001A641D">
            <w:pPr>
              <w:jc w:val="center"/>
              <w:rPr>
                <w:sz w:val="20"/>
                <w:szCs w:val="20"/>
              </w:rPr>
            </w:pPr>
            <w:r w:rsidRPr="00666DE2">
              <w:rPr>
                <w:b/>
                <w:sz w:val="20"/>
                <w:szCs w:val="20"/>
              </w:rPr>
              <w:t xml:space="preserve">Total </w:t>
            </w:r>
            <w:r>
              <w:rPr>
                <w:b/>
                <w:sz w:val="20"/>
                <w:szCs w:val="20"/>
              </w:rPr>
              <w:t>cost</w:t>
            </w:r>
            <w:r w:rsidRPr="00666DE2">
              <w:rPr>
                <w:b/>
                <w:sz w:val="20"/>
                <w:szCs w:val="20"/>
              </w:rPr>
              <w:t xml:space="preserve"> ($)</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170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666DE2" w:rsidRDefault="007E5C0A" w:rsidP="001A641D">
            <w:pPr>
              <w:jc w:val="center"/>
              <w:rPr>
                <w:sz w:val="20"/>
                <w:szCs w:val="20"/>
              </w:rPr>
            </w:pPr>
            <w:r w:rsidRPr="00666DE2">
              <w:rPr>
                <w:b/>
                <w:sz w:val="20"/>
                <w:szCs w:val="20"/>
              </w:rPr>
              <w:t>Activity</w:t>
            </w:r>
          </w:p>
        </w:tc>
        <w:tc>
          <w:tcPr>
            <w:tcW w:w="78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sidRPr="00666DE2">
              <w:rPr>
                <w:b/>
                <w:sz w:val="20"/>
                <w:szCs w:val="20"/>
              </w:rPr>
              <w:t>Assessment Officer</w:t>
            </w:r>
          </w:p>
        </w:tc>
        <w:tc>
          <w:tcPr>
            <w:tcW w:w="78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sidRPr="00666DE2">
              <w:rPr>
                <w:b/>
                <w:sz w:val="20"/>
                <w:szCs w:val="20"/>
              </w:rPr>
              <w:t>Assistant Director</w:t>
            </w:r>
          </w:p>
        </w:tc>
        <w:tc>
          <w:tcPr>
            <w:tcW w:w="57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sidRPr="00666DE2">
              <w:rPr>
                <w:b/>
                <w:sz w:val="20"/>
                <w:szCs w:val="20"/>
              </w:rPr>
              <w:t>Director</w:t>
            </w:r>
          </w:p>
        </w:tc>
        <w:tc>
          <w:tcPr>
            <w:tcW w:w="430"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Pr>
                <w:b/>
                <w:sz w:val="20"/>
                <w:szCs w:val="20"/>
              </w:rPr>
              <w:t>SES</w:t>
            </w:r>
          </w:p>
        </w:tc>
        <w:tc>
          <w:tcPr>
            <w:tcW w:w="716" w:type="pct"/>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E51E7F" w:rsidRDefault="001A641D" w:rsidP="001A641D">
            <w:pPr>
              <w:jc w:val="right"/>
              <w:rPr>
                <w:sz w:val="20"/>
                <w:szCs w:val="20"/>
              </w:rPr>
            </w:pP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170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sidRPr="008A0EDF">
              <w:rPr>
                <w:sz w:val="20"/>
                <w:szCs w:val="20"/>
              </w:rPr>
              <w:t>Referral</w:t>
            </w:r>
          </w:p>
        </w:tc>
        <w:tc>
          <w:tcPr>
            <w:tcW w:w="78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sidRPr="001B2596">
              <w:rPr>
                <w:sz w:val="20"/>
                <w:szCs w:val="20"/>
              </w:rPr>
              <w:t>8.32</w:t>
            </w:r>
          </w:p>
        </w:tc>
        <w:tc>
          <w:tcPr>
            <w:tcW w:w="78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sidRPr="001B2596">
              <w:rPr>
                <w:sz w:val="20"/>
                <w:szCs w:val="20"/>
              </w:rPr>
              <w:t>2.82</w:t>
            </w:r>
          </w:p>
        </w:tc>
        <w:tc>
          <w:tcPr>
            <w:tcW w:w="57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sidRPr="001B2596">
              <w:rPr>
                <w:sz w:val="20"/>
                <w:szCs w:val="20"/>
              </w:rPr>
              <w:t>0.63</w:t>
            </w:r>
          </w:p>
        </w:tc>
        <w:tc>
          <w:tcPr>
            <w:tcW w:w="430"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sidRPr="001B2596">
              <w:rPr>
                <w:sz w:val="20"/>
                <w:szCs w:val="20"/>
              </w:rPr>
              <w:t>0.17</w:t>
            </w:r>
          </w:p>
        </w:tc>
        <w:tc>
          <w:tcPr>
            <w:tcW w:w="716"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rPr>
            </w:pPr>
            <w:r w:rsidRPr="00870181">
              <w:rPr>
                <w:sz w:val="20"/>
                <w:szCs w:val="20"/>
              </w:rPr>
              <w:t>$6,577</w:t>
            </w:r>
          </w:p>
        </w:tc>
      </w:tr>
    </w:tbl>
    <w:p w:rsidR="001A641D" w:rsidRDefault="001A641D">
      <w:pPr>
        <w:rPr>
          <w:lang w:val="en-US"/>
        </w:rPr>
      </w:pPr>
    </w:p>
    <w:p w:rsidR="001A641D" w:rsidRDefault="007E5C0A">
      <w:pPr>
        <w:spacing w:after="0" w:line="240" w:lineRule="auto"/>
        <w:rPr>
          <w:rFonts w:cs="Arial"/>
          <w:b/>
          <w:i/>
        </w:rPr>
      </w:pPr>
      <w:r>
        <w:br w:type="page"/>
      </w:r>
    </w:p>
    <w:p w:rsidR="001A641D" w:rsidRPr="00DA3D23" w:rsidRDefault="007E5C0A" w:rsidP="001A641D">
      <w:pPr>
        <w:pStyle w:val="Heading3"/>
        <w:ind w:left="0" w:firstLine="0"/>
      </w:pPr>
      <w:bookmarkStart w:id="725" w:name="_Toc256000345"/>
      <w:bookmarkStart w:id="726" w:name="_Toc256000237"/>
      <w:bookmarkStart w:id="727" w:name="_Toc256000129"/>
      <w:bookmarkStart w:id="728" w:name="_Toc256000021"/>
      <w:bookmarkStart w:id="729" w:name="_Toc458170526"/>
      <w:r w:rsidRPr="00DA3D23">
        <w:t>Evaluation of action management plans costs</w:t>
      </w:r>
      <w:bookmarkEnd w:id="725"/>
      <w:bookmarkEnd w:id="726"/>
      <w:bookmarkEnd w:id="727"/>
      <w:bookmarkEnd w:id="728"/>
      <w:bookmarkEnd w:id="729"/>
    </w:p>
    <w:p w:rsidR="001A641D" w:rsidRDefault="007E5C0A" w:rsidP="001A641D">
      <w:pPr>
        <w:rPr>
          <w:lang w:val="en-US"/>
        </w:rPr>
      </w:pPr>
      <w:r w:rsidRPr="001E38AC">
        <w:rPr>
          <w:lang w:val="en-US"/>
        </w:rPr>
        <w:t xml:space="preserve">The </w:t>
      </w:r>
      <w:r>
        <w:rPr>
          <w:lang w:val="en-US"/>
        </w:rPr>
        <w:t>evaluation</w:t>
      </w:r>
      <w:r w:rsidRPr="001E38AC">
        <w:rPr>
          <w:lang w:val="en-US"/>
        </w:rPr>
        <w:t xml:space="preserve"> of an action management plan requires </w:t>
      </w:r>
      <w:r w:rsidRPr="001B2596">
        <w:rPr>
          <w:lang w:val="en-US"/>
        </w:rPr>
        <w:t>on average 3.47 equivalent person-days for an Assessment Officer and 0.93 equivalent person-days for an Assistant Director, along with oversight by the Director and Assistant Secretary.</w:t>
      </w:r>
      <w:r w:rsidRPr="00FC12C4">
        <w:rPr>
          <w:lang w:val="en-US"/>
        </w:rPr>
        <w:t xml:space="preserve"> </w:t>
      </w:r>
    </w:p>
    <w:p w:rsidR="001A641D" w:rsidRDefault="007E5C0A" w:rsidP="001A641D">
      <w:pPr>
        <w:rPr>
          <w:lang w:val="en-US"/>
        </w:rPr>
      </w:pPr>
      <w:r>
        <w:rPr>
          <w:lang w:val="en-US"/>
        </w:rPr>
        <w:t>Activities in the evaluation of an action management plan</w:t>
      </w:r>
      <w:r w:rsidRPr="00FC12C4">
        <w:rPr>
          <w:lang w:val="en-US"/>
        </w:rPr>
        <w:t xml:space="preserve"> include: </w:t>
      </w:r>
    </w:p>
    <w:p w:rsidR="001A641D" w:rsidRDefault="007E5C0A" w:rsidP="001A641D">
      <w:pPr>
        <w:pStyle w:val="ListBullet"/>
        <w:rPr>
          <w:lang w:val="en-US"/>
        </w:rPr>
      </w:pPr>
      <w:r>
        <w:rPr>
          <w:lang w:val="en-US"/>
        </w:rPr>
        <w:t>r</w:t>
      </w:r>
      <w:r w:rsidRPr="00FC12C4">
        <w:rPr>
          <w:lang w:val="en-US"/>
        </w:rPr>
        <w:t xml:space="preserve">eview of </w:t>
      </w:r>
      <w:r>
        <w:rPr>
          <w:lang w:val="en-US"/>
        </w:rPr>
        <w:t xml:space="preserve">a proposed action </w:t>
      </w:r>
      <w:r w:rsidRPr="00FC12C4">
        <w:rPr>
          <w:lang w:val="en-US"/>
        </w:rPr>
        <w:t xml:space="preserve">management plan to ensure that </w:t>
      </w:r>
      <w:r>
        <w:rPr>
          <w:lang w:val="en-US"/>
        </w:rPr>
        <w:t>it</w:t>
      </w:r>
      <w:r w:rsidRPr="00FC12C4">
        <w:rPr>
          <w:lang w:val="en-US"/>
        </w:rPr>
        <w:t xml:space="preserve"> adequately meets the requirement</w:t>
      </w:r>
      <w:r>
        <w:rPr>
          <w:lang w:val="en-US"/>
        </w:rPr>
        <w:t>(s)</w:t>
      </w:r>
      <w:r w:rsidRPr="00FC12C4">
        <w:rPr>
          <w:lang w:val="en-US"/>
        </w:rPr>
        <w:t xml:space="preserve"> of the condition that </w:t>
      </w:r>
      <w:r>
        <w:rPr>
          <w:lang w:val="en-US"/>
        </w:rPr>
        <w:t xml:space="preserve">triggers preparation of </w:t>
      </w:r>
      <w:r w:rsidRPr="00FC12C4">
        <w:rPr>
          <w:lang w:val="en-US"/>
        </w:rPr>
        <w:t>the plan</w:t>
      </w:r>
      <w:r>
        <w:rPr>
          <w:lang w:val="en-US"/>
        </w:rPr>
        <w:t>;</w:t>
      </w:r>
    </w:p>
    <w:p w:rsidR="001A641D" w:rsidRDefault="007E5C0A" w:rsidP="001A641D">
      <w:pPr>
        <w:pStyle w:val="ListBullet"/>
        <w:rPr>
          <w:lang w:val="en-US"/>
        </w:rPr>
      </w:pPr>
      <w:r>
        <w:rPr>
          <w:lang w:val="en-US"/>
        </w:rPr>
        <w:t>c</w:t>
      </w:r>
      <w:r w:rsidRPr="00FC12C4">
        <w:rPr>
          <w:lang w:val="en-US"/>
        </w:rPr>
        <w:t xml:space="preserve">onsultation with the </w:t>
      </w:r>
      <w:r>
        <w:rPr>
          <w:lang w:val="en-US"/>
        </w:rPr>
        <w:t>applicant;</w:t>
      </w:r>
    </w:p>
    <w:p w:rsidR="001A641D" w:rsidRDefault="007E5C0A" w:rsidP="001A641D">
      <w:pPr>
        <w:pStyle w:val="ListBullet"/>
        <w:rPr>
          <w:lang w:val="en-US"/>
        </w:rPr>
      </w:pPr>
      <w:r>
        <w:rPr>
          <w:lang w:val="en-US"/>
        </w:rPr>
        <w:t>r</w:t>
      </w:r>
      <w:r w:rsidRPr="00FC12C4">
        <w:rPr>
          <w:lang w:val="en-US"/>
        </w:rPr>
        <w:t>esearch and validation</w:t>
      </w:r>
      <w:r>
        <w:rPr>
          <w:lang w:val="en-US"/>
        </w:rPr>
        <w:t xml:space="preserve"> of new information;</w:t>
      </w:r>
    </w:p>
    <w:p w:rsidR="001A641D" w:rsidRDefault="007E5C0A" w:rsidP="001A641D">
      <w:pPr>
        <w:pStyle w:val="ListBullet"/>
        <w:rPr>
          <w:lang w:val="en-US"/>
        </w:rPr>
      </w:pPr>
      <w:r>
        <w:rPr>
          <w:lang w:val="en-US"/>
        </w:rPr>
        <w:t>s</w:t>
      </w:r>
      <w:r w:rsidRPr="00FC12C4">
        <w:rPr>
          <w:lang w:val="en-US"/>
        </w:rPr>
        <w:t xml:space="preserve">ourcing of advice from other </w:t>
      </w:r>
      <w:r>
        <w:rPr>
          <w:lang w:val="en-US"/>
        </w:rPr>
        <w:t>departmental</w:t>
      </w:r>
      <w:r w:rsidRPr="00FC12C4">
        <w:rPr>
          <w:lang w:val="en-US"/>
        </w:rPr>
        <w:t xml:space="preserve"> areas</w:t>
      </w:r>
      <w:r>
        <w:rPr>
          <w:lang w:val="en-US"/>
        </w:rPr>
        <w:t>;</w:t>
      </w:r>
    </w:p>
    <w:p w:rsidR="001A641D" w:rsidRDefault="007E5C0A" w:rsidP="001A641D">
      <w:pPr>
        <w:pStyle w:val="ListBullet"/>
        <w:rPr>
          <w:lang w:val="en-US"/>
        </w:rPr>
      </w:pPr>
      <w:r>
        <w:rPr>
          <w:lang w:val="en-US"/>
        </w:rPr>
        <w:t>p</w:t>
      </w:r>
      <w:r w:rsidRPr="00FC12C4">
        <w:rPr>
          <w:lang w:val="en-US"/>
        </w:rPr>
        <w:t>reparation of advice to the Minister</w:t>
      </w:r>
      <w:r>
        <w:rPr>
          <w:lang w:val="en-US"/>
        </w:rPr>
        <w:t>;</w:t>
      </w:r>
    </w:p>
    <w:p w:rsidR="001A641D" w:rsidRDefault="007E5C0A" w:rsidP="001A641D">
      <w:pPr>
        <w:pStyle w:val="ListBullet"/>
        <w:rPr>
          <w:lang w:val="en-US"/>
        </w:rPr>
      </w:pPr>
      <w:r>
        <w:rPr>
          <w:lang w:val="en-US"/>
        </w:rPr>
        <w:t>consideration of advice; and</w:t>
      </w:r>
    </w:p>
    <w:p w:rsidR="001A641D" w:rsidRDefault="007E5C0A" w:rsidP="001A641D">
      <w:pPr>
        <w:pStyle w:val="ListBullet"/>
        <w:rPr>
          <w:lang w:val="en-US"/>
        </w:rPr>
      </w:pPr>
      <w:r>
        <w:rPr>
          <w:lang w:val="en-US"/>
        </w:rPr>
        <w:t>d</w:t>
      </w:r>
      <w:r w:rsidRPr="00FC12C4">
        <w:rPr>
          <w:lang w:val="en-US"/>
        </w:rPr>
        <w:t>ecision notification.</w:t>
      </w:r>
      <w:r>
        <w:rPr>
          <w:lang w:val="en-US"/>
        </w:rPr>
        <w:t xml:space="preserve"> </w:t>
      </w:r>
    </w:p>
    <w:p w:rsidR="001A641D" w:rsidRDefault="007E5C0A" w:rsidP="001A641D">
      <w:pPr>
        <w:rPr>
          <w:lang w:val="en-US"/>
        </w:rPr>
      </w:pPr>
      <w:r w:rsidRPr="00FC12C4">
        <w:rPr>
          <w:lang w:val="en-US"/>
        </w:rPr>
        <w:t xml:space="preserve">A summary of the </w:t>
      </w:r>
      <w:r>
        <w:rPr>
          <w:lang w:val="en-US"/>
        </w:rPr>
        <w:t xml:space="preserve">action </w:t>
      </w:r>
      <w:r w:rsidRPr="00FC12C4">
        <w:rPr>
          <w:lang w:val="en-US"/>
        </w:rPr>
        <w:t xml:space="preserve">management plan </w:t>
      </w:r>
      <w:r>
        <w:rPr>
          <w:lang w:val="en-US"/>
        </w:rPr>
        <w:t>evaluation</w:t>
      </w:r>
      <w:r w:rsidRPr="00FC12C4">
        <w:rPr>
          <w:lang w:val="en-US"/>
        </w:rPr>
        <w:t xml:space="preserve"> </w:t>
      </w:r>
      <w:r>
        <w:rPr>
          <w:lang w:val="en-US"/>
        </w:rPr>
        <w:t>costs</w:t>
      </w:r>
      <w:r w:rsidRPr="00FC12C4">
        <w:rPr>
          <w:lang w:val="en-US"/>
        </w:rPr>
        <w:t xml:space="preserve"> is </w:t>
      </w:r>
      <w:r w:rsidRPr="00DD7C8D">
        <w:rPr>
          <w:lang w:val="en-US"/>
        </w:rPr>
        <w:t xml:space="preserve">outlined in </w:t>
      </w:r>
      <w:r w:rsidR="00FF3730">
        <w:fldChar w:fldCharType="begin"/>
      </w:r>
      <w:r w:rsidR="00FF3730">
        <w:instrText xml:space="preserve"> REF _Ref457985129 \h  \* MERGEFORMAT </w:instrText>
      </w:r>
      <w:r w:rsidR="00FF3730">
        <w:fldChar w:fldCharType="separate"/>
      </w:r>
      <w:r w:rsidR="00FF3730">
        <w:t>Table 2</w:t>
      </w:r>
      <w:r w:rsidR="00FF3730">
        <w:fldChar w:fldCharType="end"/>
      </w:r>
      <w:r w:rsidRPr="00DD7C8D">
        <w:rPr>
          <w:lang w:val="en-US"/>
        </w:rPr>
        <w:t xml:space="preserve"> below.</w:t>
      </w:r>
    </w:p>
    <w:p w:rsidR="001A641D" w:rsidRDefault="007E5C0A" w:rsidP="001A641D">
      <w:pPr>
        <w:pStyle w:val="Caption"/>
        <w:keepNext/>
      </w:pPr>
      <w:bookmarkStart w:id="730" w:name="_Ref457985129"/>
      <w:bookmarkStart w:id="731" w:name="_Toc256000411"/>
      <w:bookmarkStart w:id="732" w:name="_Toc256000303"/>
      <w:bookmarkStart w:id="733" w:name="_Toc256000195"/>
      <w:bookmarkStart w:id="734" w:name="_Toc256000087"/>
      <w:bookmarkStart w:id="735" w:name="_Toc458170590"/>
      <w:r>
        <w:t xml:space="preserve">Table </w:t>
      </w:r>
      <w:r w:rsidR="003366B4">
        <w:fldChar w:fldCharType="begin"/>
      </w:r>
      <w:r>
        <w:instrText xml:space="preserve"> SEQ Table \* ARABIC </w:instrText>
      </w:r>
      <w:r w:rsidR="003366B4">
        <w:fldChar w:fldCharType="separate"/>
      </w:r>
      <w:r w:rsidR="00FF3730">
        <w:rPr>
          <w:noProof/>
        </w:rPr>
        <w:t>2</w:t>
      </w:r>
      <w:r w:rsidR="003366B4">
        <w:rPr>
          <w:noProof/>
        </w:rPr>
        <w:fldChar w:fldCharType="end"/>
      </w:r>
      <w:bookmarkEnd w:id="730"/>
      <w:r>
        <w:t xml:space="preserve">. </w:t>
      </w:r>
      <w:r w:rsidRPr="008A3353">
        <w:t xml:space="preserve">Summary of </w:t>
      </w:r>
      <w:r>
        <w:t>costs to evaluate an action management plan post approval</w:t>
      </w:r>
      <w:r w:rsidRPr="008A3353">
        <w:t>.</w:t>
      </w:r>
      <w:bookmarkEnd w:id="731"/>
      <w:bookmarkEnd w:id="732"/>
      <w:bookmarkEnd w:id="733"/>
      <w:bookmarkEnd w:id="734"/>
      <w:bookmarkEnd w:id="735"/>
    </w:p>
    <w:tbl>
      <w:tblPr>
        <w:tblStyle w:val="TableGrid"/>
        <w:tblW w:w="0" w:type="auto"/>
        <w:tblLook w:val="04A0" w:firstRow="1" w:lastRow="0" w:firstColumn="1" w:lastColumn="0" w:noHBand="0" w:noVBand="1"/>
      </w:tblPr>
      <w:tblGrid>
        <w:gridCol w:w="3129"/>
        <w:gridCol w:w="1855"/>
        <w:gridCol w:w="1657"/>
        <w:gridCol w:w="983"/>
        <w:gridCol w:w="890"/>
        <w:gridCol w:w="1341"/>
      </w:tblGrid>
      <w:tr w:rsidR="00397365" w:rsidTr="001A641D">
        <w:trPr>
          <w:cnfStyle w:val="100000000000" w:firstRow="1" w:lastRow="0" w:firstColumn="0" w:lastColumn="0" w:oddVBand="0" w:evenVBand="0" w:oddHBand="0" w:evenHBand="0" w:firstRowFirstColumn="0" w:firstRowLastColumn="0" w:lastRowFirstColumn="0" w:lastRowLastColumn="0"/>
        </w:trPr>
        <w:tc>
          <w:tcPr>
            <w:tcW w:w="0" w:type="auto"/>
            <w:tcBorders>
              <w:top w:val="nil"/>
              <w:left w:val="nil"/>
              <w:bottom w:val="single" w:sz="4" w:space="0" w:color="548DD4" w:themeColor="text2" w:themeTint="99"/>
              <w:right w:val="single" w:sz="4" w:space="0" w:color="548DD4" w:themeColor="text2" w:themeTint="99"/>
            </w:tcBorders>
            <w:shd w:val="clear" w:color="auto" w:fill="auto"/>
            <w:vAlign w:val="center"/>
          </w:tcPr>
          <w:p w:rsidR="001A641D" w:rsidRPr="00E51E7F" w:rsidRDefault="001A641D" w:rsidP="001A641D">
            <w:pPr>
              <w:ind w:left="284"/>
              <w:rPr>
                <w:sz w:val="20"/>
                <w:szCs w:val="20"/>
              </w:rPr>
            </w:pPr>
          </w:p>
        </w:tc>
        <w:tc>
          <w:tcPr>
            <w:tcW w:w="0" w:type="auto"/>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E51E7F" w:rsidRDefault="007E5C0A" w:rsidP="001A641D">
            <w:pPr>
              <w:jc w:val="center"/>
              <w:rPr>
                <w:sz w:val="20"/>
                <w:szCs w:val="20"/>
              </w:rPr>
            </w:pPr>
            <w:r w:rsidRPr="00666DE2">
              <w:rPr>
                <w:b/>
                <w:sz w:val="20"/>
                <w:szCs w:val="20"/>
              </w:rPr>
              <w:t>Time (days)</w:t>
            </w:r>
          </w:p>
        </w:tc>
        <w:tc>
          <w:tcPr>
            <w:tcW w:w="0" w:type="auto"/>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E51E7F" w:rsidRDefault="007E5C0A" w:rsidP="001A641D">
            <w:pPr>
              <w:jc w:val="center"/>
              <w:rPr>
                <w:sz w:val="20"/>
                <w:szCs w:val="20"/>
              </w:rPr>
            </w:pPr>
            <w:r w:rsidRPr="00666DE2">
              <w:rPr>
                <w:b/>
                <w:sz w:val="20"/>
                <w:szCs w:val="20"/>
              </w:rPr>
              <w:t xml:space="preserve">Total </w:t>
            </w:r>
            <w:r>
              <w:rPr>
                <w:b/>
                <w:sz w:val="20"/>
                <w:szCs w:val="20"/>
              </w:rPr>
              <w:t>cost</w:t>
            </w:r>
            <w:r w:rsidRPr="00666DE2">
              <w:rPr>
                <w:b/>
                <w:sz w:val="20"/>
                <w:szCs w:val="20"/>
              </w:rPr>
              <w:t xml:space="preserve"> ($)</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666DE2" w:rsidRDefault="007E5C0A" w:rsidP="001A641D">
            <w:pPr>
              <w:jc w:val="center"/>
              <w:rPr>
                <w:sz w:val="20"/>
                <w:szCs w:val="20"/>
              </w:rPr>
            </w:pPr>
            <w:r w:rsidRPr="00666DE2">
              <w:rPr>
                <w:b/>
                <w:sz w:val="20"/>
                <w:szCs w:val="20"/>
              </w:rPr>
              <w:t>Activity</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sidRPr="00666DE2">
              <w:rPr>
                <w:b/>
                <w:sz w:val="20"/>
                <w:szCs w:val="20"/>
              </w:rPr>
              <w:t>Assessment Officer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sidRPr="00666DE2">
              <w:rPr>
                <w:b/>
                <w:sz w:val="20"/>
                <w:szCs w:val="20"/>
              </w:rPr>
              <w:t>Assistant 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sidRPr="00666DE2">
              <w:rPr>
                <w:b/>
                <w:sz w:val="20"/>
                <w:szCs w:val="20"/>
              </w:rPr>
              <w:t>Director</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jc w:val="center"/>
              <w:rPr>
                <w:sz w:val="20"/>
                <w:szCs w:val="20"/>
              </w:rPr>
            </w:pPr>
            <w:r>
              <w:rPr>
                <w:b/>
                <w:sz w:val="20"/>
                <w:szCs w:val="20"/>
              </w:rPr>
              <w:t>SES</w:t>
            </w:r>
          </w:p>
        </w:tc>
        <w:tc>
          <w:tcPr>
            <w:tcW w:w="0" w:type="auto"/>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E51E7F" w:rsidRDefault="001A641D" w:rsidP="001A641D">
            <w:pPr>
              <w:jc w:val="right"/>
              <w:rPr>
                <w:sz w:val="20"/>
                <w:szCs w:val="20"/>
              </w:rPr>
            </w:pP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Pr>
                <w:sz w:val="20"/>
                <w:szCs w:val="20"/>
              </w:rPr>
              <w:t>Evaluation of new action management plan</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ind w:left="284"/>
              <w:rPr>
                <w:sz w:val="20"/>
                <w:szCs w:val="20"/>
              </w:rPr>
            </w:pPr>
            <w:r w:rsidRPr="001B2596">
              <w:rPr>
                <w:sz w:val="20"/>
                <w:szCs w:val="20"/>
              </w:rPr>
              <w:t>3.47</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ind w:left="284"/>
              <w:rPr>
                <w:sz w:val="20"/>
                <w:szCs w:val="20"/>
              </w:rPr>
            </w:pPr>
            <w:r w:rsidRPr="001B2596">
              <w:rPr>
                <w:sz w:val="20"/>
                <w:szCs w:val="20"/>
              </w:rPr>
              <w:t>0.93</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ind w:left="284"/>
              <w:rPr>
                <w:sz w:val="20"/>
                <w:szCs w:val="20"/>
              </w:rPr>
            </w:pPr>
            <w:r w:rsidRPr="001B2596">
              <w:rPr>
                <w:sz w:val="20"/>
                <w:szCs w:val="20"/>
              </w:rPr>
              <w:t>0.40</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ind w:left="284"/>
              <w:rPr>
                <w:sz w:val="20"/>
                <w:szCs w:val="20"/>
              </w:rPr>
            </w:pPr>
            <w:r w:rsidRPr="001B2596">
              <w:rPr>
                <w:sz w:val="20"/>
                <w:szCs w:val="20"/>
              </w:rPr>
              <w:t>0.07</w:t>
            </w:r>
          </w:p>
        </w:tc>
        <w:tc>
          <w:tcPr>
            <w:tcW w:w="0" w:type="auto"/>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ind w:left="284"/>
              <w:rPr>
                <w:sz w:val="20"/>
                <w:szCs w:val="20"/>
              </w:rPr>
            </w:pPr>
            <w:r w:rsidRPr="00DF48D8">
              <w:rPr>
                <w:sz w:val="20"/>
                <w:szCs w:val="20"/>
              </w:rPr>
              <w:t>$2,690</w:t>
            </w:r>
          </w:p>
        </w:tc>
      </w:tr>
    </w:tbl>
    <w:p w:rsidR="001A641D" w:rsidRDefault="001A641D" w:rsidP="001A641D">
      <w:pPr>
        <w:rPr>
          <w:lang w:val="en-US"/>
        </w:rPr>
      </w:pPr>
    </w:p>
    <w:p w:rsidR="001A641D" w:rsidRDefault="007E5C0A">
      <w:pPr>
        <w:spacing w:after="0" w:line="240" w:lineRule="auto"/>
        <w:rPr>
          <w:rFonts w:cs="Arial"/>
          <w:b/>
          <w:i/>
        </w:rPr>
      </w:pPr>
      <w:bookmarkStart w:id="736" w:name="_Ref458069835"/>
      <w:r>
        <w:br w:type="page"/>
      </w:r>
    </w:p>
    <w:p w:rsidR="001A641D" w:rsidRPr="00DA3D23" w:rsidRDefault="007E5C0A" w:rsidP="001A641D">
      <w:pPr>
        <w:pStyle w:val="Heading3"/>
        <w:ind w:left="0" w:firstLine="0"/>
      </w:pPr>
      <w:bookmarkStart w:id="737" w:name="_Toc256000346"/>
      <w:bookmarkStart w:id="738" w:name="_Toc256000238"/>
      <w:bookmarkStart w:id="739" w:name="_Toc256000130"/>
      <w:bookmarkStart w:id="740" w:name="_Toc256000022"/>
      <w:bookmarkStart w:id="741" w:name="_Ref458075301"/>
      <w:bookmarkStart w:id="742" w:name="_Toc458170527"/>
      <w:r w:rsidRPr="00DA3D23">
        <w:t>Contingent Costs</w:t>
      </w:r>
      <w:bookmarkEnd w:id="736"/>
      <w:bookmarkEnd w:id="737"/>
      <w:bookmarkEnd w:id="738"/>
      <w:bookmarkEnd w:id="739"/>
      <w:bookmarkEnd w:id="740"/>
      <w:bookmarkEnd w:id="741"/>
      <w:bookmarkEnd w:id="742"/>
      <w:r w:rsidRPr="00DA3D23">
        <w:t xml:space="preserve"> </w:t>
      </w:r>
    </w:p>
    <w:p w:rsidR="001A641D" w:rsidRDefault="007E5C0A" w:rsidP="001A641D">
      <w:pPr>
        <w:rPr>
          <w:lang w:val="en-US"/>
        </w:rPr>
      </w:pPr>
      <w:r>
        <w:rPr>
          <w:lang w:val="en-US"/>
        </w:rPr>
        <w:t>Contingent costs relate to additional statutory steps under the EPBC Act which may be required in certain circumstances during referrals, assessments or post approval</w:t>
      </w:r>
      <w:r w:rsidRPr="00004684">
        <w:rPr>
          <w:lang w:val="en-US"/>
        </w:rPr>
        <w:t xml:space="preserve">. The statutory bases for these contingent </w:t>
      </w:r>
      <w:r>
        <w:rPr>
          <w:lang w:val="en-US"/>
        </w:rPr>
        <w:t>activities</w:t>
      </w:r>
      <w:r w:rsidRPr="00004684">
        <w:rPr>
          <w:lang w:val="en-US"/>
        </w:rPr>
        <w:t xml:space="preserve"> are </w:t>
      </w:r>
      <w:r w:rsidRPr="00DD7C8D">
        <w:rPr>
          <w:lang w:val="en-US"/>
        </w:rPr>
        <w:t xml:space="preserve">outlined in </w:t>
      </w:r>
      <w:r w:rsidR="00FF3730">
        <w:fldChar w:fldCharType="begin"/>
      </w:r>
      <w:r w:rsidR="00FF3730">
        <w:instrText xml:space="preserve"> REF _Ref457985143 \h  \* MERGEFORMAT </w:instrText>
      </w:r>
      <w:r w:rsidR="00FF3730">
        <w:fldChar w:fldCharType="separate"/>
      </w:r>
      <w:r w:rsidR="00FF3730">
        <w:t>Table 3</w:t>
      </w:r>
      <w:r w:rsidR="00FF3730">
        <w:fldChar w:fldCharType="end"/>
      </w:r>
      <w:r w:rsidRPr="00DD7C8D">
        <w:rPr>
          <w:lang w:val="en-US"/>
        </w:rPr>
        <w:t xml:space="preserve"> below. These</w:t>
      </w:r>
      <w:r>
        <w:rPr>
          <w:lang w:val="en-US"/>
        </w:rPr>
        <w:t xml:space="preserve"> additional statutory steps relate to: </w:t>
      </w:r>
    </w:p>
    <w:p w:rsidR="001A641D" w:rsidRDefault="007E5C0A" w:rsidP="001A641D">
      <w:pPr>
        <w:pStyle w:val="ListBullet"/>
        <w:rPr>
          <w:lang w:val="en-US"/>
        </w:rPr>
      </w:pPr>
      <w:r>
        <w:rPr>
          <w:lang w:val="en-US"/>
        </w:rPr>
        <w:t>situations where the applicant does not include adequate information in referral or assessment documentation and the Minister must request further information to make a decision;</w:t>
      </w:r>
    </w:p>
    <w:p w:rsidR="001A641D" w:rsidRDefault="007E5C0A" w:rsidP="001A641D">
      <w:pPr>
        <w:pStyle w:val="ListBullet"/>
        <w:rPr>
          <w:lang w:val="en-US"/>
        </w:rPr>
      </w:pPr>
      <w:r>
        <w:rPr>
          <w:lang w:val="en-US"/>
        </w:rPr>
        <w:t>reconsideration of the controlled action decision at the applicant’s request;</w:t>
      </w:r>
    </w:p>
    <w:p w:rsidR="001A641D" w:rsidRDefault="007E5C0A" w:rsidP="001A641D">
      <w:pPr>
        <w:pStyle w:val="ListBullet"/>
        <w:rPr>
          <w:lang w:val="en-US"/>
        </w:rPr>
      </w:pPr>
      <w:r>
        <w:rPr>
          <w:lang w:val="en-US"/>
        </w:rPr>
        <w:t>requests to vary the proposed action during the referral or assessment;</w:t>
      </w:r>
    </w:p>
    <w:p w:rsidR="001A641D" w:rsidRDefault="007E5C0A" w:rsidP="001A641D">
      <w:pPr>
        <w:pStyle w:val="ListBullet"/>
        <w:rPr>
          <w:lang w:val="en-US"/>
        </w:rPr>
      </w:pPr>
      <w:r>
        <w:rPr>
          <w:lang w:val="en-US"/>
        </w:rPr>
        <w:t>work conducted post-approval relating to the variation of conditions of approval or of an action management plan at the applicant’s request, transfer of the approval to a new approval holder or extension of the period of approval.</w:t>
      </w:r>
      <w:r w:rsidRPr="00FE13BC">
        <w:rPr>
          <w:lang w:val="en-US"/>
        </w:rPr>
        <w:t xml:space="preserve"> </w:t>
      </w:r>
    </w:p>
    <w:p w:rsidR="001A641D" w:rsidRDefault="007E5C0A" w:rsidP="001A641D">
      <w:pPr>
        <w:rPr>
          <w:lang w:val="en-US"/>
        </w:rPr>
      </w:pPr>
      <w:r w:rsidRPr="00FC12C4">
        <w:rPr>
          <w:lang w:val="en-US"/>
        </w:rPr>
        <w:t>In these cases</w:t>
      </w:r>
      <w:r>
        <w:rPr>
          <w:lang w:val="en-US"/>
        </w:rPr>
        <w:t>,</w:t>
      </w:r>
      <w:r w:rsidRPr="00FC12C4">
        <w:rPr>
          <w:lang w:val="en-US"/>
        </w:rPr>
        <w:t xml:space="preserve"> additional </w:t>
      </w:r>
      <w:r>
        <w:rPr>
          <w:lang w:val="en-US"/>
        </w:rPr>
        <w:t>departmental</w:t>
      </w:r>
      <w:r w:rsidRPr="00FC12C4">
        <w:rPr>
          <w:lang w:val="en-US"/>
        </w:rPr>
        <w:t xml:space="preserve"> staff time is required to review and address these issues, resulting in additional costs.</w:t>
      </w:r>
      <w:r>
        <w:rPr>
          <w:lang w:val="en-US"/>
        </w:rPr>
        <w:t xml:space="preserve"> </w:t>
      </w:r>
    </w:p>
    <w:p w:rsidR="001A641D" w:rsidRDefault="007E5C0A" w:rsidP="001A641D">
      <w:pPr>
        <w:pStyle w:val="Caption"/>
        <w:keepNext/>
      </w:pPr>
      <w:bookmarkStart w:id="743" w:name="_Ref457985143"/>
      <w:bookmarkStart w:id="744" w:name="_Toc256000412"/>
      <w:bookmarkStart w:id="745" w:name="_Toc256000304"/>
      <w:bookmarkStart w:id="746" w:name="_Toc256000196"/>
      <w:bookmarkStart w:id="747" w:name="_Toc256000088"/>
      <w:bookmarkStart w:id="748" w:name="_Toc458170591"/>
      <w:r>
        <w:t xml:space="preserve">Table </w:t>
      </w:r>
      <w:r w:rsidR="003366B4">
        <w:fldChar w:fldCharType="begin"/>
      </w:r>
      <w:r>
        <w:instrText xml:space="preserve"> SEQ Table \* ARABIC </w:instrText>
      </w:r>
      <w:r w:rsidR="003366B4">
        <w:fldChar w:fldCharType="separate"/>
      </w:r>
      <w:r w:rsidR="00FF3730">
        <w:rPr>
          <w:noProof/>
        </w:rPr>
        <w:t>3</w:t>
      </w:r>
      <w:r w:rsidR="003366B4">
        <w:rPr>
          <w:noProof/>
        </w:rPr>
        <w:fldChar w:fldCharType="end"/>
      </w:r>
      <w:bookmarkEnd w:id="743"/>
      <w:r>
        <w:t xml:space="preserve">. </w:t>
      </w:r>
      <w:r w:rsidRPr="00624990">
        <w:t>Summary of contingent activities.</w:t>
      </w:r>
      <w:bookmarkEnd w:id="744"/>
      <w:bookmarkEnd w:id="745"/>
      <w:bookmarkEnd w:id="746"/>
      <w:bookmarkEnd w:id="747"/>
      <w:bookmarkEnd w:id="748"/>
    </w:p>
    <w:tbl>
      <w:tblPr>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7301"/>
        <w:gridCol w:w="2554"/>
      </w:tblGrid>
      <w:tr w:rsidR="00397365" w:rsidTr="001A641D">
        <w:trPr>
          <w:trHeight w:val="945"/>
          <w:tblHeader/>
        </w:trPr>
        <w:tc>
          <w:tcPr>
            <w:tcW w:w="3704" w:type="pct"/>
            <w:tcBorders>
              <w:bottom w:val="single" w:sz="4" w:space="0" w:color="548DD4" w:themeColor="text2" w:themeTint="99"/>
            </w:tcBorders>
            <w:shd w:val="clear" w:color="auto" w:fill="C6D9F1" w:themeFill="text2" w:themeFillTint="33"/>
            <w:vAlign w:val="center"/>
            <w:hideMark/>
          </w:tcPr>
          <w:p w:rsidR="001A641D" w:rsidRPr="000431A6" w:rsidRDefault="007E5C0A" w:rsidP="001A641D">
            <w:pPr>
              <w:jc w:val="center"/>
              <w:rPr>
                <w:b/>
                <w:sz w:val="20"/>
                <w:szCs w:val="20"/>
                <w:lang w:eastAsia="en-AU"/>
              </w:rPr>
            </w:pPr>
            <w:r w:rsidRPr="000431A6">
              <w:rPr>
                <w:b/>
                <w:sz w:val="20"/>
                <w:szCs w:val="20"/>
                <w:lang w:eastAsia="en-AU"/>
              </w:rPr>
              <w:t>Activity</w:t>
            </w:r>
          </w:p>
        </w:tc>
        <w:tc>
          <w:tcPr>
            <w:tcW w:w="1296" w:type="pct"/>
            <w:tcBorders>
              <w:bottom w:val="single" w:sz="4" w:space="0" w:color="548DD4" w:themeColor="text2" w:themeTint="99"/>
            </w:tcBorders>
            <w:shd w:val="clear" w:color="auto" w:fill="C6D9F1" w:themeFill="text2" w:themeFillTint="33"/>
          </w:tcPr>
          <w:p w:rsidR="001A641D" w:rsidRPr="000431A6" w:rsidRDefault="007E5C0A" w:rsidP="001A641D">
            <w:pPr>
              <w:jc w:val="center"/>
              <w:rPr>
                <w:b/>
                <w:sz w:val="20"/>
                <w:szCs w:val="20"/>
                <w:lang w:eastAsia="en-AU"/>
              </w:rPr>
            </w:pPr>
            <w:r>
              <w:rPr>
                <w:b/>
                <w:sz w:val="20"/>
                <w:szCs w:val="20"/>
                <w:lang w:eastAsia="en-AU"/>
              </w:rPr>
              <w:t>Section of EPBC Act authorising contingent activity</w:t>
            </w:r>
          </w:p>
        </w:tc>
      </w:tr>
      <w:tr w:rsidR="00397365" w:rsidTr="001A641D">
        <w:tc>
          <w:tcPr>
            <w:tcW w:w="5000" w:type="pct"/>
            <w:gridSpan w:val="2"/>
            <w:tcBorders>
              <w:bottom w:val="single" w:sz="4" w:space="0" w:color="548DD4" w:themeColor="text2" w:themeTint="99"/>
            </w:tcBorders>
            <w:shd w:val="clear" w:color="auto" w:fill="C6D9F1" w:themeFill="text2" w:themeFillTint="33"/>
            <w:vAlign w:val="center"/>
            <w:hideMark/>
          </w:tcPr>
          <w:p w:rsidR="001A641D" w:rsidRPr="00524CB0" w:rsidRDefault="007E5C0A" w:rsidP="001A641D">
            <w:pPr>
              <w:spacing w:before="120" w:after="120"/>
              <w:ind w:right="176"/>
              <w:rPr>
                <w:sz w:val="20"/>
                <w:szCs w:val="20"/>
                <w:lang w:eastAsia="en-AU"/>
              </w:rPr>
            </w:pPr>
            <w:r w:rsidRPr="00524CB0">
              <w:rPr>
                <w:sz w:val="20"/>
                <w:szCs w:val="20"/>
                <w:lang w:eastAsia="en-AU"/>
              </w:rPr>
              <w:t>Assessment contingent activities</w:t>
            </w:r>
          </w:p>
        </w:tc>
      </w:tr>
      <w:tr w:rsidR="00397365" w:rsidTr="001A641D">
        <w:trPr>
          <w:trHeight w:val="346"/>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sidRPr="009949EE">
              <w:rPr>
                <w:sz w:val="20"/>
                <w:szCs w:val="20"/>
                <w:lang w:eastAsia="en-AU"/>
              </w:rPr>
              <w:t>Request additional information</w:t>
            </w:r>
            <w:r>
              <w:rPr>
                <w:sz w:val="20"/>
                <w:szCs w:val="20"/>
                <w:lang w:eastAsia="en-AU"/>
              </w:rPr>
              <w:t xml:space="preserve"> for referral or assessment approach decision</w:t>
            </w:r>
          </w:p>
        </w:tc>
        <w:tc>
          <w:tcPr>
            <w:tcW w:w="1296" w:type="pct"/>
            <w:tcBorders>
              <w:left w:val="nil"/>
              <w:right w:val="single" w:sz="4" w:space="0" w:color="548DD4" w:themeColor="text2" w:themeTint="99"/>
            </w:tcBorders>
            <w:vAlign w:val="center"/>
          </w:tcPr>
          <w:p w:rsidR="001A641D" w:rsidRDefault="007E5C0A" w:rsidP="001A641D">
            <w:pPr>
              <w:spacing w:before="120" w:after="120"/>
              <w:ind w:right="176"/>
              <w:rPr>
                <w:sz w:val="20"/>
                <w:szCs w:val="20"/>
                <w:lang w:eastAsia="en-AU"/>
              </w:rPr>
            </w:pPr>
            <w:r>
              <w:rPr>
                <w:sz w:val="20"/>
                <w:szCs w:val="20"/>
                <w:lang w:eastAsia="en-AU"/>
              </w:rPr>
              <w:t>Section 76</w:t>
            </w:r>
          </w:p>
          <w:p w:rsidR="001A641D" w:rsidRDefault="007E5C0A" w:rsidP="001A641D">
            <w:pPr>
              <w:spacing w:before="120" w:after="120"/>
              <w:ind w:right="176"/>
              <w:rPr>
                <w:sz w:val="20"/>
                <w:szCs w:val="20"/>
                <w:lang w:eastAsia="en-AU"/>
              </w:rPr>
            </w:pPr>
            <w:r>
              <w:rPr>
                <w:sz w:val="20"/>
                <w:szCs w:val="20"/>
                <w:lang w:eastAsia="en-AU"/>
              </w:rPr>
              <w:t xml:space="preserve">Section 89 </w:t>
            </w:r>
          </w:p>
        </w:tc>
      </w:tr>
      <w:tr w:rsidR="00397365" w:rsidTr="001A641D">
        <w:trPr>
          <w:trHeight w:val="290"/>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sidRPr="009949EE">
              <w:rPr>
                <w:sz w:val="20"/>
                <w:szCs w:val="20"/>
                <w:lang w:eastAsia="en-AU"/>
              </w:rPr>
              <w:t xml:space="preserve">Request additional information </w:t>
            </w:r>
            <w:r>
              <w:rPr>
                <w:sz w:val="20"/>
                <w:szCs w:val="20"/>
                <w:lang w:eastAsia="en-AU"/>
              </w:rPr>
              <w:t>for approval decision</w:t>
            </w:r>
          </w:p>
        </w:tc>
        <w:tc>
          <w:tcPr>
            <w:tcW w:w="1296" w:type="pct"/>
            <w:tcBorders>
              <w:left w:val="nil"/>
              <w:right w:val="single" w:sz="4" w:space="0" w:color="548DD4" w:themeColor="text2" w:themeTint="99"/>
            </w:tcBorders>
            <w:vAlign w:val="center"/>
          </w:tcPr>
          <w:p w:rsidR="001A641D" w:rsidRDefault="007E5C0A" w:rsidP="001A641D">
            <w:pPr>
              <w:spacing w:before="120" w:after="120"/>
              <w:ind w:right="176"/>
              <w:rPr>
                <w:sz w:val="20"/>
                <w:szCs w:val="20"/>
                <w:lang w:eastAsia="en-AU"/>
              </w:rPr>
            </w:pPr>
            <w:r>
              <w:rPr>
                <w:sz w:val="20"/>
                <w:szCs w:val="20"/>
                <w:lang w:eastAsia="en-AU"/>
              </w:rPr>
              <w:t>Section 132</w:t>
            </w:r>
          </w:p>
          <w:p w:rsidR="001A641D" w:rsidRDefault="007E5C0A" w:rsidP="001A641D">
            <w:pPr>
              <w:spacing w:before="120" w:after="120"/>
              <w:ind w:right="176"/>
              <w:rPr>
                <w:sz w:val="20"/>
                <w:szCs w:val="20"/>
                <w:lang w:eastAsia="en-AU"/>
              </w:rPr>
            </w:pPr>
            <w:r w:rsidRPr="000A19EF">
              <w:rPr>
                <w:sz w:val="20"/>
                <w:szCs w:val="20"/>
                <w:lang w:eastAsia="en-AU"/>
              </w:rPr>
              <w:t>Section 134(3D)</w:t>
            </w:r>
          </w:p>
        </w:tc>
      </w:tr>
      <w:tr w:rsidR="00397365" w:rsidTr="001A641D">
        <w:trPr>
          <w:trHeight w:val="568"/>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sidRPr="00A55F57">
              <w:rPr>
                <w:sz w:val="20"/>
                <w:szCs w:val="20"/>
                <w:lang w:eastAsia="en-AU"/>
              </w:rPr>
              <w:t>Reconsideration of the controlled action decision at the applicant</w:t>
            </w:r>
            <w:r>
              <w:rPr>
                <w:sz w:val="20"/>
                <w:szCs w:val="20"/>
                <w:lang w:eastAsia="en-AU"/>
              </w:rPr>
              <w:t>’</w:t>
            </w:r>
            <w:r w:rsidRPr="00A55F57">
              <w:rPr>
                <w:sz w:val="20"/>
                <w:szCs w:val="20"/>
                <w:lang w:eastAsia="en-AU"/>
              </w:rPr>
              <w:t>s request</w:t>
            </w:r>
          </w:p>
        </w:tc>
        <w:tc>
          <w:tcPr>
            <w:tcW w:w="1296" w:type="pct"/>
            <w:tcBorders>
              <w:left w:val="nil"/>
              <w:right w:val="single" w:sz="4" w:space="0" w:color="548DD4" w:themeColor="text2" w:themeTint="99"/>
            </w:tcBorders>
            <w:vAlign w:val="center"/>
          </w:tcPr>
          <w:p w:rsidR="001A641D" w:rsidRDefault="007E5C0A" w:rsidP="001A641D">
            <w:pPr>
              <w:spacing w:before="120" w:after="120"/>
              <w:ind w:right="176"/>
              <w:rPr>
                <w:sz w:val="20"/>
                <w:szCs w:val="20"/>
                <w:lang w:eastAsia="en-AU"/>
              </w:rPr>
            </w:pPr>
            <w:r>
              <w:rPr>
                <w:sz w:val="20"/>
                <w:szCs w:val="20"/>
                <w:lang w:eastAsia="en-AU"/>
              </w:rPr>
              <w:t>Division 3 of Part 7 of Chapter 4</w:t>
            </w:r>
          </w:p>
        </w:tc>
      </w:tr>
      <w:tr w:rsidR="00397365" w:rsidTr="001A641D">
        <w:trPr>
          <w:trHeight w:val="532"/>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Variation to proposed action</w:t>
            </w:r>
          </w:p>
        </w:tc>
        <w:tc>
          <w:tcPr>
            <w:tcW w:w="1296" w:type="pct"/>
            <w:tcBorders>
              <w:left w:val="nil"/>
              <w:right w:val="single" w:sz="4" w:space="0" w:color="548DD4" w:themeColor="text2" w:themeTint="99"/>
            </w:tcBorders>
            <w:shd w:val="clear" w:color="auto" w:fill="auto"/>
            <w:vAlign w:val="center"/>
          </w:tcPr>
          <w:p w:rsidR="001A641D" w:rsidRDefault="007E5C0A" w:rsidP="001A641D">
            <w:pPr>
              <w:spacing w:before="120" w:after="120"/>
              <w:ind w:right="176"/>
              <w:rPr>
                <w:sz w:val="20"/>
                <w:szCs w:val="20"/>
                <w:lang w:eastAsia="en-AU"/>
              </w:rPr>
            </w:pPr>
            <w:r>
              <w:rPr>
                <w:sz w:val="20"/>
                <w:szCs w:val="20"/>
                <w:lang w:eastAsia="en-AU"/>
              </w:rPr>
              <w:t>Section 156A</w:t>
            </w:r>
          </w:p>
        </w:tc>
      </w:tr>
      <w:tr w:rsidR="00397365" w:rsidTr="001A641D">
        <w:trPr>
          <w:trHeight w:val="568"/>
        </w:trPr>
        <w:tc>
          <w:tcPr>
            <w:tcW w:w="5000" w:type="pct"/>
            <w:gridSpan w:val="2"/>
            <w:tcBorders>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ind w:right="176"/>
              <w:rPr>
                <w:sz w:val="20"/>
                <w:szCs w:val="20"/>
                <w:lang w:eastAsia="en-AU"/>
              </w:rPr>
            </w:pPr>
            <w:r>
              <w:rPr>
                <w:sz w:val="20"/>
                <w:szCs w:val="20"/>
                <w:lang w:eastAsia="en-AU"/>
              </w:rPr>
              <w:t>Post approval contingent activities</w:t>
            </w:r>
          </w:p>
        </w:tc>
      </w:tr>
      <w:tr w:rsidR="00397365" w:rsidTr="001A641D">
        <w:trPr>
          <w:trHeight w:val="315"/>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sidRPr="009949EE">
              <w:rPr>
                <w:sz w:val="20"/>
                <w:szCs w:val="20"/>
                <w:lang w:eastAsia="en-AU"/>
              </w:rPr>
              <w:t>Variation of conditions</w:t>
            </w:r>
          </w:p>
        </w:tc>
        <w:tc>
          <w:tcPr>
            <w:tcW w:w="1296" w:type="pct"/>
            <w:tcBorders>
              <w:left w:val="nil"/>
              <w:right w:val="single" w:sz="4" w:space="0" w:color="548DD4" w:themeColor="text2" w:themeTint="99"/>
            </w:tcBorders>
            <w:vAlign w:val="center"/>
          </w:tcPr>
          <w:p w:rsidR="001A641D" w:rsidRDefault="007E5C0A" w:rsidP="001A641D">
            <w:pPr>
              <w:spacing w:before="120" w:after="120"/>
              <w:ind w:right="176"/>
              <w:rPr>
                <w:sz w:val="20"/>
                <w:szCs w:val="20"/>
                <w:lang w:eastAsia="en-AU"/>
              </w:rPr>
            </w:pPr>
            <w:r>
              <w:rPr>
                <w:sz w:val="20"/>
                <w:szCs w:val="20"/>
                <w:lang w:eastAsia="en-AU"/>
              </w:rPr>
              <w:t>Section 143</w:t>
            </w:r>
          </w:p>
        </w:tc>
      </w:tr>
      <w:tr w:rsidR="00397365" w:rsidTr="001A641D">
        <w:trPr>
          <w:trHeight w:val="514"/>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sidRPr="009949EE">
              <w:rPr>
                <w:sz w:val="20"/>
                <w:szCs w:val="20"/>
                <w:lang w:eastAsia="en-AU"/>
              </w:rPr>
              <w:t>Variation of an action management plan under conditions of approval</w:t>
            </w:r>
          </w:p>
        </w:tc>
        <w:tc>
          <w:tcPr>
            <w:tcW w:w="1296" w:type="pct"/>
            <w:tcBorders>
              <w:left w:val="nil"/>
              <w:right w:val="single" w:sz="4" w:space="0" w:color="548DD4" w:themeColor="text2" w:themeTint="99"/>
            </w:tcBorders>
            <w:vAlign w:val="center"/>
          </w:tcPr>
          <w:p w:rsidR="001A641D" w:rsidRDefault="007E5C0A" w:rsidP="001A641D">
            <w:pPr>
              <w:spacing w:before="120" w:after="120"/>
              <w:ind w:right="176"/>
              <w:rPr>
                <w:sz w:val="20"/>
                <w:szCs w:val="20"/>
                <w:lang w:eastAsia="en-AU"/>
              </w:rPr>
            </w:pPr>
            <w:r w:rsidRPr="000A19EF">
              <w:rPr>
                <w:sz w:val="20"/>
                <w:szCs w:val="20"/>
                <w:lang w:eastAsia="en-AU"/>
              </w:rPr>
              <w:t>Section 143A</w:t>
            </w:r>
          </w:p>
        </w:tc>
      </w:tr>
      <w:tr w:rsidR="00397365" w:rsidTr="001A641D">
        <w:trPr>
          <w:trHeight w:val="532"/>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sidRPr="009949EE">
              <w:rPr>
                <w:sz w:val="20"/>
                <w:szCs w:val="20"/>
                <w:lang w:eastAsia="en-AU"/>
              </w:rPr>
              <w:t xml:space="preserve">Administrative variation </w:t>
            </w:r>
            <w:r>
              <w:rPr>
                <w:sz w:val="20"/>
                <w:szCs w:val="20"/>
                <w:lang w:eastAsia="en-AU"/>
              </w:rPr>
              <w:t>of an</w:t>
            </w:r>
            <w:r w:rsidRPr="009949EE">
              <w:rPr>
                <w:sz w:val="20"/>
                <w:szCs w:val="20"/>
                <w:lang w:eastAsia="en-AU"/>
              </w:rPr>
              <w:t xml:space="preserve"> action management plan under conditions of approval</w:t>
            </w:r>
          </w:p>
        </w:tc>
        <w:tc>
          <w:tcPr>
            <w:tcW w:w="1296" w:type="pct"/>
            <w:tcBorders>
              <w:left w:val="nil"/>
              <w:right w:val="single" w:sz="4" w:space="0" w:color="548DD4" w:themeColor="text2" w:themeTint="99"/>
            </w:tcBorders>
            <w:vAlign w:val="center"/>
          </w:tcPr>
          <w:p w:rsidR="001A641D" w:rsidRDefault="007E5C0A" w:rsidP="001A641D">
            <w:pPr>
              <w:spacing w:before="120" w:after="120"/>
              <w:ind w:right="176"/>
              <w:rPr>
                <w:sz w:val="20"/>
                <w:szCs w:val="20"/>
                <w:lang w:eastAsia="en-AU"/>
              </w:rPr>
            </w:pPr>
            <w:r w:rsidRPr="000A19EF">
              <w:rPr>
                <w:sz w:val="20"/>
                <w:szCs w:val="20"/>
                <w:lang w:eastAsia="en-AU"/>
              </w:rPr>
              <w:t>Section 143A</w:t>
            </w:r>
          </w:p>
        </w:tc>
      </w:tr>
      <w:tr w:rsidR="00397365" w:rsidTr="001A641D">
        <w:trPr>
          <w:trHeight w:val="532"/>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Transfer of approval to new approval holder</w:t>
            </w:r>
          </w:p>
        </w:tc>
        <w:tc>
          <w:tcPr>
            <w:tcW w:w="1296" w:type="pct"/>
            <w:tcBorders>
              <w:left w:val="nil"/>
              <w:right w:val="single" w:sz="4" w:space="0" w:color="548DD4" w:themeColor="text2" w:themeTint="99"/>
            </w:tcBorders>
            <w:shd w:val="clear" w:color="auto" w:fill="auto"/>
            <w:vAlign w:val="center"/>
          </w:tcPr>
          <w:p w:rsidR="001A641D" w:rsidRDefault="007E5C0A" w:rsidP="001A641D">
            <w:pPr>
              <w:spacing w:before="120" w:after="120"/>
              <w:ind w:right="176"/>
              <w:rPr>
                <w:sz w:val="20"/>
                <w:szCs w:val="20"/>
                <w:lang w:eastAsia="en-AU"/>
              </w:rPr>
            </w:pPr>
            <w:r>
              <w:rPr>
                <w:sz w:val="20"/>
                <w:szCs w:val="20"/>
                <w:lang w:eastAsia="en-AU"/>
              </w:rPr>
              <w:t>Section 145B</w:t>
            </w:r>
          </w:p>
        </w:tc>
      </w:tr>
      <w:tr w:rsidR="00397365" w:rsidTr="001A641D">
        <w:trPr>
          <w:trHeight w:val="532"/>
        </w:trPr>
        <w:tc>
          <w:tcPr>
            <w:tcW w:w="3704" w:type="pct"/>
            <w:tcBorders>
              <w:right w:val="nil"/>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Extension to approval expiry date</w:t>
            </w:r>
          </w:p>
        </w:tc>
        <w:tc>
          <w:tcPr>
            <w:tcW w:w="1296" w:type="pct"/>
            <w:tcBorders>
              <w:left w:val="nil"/>
              <w:right w:val="single" w:sz="4" w:space="0" w:color="548DD4" w:themeColor="text2" w:themeTint="99"/>
            </w:tcBorders>
            <w:shd w:val="clear" w:color="auto" w:fill="auto"/>
            <w:vAlign w:val="center"/>
          </w:tcPr>
          <w:p w:rsidR="001A641D" w:rsidRDefault="007E5C0A" w:rsidP="001A641D">
            <w:pPr>
              <w:spacing w:before="120" w:after="120"/>
              <w:ind w:right="176"/>
              <w:rPr>
                <w:sz w:val="20"/>
                <w:szCs w:val="20"/>
                <w:lang w:eastAsia="en-AU"/>
              </w:rPr>
            </w:pPr>
            <w:r>
              <w:rPr>
                <w:sz w:val="20"/>
                <w:szCs w:val="20"/>
                <w:lang w:eastAsia="en-AU"/>
              </w:rPr>
              <w:t>Section 145D</w:t>
            </w:r>
          </w:p>
        </w:tc>
      </w:tr>
    </w:tbl>
    <w:p w:rsidR="001A641D" w:rsidRDefault="001A641D" w:rsidP="001A641D">
      <w:pPr>
        <w:rPr>
          <w:lang w:val="en-US"/>
        </w:rPr>
      </w:pPr>
    </w:p>
    <w:p w:rsidR="001A641D" w:rsidRDefault="007E5C0A" w:rsidP="001A641D">
      <w:pPr>
        <w:keepNext/>
        <w:rPr>
          <w:lang w:val="en-US"/>
        </w:rPr>
      </w:pPr>
      <w:r w:rsidRPr="00FC12C4">
        <w:rPr>
          <w:lang w:val="en-US"/>
        </w:rPr>
        <w:t xml:space="preserve">If the Minister needs to request additional information </w:t>
      </w:r>
      <w:r>
        <w:rPr>
          <w:lang w:val="en-US"/>
        </w:rPr>
        <w:t>to make a</w:t>
      </w:r>
      <w:r w:rsidRPr="00FC12C4">
        <w:rPr>
          <w:lang w:val="en-US"/>
        </w:rPr>
        <w:t xml:space="preserve"> </w:t>
      </w:r>
      <w:r>
        <w:rPr>
          <w:lang w:val="en-US"/>
        </w:rPr>
        <w:t>decision</w:t>
      </w:r>
      <w:r w:rsidRPr="00FC12C4">
        <w:rPr>
          <w:lang w:val="en-US"/>
        </w:rPr>
        <w:t xml:space="preserve"> due to </w:t>
      </w:r>
      <w:r>
        <w:rPr>
          <w:lang w:val="en-US"/>
        </w:rPr>
        <w:t xml:space="preserve">a </w:t>
      </w:r>
      <w:r w:rsidRPr="00FC12C4">
        <w:rPr>
          <w:lang w:val="en-US"/>
        </w:rPr>
        <w:t xml:space="preserve">substantial gap in information, then contingent </w:t>
      </w:r>
      <w:r>
        <w:rPr>
          <w:lang w:val="en-US"/>
        </w:rPr>
        <w:t>activities</w:t>
      </w:r>
      <w:r w:rsidRPr="00FC12C4">
        <w:rPr>
          <w:lang w:val="en-US"/>
        </w:rPr>
        <w:t xml:space="preserve"> for requesting </w:t>
      </w:r>
      <w:r>
        <w:rPr>
          <w:lang w:val="en-US"/>
        </w:rPr>
        <w:t xml:space="preserve">and reviewing </w:t>
      </w:r>
      <w:r w:rsidRPr="00FC12C4">
        <w:rPr>
          <w:lang w:val="en-US"/>
        </w:rPr>
        <w:t xml:space="preserve">additional information will be </w:t>
      </w:r>
      <w:r>
        <w:rPr>
          <w:lang w:val="en-US"/>
        </w:rPr>
        <w:t>necessary</w:t>
      </w:r>
      <w:r w:rsidRPr="00FC12C4">
        <w:rPr>
          <w:lang w:val="en-US"/>
        </w:rPr>
        <w:t xml:space="preserve">. These </w:t>
      </w:r>
      <w:r>
        <w:rPr>
          <w:lang w:val="en-US"/>
        </w:rPr>
        <w:t>related activities</w:t>
      </w:r>
      <w:r w:rsidRPr="00FC12C4">
        <w:rPr>
          <w:lang w:val="en-US"/>
        </w:rPr>
        <w:t xml:space="preserve"> include: </w:t>
      </w:r>
    </w:p>
    <w:p w:rsidR="001A641D" w:rsidRDefault="007E5C0A" w:rsidP="001A641D">
      <w:pPr>
        <w:pStyle w:val="ListBullet"/>
        <w:rPr>
          <w:lang w:val="en-US"/>
        </w:rPr>
      </w:pPr>
      <w:r>
        <w:rPr>
          <w:lang w:val="en-US"/>
        </w:rPr>
        <w:t>t</w:t>
      </w:r>
      <w:r w:rsidRPr="00FC12C4">
        <w:rPr>
          <w:lang w:val="en-US"/>
        </w:rPr>
        <w:t>he assessment of additional information required</w:t>
      </w:r>
      <w:r>
        <w:rPr>
          <w:lang w:val="en-US"/>
        </w:rPr>
        <w:t>;</w:t>
      </w:r>
    </w:p>
    <w:p w:rsidR="001A641D" w:rsidRDefault="007E5C0A" w:rsidP="001A641D">
      <w:pPr>
        <w:pStyle w:val="ListBullet"/>
        <w:rPr>
          <w:lang w:val="en-US"/>
        </w:rPr>
      </w:pPr>
      <w:r>
        <w:rPr>
          <w:lang w:val="en-US"/>
        </w:rPr>
        <w:t>d</w:t>
      </w:r>
      <w:r w:rsidRPr="00FC12C4">
        <w:rPr>
          <w:lang w:val="en-US"/>
        </w:rPr>
        <w:t xml:space="preserve">iscussion with </w:t>
      </w:r>
      <w:r>
        <w:rPr>
          <w:lang w:val="en-US"/>
        </w:rPr>
        <w:t>proponent or other provider of information</w:t>
      </w:r>
      <w:r w:rsidRPr="00FC12C4">
        <w:rPr>
          <w:lang w:val="en-US"/>
        </w:rPr>
        <w:t xml:space="preserve"> to ensure requirements </w:t>
      </w:r>
      <w:r>
        <w:rPr>
          <w:lang w:val="en-US"/>
        </w:rPr>
        <w:t xml:space="preserve">are </w:t>
      </w:r>
      <w:r w:rsidRPr="00FC12C4">
        <w:rPr>
          <w:lang w:val="en-US"/>
        </w:rPr>
        <w:t>understood</w:t>
      </w:r>
      <w:r>
        <w:rPr>
          <w:lang w:val="en-US"/>
        </w:rPr>
        <w:t>;</w:t>
      </w:r>
    </w:p>
    <w:p w:rsidR="001A641D" w:rsidRDefault="007E5C0A" w:rsidP="001A641D">
      <w:pPr>
        <w:pStyle w:val="ListBullet"/>
        <w:rPr>
          <w:lang w:val="en-US"/>
        </w:rPr>
      </w:pPr>
      <w:r>
        <w:rPr>
          <w:lang w:val="en-US"/>
        </w:rPr>
        <w:t>r</w:t>
      </w:r>
      <w:r w:rsidRPr="00FC12C4">
        <w:rPr>
          <w:lang w:val="en-US"/>
        </w:rPr>
        <w:t>eview and validation of additional information</w:t>
      </w:r>
      <w:r>
        <w:rPr>
          <w:lang w:val="en-US"/>
        </w:rPr>
        <w:t xml:space="preserve"> provided;</w:t>
      </w:r>
    </w:p>
    <w:p w:rsidR="001A641D" w:rsidRDefault="007E5C0A" w:rsidP="001A641D">
      <w:pPr>
        <w:pStyle w:val="ListBullet"/>
        <w:rPr>
          <w:lang w:val="en-US"/>
        </w:rPr>
      </w:pPr>
      <w:r>
        <w:rPr>
          <w:lang w:val="en-US"/>
        </w:rPr>
        <w:t>p</w:t>
      </w:r>
      <w:r w:rsidRPr="00FC12C4">
        <w:rPr>
          <w:lang w:val="en-US"/>
        </w:rPr>
        <w:t xml:space="preserve">reparation of </w:t>
      </w:r>
      <w:r>
        <w:rPr>
          <w:lang w:val="en-US"/>
        </w:rPr>
        <w:t xml:space="preserve">a </w:t>
      </w:r>
      <w:r w:rsidRPr="00FC12C4">
        <w:rPr>
          <w:lang w:val="en-US"/>
        </w:rPr>
        <w:t>statutory decision</w:t>
      </w:r>
      <w:r>
        <w:rPr>
          <w:lang w:val="en-US"/>
        </w:rPr>
        <w:t>;</w:t>
      </w:r>
      <w:r w:rsidRPr="00FC12C4">
        <w:rPr>
          <w:lang w:val="en-US"/>
        </w:rPr>
        <w:t xml:space="preserve"> and </w:t>
      </w:r>
    </w:p>
    <w:p w:rsidR="001A641D" w:rsidRDefault="007E5C0A" w:rsidP="001A641D">
      <w:pPr>
        <w:pStyle w:val="ListBullet"/>
        <w:rPr>
          <w:lang w:val="en-US"/>
        </w:rPr>
      </w:pPr>
      <w:r>
        <w:rPr>
          <w:lang w:val="en-US"/>
        </w:rPr>
        <w:t>n</w:t>
      </w:r>
      <w:r w:rsidRPr="00FC12C4">
        <w:rPr>
          <w:lang w:val="en-US"/>
        </w:rPr>
        <w:t xml:space="preserve">egotiation of any additional requirements on the basis of new information. </w:t>
      </w:r>
    </w:p>
    <w:p w:rsidR="001A641D" w:rsidRDefault="007E5C0A" w:rsidP="001A641D">
      <w:pPr>
        <w:spacing w:after="120"/>
        <w:rPr>
          <w:lang w:val="en-US"/>
        </w:rPr>
      </w:pPr>
      <w:r>
        <w:rPr>
          <w:lang w:val="en-US"/>
        </w:rPr>
        <w:t>Assessment work undertaken by the Department in assessing contingent activities relating to requests for reconsideration of a controlled action decision, the variation of a proposed action or the variation of an approval</w:t>
      </w:r>
      <w:r w:rsidRPr="00FC12C4">
        <w:rPr>
          <w:lang w:val="en-US"/>
        </w:rPr>
        <w:t xml:space="preserve"> </w:t>
      </w:r>
      <w:r>
        <w:rPr>
          <w:lang w:val="en-US"/>
        </w:rPr>
        <w:t xml:space="preserve">may </w:t>
      </w:r>
      <w:r w:rsidRPr="00FC12C4">
        <w:rPr>
          <w:lang w:val="en-US"/>
        </w:rPr>
        <w:t xml:space="preserve">include: </w:t>
      </w:r>
    </w:p>
    <w:p w:rsidR="001A641D" w:rsidRDefault="007E5C0A" w:rsidP="001A641D">
      <w:pPr>
        <w:pStyle w:val="ListBullet"/>
        <w:spacing w:after="120"/>
        <w:rPr>
          <w:lang w:val="en-US"/>
        </w:rPr>
      </w:pPr>
      <w:r>
        <w:rPr>
          <w:lang w:val="en-US"/>
        </w:rPr>
        <w:t>t</w:t>
      </w:r>
      <w:r w:rsidRPr="00FC12C4">
        <w:rPr>
          <w:lang w:val="en-US"/>
        </w:rPr>
        <w:t>he review and validation of new information</w:t>
      </w:r>
      <w:r>
        <w:rPr>
          <w:lang w:val="en-US"/>
        </w:rPr>
        <w:t>;</w:t>
      </w:r>
    </w:p>
    <w:p w:rsidR="001A641D" w:rsidRDefault="007E5C0A" w:rsidP="001A641D">
      <w:pPr>
        <w:pStyle w:val="ListBullet"/>
        <w:spacing w:after="120"/>
        <w:rPr>
          <w:lang w:val="en-US"/>
        </w:rPr>
      </w:pPr>
      <w:r>
        <w:rPr>
          <w:lang w:val="en-US"/>
        </w:rPr>
        <w:t>a</w:t>
      </w:r>
      <w:r w:rsidRPr="00FC12C4">
        <w:rPr>
          <w:lang w:val="en-US"/>
        </w:rPr>
        <w:t xml:space="preserve">ssessment of the likely impact on matters of </w:t>
      </w:r>
      <w:r>
        <w:rPr>
          <w:lang w:val="en-US"/>
        </w:rPr>
        <w:t>national environmental significance</w:t>
      </w:r>
      <w:r w:rsidRPr="00FC12C4">
        <w:rPr>
          <w:lang w:val="en-US"/>
        </w:rPr>
        <w:t xml:space="preserve"> related to any potential changes to the pro</w:t>
      </w:r>
      <w:r>
        <w:rPr>
          <w:lang w:val="en-US"/>
        </w:rPr>
        <w:t>ject;</w:t>
      </w:r>
      <w:r w:rsidRPr="00FC12C4">
        <w:rPr>
          <w:lang w:val="en-US"/>
        </w:rPr>
        <w:t xml:space="preserve"> </w:t>
      </w:r>
    </w:p>
    <w:p w:rsidR="001A641D" w:rsidRDefault="007E5C0A" w:rsidP="001A641D">
      <w:pPr>
        <w:pStyle w:val="ListBullet"/>
        <w:spacing w:after="120"/>
        <w:rPr>
          <w:lang w:val="en-US"/>
        </w:rPr>
      </w:pPr>
      <w:r>
        <w:rPr>
          <w:lang w:val="en-US"/>
        </w:rPr>
        <w:t>d</w:t>
      </w:r>
      <w:r w:rsidRPr="00FC12C4">
        <w:rPr>
          <w:lang w:val="en-US"/>
        </w:rPr>
        <w:t xml:space="preserve">iscussion with </w:t>
      </w:r>
      <w:r>
        <w:rPr>
          <w:lang w:val="en-US"/>
        </w:rPr>
        <w:t>applicant</w:t>
      </w:r>
      <w:r w:rsidRPr="00FC12C4">
        <w:rPr>
          <w:lang w:val="en-US"/>
        </w:rPr>
        <w:t xml:space="preserve"> to ensure requirements are understood</w:t>
      </w:r>
      <w:r>
        <w:rPr>
          <w:lang w:val="en-US"/>
        </w:rPr>
        <w:t>;</w:t>
      </w:r>
    </w:p>
    <w:p w:rsidR="001A641D" w:rsidRDefault="007E5C0A" w:rsidP="001A641D">
      <w:pPr>
        <w:pStyle w:val="ListBullet"/>
        <w:spacing w:after="120"/>
        <w:rPr>
          <w:lang w:val="en-US"/>
        </w:rPr>
      </w:pPr>
      <w:r>
        <w:rPr>
          <w:lang w:val="en-US"/>
        </w:rPr>
        <w:t>p</w:t>
      </w:r>
      <w:r w:rsidRPr="00FC12C4">
        <w:rPr>
          <w:lang w:val="en-US"/>
        </w:rPr>
        <w:t>reparation of draft statutory decision</w:t>
      </w:r>
      <w:r>
        <w:rPr>
          <w:lang w:val="en-US"/>
        </w:rPr>
        <w:t>;</w:t>
      </w:r>
      <w:r w:rsidRPr="00FC12C4">
        <w:rPr>
          <w:lang w:val="en-US"/>
        </w:rPr>
        <w:t xml:space="preserve"> and </w:t>
      </w:r>
    </w:p>
    <w:p w:rsidR="001A641D" w:rsidRDefault="007E5C0A" w:rsidP="001A641D">
      <w:pPr>
        <w:pStyle w:val="ListBullet"/>
        <w:rPr>
          <w:lang w:val="en-US"/>
        </w:rPr>
      </w:pPr>
      <w:r>
        <w:rPr>
          <w:lang w:val="en-US"/>
        </w:rPr>
        <w:t>n</w:t>
      </w:r>
      <w:r w:rsidRPr="00FC12C4">
        <w:rPr>
          <w:lang w:val="en-US"/>
        </w:rPr>
        <w:t>egotiation of any requirements on the basis of new information.</w:t>
      </w:r>
      <w:r>
        <w:rPr>
          <w:lang w:val="en-US"/>
        </w:rPr>
        <w:t xml:space="preserve"> </w:t>
      </w:r>
    </w:p>
    <w:p w:rsidR="001A641D" w:rsidRPr="000E0941" w:rsidRDefault="007E5C0A" w:rsidP="001A641D">
      <w:pPr>
        <w:pStyle w:val="ListBullet"/>
        <w:numPr>
          <w:ilvl w:val="0"/>
          <w:numId w:val="0"/>
        </w:numPr>
        <w:rPr>
          <w:lang w:val="en-US"/>
        </w:rPr>
      </w:pPr>
      <w:r w:rsidRPr="00FC12C4">
        <w:rPr>
          <w:lang w:val="en-US"/>
        </w:rPr>
        <w:t xml:space="preserve">A summary of the </w:t>
      </w:r>
      <w:r>
        <w:rPr>
          <w:lang w:val="en-US"/>
        </w:rPr>
        <w:t>costs</w:t>
      </w:r>
      <w:r w:rsidRPr="00FC12C4">
        <w:rPr>
          <w:lang w:val="en-US"/>
        </w:rPr>
        <w:t xml:space="preserve"> </w:t>
      </w:r>
      <w:r>
        <w:rPr>
          <w:lang w:val="en-US"/>
        </w:rPr>
        <w:t xml:space="preserve">of contingent activities </w:t>
      </w:r>
      <w:r w:rsidRPr="00FC12C4">
        <w:rPr>
          <w:lang w:val="en-US"/>
        </w:rPr>
        <w:t xml:space="preserve">is outlined </w:t>
      </w:r>
      <w:r w:rsidRPr="00DD7C8D">
        <w:rPr>
          <w:lang w:val="en-US"/>
        </w:rPr>
        <w:t xml:space="preserve">in </w:t>
      </w:r>
      <w:r w:rsidR="00FF3730">
        <w:fldChar w:fldCharType="begin"/>
      </w:r>
      <w:r w:rsidR="00FF3730">
        <w:instrText xml:space="preserve"> REF _Ref457985155 \h  \* MERGEFORMAT </w:instrText>
      </w:r>
      <w:r w:rsidR="00FF3730">
        <w:fldChar w:fldCharType="separate"/>
      </w:r>
      <w:r w:rsidR="00FF3730">
        <w:t>Table 4</w:t>
      </w:r>
      <w:r w:rsidR="00FF3730">
        <w:fldChar w:fldCharType="end"/>
      </w:r>
      <w:r w:rsidRPr="00DD7C8D">
        <w:rPr>
          <w:lang w:val="en-US"/>
        </w:rPr>
        <w:t xml:space="preserve"> below.</w:t>
      </w:r>
    </w:p>
    <w:p w:rsidR="001A641D" w:rsidRDefault="007E5C0A" w:rsidP="001A641D">
      <w:pPr>
        <w:pStyle w:val="Caption"/>
        <w:keepNext/>
      </w:pPr>
      <w:bookmarkStart w:id="749" w:name="_Ref457985155"/>
      <w:bookmarkStart w:id="750" w:name="_Toc256000413"/>
      <w:bookmarkStart w:id="751" w:name="_Toc256000305"/>
      <w:bookmarkStart w:id="752" w:name="_Toc256000197"/>
      <w:bookmarkStart w:id="753" w:name="_Toc256000089"/>
      <w:bookmarkStart w:id="754" w:name="_Toc458170592"/>
      <w:r>
        <w:t xml:space="preserve">Table </w:t>
      </w:r>
      <w:r w:rsidR="003366B4">
        <w:fldChar w:fldCharType="begin"/>
      </w:r>
      <w:r>
        <w:instrText xml:space="preserve"> SEQ Table \* ARABIC </w:instrText>
      </w:r>
      <w:r w:rsidR="003366B4">
        <w:fldChar w:fldCharType="separate"/>
      </w:r>
      <w:r w:rsidR="00FF3730">
        <w:rPr>
          <w:noProof/>
        </w:rPr>
        <w:t>4</w:t>
      </w:r>
      <w:r w:rsidR="003366B4">
        <w:rPr>
          <w:noProof/>
        </w:rPr>
        <w:fldChar w:fldCharType="end"/>
      </w:r>
      <w:bookmarkEnd w:id="749"/>
      <w:r>
        <w:t xml:space="preserve">. </w:t>
      </w:r>
      <w:r w:rsidRPr="003A222D">
        <w:t xml:space="preserve">Summary of costs </w:t>
      </w:r>
      <w:r>
        <w:t>of</w:t>
      </w:r>
      <w:r w:rsidRPr="003A222D">
        <w:t xml:space="preserve"> contingent activities.</w:t>
      </w:r>
      <w:bookmarkEnd w:id="750"/>
      <w:bookmarkEnd w:id="751"/>
      <w:bookmarkEnd w:id="752"/>
      <w:bookmarkEnd w:id="753"/>
      <w:bookmarkEnd w:id="754"/>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73"/>
        <w:gridCol w:w="1415"/>
        <w:gridCol w:w="1133"/>
        <w:gridCol w:w="1165"/>
        <w:gridCol w:w="1108"/>
        <w:gridCol w:w="1461"/>
      </w:tblGrid>
      <w:tr w:rsidR="00397365" w:rsidTr="001A641D">
        <w:trPr>
          <w:cantSplit/>
          <w:trHeight w:val="300"/>
          <w:tblHeader/>
        </w:trPr>
        <w:tc>
          <w:tcPr>
            <w:tcW w:w="1813" w:type="pct"/>
            <w:tcBorders>
              <w:top w:val="nil"/>
              <w:left w:val="nil"/>
              <w:bottom w:val="single" w:sz="4" w:space="0" w:color="548DD4" w:themeColor="text2" w:themeTint="99"/>
              <w:right w:val="single" w:sz="4" w:space="0" w:color="548DD4" w:themeColor="text2" w:themeTint="99"/>
            </w:tcBorders>
            <w:shd w:val="clear" w:color="auto" w:fill="auto"/>
            <w:noWrap/>
            <w:vAlign w:val="bottom"/>
            <w:hideMark/>
          </w:tcPr>
          <w:p w:rsidR="001A641D" w:rsidRDefault="001A641D" w:rsidP="001A641D">
            <w:pPr>
              <w:keepNext/>
              <w:spacing w:before="120" w:after="120"/>
              <w:jc w:val="center"/>
              <w:rPr>
                <w:b/>
                <w:sz w:val="20"/>
                <w:szCs w:val="20"/>
                <w:lang w:eastAsia="en-AU"/>
              </w:rPr>
            </w:pPr>
          </w:p>
        </w:tc>
        <w:tc>
          <w:tcPr>
            <w:tcW w:w="2446"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1A641D" w:rsidRDefault="007E5C0A" w:rsidP="001A641D">
            <w:pPr>
              <w:keepNext/>
              <w:spacing w:before="120" w:after="120"/>
              <w:jc w:val="center"/>
              <w:rPr>
                <w:b/>
                <w:sz w:val="20"/>
                <w:szCs w:val="20"/>
                <w:lang w:eastAsia="en-AU"/>
              </w:rPr>
            </w:pPr>
            <w:r w:rsidRPr="000431A6">
              <w:rPr>
                <w:b/>
                <w:sz w:val="20"/>
                <w:szCs w:val="20"/>
                <w:lang w:eastAsia="en-AU"/>
              </w:rPr>
              <w:t>Time (days)</w:t>
            </w:r>
          </w:p>
        </w:tc>
        <w:tc>
          <w:tcPr>
            <w:tcW w:w="741" w:type="pct"/>
            <w:vMerge w:val="restar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keepNext/>
              <w:spacing w:before="120" w:after="120"/>
              <w:jc w:val="center"/>
              <w:rPr>
                <w:b/>
                <w:sz w:val="20"/>
                <w:szCs w:val="20"/>
                <w:lang w:eastAsia="en-AU"/>
              </w:rPr>
            </w:pPr>
            <w:r w:rsidRPr="000431A6">
              <w:rPr>
                <w:b/>
                <w:sz w:val="20"/>
                <w:szCs w:val="20"/>
                <w:lang w:eastAsia="en-AU"/>
              </w:rPr>
              <w:t>Total cost ($)</w:t>
            </w:r>
          </w:p>
        </w:tc>
      </w:tr>
      <w:tr w:rsidR="00397365" w:rsidTr="001A641D">
        <w:trPr>
          <w:cantSplit/>
          <w:trHeight w:val="600"/>
          <w:tblHeader/>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1A641D" w:rsidRDefault="007E5C0A" w:rsidP="001A641D">
            <w:pPr>
              <w:spacing w:before="120" w:after="120"/>
              <w:jc w:val="center"/>
              <w:rPr>
                <w:b/>
                <w:sz w:val="20"/>
                <w:szCs w:val="20"/>
                <w:lang w:eastAsia="en-AU"/>
              </w:rPr>
            </w:pPr>
            <w:r w:rsidRPr="000431A6">
              <w:rPr>
                <w:b/>
                <w:sz w:val="20"/>
                <w:szCs w:val="20"/>
                <w:lang w:eastAsia="en-AU"/>
              </w:rPr>
              <w:t>Activity</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0431A6">
              <w:rPr>
                <w:b/>
                <w:sz w:val="20"/>
                <w:szCs w:val="20"/>
                <w:lang w:eastAsia="en-AU"/>
              </w:rPr>
              <w:t>Assessment officer</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0431A6">
              <w:rPr>
                <w:b/>
                <w:sz w:val="20"/>
                <w:szCs w:val="20"/>
                <w:lang w:eastAsia="en-AU"/>
              </w:rPr>
              <w:t>Assistant Director</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0431A6">
              <w:rPr>
                <w:b/>
                <w:sz w:val="20"/>
                <w:szCs w:val="20"/>
                <w:lang w:eastAsia="en-AU"/>
              </w:rPr>
              <w:t>Director</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Pr>
                <w:b/>
                <w:sz w:val="20"/>
                <w:szCs w:val="20"/>
                <w:lang w:eastAsia="en-AU"/>
              </w:rPr>
              <w:t>SES</w:t>
            </w:r>
          </w:p>
        </w:tc>
        <w:tc>
          <w:tcPr>
            <w:tcW w:w="741" w:type="pct"/>
            <w:vMerge/>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1A641D" w:rsidP="001A641D">
            <w:pPr>
              <w:spacing w:before="120" w:after="120"/>
              <w:jc w:val="center"/>
              <w:rPr>
                <w:b/>
                <w:sz w:val="20"/>
                <w:szCs w:val="20"/>
                <w:lang w:eastAsia="en-AU"/>
              </w:rPr>
            </w:pPr>
          </w:p>
        </w:tc>
      </w:tr>
      <w:tr w:rsidR="00397365" w:rsidTr="001A641D">
        <w:trPr>
          <w:cantSplit/>
          <w:trHeight w:val="600"/>
        </w:trPr>
        <w:tc>
          <w:tcPr>
            <w:tcW w:w="5000" w:type="pct"/>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center"/>
            <w:hideMark/>
          </w:tcPr>
          <w:p w:rsidR="001A641D" w:rsidRPr="003E0E8C" w:rsidRDefault="007E5C0A" w:rsidP="001A641D">
            <w:pPr>
              <w:spacing w:before="120" w:after="120"/>
              <w:rPr>
                <w:sz w:val="20"/>
                <w:szCs w:val="20"/>
                <w:lang w:eastAsia="en-AU"/>
              </w:rPr>
            </w:pPr>
            <w:r w:rsidRPr="003E0E8C">
              <w:rPr>
                <w:sz w:val="20"/>
                <w:szCs w:val="20"/>
                <w:lang w:eastAsia="en-AU"/>
              </w:rPr>
              <w:t>Assessment contingent activities</w:t>
            </w:r>
          </w:p>
        </w:tc>
      </w:tr>
      <w:tr w:rsidR="00397365" w:rsidTr="001A641D">
        <w:trPr>
          <w:cantSplit/>
          <w:trHeight w:val="407"/>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2863">
              <w:rPr>
                <w:sz w:val="20"/>
                <w:szCs w:val="20"/>
                <w:lang w:eastAsia="en-AU"/>
              </w:rPr>
              <w:t>Request additional information</w:t>
            </w:r>
            <w:r>
              <w:rPr>
                <w:sz w:val="20"/>
                <w:szCs w:val="20"/>
                <w:lang w:eastAsia="en-AU"/>
              </w:rPr>
              <w:t xml:space="preserve"> for referral or assessment approach decision</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1.77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0.97</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0.23</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0.03</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$1,701</w:t>
            </w:r>
          </w:p>
        </w:tc>
      </w:tr>
      <w:tr w:rsidR="00397365" w:rsidTr="001A641D">
        <w:trPr>
          <w:cantSplit/>
          <w:trHeight w:val="616"/>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Variation to proposed action</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1.87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0.40</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0.13</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0.07</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$1,353</w:t>
            </w:r>
          </w:p>
        </w:tc>
      </w:tr>
      <w:tr w:rsidR="00397365" w:rsidTr="001A641D">
        <w:trPr>
          <w:cantSplit/>
          <w:trHeight w:val="600"/>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A55F57">
              <w:rPr>
                <w:sz w:val="20"/>
                <w:szCs w:val="20"/>
                <w:lang w:eastAsia="en-AU"/>
              </w:rPr>
              <w:t>Reconsideration of the controlled action decision at the applicant</w:t>
            </w:r>
            <w:r>
              <w:rPr>
                <w:sz w:val="20"/>
                <w:szCs w:val="20"/>
                <w:lang w:eastAsia="en-AU"/>
              </w:rPr>
              <w:t>’</w:t>
            </w:r>
            <w:r w:rsidRPr="00A55F57">
              <w:rPr>
                <w:sz w:val="20"/>
                <w:szCs w:val="20"/>
                <w:lang w:eastAsia="en-AU"/>
              </w:rPr>
              <w:t>s request</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8.32</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2.82</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0.63</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0.17</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$6,577</w:t>
            </w:r>
          </w:p>
        </w:tc>
      </w:tr>
      <w:tr w:rsidR="00397365" w:rsidTr="001A641D">
        <w:trPr>
          <w:cantSplit/>
          <w:trHeight w:val="407"/>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Request additional information for approval decision (assessment on referral information, preliminary documentation or bilateral/accredited assessment)</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1.77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0.97</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0.23</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0.03</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$1,701</w:t>
            </w:r>
          </w:p>
        </w:tc>
      </w:tr>
      <w:tr w:rsidR="00397365" w:rsidTr="001A641D">
        <w:trPr>
          <w:cantSplit/>
          <w:trHeight w:val="600"/>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2863">
              <w:rPr>
                <w:sz w:val="20"/>
                <w:szCs w:val="20"/>
                <w:lang w:eastAsia="en-AU"/>
              </w:rPr>
              <w:t xml:space="preserve">Request additional information </w:t>
            </w:r>
            <w:r>
              <w:rPr>
                <w:sz w:val="20"/>
                <w:szCs w:val="20"/>
                <w:lang w:eastAsia="en-AU"/>
              </w:rPr>
              <w:t xml:space="preserve">for approval decision </w:t>
            </w:r>
            <w:r w:rsidRPr="00572863">
              <w:rPr>
                <w:sz w:val="20"/>
                <w:szCs w:val="20"/>
                <w:lang w:eastAsia="en-AU"/>
              </w:rPr>
              <w:t>(</w:t>
            </w:r>
            <w:r>
              <w:rPr>
                <w:sz w:val="20"/>
                <w:szCs w:val="20"/>
                <w:lang w:eastAsia="en-AU"/>
              </w:rPr>
              <w:t xml:space="preserve">assessment by </w:t>
            </w:r>
            <w:r w:rsidRPr="00572863">
              <w:rPr>
                <w:sz w:val="20"/>
                <w:szCs w:val="20"/>
                <w:lang w:eastAsia="en-AU"/>
              </w:rPr>
              <w:t>environmental impact statement assessment</w:t>
            </w:r>
            <w:r>
              <w:rPr>
                <w:sz w:val="20"/>
                <w:szCs w:val="20"/>
                <w:lang w:eastAsia="en-AU"/>
              </w:rPr>
              <w:t xml:space="preserve"> or public environment report</w:t>
            </w:r>
            <w:r w:rsidRPr="00572863">
              <w:rPr>
                <w:sz w:val="20"/>
                <w:szCs w:val="20"/>
                <w:lang w:eastAsia="en-AU"/>
              </w:rPr>
              <w:t>)</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5.67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5.40</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1.47</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0.13</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$7,476</w:t>
            </w:r>
          </w:p>
        </w:tc>
      </w:tr>
      <w:tr w:rsidR="00397365" w:rsidTr="001A641D">
        <w:trPr>
          <w:cantSplit/>
          <w:trHeight w:val="600"/>
        </w:trPr>
        <w:tc>
          <w:tcPr>
            <w:tcW w:w="5000" w:type="pct"/>
            <w:gridSpan w:val="6"/>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Pr="000517E5" w:rsidRDefault="007E5C0A" w:rsidP="001A641D">
            <w:pPr>
              <w:spacing w:before="120" w:after="120"/>
              <w:rPr>
                <w:sz w:val="20"/>
                <w:szCs w:val="20"/>
                <w:lang w:eastAsia="en-AU"/>
              </w:rPr>
            </w:pPr>
            <w:r>
              <w:rPr>
                <w:sz w:val="20"/>
                <w:szCs w:val="20"/>
                <w:lang w:eastAsia="en-AU"/>
              </w:rPr>
              <w:t>Post approval contingent activities</w:t>
            </w:r>
          </w:p>
        </w:tc>
      </w:tr>
      <w:tr w:rsidR="00397365" w:rsidTr="001A641D">
        <w:trPr>
          <w:cantSplit/>
          <w:trHeight w:val="426"/>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2863">
              <w:rPr>
                <w:sz w:val="20"/>
                <w:szCs w:val="20"/>
                <w:lang w:eastAsia="en-AU"/>
              </w:rPr>
              <w:t>Variation of conditions</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3.47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0.93</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0.40</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0.07</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$2,690</w:t>
            </w:r>
          </w:p>
        </w:tc>
      </w:tr>
      <w:tr w:rsidR="00397365" w:rsidTr="001A641D">
        <w:trPr>
          <w:cantSplit/>
          <w:trHeight w:val="534"/>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2863">
              <w:rPr>
                <w:sz w:val="20"/>
                <w:szCs w:val="20"/>
                <w:lang w:eastAsia="en-AU"/>
              </w:rPr>
              <w:t>Variation of an action management plan under conditions of approval</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3.47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0.93</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0.40</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0.07</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$2,690</w:t>
            </w:r>
          </w:p>
        </w:tc>
      </w:tr>
      <w:tr w:rsidR="00397365" w:rsidTr="001A641D">
        <w:trPr>
          <w:cantSplit/>
          <w:trHeight w:val="616"/>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2863">
              <w:rPr>
                <w:sz w:val="20"/>
                <w:szCs w:val="20"/>
                <w:lang w:eastAsia="en-AU"/>
              </w:rPr>
              <w:t>Administrative variation of an action management plan under conditions of approval</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1.00</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0.20</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0.07</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0.03</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$710</w:t>
            </w:r>
          </w:p>
        </w:tc>
      </w:tr>
      <w:tr w:rsidR="00397365" w:rsidTr="001A641D">
        <w:trPr>
          <w:cantSplit/>
          <w:trHeight w:val="616"/>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Transfer of approval to new approval holder</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2.13</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0.27</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0.00</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1B2596">
              <w:rPr>
                <w:sz w:val="20"/>
                <w:szCs w:val="20"/>
                <w:lang w:eastAsia="en-AU"/>
              </w:rPr>
              <w:t>0.00</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$1,967</w:t>
            </w:r>
          </w:p>
        </w:tc>
      </w:tr>
      <w:tr w:rsidR="00397365" w:rsidTr="001A641D">
        <w:trPr>
          <w:cantSplit/>
          <w:trHeight w:val="616"/>
        </w:trPr>
        <w:tc>
          <w:tcPr>
            <w:tcW w:w="181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Extension to approval expiry date</w:t>
            </w:r>
          </w:p>
        </w:tc>
        <w:tc>
          <w:tcPr>
            <w:tcW w:w="71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3.47</w:t>
            </w:r>
          </w:p>
        </w:tc>
        <w:tc>
          <w:tcPr>
            <w:tcW w:w="57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0.93</w:t>
            </w:r>
          </w:p>
        </w:tc>
        <w:tc>
          <w:tcPr>
            <w:tcW w:w="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312"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0.40</w:t>
            </w:r>
          </w:p>
        </w:tc>
        <w:tc>
          <w:tcPr>
            <w:tcW w:w="56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tcMar>
              <w:left w:w="57" w:type="dxa"/>
              <w:right w:w="255" w:type="dxa"/>
            </w:tcMar>
            <w:vAlign w:val="center"/>
            <w:hideMark/>
          </w:tcPr>
          <w:p w:rsidR="001A641D" w:rsidRDefault="007E5C0A" w:rsidP="001A641D">
            <w:pPr>
              <w:spacing w:before="120" w:after="120"/>
              <w:jc w:val="center"/>
              <w:rPr>
                <w:sz w:val="20"/>
                <w:szCs w:val="20"/>
                <w:lang w:eastAsia="en-AU"/>
              </w:rPr>
            </w:pPr>
            <w:r w:rsidRPr="00BD6DE8">
              <w:rPr>
                <w:sz w:val="20"/>
                <w:szCs w:val="20"/>
                <w:lang w:eastAsia="en-AU"/>
              </w:rPr>
              <w:t>0.07</w:t>
            </w:r>
          </w:p>
        </w:tc>
        <w:tc>
          <w:tcPr>
            <w:tcW w:w="74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lang w:eastAsia="en-AU"/>
              </w:rPr>
            </w:pPr>
            <w:r w:rsidRPr="000517E5">
              <w:rPr>
                <w:sz w:val="20"/>
                <w:szCs w:val="20"/>
                <w:lang w:eastAsia="en-AU"/>
              </w:rPr>
              <w:t>$2,690</w:t>
            </w:r>
          </w:p>
        </w:tc>
      </w:tr>
    </w:tbl>
    <w:p w:rsidR="001A641D" w:rsidRDefault="001A641D" w:rsidP="001A641D">
      <w:pPr>
        <w:pStyle w:val="ListBullet"/>
        <w:numPr>
          <w:ilvl w:val="0"/>
          <w:numId w:val="0"/>
        </w:numPr>
        <w:ind w:left="369" w:hanging="369"/>
      </w:pPr>
    </w:p>
    <w:p w:rsidR="001A641D" w:rsidRDefault="007E5C0A">
      <w:pPr>
        <w:spacing w:after="0" w:line="240" w:lineRule="auto"/>
        <w:rPr>
          <w:rFonts w:cs="Arial"/>
          <w:b/>
          <w:i/>
        </w:rPr>
      </w:pPr>
      <w:bookmarkStart w:id="755" w:name="_Toc456366531"/>
      <w:bookmarkStart w:id="756" w:name="_Toc456367158"/>
      <w:bookmarkStart w:id="757" w:name="_Toc456367790"/>
      <w:bookmarkStart w:id="758" w:name="_Toc456368420"/>
      <w:bookmarkStart w:id="759" w:name="_Toc456369049"/>
      <w:bookmarkStart w:id="760" w:name="_Toc456369730"/>
      <w:bookmarkStart w:id="761" w:name="_Toc456370407"/>
      <w:bookmarkStart w:id="762" w:name="_Toc456371084"/>
      <w:bookmarkStart w:id="763" w:name="_Toc456517115"/>
      <w:bookmarkEnd w:id="755"/>
      <w:bookmarkEnd w:id="756"/>
      <w:bookmarkEnd w:id="757"/>
      <w:bookmarkEnd w:id="758"/>
      <w:bookmarkEnd w:id="759"/>
      <w:bookmarkEnd w:id="760"/>
      <w:bookmarkEnd w:id="761"/>
      <w:bookmarkEnd w:id="762"/>
      <w:bookmarkEnd w:id="763"/>
      <w:r>
        <w:br w:type="page"/>
      </w:r>
    </w:p>
    <w:p w:rsidR="001A641D" w:rsidRPr="00DA3D23" w:rsidRDefault="007E5C0A" w:rsidP="001A641D">
      <w:pPr>
        <w:pStyle w:val="Heading3"/>
        <w:ind w:left="0" w:firstLine="0"/>
      </w:pPr>
      <w:bookmarkStart w:id="764" w:name="_Toc256000347"/>
      <w:bookmarkStart w:id="765" w:name="_Toc256000239"/>
      <w:bookmarkStart w:id="766" w:name="_Toc256000131"/>
      <w:bookmarkStart w:id="767" w:name="_Toc256000023"/>
      <w:bookmarkStart w:id="768" w:name="_Ref458159803"/>
      <w:bookmarkStart w:id="769" w:name="_Toc458170528"/>
      <w:r w:rsidRPr="00DA3D23">
        <w:t>Base costs for assessments</w:t>
      </w:r>
      <w:bookmarkEnd w:id="764"/>
      <w:bookmarkEnd w:id="765"/>
      <w:bookmarkEnd w:id="766"/>
      <w:bookmarkEnd w:id="767"/>
      <w:bookmarkEnd w:id="768"/>
      <w:bookmarkEnd w:id="769"/>
    </w:p>
    <w:p w:rsidR="001A641D" w:rsidRDefault="007E5C0A" w:rsidP="001A641D">
      <w:r w:rsidRPr="00FC12C4">
        <w:t xml:space="preserve">The </w:t>
      </w:r>
      <w:r>
        <w:t>base cost</w:t>
      </w:r>
      <w:r w:rsidRPr="00FC12C4">
        <w:t xml:space="preserve"> for an </w:t>
      </w:r>
      <w:r>
        <w:rPr>
          <w:lang w:val="en-US"/>
        </w:rPr>
        <w:t>environmental impact assessment</w:t>
      </w:r>
      <w:r w:rsidRPr="00FC12C4">
        <w:t xml:space="preserve"> </w:t>
      </w:r>
      <w:r>
        <w:t xml:space="preserve">by each assessment method </w:t>
      </w:r>
      <w:r w:rsidRPr="00FC12C4">
        <w:t xml:space="preserve">has been </w:t>
      </w:r>
      <w:r>
        <w:t>determined by</w:t>
      </w:r>
      <w:r w:rsidRPr="00FC12C4">
        <w:t xml:space="preserve"> the time </w:t>
      </w:r>
      <w:r w:rsidRPr="00684DEC">
        <w:t xml:space="preserve">required to undertake the core </w:t>
      </w:r>
      <w:r>
        <w:t>activities</w:t>
      </w:r>
      <w:r w:rsidRPr="00684DEC">
        <w:t xml:space="preserve"> necessary to complete the assessment of a project</w:t>
      </w:r>
      <w:r>
        <w:t xml:space="preserve"> using that method</w:t>
      </w:r>
      <w:r w:rsidRPr="00684DEC">
        <w:t xml:space="preserve">. </w:t>
      </w:r>
      <w:r>
        <w:t xml:space="preserve">The additional costs associated with activities to address the complexity of specific projects are outlined separately in section </w:t>
      </w:r>
      <w:r w:rsidR="003366B4">
        <w:fldChar w:fldCharType="begin"/>
      </w:r>
      <w:r>
        <w:instrText xml:space="preserve"> REF _Ref458159414 \r \h </w:instrText>
      </w:r>
      <w:r w:rsidR="003366B4">
        <w:fldChar w:fldCharType="separate"/>
      </w:r>
      <w:r w:rsidR="00FF3730">
        <w:t>3.2.6</w:t>
      </w:r>
      <w:r w:rsidR="003366B4">
        <w:fldChar w:fldCharType="end"/>
      </w:r>
      <w:r>
        <w:t>.</w:t>
      </w:r>
    </w:p>
    <w:p w:rsidR="001A641D" w:rsidRDefault="007E5C0A" w:rsidP="001A641D">
      <w:pPr>
        <w:rPr>
          <w:lang w:val="en-US"/>
        </w:rPr>
      </w:pPr>
      <w:r>
        <w:t xml:space="preserve">The major cost of conducting an assessment </w:t>
      </w:r>
      <w:r w:rsidRPr="001A5216">
        <w:t>is staff costs. Staff costs include the base salary, superannuation and other on-costs for staff</w:t>
      </w:r>
      <w:r>
        <w:t>, at a range of classifications,</w:t>
      </w:r>
      <w:r w:rsidRPr="001A5216">
        <w:t xml:space="preserve"> who are directly involved in the </w:t>
      </w:r>
      <w:r>
        <w:t>relevant activity</w:t>
      </w:r>
      <w:r w:rsidRPr="001A5216">
        <w:t xml:space="preserve">. The </w:t>
      </w:r>
      <w:r>
        <w:t>costs also include</w:t>
      </w:r>
      <w:r w:rsidRPr="001A5216">
        <w:t xml:space="preserve"> a component of accommodation and property expenses, information technology costs and human resources support that can be attributed to staff</w:t>
      </w:r>
      <w:r>
        <w:t xml:space="preserve"> who are directly involved in the relevant activity.</w:t>
      </w:r>
      <w:r w:rsidRPr="00FC12C4">
        <w:t xml:space="preserve"> </w:t>
      </w:r>
      <w:r>
        <w:t>The costs for these activities have</w:t>
      </w:r>
      <w:r w:rsidRPr="00FC12C4">
        <w:t xml:space="preserve"> been </w:t>
      </w:r>
      <w:r>
        <w:t>calculated on the basis of</w:t>
      </w:r>
      <w:r w:rsidRPr="00FC12C4">
        <w:t xml:space="preserve"> best practice </w:t>
      </w:r>
      <w:r>
        <w:t xml:space="preserve">necessary to conduct the relevant activity, </w:t>
      </w:r>
      <w:r w:rsidRPr="00FC12C4">
        <w:t xml:space="preserve">and </w:t>
      </w:r>
      <w:r>
        <w:t xml:space="preserve">what is </w:t>
      </w:r>
      <w:r w:rsidRPr="00FC12C4">
        <w:t xml:space="preserve">the most efficient time </w:t>
      </w:r>
      <w:r>
        <w:t xml:space="preserve">in which </w:t>
      </w:r>
      <w:r w:rsidRPr="00FC12C4">
        <w:t>to complete the activity</w:t>
      </w:r>
      <w:r>
        <w:t xml:space="preserve"> (</w:t>
      </w:r>
      <w:r w:rsidRPr="00DD7C8D">
        <w:t xml:space="preserve">see </w:t>
      </w:r>
      <w:r w:rsidR="00FF3730">
        <w:fldChar w:fldCharType="begin"/>
      </w:r>
      <w:r w:rsidR="00FF3730">
        <w:instrText xml:space="preserve"> REF _Ref457985195 \h  \* MERGEFORMAT </w:instrText>
      </w:r>
      <w:r w:rsidR="00FF3730">
        <w:fldChar w:fldCharType="separate"/>
      </w:r>
      <w:r w:rsidR="00FF3730">
        <w:t>Table 5</w:t>
      </w:r>
      <w:r w:rsidR="00FF3730">
        <w:fldChar w:fldCharType="end"/>
      </w:r>
      <w:r w:rsidRPr="00DD7C8D">
        <w:t xml:space="preserve">, </w:t>
      </w:r>
      <w:r w:rsidR="00FF3730">
        <w:fldChar w:fldCharType="begin"/>
      </w:r>
      <w:r w:rsidR="00FF3730">
        <w:instrText xml:space="preserve"> REF _Ref457985203 \h  \* MERGEFORMAT </w:instrText>
      </w:r>
      <w:r w:rsidR="00FF3730">
        <w:fldChar w:fldCharType="separate"/>
      </w:r>
      <w:r w:rsidR="00FF3730">
        <w:t>Table 6</w:t>
      </w:r>
      <w:r w:rsidR="00FF3730">
        <w:fldChar w:fldCharType="end"/>
      </w:r>
      <w:r w:rsidRPr="00DD7C8D">
        <w:t xml:space="preserve">, </w:t>
      </w:r>
      <w:r w:rsidR="00FF3730">
        <w:fldChar w:fldCharType="begin"/>
      </w:r>
      <w:r w:rsidR="00FF3730">
        <w:instrText xml:space="preserve"> REF _Ref457985210 \h  \* MERGEFORMAT </w:instrText>
      </w:r>
      <w:r w:rsidR="00FF3730">
        <w:fldChar w:fldCharType="separate"/>
      </w:r>
      <w:r w:rsidR="00FF3730">
        <w:t>Table 7</w:t>
      </w:r>
      <w:r w:rsidR="00FF3730">
        <w:fldChar w:fldCharType="end"/>
      </w:r>
      <w:r w:rsidRPr="00DD7C8D">
        <w:t xml:space="preserve"> and </w:t>
      </w:r>
      <w:r w:rsidR="00FF3730">
        <w:fldChar w:fldCharType="begin"/>
      </w:r>
      <w:r w:rsidR="00FF3730">
        <w:instrText xml:space="preserve"> REF _Ref457985215 \h  \* MERGEFORMAT </w:instrText>
      </w:r>
      <w:r w:rsidR="00FF3730">
        <w:fldChar w:fldCharType="separate"/>
      </w:r>
      <w:r w:rsidR="00FF3730">
        <w:t>Table 8</w:t>
      </w:r>
      <w:r w:rsidR="00FF3730">
        <w:fldChar w:fldCharType="end"/>
      </w:r>
      <w:r w:rsidRPr="00DD7C8D">
        <w:t xml:space="preserve"> below).</w:t>
      </w:r>
      <w:r w:rsidRPr="000E0941">
        <w:rPr>
          <w:lang w:val="en-US"/>
        </w:rPr>
        <w:t xml:space="preserve"> </w:t>
      </w:r>
    </w:p>
    <w:p w:rsidR="001A641D" w:rsidRDefault="007E5C0A" w:rsidP="001A641D">
      <w:r>
        <w:t xml:space="preserve">Further information on how </w:t>
      </w:r>
      <w:r w:rsidRPr="00FC12C4">
        <w:t xml:space="preserve">base </w:t>
      </w:r>
      <w:r>
        <w:t>costs are derived</w:t>
      </w:r>
      <w:r w:rsidRPr="00FC12C4">
        <w:t xml:space="preserve"> </w:t>
      </w:r>
      <w:r>
        <w:t>for each assessment process is provided in the following sections</w:t>
      </w:r>
      <w:r w:rsidRPr="00EF1E24">
        <w:t>.</w:t>
      </w:r>
      <w:r w:rsidRPr="00FC12C4">
        <w:t xml:space="preserve"> </w:t>
      </w:r>
    </w:p>
    <w:p w:rsidR="001A641D" w:rsidRDefault="007E5C0A">
      <w:pPr>
        <w:spacing w:after="0" w:line="240" w:lineRule="auto"/>
        <w:rPr>
          <w:rFonts w:cs="Arial"/>
          <w:i/>
          <w:u w:val="single"/>
        </w:rPr>
      </w:pPr>
      <w:r>
        <w:br w:type="page"/>
      </w:r>
    </w:p>
    <w:p w:rsidR="001A641D" w:rsidRDefault="007E5C0A" w:rsidP="001A641D">
      <w:pPr>
        <w:pStyle w:val="Heading4"/>
      </w:pPr>
      <w:r>
        <w:t>Base costs of assessments on referral information</w:t>
      </w:r>
    </w:p>
    <w:p w:rsidR="001A641D" w:rsidRDefault="007E5C0A" w:rsidP="001A641D">
      <w:pPr>
        <w:rPr>
          <w:lang w:val="en-US"/>
        </w:rPr>
      </w:pPr>
      <w:r>
        <w:rPr>
          <w:lang w:val="en-US"/>
        </w:rPr>
        <w:t xml:space="preserve">Base costs of assessments on referral information are based </w:t>
      </w:r>
      <w:r w:rsidRPr="00C347A7">
        <w:rPr>
          <w:lang w:val="en-US"/>
        </w:rPr>
        <w:t>on 12.88 equivalent person-days</w:t>
      </w:r>
      <w:r>
        <w:rPr>
          <w:lang w:val="en-US"/>
        </w:rPr>
        <w:t xml:space="preserve"> </w:t>
      </w:r>
      <w:r w:rsidRPr="00C347A7">
        <w:rPr>
          <w:lang w:val="en-US"/>
        </w:rPr>
        <w:t>for an Assessment Officer and 2.94 equivalent person-days for</w:t>
      </w:r>
      <w:r w:rsidRPr="003B2569">
        <w:rPr>
          <w:lang w:val="en-US"/>
        </w:rPr>
        <w:t xml:space="preserve"> an Assistant Director, along with executive oversight (detailed below).</w:t>
      </w:r>
      <w:r>
        <w:rPr>
          <w:lang w:val="en-US"/>
        </w:rPr>
        <w:t xml:space="preserve"> </w:t>
      </w:r>
    </w:p>
    <w:p w:rsidR="001A641D" w:rsidRDefault="007E5C0A" w:rsidP="001A641D">
      <w:pPr>
        <w:spacing w:after="120"/>
        <w:rPr>
          <w:lang w:val="en-US"/>
        </w:rPr>
      </w:pPr>
      <w:r>
        <w:rPr>
          <w:lang w:val="en-US"/>
        </w:rPr>
        <w:t xml:space="preserve">Core activities involved in an assessment on referral information include: </w:t>
      </w:r>
    </w:p>
    <w:p w:rsidR="001A641D" w:rsidRDefault="007E5C0A" w:rsidP="001A641D">
      <w:pPr>
        <w:pStyle w:val="ListBullet"/>
        <w:spacing w:after="120"/>
      </w:pPr>
      <w:r>
        <w:rPr>
          <w:lang w:val="en-US"/>
        </w:rPr>
        <w:t xml:space="preserve">a comprehensive review of the project scope; </w:t>
      </w:r>
    </w:p>
    <w:p w:rsidR="001A641D" w:rsidRDefault="007E5C0A" w:rsidP="001A641D">
      <w:pPr>
        <w:pStyle w:val="ListBullet"/>
        <w:spacing w:after="120"/>
      </w:pPr>
      <w:r>
        <w:rPr>
          <w:lang w:val="en-US"/>
        </w:rPr>
        <w:t xml:space="preserve">consultation with the applicant; </w:t>
      </w:r>
    </w:p>
    <w:p w:rsidR="001A641D" w:rsidRDefault="007E5C0A" w:rsidP="001A641D">
      <w:pPr>
        <w:pStyle w:val="ListBullet"/>
        <w:spacing w:after="120"/>
      </w:pPr>
      <w:r>
        <w:rPr>
          <w:lang w:val="en-US"/>
        </w:rPr>
        <w:t xml:space="preserve">research and validation of assessment documentation; </w:t>
      </w:r>
    </w:p>
    <w:p w:rsidR="001A641D" w:rsidRDefault="007E5C0A" w:rsidP="001A641D">
      <w:pPr>
        <w:pStyle w:val="ListBullet"/>
        <w:spacing w:after="120"/>
      </w:pPr>
      <w:r>
        <w:rPr>
          <w:lang w:val="en-US"/>
        </w:rPr>
        <w:t>sourcing advice from other departmental areas;</w:t>
      </w:r>
    </w:p>
    <w:p w:rsidR="001A641D" w:rsidRDefault="007E5C0A" w:rsidP="001A641D">
      <w:pPr>
        <w:pStyle w:val="ListBullet"/>
        <w:spacing w:after="120"/>
      </w:pPr>
      <w:r>
        <w:rPr>
          <w:lang w:val="en-US"/>
        </w:rPr>
        <w:t>review of responses from the applicant;</w:t>
      </w:r>
    </w:p>
    <w:p w:rsidR="001A641D" w:rsidRDefault="007E5C0A" w:rsidP="001A641D">
      <w:pPr>
        <w:pStyle w:val="ListBullet"/>
        <w:spacing w:after="120"/>
      </w:pPr>
      <w:r>
        <w:rPr>
          <w:lang w:val="en-US"/>
        </w:rPr>
        <w:t xml:space="preserve">preparation of decision documentation for the Minister; </w:t>
      </w:r>
    </w:p>
    <w:p w:rsidR="001A641D" w:rsidRDefault="007E5C0A" w:rsidP="001A641D">
      <w:pPr>
        <w:pStyle w:val="ListBullet"/>
        <w:spacing w:after="120"/>
      </w:pPr>
      <w:r>
        <w:rPr>
          <w:lang w:val="en-US"/>
        </w:rPr>
        <w:t>consideration of advice;</w:t>
      </w:r>
    </w:p>
    <w:p w:rsidR="001A641D" w:rsidRDefault="007E5C0A" w:rsidP="001A641D">
      <w:pPr>
        <w:pStyle w:val="ListBullet"/>
        <w:spacing w:after="120"/>
      </w:pPr>
      <w:r>
        <w:rPr>
          <w:lang w:val="en-US"/>
        </w:rPr>
        <w:t xml:space="preserve">decision notification; and </w:t>
      </w:r>
    </w:p>
    <w:p w:rsidR="001A641D" w:rsidRDefault="007E5C0A" w:rsidP="001A641D">
      <w:pPr>
        <w:pStyle w:val="ListBullet"/>
      </w:pPr>
      <w:r>
        <w:rPr>
          <w:lang w:val="en-US"/>
        </w:rPr>
        <w:t xml:space="preserve">database input. </w:t>
      </w:r>
    </w:p>
    <w:p w:rsidR="001A641D" w:rsidRDefault="007E5C0A" w:rsidP="001A641D">
      <w:pPr>
        <w:keepNext/>
        <w:rPr>
          <w:lang w:val="en-US"/>
        </w:rPr>
      </w:pPr>
      <w:r>
        <w:rPr>
          <w:lang w:val="en-US"/>
        </w:rPr>
        <w:t xml:space="preserve">A summary of the assessment on referral information costs is </w:t>
      </w:r>
      <w:r w:rsidRPr="00DD7C8D">
        <w:rPr>
          <w:lang w:val="en-US"/>
        </w:rPr>
        <w:t xml:space="preserve">outlined in </w:t>
      </w:r>
      <w:r w:rsidR="00FF3730">
        <w:fldChar w:fldCharType="begin"/>
      </w:r>
      <w:r w:rsidR="00FF3730">
        <w:instrText xml:space="preserve"> REF _Ref457985195 \h  \* MERGEFORMAT </w:instrText>
      </w:r>
      <w:r w:rsidR="00FF3730">
        <w:fldChar w:fldCharType="separate"/>
      </w:r>
      <w:r w:rsidR="00FF3730">
        <w:t>Table 5</w:t>
      </w:r>
      <w:r w:rsidR="00FF3730">
        <w:fldChar w:fldCharType="end"/>
      </w:r>
      <w:r w:rsidRPr="00DD7C8D">
        <w:rPr>
          <w:lang w:val="en-US"/>
        </w:rPr>
        <w:t xml:space="preserve"> below.</w:t>
      </w:r>
      <w:r>
        <w:rPr>
          <w:lang w:val="en-US"/>
        </w:rPr>
        <w:t xml:space="preserve"> </w:t>
      </w:r>
    </w:p>
    <w:p w:rsidR="001A641D" w:rsidRDefault="007E5C0A" w:rsidP="001A641D">
      <w:pPr>
        <w:pStyle w:val="Caption"/>
        <w:keepNext/>
      </w:pPr>
      <w:bookmarkStart w:id="770" w:name="_Ref457985195"/>
      <w:bookmarkStart w:id="771" w:name="_Toc256000414"/>
      <w:bookmarkStart w:id="772" w:name="_Toc256000306"/>
      <w:bookmarkStart w:id="773" w:name="_Toc256000198"/>
      <w:bookmarkStart w:id="774" w:name="_Toc256000090"/>
      <w:bookmarkStart w:id="775" w:name="_Toc458170593"/>
      <w:r>
        <w:t xml:space="preserve">Table </w:t>
      </w:r>
      <w:r w:rsidR="003366B4">
        <w:fldChar w:fldCharType="begin"/>
      </w:r>
      <w:r>
        <w:instrText xml:space="preserve"> SEQ Table \* ARABIC </w:instrText>
      </w:r>
      <w:r w:rsidR="003366B4">
        <w:fldChar w:fldCharType="separate"/>
      </w:r>
      <w:r w:rsidR="00FF3730">
        <w:rPr>
          <w:noProof/>
        </w:rPr>
        <w:t>5</w:t>
      </w:r>
      <w:r w:rsidR="003366B4">
        <w:rPr>
          <w:noProof/>
        </w:rPr>
        <w:fldChar w:fldCharType="end"/>
      </w:r>
      <w:bookmarkEnd w:id="770"/>
      <w:r>
        <w:t xml:space="preserve">. </w:t>
      </w:r>
      <w:r w:rsidRPr="00E80CC6">
        <w:t xml:space="preserve">Summary of </w:t>
      </w:r>
      <w:r>
        <w:t>b</w:t>
      </w:r>
      <w:r w:rsidRPr="00E80CC6">
        <w:t xml:space="preserve">ase costs </w:t>
      </w:r>
      <w:r>
        <w:t>for</w:t>
      </w:r>
      <w:r w:rsidRPr="00E80CC6">
        <w:t xml:space="preserve"> assessment on referral information.</w:t>
      </w:r>
      <w:bookmarkEnd w:id="771"/>
      <w:bookmarkEnd w:id="772"/>
      <w:bookmarkEnd w:id="773"/>
      <w:bookmarkEnd w:id="774"/>
      <w:bookmarkEnd w:id="775"/>
    </w:p>
    <w:tbl>
      <w:tblPr>
        <w:tblW w:w="9690" w:type="dxa"/>
        <w:tblCellMar>
          <w:left w:w="0" w:type="dxa"/>
          <w:right w:w="0" w:type="dxa"/>
        </w:tblCellMar>
        <w:tblLook w:val="04A0" w:firstRow="1" w:lastRow="0" w:firstColumn="1" w:lastColumn="0" w:noHBand="0" w:noVBand="1"/>
      </w:tblPr>
      <w:tblGrid>
        <w:gridCol w:w="5281"/>
        <w:gridCol w:w="1293"/>
        <w:gridCol w:w="1133"/>
        <w:gridCol w:w="991"/>
        <w:gridCol w:w="992"/>
      </w:tblGrid>
      <w:tr w:rsidR="00397365" w:rsidTr="001A641D">
        <w:trPr>
          <w:trHeight w:val="269"/>
        </w:trPr>
        <w:tc>
          <w:tcPr>
            <w:tcW w:w="5281" w:type="dxa"/>
            <w:tcBorders>
              <w:top w:val="nil"/>
              <w:left w:val="nil"/>
              <w:bottom w:val="single" w:sz="8" w:space="0" w:color="548DD4" w:themeColor="text2" w:themeTint="99"/>
              <w:right w:val="single" w:sz="8" w:space="0" w:color="548DD4" w:themeColor="text2" w:themeTint="99"/>
            </w:tcBorders>
            <w:tcMar>
              <w:top w:w="0" w:type="dxa"/>
              <w:left w:w="57" w:type="dxa"/>
              <w:bottom w:w="0" w:type="dxa"/>
              <w:right w:w="57" w:type="dxa"/>
            </w:tcMar>
          </w:tcPr>
          <w:p w:rsidR="001A641D" w:rsidRDefault="001A641D" w:rsidP="001A641D">
            <w:pPr>
              <w:keepNext/>
              <w:autoSpaceDE w:val="0"/>
              <w:autoSpaceDN w:val="0"/>
              <w:rPr>
                <w:rFonts w:eastAsiaTheme="minorHAnsi" w:cs="Arial"/>
                <w:b/>
                <w:bCs/>
                <w:sz w:val="20"/>
                <w:szCs w:val="20"/>
              </w:rPr>
            </w:pPr>
          </w:p>
        </w:tc>
        <w:tc>
          <w:tcPr>
            <w:tcW w:w="4409" w:type="dxa"/>
            <w:gridSpan w:val="4"/>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1A641D" w:rsidRDefault="007E5C0A" w:rsidP="001A641D">
            <w:pPr>
              <w:keepNext/>
              <w:jc w:val="center"/>
              <w:rPr>
                <w:rFonts w:eastAsiaTheme="minorHAnsi" w:cs="Arial"/>
                <w:b/>
                <w:bCs/>
                <w:sz w:val="20"/>
                <w:szCs w:val="20"/>
              </w:rPr>
            </w:pPr>
            <w:r>
              <w:rPr>
                <w:rFonts w:cs="Arial"/>
                <w:b/>
                <w:bCs/>
                <w:sz w:val="20"/>
                <w:szCs w:val="20"/>
              </w:rPr>
              <w:t>Time (days)</w:t>
            </w:r>
          </w:p>
        </w:tc>
      </w:tr>
      <w:tr w:rsidR="00397365" w:rsidTr="001A641D">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vAlign w:val="center"/>
            <w:hideMark/>
          </w:tcPr>
          <w:p w:rsidR="001A641D" w:rsidRDefault="007E5C0A" w:rsidP="001A641D">
            <w:pPr>
              <w:keepNext/>
              <w:jc w:val="center"/>
              <w:rPr>
                <w:rFonts w:eastAsiaTheme="minorHAnsi" w:cs="Arial"/>
                <w:b/>
                <w:bCs/>
                <w:sz w:val="20"/>
                <w:szCs w:val="20"/>
              </w:rPr>
            </w:pPr>
            <w:r>
              <w:rPr>
                <w:rFonts w:cs="Arial"/>
                <w:b/>
                <w:bCs/>
                <w:sz w:val="20"/>
                <w:szCs w:val="20"/>
              </w:rPr>
              <w:t>Stages of the assessment process</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1A641D" w:rsidRDefault="007E5C0A" w:rsidP="001A641D">
            <w:pPr>
              <w:keepNext/>
              <w:jc w:val="center"/>
              <w:rPr>
                <w:rFonts w:eastAsiaTheme="minorHAnsi" w:cs="Arial"/>
                <w:b/>
                <w:bCs/>
                <w:sz w:val="20"/>
                <w:szCs w:val="20"/>
              </w:rPr>
            </w:pPr>
            <w:r>
              <w:rPr>
                <w:rFonts w:cs="Arial"/>
                <w:b/>
                <w:bCs/>
                <w:sz w:val="20"/>
                <w:szCs w:val="20"/>
              </w:rPr>
              <w:t>Assessment Officer</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1A641D" w:rsidRDefault="007E5C0A" w:rsidP="001A641D">
            <w:pPr>
              <w:keepNext/>
              <w:jc w:val="center"/>
              <w:rPr>
                <w:rFonts w:eastAsiaTheme="minorHAnsi" w:cs="Arial"/>
                <w:b/>
                <w:bCs/>
                <w:sz w:val="20"/>
                <w:szCs w:val="20"/>
              </w:rPr>
            </w:pPr>
            <w:r>
              <w:rPr>
                <w:rFonts w:cs="Arial"/>
                <w:b/>
                <w:bCs/>
                <w:sz w:val="20"/>
                <w:szCs w:val="20"/>
              </w:rPr>
              <w:t>Assistant Director</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1A641D" w:rsidRDefault="007E5C0A" w:rsidP="001A641D">
            <w:pPr>
              <w:keepNext/>
              <w:jc w:val="center"/>
              <w:rPr>
                <w:rFonts w:eastAsiaTheme="minorHAnsi" w:cs="Arial"/>
                <w:b/>
                <w:bCs/>
                <w:sz w:val="20"/>
                <w:szCs w:val="20"/>
              </w:rPr>
            </w:pPr>
            <w:r>
              <w:rPr>
                <w:rFonts w:cs="Arial"/>
                <w:b/>
                <w:bCs/>
                <w:sz w:val="20"/>
                <w:szCs w:val="20"/>
              </w:rPr>
              <w:t>Director</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tcMar>
              <w:top w:w="0" w:type="dxa"/>
              <w:left w:w="57" w:type="dxa"/>
              <w:bottom w:w="0" w:type="dxa"/>
              <w:right w:w="57" w:type="dxa"/>
            </w:tcMar>
            <w:hideMark/>
          </w:tcPr>
          <w:p w:rsidR="001A641D" w:rsidRDefault="007E5C0A" w:rsidP="001A641D">
            <w:pPr>
              <w:keepNext/>
              <w:jc w:val="center"/>
              <w:rPr>
                <w:rFonts w:eastAsiaTheme="minorHAnsi" w:cs="Arial"/>
                <w:b/>
                <w:bCs/>
                <w:sz w:val="20"/>
                <w:szCs w:val="20"/>
              </w:rPr>
            </w:pPr>
            <w:r>
              <w:rPr>
                <w:rFonts w:cs="Arial"/>
                <w:b/>
                <w:bCs/>
                <w:sz w:val="20"/>
                <w:szCs w:val="20"/>
              </w:rPr>
              <w:t>SES</w:t>
            </w:r>
          </w:p>
        </w:tc>
      </w:tr>
      <w:tr w:rsidR="00397365" w:rsidTr="001A641D">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hideMark/>
          </w:tcPr>
          <w:p w:rsidR="001A641D" w:rsidRDefault="007E5C0A" w:rsidP="001A641D">
            <w:pPr>
              <w:keepNext/>
              <w:rPr>
                <w:rFonts w:eastAsiaTheme="minorHAnsi" w:cs="Arial"/>
                <w:sz w:val="20"/>
                <w:szCs w:val="20"/>
              </w:rPr>
            </w:pPr>
            <w:r>
              <w:rPr>
                <w:rFonts w:cs="Arial"/>
                <w:sz w:val="20"/>
                <w:szCs w:val="20"/>
              </w:rPr>
              <w:t>Stage 1: Prepare and publish draft recommendation report</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7.36</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1.01</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0.26</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0.06</w:t>
            </w:r>
          </w:p>
        </w:tc>
      </w:tr>
      <w:tr w:rsidR="00397365" w:rsidTr="001A641D">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hideMark/>
          </w:tcPr>
          <w:p w:rsidR="001A641D" w:rsidRDefault="007E5C0A" w:rsidP="001A641D">
            <w:pPr>
              <w:keepNext/>
              <w:rPr>
                <w:rFonts w:eastAsiaTheme="minorHAnsi" w:cs="Arial"/>
                <w:sz w:val="20"/>
                <w:szCs w:val="20"/>
              </w:rPr>
            </w:pPr>
            <w:r>
              <w:rPr>
                <w:rFonts w:cs="Arial"/>
                <w:sz w:val="20"/>
                <w:szCs w:val="20"/>
              </w:rPr>
              <w:t xml:space="preserve">Stage 2: Review comments and finalise  recommendation report </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3.68</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1.01</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0.28</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0.06</w:t>
            </w:r>
          </w:p>
        </w:tc>
      </w:tr>
      <w:tr w:rsidR="00397365" w:rsidTr="001A641D">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hideMark/>
          </w:tcPr>
          <w:p w:rsidR="001A641D" w:rsidRDefault="007E5C0A" w:rsidP="001A641D">
            <w:pPr>
              <w:keepNext/>
              <w:rPr>
                <w:rFonts w:eastAsiaTheme="minorHAnsi" w:cs="Arial"/>
                <w:sz w:val="20"/>
                <w:szCs w:val="20"/>
              </w:rPr>
            </w:pPr>
            <w:r>
              <w:rPr>
                <w:rFonts w:cs="Arial"/>
                <w:sz w:val="20"/>
                <w:szCs w:val="20"/>
              </w:rPr>
              <w:t>Stage 3: Proposed and final decision</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1.84</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0.92</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0.18</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C347A7" w:rsidRDefault="007E5C0A" w:rsidP="001A641D">
            <w:pPr>
              <w:keepNext/>
              <w:jc w:val="center"/>
              <w:rPr>
                <w:rFonts w:eastAsiaTheme="minorHAnsi" w:cs="Arial"/>
                <w:sz w:val="20"/>
                <w:szCs w:val="20"/>
              </w:rPr>
            </w:pPr>
            <w:r w:rsidRPr="00C347A7">
              <w:rPr>
                <w:rFonts w:cs="Arial"/>
                <w:sz w:val="20"/>
                <w:szCs w:val="20"/>
              </w:rPr>
              <w:t>0.03</w:t>
            </w:r>
          </w:p>
        </w:tc>
      </w:tr>
      <w:tr w:rsidR="00397365" w:rsidTr="001A641D">
        <w:trPr>
          <w:trHeight w:val="269"/>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hideMark/>
          </w:tcPr>
          <w:p w:rsidR="001A641D" w:rsidRPr="007D5759" w:rsidRDefault="007E5C0A" w:rsidP="001A641D">
            <w:pPr>
              <w:keepNext/>
              <w:rPr>
                <w:rFonts w:cs="Arial"/>
                <w:b/>
                <w:sz w:val="20"/>
                <w:szCs w:val="20"/>
              </w:rPr>
            </w:pPr>
            <w:r w:rsidRPr="007D5759">
              <w:rPr>
                <w:rFonts w:cs="Arial"/>
                <w:b/>
                <w:sz w:val="20"/>
                <w:szCs w:val="20"/>
              </w:rPr>
              <w:t>Total</w:t>
            </w:r>
          </w:p>
        </w:tc>
        <w:tc>
          <w:tcPr>
            <w:tcW w:w="129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7D5759" w:rsidRDefault="007E5C0A" w:rsidP="001A641D">
            <w:pPr>
              <w:keepNext/>
              <w:jc w:val="center"/>
              <w:rPr>
                <w:rFonts w:cs="Arial"/>
                <w:b/>
                <w:sz w:val="20"/>
                <w:szCs w:val="20"/>
              </w:rPr>
            </w:pPr>
            <w:r w:rsidRPr="007D5759">
              <w:rPr>
                <w:rFonts w:cs="Arial"/>
                <w:b/>
                <w:sz w:val="20"/>
                <w:szCs w:val="20"/>
              </w:rPr>
              <w:t>12.88</w:t>
            </w:r>
          </w:p>
        </w:tc>
        <w:tc>
          <w:tcPr>
            <w:tcW w:w="11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7D5759" w:rsidRDefault="007E5C0A" w:rsidP="001A641D">
            <w:pPr>
              <w:keepNext/>
              <w:jc w:val="center"/>
              <w:rPr>
                <w:rFonts w:cs="Arial"/>
                <w:b/>
                <w:sz w:val="20"/>
                <w:szCs w:val="20"/>
              </w:rPr>
            </w:pPr>
            <w:r w:rsidRPr="007D5759">
              <w:rPr>
                <w:rFonts w:cs="Arial"/>
                <w:b/>
                <w:sz w:val="20"/>
                <w:szCs w:val="20"/>
              </w:rPr>
              <w:t>2.94</w:t>
            </w:r>
          </w:p>
        </w:tc>
        <w:tc>
          <w:tcPr>
            <w:tcW w:w="9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7D5759" w:rsidRDefault="007E5C0A" w:rsidP="001A641D">
            <w:pPr>
              <w:keepNext/>
              <w:jc w:val="center"/>
              <w:rPr>
                <w:rFonts w:cs="Arial"/>
                <w:b/>
                <w:sz w:val="20"/>
                <w:szCs w:val="20"/>
              </w:rPr>
            </w:pPr>
            <w:r w:rsidRPr="007D5759">
              <w:rPr>
                <w:rFonts w:cs="Arial"/>
                <w:b/>
                <w:sz w:val="20"/>
                <w:szCs w:val="20"/>
              </w:rPr>
              <w:t>0.72</w:t>
            </w:r>
          </w:p>
        </w:tc>
        <w:tc>
          <w:tcPr>
            <w:tcW w:w="99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57" w:type="dxa"/>
              <w:bottom w:w="0" w:type="dxa"/>
              <w:right w:w="57" w:type="dxa"/>
            </w:tcMar>
            <w:vAlign w:val="center"/>
            <w:hideMark/>
          </w:tcPr>
          <w:p w:rsidR="001A641D" w:rsidRPr="007D5759" w:rsidRDefault="007E5C0A" w:rsidP="001A641D">
            <w:pPr>
              <w:keepNext/>
              <w:jc w:val="center"/>
              <w:rPr>
                <w:rFonts w:cs="Arial"/>
                <w:b/>
                <w:sz w:val="20"/>
                <w:szCs w:val="20"/>
              </w:rPr>
            </w:pPr>
            <w:r w:rsidRPr="007D5759">
              <w:rPr>
                <w:rFonts w:cs="Arial"/>
                <w:b/>
                <w:sz w:val="20"/>
                <w:szCs w:val="20"/>
              </w:rPr>
              <w:t>0.14</w:t>
            </w:r>
          </w:p>
        </w:tc>
      </w:tr>
      <w:tr w:rsidR="00397365" w:rsidTr="001A641D">
        <w:trPr>
          <w:trHeight w:val="435"/>
        </w:trPr>
        <w:tc>
          <w:tcPr>
            <w:tcW w:w="5281" w:type="dxa"/>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C6D9F1" w:themeFill="text2" w:themeFillTint="33"/>
            <w:tcMar>
              <w:top w:w="0" w:type="dxa"/>
              <w:left w:w="57" w:type="dxa"/>
              <w:bottom w:w="0" w:type="dxa"/>
              <w:right w:w="57" w:type="dxa"/>
            </w:tcMar>
            <w:vAlign w:val="center"/>
            <w:hideMark/>
          </w:tcPr>
          <w:p w:rsidR="001A641D" w:rsidRDefault="007E5C0A" w:rsidP="001A641D">
            <w:pPr>
              <w:jc w:val="right"/>
              <w:rPr>
                <w:rFonts w:eastAsiaTheme="minorHAnsi" w:cs="Arial"/>
                <w:sz w:val="20"/>
                <w:szCs w:val="20"/>
              </w:rPr>
            </w:pPr>
            <w:r>
              <w:rPr>
                <w:rFonts w:cs="Arial"/>
                <w:sz w:val="20"/>
                <w:szCs w:val="20"/>
              </w:rPr>
              <w:t>TOTAL BASE COST</w:t>
            </w:r>
          </w:p>
        </w:tc>
        <w:tc>
          <w:tcPr>
            <w:tcW w:w="4409" w:type="dxa"/>
            <w:gridSpan w:val="4"/>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C6D9F1" w:themeFill="text2" w:themeFillTint="33"/>
            <w:tcMar>
              <w:top w:w="0" w:type="dxa"/>
              <w:left w:w="57" w:type="dxa"/>
              <w:bottom w:w="0" w:type="dxa"/>
              <w:right w:w="57" w:type="dxa"/>
            </w:tcMar>
            <w:vAlign w:val="center"/>
            <w:hideMark/>
          </w:tcPr>
          <w:p w:rsidR="001A641D" w:rsidRDefault="007E5C0A" w:rsidP="001A641D">
            <w:pPr>
              <w:jc w:val="center"/>
              <w:rPr>
                <w:rFonts w:eastAsiaTheme="minorHAnsi" w:cs="Arial"/>
                <w:sz w:val="20"/>
                <w:szCs w:val="20"/>
              </w:rPr>
            </w:pPr>
            <w:r w:rsidRPr="0026691B">
              <w:rPr>
                <w:rFonts w:cs="Arial"/>
                <w:sz w:val="20"/>
                <w:szCs w:val="20"/>
              </w:rPr>
              <w:t>$8,964</w:t>
            </w:r>
          </w:p>
        </w:tc>
      </w:tr>
    </w:tbl>
    <w:p w:rsidR="001A641D" w:rsidRDefault="001A641D" w:rsidP="001A641D">
      <w:pPr>
        <w:rPr>
          <w:lang w:val="en-US"/>
        </w:rPr>
      </w:pPr>
    </w:p>
    <w:p w:rsidR="001A641D" w:rsidRDefault="007E5C0A">
      <w:pPr>
        <w:spacing w:after="0" w:line="240" w:lineRule="auto"/>
        <w:rPr>
          <w:rFonts w:cs="Arial"/>
          <w:i/>
          <w:u w:val="single"/>
        </w:rPr>
      </w:pPr>
      <w:r>
        <w:br w:type="page"/>
      </w:r>
    </w:p>
    <w:p w:rsidR="001A641D" w:rsidRDefault="007E5C0A" w:rsidP="001A641D">
      <w:pPr>
        <w:pStyle w:val="Heading4"/>
      </w:pPr>
      <w:r>
        <w:t>Base costs of assessments on preliminary documentation</w:t>
      </w:r>
    </w:p>
    <w:p w:rsidR="001A641D" w:rsidRDefault="007E5C0A" w:rsidP="001A641D">
      <w:pPr>
        <w:rPr>
          <w:lang w:val="en-US"/>
        </w:rPr>
      </w:pPr>
      <w:r w:rsidRPr="00FC12C4">
        <w:rPr>
          <w:lang w:val="en-US"/>
        </w:rPr>
        <w:t>Bas</w:t>
      </w:r>
      <w:r>
        <w:rPr>
          <w:lang w:val="en-US"/>
        </w:rPr>
        <w:t>e</w:t>
      </w:r>
      <w:r w:rsidRPr="00FC12C4">
        <w:rPr>
          <w:lang w:val="en-US"/>
        </w:rPr>
        <w:t xml:space="preserve"> </w:t>
      </w:r>
      <w:r>
        <w:rPr>
          <w:lang w:val="en-US"/>
        </w:rPr>
        <w:t xml:space="preserve">costs of assessments on preliminary documentation </w:t>
      </w:r>
      <w:r w:rsidRPr="00FC12C4">
        <w:rPr>
          <w:lang w:val="en-US"/>
        </w:rPr>
        <w:t xml:space="preserve">are based on </w:t>
      </w:r>
      <w:r>
        <w:rPr>
          <w:lang w:val="en-US"/>
        </w:rPr>
        <w:t>10.4</w:t>
      </w:r>
      <w:r w:rsidRPr="0030673F">
        <w:rPr>
          <w:lang w:val="en-US"/>
        </w:rPr>
        <w:t xml:space="preserve"> equivalent person-days for an Assessment Officer and </w:t>
      </w:r>
      <w:r>
        <w:rPr>
          <w:lang w:val="en-US"/>
        </w:rPr>
        <w:t>2.91</w:t>
      </w:r>
      <w:r w:rsidRPr="0030673F">
        <w:rPr>
          <w:lang w:val="en-US"/>
        </w:rPr>
        <w:t xml:space="preserve"> equivalent person-days</w:t>
      </w:r>
      <w:r w:rsidRPr="00AA395F">
        <w:rPr>
          <w:lang w:val="en-US"/>
        </w:rPr>
        <w:t xml:space="preserve"> for an Assistant Director, along with executive oversight (detailed below).</w:t>
      </w:r>
      <w:r w:rsidRPr="00FC12C4">
        <w:rPr>
          <w:lang w:val="en-US"/>
        </w:rPr>
        <w:t xml:space="preserve"> </w:t>
      </w:r>
    </w:p>
    <w:p w:rsidR="001A641D" w:rsidRDefault="007E5C0A" w:rsidP="001A641D">
      <w:pPr>
        <w:spacing w:after="120"/>
        <w:rPr>
          <w:lang w:val="en-US"/>
        </w:rPr>
      </w:pPr>
      <w:r>
        <w:rPr>
          <w:lang w:val="en-US"/>
        </w:rPr>
        <w:t xml:space="preserve">Core activities involved in an assessment on preliminary documentation </w:t>
      </w:r>
      <w:r w:rsidRPr="00FC12C4">
        <w:rPr>
          <w:lang w:val="en-US"/>
        </w:rPr>
        <w:t xml:space="preserve">include: </w:t>
      </w:r>
    </w:p>
    <w:p w:rsidR="001A641D" w:rsidRDefault="007E5C0A" w:rsidP="001A641D">
      <w:pPr>
        <w:pStyle w:val="ListBullet"/>
        <w:spacing w:after="120"/>
      </w:pPr>
      <w:r>
        <w:rPr>
          <w:lang w:val="en-US"/>
        </w:rPr>
        <w:t>a</w:t>
      </w:r>
      <w:r w:rsidRPr="00FC12C4">
        <w:rPr>
          <w:lang w:val="en-US"/>
        </w:rPr>
        <w:t xml:space="preserve"> comprehensive review of the project scope</w:t>
      </w:r>
      <w:r>
        <w:rPr>
          <w:lang w:val="en-US"/>
        </w:rPr>
        <w:t>;</w:t>
      </w:r>
    </w:p>
    <w:p w:rsidR="001A641D" w:rsidRDefault="007E5C0A" w:rsidP="001A641D">
      <w:pPr>
        <w:pStyle w:val="ListBullet"/>
        <w:spacing w:after="120"/>
      </w:pPr>
      <w:r>
        <w:rPr>
          <w:lang w:val="en-US"/>
        </w:rPr>
        <w:t>c</w:t>
      </w:r>
      <w:r w:rsidRPr="00FC12C4">
        <w:rPr>
          <w:lang w:val="en-US"/>
        </w:rPr>
        <w:t xml:space="preserve">onsultation with the </w:t>
      </w:r>
      <w:r>
        <w:rPr>
          <w:lang w:val="en-US"/>
        </w:rPr>
        <w:t>applicant;</w:t>
      </w:r>
      <w:r w:rsidRPr="00FC12C4">
        <w:rPr>
          <w:lang w:val="en-US"/>
        </w:rPr>
        <w:t xml:space="preserve"> </w:t>
      </w:r>
    </w:p>
    <w:p w:rsidR="001A641D" w:rsidRDefault="007E5C0A" w:rsidP="001A641D">
      <w:pPr>
        <w:pStyle w:val="ListBullet"/>
        <w:spacing w:after="120"/>
      </w:pPr>
      <w:r>
        <w:rPr>
          <w:lang w:val="en-US"/>
        </w:rPr>
        <w:t>p</w:t>
      </w:r>
      <w:r w:rsidRPr="00FC12C4">
        <w:rPr>
          <w:lang w:val="en-US"/>
        </w:rPr>
        <w:t>reparation of requests for information to inform the assessment</w:t>
      </w:r>
      <w:r>
        <w:rPr>
          <w:lang w:val="en-US"/>
        </w:rPr>
        <w:t>;</w:t>
      </w:r>
      <w:r w:rsidRPr="00FC12C4">
        <w:rPr>
          <w:lang w:val="en-US"/>
        </w:rPr>
        <w:t xml:space="preserve"> </w:t>
      </w:r>
    </w:p>
    <w:p w:rsidR="001A641D" w:rsidRDefault="007E5C0A" w:rsidP="001A641D">
      <w:pPr>
        <w:pStyle w:val="ListBullet"/>
        <w:spacing w:after="120"/>
      </w:pPr>
      <w:r>
        <w:rPr>
          <w:lang w:val="en-US"/>
        </w:rPr>
        <w:t>r</w:t>
      </w:r>
      <w:r w:rsidRPr="00FC12C4">
        <w:rPr>
          <w:lang w:val="en-US"/>
        </w:rPr>
        <w:t>esearch and validation of assessment documentation</w:t>
      </w:r>
      <w:r>
        <w:rPr>
          <w:lang w:val="en-US"/>
        </w:rPr>
        <w:t>;</w:t>
      </w:r>
    </w:p>
    <w:p w:rsidR="001A641D" w:rsidRDefault="007E5C0A" w:rsidP="001A641D">
      <w:pPr>
        <w:pStyle w:val="ListBullet"/>
        <w:spacing w:after="120"/>
      </w:pPr>
      <w:r>
        <w:rPr>
          <w:lang w:val="en-US"/>
        </w:rPr>
        <w:t>s</w:t>
      </w:r>
      <w:r w:rsidRPr="00FC12C4">
        <w:rPr>
          <w:lang w:val="en-US"/>
        </w:rPr>
        <w:t xml:space="preserve">ourcing advice from other </w:t>
      </w:r>
      <w:r>
        <w:rPr>
          <w:lang w:val="en-US"/>
        </w:rPr>
        <w:t>departmental</w:t>
      </w:r>
      <w:r w:rsidRPr="00FC12C4">
        <w:rPr>
          <w:lang w:val="en-US"/>
        </w:rPr>
        <w:t xml:space="preserve"> areas</w:t>
      </w:r>
      <w:r>
        <w:rPr>
          <w:lang w:val="en-US"/>
        </w:rPr>
        <w:t>;</w:t>
      </w:r>
    </w:p>
    <w:p w:rsidR="001A641D" w:rsidRDefault="007E5C0A" w:rsidP="001A641D">
      <w:pPr>
        <w:pStyle w:val="ListBullet"/>
        <w:spacing w:after="120"/>
      </w:pPr>
      <w:r>
        <w:rPr>
          <w:lang w:val="en-US"/>
        </w:rPr>
        <w:t>r</w:t>
      </w:r>
      <w:r w:rsidRPr="00FC12C4">
        <w:rPr>
          <w:lang w:val="en-US"/>
        </w:rPr>
        <w:t xml:space="preserve">eview of responses from the </w:t>
      </w:r>
      <w:r>
        <w:rPr>
          <w:lang w:val="en-US"/>
        </w:rPr>
        <w:t>applicant;</w:t>
      </w:r>
    </w:p>
    <w:p w:rsidR="001A641D" w:rsidRDefault="007E5C0A" w:rsidP="001A641D">
      <w:pPr>
        <w:pStyle w:val="ListBullet"/>
        <w:spacing w:after="120"/>
      </w:pPr>
      <w:r>
        <w:rPr>
          <w:lang w:val="en-US"/>
        </w:rPr>
        <w:t>p</w:t>
      </w:r>
      <w:r w:rsidRPr="00FC12C4">
        <w:rPr>
          <w:lang w:val="en-US"/>
        </w:rPr>
        <w:t>reparation of decision documentation for the Minister</w:t>
      </w:r>
      <w:r>
        <w:rPr>
          <w:lang w:val="en-US"/>
        </w:rPr>
        <w:t>;</w:t>
      </w:r>
    </w:p>
    <w:p w:rsidR="001A641D" w:rsidRDefault="007E5C0A" w:rsidP="001A641D">
      <w:pPr>
        <w:pStyle w:val="ListBullet"/>
        <w:spacing w:after="120"/>
      </w:pPr>
      <w:r>
        <w:rPr>
          <w:lang w:val="en-US"/>
        </w:rPr>
        <w:t>consideration of advice;</w:t>
      </w:r>
    </w:p>
    <w:p w:rsidR="001A641D" w:rsidRDefault="007E5C0A" w:rsidP="001A641D">
      <w:pPr>
        <w:pStyle w:val="ListBullet"/>
        <w:spacing w:after="120"/>
      </w:pPr>
      <w:r>
        <w:rPr>
          <w:lang w:val="en-US"/>
        </w:rPr>
        <w:t>d</w:t>
      </w:r>
      <w:r w:rsidRPr="00FC12C4">
        <w:rPr>
          <w:lang w:val="en-US"/>
        </w:rPr>
        <w:t>ecision notification</w:t>
      </w:r>
      <w:r>
        <w:rPr>
          <w:lang w:val="en-US"/>
        </w:rPr>
        <w:t xml:space="preserve">; </w:t>
      </w:r>
      <w:r w:rsidRPr="00FC12C4">
        <w:rPr>
          <w:lang w:val="en-US"/>
        </w:rPr>
        <w:t xml:space="preserve">and </w:t>
      </w:r>
    </w:p>
    <w:p w:rsidR="001A641D" w:rsidRDefault="007E5C0A" w:rsidP="001A641D">
      <w:pPr>
        <w:pStyle w:val="ListBullet"/>
      </w:pPr>
      <w:r>
        <w:rPr>
          <w:lang w:val="en-US"/>
        </w:rPr>
        <w:t>d</w:t>
      </w:r>
      <w:r w:rsidRPr="00FC12C4">
        <w:rPr>
          <w:lang w:val="en-US"/>
        </w:rPr>
        <w:t xml:space="preserve">atabase input. </w:t>
      </w:r>
    </w:p>
    <w:p w:rsidR="001A641D" w:rsidRDefault="007E5C0A" w:rsidP="001A641D">
      <w:pPr>
        <w:keepNext/>
        <w:rPr>
          <w:lang w:val="en-US"/>
        </w:rPr>
      </w:pPr>
      <w:r w:rsidRPr="00FC12C4">
        <w:rPr>
          <w:lang w:val="en-US"/>
        </w:rPr>
        <w:t xml:space="preserve">A summary of the preliminary documentation </w:t>
      </w:r>
      <w:r>
        <w:rPr>
          <w:lang w:val="en-US"/>
        </w:rPr>
        <w:t>assessment costs</w:t>
      </w:r>
      <w:r w:rsidRPr="00FC12C4">
        <w:rPr>
          <w:lang w:val="en-US"/>
        </w:rPr>
        <w:t xml:space="preserve"> </w:t>
      </w:r>
      <w:r>
        <w:rPr>
          <w:lang w:val="en-US"/>
        </w:rPr>
        <w:t>is</w:t>
      </w:r>
      <w:r w:rsidRPr="00FC12C4">
        <w:rPr>
          <w:lang w:val="en-US"/>
        </w:rPr>
        <w:t xml:space="preserve"> </w:t>
      </w:r>
      <w:r w:rsidRPr="00DD7C8D">
        <w:rPr>
          <w:lang w:val="en-US"/>
        </w:rPr>
        <w:t xml:space="preserve">outlined in </w:t>
      </w:r>
      <w:r w:rsidR="00FF3730">
        <w:fldChar w:fldCharType="begin"/>
      </w:r>
      <w:r w:rsidR="00FF3730">
        <w:instrText xml:space="preserve"> REF _Ref457985203 \h  \* MERGEFORMAT </w:instrText>
      </w:r>
      <w:r w:rsidR="00FF3730">
        <w:fldChar w:fldCharType="separate"/>
      </w:r>
      <w:r w:rsidR="00FF3730">
        <w:t>Table 6</w:t>
      </w:r>
      <w:r w:rsidR="00FF3730">
        <w:fldChar w:fldCharType="end"/>
      </w:r>
      <w:r w:rsidRPr="00DD7C8D">
        <w:rPr>
          <w:lang w:val="en-US"/>
        </w:rPr>
        <w:t xml:space="preserve"> below.</w:t>
      </w:r>
    </w:p>
    <w:p w:rsidR="001A641D" w:rsidRDefault="007E5C0A" w:rsidP="001A641D">
      <w:pPr>
        <w:pStyle w:val="Caption"/>
        <w:keepNext/>
      </w:pPr>
      <w:bookmarkStart w:id="776" w:name="_Ref457985203"/>
      <w:bookmarkStart w:id="777" w:name="_Toc256000415"/>
      <w:bookmarkStart w:id="778" w:name="_Toc256000307"/>
      <w:bookmarkStart w:id="779" w:name="_Toc256000199"/>
      <w:bookmarkStart w:id="780" w:name="_Toc256000091"/>
      <w:bookmarkStart w:id="781" w:name="_Toc458170594"/>
      <w:r>
        <w:t xml:space="preserve">Table </w:t>
      </w:r>
      <w:r w:rsidR="003366B4">
        <w:fldChar w:fldCharType="begin"/>
      </w:r>
      <w:r>
        <w:instrText xml:space="preserve"> SEQ Table \* ARABIC </w:instrText>
      </w:r>
      <w:r w:rsidR="003366B4">
        <w:fldChar w:fldCharType="separate"/>
      </w:r>
      <w:r w:rsidR="00FF3730">
        <w:rPr>
          <w:noProof/>
        </w:rPr>
        <w:t>6</w:t>
      </w:r>
      <w:r w:rsidR="003366B4">
        <w:rPr>
          <w:noProof/>
        </w:rPr>
        <w:fldChar w:fldCharType="end"/>
      </w:r>
      <w:bookmarkEnd w:id="776"/>
      <w:r>
        <w:t xml:space="preserve">. </w:t>
      </w:r>
      <w:r w:rsidRPr="005909B6">
        <w:t xml:space="preserve">Summary of </w:t>
      </w:r>
      <w:r>
        <w:t>b</w:t>
      </w:r>
      <w:r w:rsidRPr="005909B6">
        <w:t xml:space="preserve">ase costs for </w:t>
      </w:r>
      <w:r>
        <w:t xml:space="preserve">assessment on </w:t>
      </w:r>
      <w:r w:rsidRPr="005909B6">
        <w:t>preliminary documentation.</w:t>
      </w:r>
      <w:bookmarkEnd w:id="777"/>
      <w:bookmarkEnd w:id="778"/>
      <w:bookmarkEnd w:id="779"/>
      <w:bookmarkEnd w:id="780"/>
      <w:bookmarkEnd w:id="781"/>
    </w:p>
    <w:tbl>
      <w:tblPr>
        <w:tblStyle w:val="TableGrid"/>
        <w:tblW w:w="9696"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CellMar>
          <w:left w:w="57" w:type="dxa"/>
          <w:right w:w="57" w:type="dxa"/>
        </w:tblCellMar>
        <w:tblLook w:val="04A0" w:firstRow="1" w:lastRow="0" w:firstColumn="1" w:lastColumn="0" w:noHBand="0" w:noVBand="1"/>
      </w:tblPr>
      <w:tblGrid>
        <w:gridCol w:w="5160"/>
        <w:gridCol w:w="1418"/>
        <w:gridCol w:w="1134"/>
        <w:gridCol w:w="992"/>
        <w:gridCol w:w="992"/>
      </w:tblGrid>
      <w:tr w:rsidR="00397365" w:rsidTr="001A641D">
        <w:trPr>
          <w:cnfStyle w:val="100000000000" w:firstRow="1" w:lastRow="0" w:firstColumn="0" w:lastColumn="0" w:oddVBand="0" w:evenVBand="0" w:oddHBand="0" w:evenHBand="0" w:firstRowFirstColumn="0" w:firstRowLastColumn="0" w:lastRowFirstColumn="0" w:lastRowLastColumn="0"/>
          <w:trHeight w:val="269"/>
          <w:tblHeader/>
        </w:trPr>
        <w:tc>
          <w:tcPr>
            <w:tcW w:w="5160" w:type="dxa"/>
            <w:tcBorders>
              <w:top w:val="nil"/>
              <w:left w:val="nil"/>
              <w:bottom w:val="single" w:sz="4" w:space="0" w:color="548DD4" w:themeColor="text2" w:themeTint="99"/>
              <w:right w:val="single" w:sz="4" w:space="0" w:color="548DD4" w:themeColor="text2" w:themeTint="99"/>
            </w:tcBorders>
          </w:tcPr>
          <w:p w:rsidR="001A641D" w:rsidRPr="00EB2D25" w:rsidRDefault="001A641D" w:rsidP="001A641D">
            <w:pPr>
              <w:keepNext/>
              <w:widowControl w:val="0"/>
              <w:autoSpaceDE w:val="0"/>
              <w:autoSpaceDN w:val="0"/>
              <w:adjustRightInd w:val="0"/>
              <w:outlineLvl w:val="0"/>
              <w:rPr>
                <w:b/>
                <w:sz w:val="20"/>
                <w:szCs w:val="20"/>
              </w:rPr>
            </w:pPr>
          </w:p>
        </w:tc>
        <w:tc>
          <w:tcPr>
            <w:tcW w:w="4536" w:type="dxa"/>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Pr="00EB2D25" w:rsidRDefault="007E5C0A" w:rsidP="001A641D">
            <w:pPr>
              <w:keepNext/>
              <w:jc w:val="center"/>
              <w:rPr>
                <w:b/>
                <w:sz w:val="20"/>
                <w:szCs w:val="20"/>
              </w:rPr>
            </w:pPr>
            <w:r w:rsidRPr="00EB2D25">
              <w:rPr>
                <w:b/>
                <w:sz w:val="20"/>
                <w:szCs w:val="20"/>
              </w:rPr>
              <w:t>Time (days)</w:t>
            </w:r>
          </w:p>
        </w:tc>
      </w:tr>
      <w:tr w:rsidR="00397365" w:rsidTr="001A641D">
        <w:trPr>
          <w:cnfStyle w:val="100000000000" w:firstRow="1" w:lastRow="0" w:firstColumn="0" w:lastColumn="0" w:oddVBand="0" w:evenVBand="0" w:oddHBand="0" w:evenHBand="0" w:firstRowFirstColumn="0" w:firstRowLastColumn="0" w:lastRowFirstColumn="0" w:lastRowLastColumn="0"/>
          <w:trHeight w:val="269"/>
          <w:tblHeader/>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EB2D25" w:rsidRDefault="007E5C0A" w:rsidP="001A641D">
            <w:pPr>
              <w:keepNext/>
              <w:jc w:val="center"/>
              <w:rPr>
                <w:b/>
                <w:sz w:val="20"/>
                <w:szCs w:val="20"/>
              </w:rPr>
            </w:pPr>
            <w:r w:rsidRPr="00EB2D25">
              <w:rPr>
                <w:b/>
                <w:sz w:val="20"/>
                <w:szCs w:val="20"/>
              </w:rPr>
              <w:t>Stages of the assessment and approval process</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Pr="00EB2D25" w:rsidRDefault="007E5C0A" w:rsidP="001A641D">
            <w:pPr>
              <w:keepNext/>
              <w:jc w:val="center"/>
              <w:rPr>
                <w:b/>
                <w:sz w:val="20"/>
                <w:szCs w:val="20"/>
              </w:rPr>
            </w:pPr>
            <w:r w:rsidRPr="00EB2D25">
              <w:rPr>
                <w:b/>
                <w:sz w:val="20"/>
                <w:szCs w:val="20"/>
              </w:rPr>
              <w:t>Assessment Officer</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Pr="00EB2D25" w:rsidRDefault="007E5C0A" w:rsidP="001A641D">
            <w:pPr>
              <w:keepNext/>
              <w:jc w:val="center"/>
              <w:rPr>
                <w:b/>
                <w:sz w:val="20"/>
                <w:szCs w:val="20"/>
              </w:rPr>
            </w:pPr>
            <w:r w:rsidRPr="00EB2D25">
              <w:rPr>
                <w:b/>
                <w:sz w:val="20"/>
                <w:szCs w:val="20"/>
              </w:rPr>
              <w:t>Assistant 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Pr="00EB2D25" w:rsidRDefault="007E5C0A" w:rsidP="001A641D">
            <w:pPr>
              <w:keepNext/>
              <w:jc w:val="center"/>
              <w:rPr>
                <w:b/>
                <w:sz w:val="20"/>
                <w:szCs w:val="20"/>
              </w:rPr>
            </w:pPr>
            <w:r w:rsidRPr="00EB2D25">
              <w:rPr>
                <w:b/>
                <w:sz w:val="20"/>
                <w:szCs w:val="20"/>
              </w:rPr>
              <w:t>Director</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Pr="00EB2D25" w:rsidRDefault="007E5C0A" w:rsidP="001A641D">
            <w:pPr>
              <w:keepNext/>
              <w:jc w:val="center"/>
              <w:rPr>
                <w:b/>
                <w:sz w:val="20"/>
                <w:szCs w:val="20"/>
              </w:rPr>
            </w:pPr>
            <w:r>
              <w:rPr>
                <w:b/>
                <w:sz w:val="20"/>
                <w:szCs w:val="20"/>
              </w:rPr>
              <w:t>SES</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EB2D25" w:rsidRDefault="007E5C0A" w:rsidP="001A641D">
            <w:pPr>
              <w:rPr>
                <w:sz w:val="20"/>
                <w:szCs w:val="20"/>
              </w:rPr>
            </w:pPr>
            <w:r w:rsidRPr="00EB2D25">
              <w:rPr>
                <w:sz w:val="20"/>
                <w:szCs w:val="20"/>
              </w:rPr>
              <w:t>Stage 1: Determine information requirements</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2.73</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0.83</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0.2</w:t>
            </w:r>
            <w:r>
              <w:rPr>
                <w:sz w:val="20"/>
                <w:szCs w:val="20"/>
                <w:lang w:eastAsia="en-AU"/>
              </w:rPr>
              <w:t>0</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0.03</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Default="007E5C0A" w:rsidP="001A641D">
            <w:pPr>
              <w:rPr>
                <w:sz w:val="20"/>
                <w:szCs w:val="20"/>
              </w:rPr>
            </w:pPr>
            <w:r w:rsidRPr="00EB2D25">
              <w:rPr>
                <w:sz w:val="20"/>
                <w:szCs w:val="20"/>
              </w:rPr>
              <w:t xml:space="preserve">Stage 2: </w:t>
            </w:r>
            <w:r>
              <w:rPr>
                <w:sz w:val="20"/>
                <w:szCs w:val="20"/>
              </w:rPr>
              <w:t>Review draft assessment documentation</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3.4</w:t>
            </w:r>
            <w:r>
              <w:rPr>
                <w:sz w:val="20"/>
                <w:szCs w:val="20"/>
                <w:lang w:eastAsia="en-AU"/>
              </w:rPr>
              <w:t>0</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0.64</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0.21</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0.03</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EB2D25" w:rsidRDefault="007E5C0A" w:rsidP="001A641D">
            <w:pPr>
              <w:rPr>
                <w:sz w:val="20"/>
                <w:szCs w:val="20"/>
              </w:rPr>
            </w:pPr>
            <w:r w:rsidRPr="00EB2D25">
              <w:rPr>
                <w:sz w:val="20"/>
                <w:szCs w:val="20"/>
              </w:rPr>
              <w:t xml:space="preserve">Stage 3: Review </w:t>
            </w:r>
            <w:r>
              <w:rPr>
                <w:sz w:val="20"/>
                <w:szCs w:val="20"/>
              </w:rPr>
              <w:t>final assessment documentation</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1</w:t>
            </w:r>
            <w:r>
              <w:rPr>
                <w:sz w:val="20"/>
                <w:szCs w:val="20"/>
                <w:lang w:eastAsia="en-AU"/>
              </w:rPr>
              <w:t>.00</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0.37</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0.12</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0.03</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EB2D25" w:rsidRDefault="007E5C0A" w:rsidP="001A641D">
            <w:pPr>
              <w:rPr>
                <w:sz w:val="20"/>
                <w:szCs w:val="20"/>
              </w:rPr>
            </w:pPr>
            <w:r w:rsidRPr="00EB2D25">
              <w:rPr>
                <w:sz w:val="20"/>
                <w:szCs w:val="20"/>
              </w:rPr>
              <w:t xml:space="preserve">Stage 4: Prepare recommendation report, proposed and final decision </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3.27</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1.07</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0.54</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3B07CD" w:rsidRDefault="007E5C0A" w:rsidP="001A641D">
            <w:pPr>
              <w:jc w:val="center"/>
              <w:rPr>
                <w:sz w:val="20"/>
                <w:szCs w:val="20"/>
                <w:lang w:eastAsia="en-AU"/>
              </w:rPr>
            </w:pPr>
            <w:r w:rsidRPr="003B07CD">
              <w:rPr>
                <w:sz w:val="20"/>
                <w:szCs w:val="20"/>
                <w:lang w:eastAsia="en-AU"/>
              </w:rPr>
              <w:t>0.08</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7D5759" w:rsidRDefault="007E5C0A" w:rsidP="001A641D">
            <w:pPr>
              <w:rPr>
                <w:b/>
                <w:sz w:val="20"/>
                <w:szCs w:val="20"/>
              </w:rPr>
            </w:pPr>
            <w:r w:rsidRPr="007D5759">
              <w:rPr>
                <w:b/>
                <w:sz w:val="20"/>
                <w:szCs w:val="20"/>
              </w:rPr>
              <w:t>Total</w:t>
            </w:r>
          </w:p>
        </w:tc>
        <w:tc>
          <w:tcPr>
            <w:tcW w:w="1418"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jc w:val="center"/>
              <w:rPr>
                <w:b/>
                <w:sz w:val="20"/>
                <w:szCs w:val="20"/>
                <w:lang w:eastAsia="en-AU"/>
              </w:rPr>
            </w:pPr>
            <w:r w:rsidRPr="007D5759">
              <w:rPr>
                <w:b/>
                <w:sz w:val="20"/>
                <w:szCs w:val="20"/>
                <w:lang w:eastAsia="en-AU"/>
              </w:rPr>
              <w:t>10.40</w:t>
            </w:r>
          </w:p>
        </w:tc>
        <w:tc>
          <w:tcPr>
            <w:tcW w:w="113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jc w:val="center"/>
              <w:rPr>
                <w:b/>
                <w:sz w:val="20"/>
                <w:szCs w:val="20"/>
                <w:lang w:eastAsia="en-AU"/>
              </w:rPr>
            </w:pPr>
            <w:r w:rsidRPr="007D5759">
              <w:rPr>
                <w:b/>
                <w:sz w:val="20"/>
                <w:szCs w:val="20"/>
                <w:lang w:eastAsia="en-AU"/>
              </w:rPr>
              <w:t>2.91</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jc w:val="center"/>
              <w:rPr>
                <w:b/>
                <w:sz w:val="20"/>
                <w:szCs w:val="20"/>
                <w:lang w:eastAsia="en-AU"/>
              </w:rPr>
            </w:pPr>
            <w:r w:rsidRPr="007D5759">
              <w:rPr>
                <w:b/>
                <w:sz w:val="20"/>
                <w:szCs w:val="20"/>
                <w:lang w:eastAsia="en-AU"/>
              </w:rPr>
              <w:t>1.07</w:t>
            </w:r>
          </w:p>
        </w:tc>
        <w:tc>
          <w:tcPr>
            <w:tcW w:w="99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jc w:val="center"/>
              <w:rPr>
                <w:b/>
                <w:sz w:val="20"/>
                <w:szCs w:val="20"/>
                <w:lang w:eastAsia="en-AU"/>
              </w:rPr>
            </w:pPr>
            <w:r w:rsidRPr="007D5759">
              <w:rPr>
                <w:b/>
                <w:sz w:val="20"/>
                <w:szCs w:val="20"/>
                <w:lang w:eastAsia="en-AU"/>
              </w:rPr>
              <w:t>0.17</w:t>
            </w:r>
          </w:p>
        </w:tc>
      </w:tr>
      <w:tr w:rsidR="00397365" w:rsidTr="001A641D">
        <w:trPr>
          <w:cnfStyle w:val="000000010000" w:firstRow="0" w:lastRow="0" w:firstColumn="0" w:lastColumn="0" w:oddVBand="0" w:evenVBand="0" w:oddHBand="0" w:evenHBand="1" w:firstRowFirstColumn="0" w:firstRowLastColumn="0" w:lastRowFirstColumn="0" w:lastRowLastColumn="0"/>
          <w:trHeight w:val="435"/>
        </w:trPr>
        <w:tc>
          <w:tcPr>
            <w:tcW w:w="5160"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EB2D25" w:rsidRDefault="007E5C0A" w:rsidP="001A641D">
            <w:pPr>
              <w:jc w:val="right"/>
              <w:rPr>
                <w:sz w:val="20"/>
                <w:szCs w:val="20"/>
              </w:rPr>
            </w:pPr>
            <w:r w:rsidRPr="00EB2D25">
              <w:rPr>
                <w:sz w:val="20"/>
                <w:szCs w:val="20"/>
              </w:rPr>
              <w:t>TOTAL BASE COST</w:t>
            </w:r>
          </w:p>
        </w:tc>
        <w:tc>
          <w:tcPr>
            <w:tcW w:w="4536" w:type="dxa"/>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7837FD" w:rsidRDefault="007E5C0A" w:rsidP="001A641D">
            <w:pPr>
              <w:jc w:val="center"/>
              <w:rPr>
                <w:sz w:val="20"/>
                <w:szCs w:val="20"/>
              </w:rPr>
            </w:pPr>
            <w:r w:rsidRPr="007837FD">
              <w:rPr>
                <w:sz w:val="20"/>
                <w:szCs w:val="20"/>
              </w:rPr>
              <w:t>$8,</w:t>
            </w:r>
            <w:r>
              <w:rPr>
                <w:sz w:val="20"/>
                <w:szCs w:val="20"/>
              </w:rPr>
              <w:t>010</w:t>
            </w:r>
          </w:p>
        </w:tc>
      </w:tr>
    </w:tbl>
    <w:p w:rsidR="001A641D" w:rsidRDefault="001A641D" w:rsidP="001A641D">
      <w:pPr>
        <w:rPr>
          <w:lang w:val="en-US"/>
        </w:rPr>
      </w:pPr>
    </w:p>
    <w:p w:rsidR="001A641D" w:rsidRDefault="007E5C0A">
      <w:pPr>
        <w:spacing w:after="0" w:line="240" w:lineRule="auto"/>
        <w:rPr>
          <w:rFonts w:cs="Arial"/>
          <w:i/>
          <w:u w:val="single"/>
        </w:rPr>
      </w:pPr>
      <w:r>
        <w:br w:type="page"/>
      </w:r>
    </w:p>
    <w:p w:rsidR="001A641D" w:rsidRDefault="007E5C0A" w:rsidP="001A641D">
      <w:pPr>
        <w:pStyle w:val="Heading4"/>
      </w:pPr>
      <w:r>
        <w:t>Base costs of assessments by public environment report or environmental impact statement</w:t>
      </w:r>
    </w:p>
    <w:p w:rsidR="001A641D" w:rsidRDefault="007E5C0A" w:rsidP="001A641D">
      <w:pPr>
        <w:rPr>
          <w:lang w:val="en-US"/>
        </w:rPr>
      </w:pPr>
      <w:r>
        <w:rPr>
          <w:lang w:val="en-US"/>
        </w:rPr>
        <w:t>Assessment by public environment report and assessment by environmental impact statement are very similar assessment methods, that require the same activities to be undertaken. The base costs of these assessment methods are therefore the same. Base costs of both assessment methods are discussed in this section.</w:t>
      </w:r>
    </w:p>
    <w:p w:rsidR="001A641D" w:rsidRPr="00F0720D" w:rsidRDefault="007E5C0A" w:rsidP="001A641D">
      <w:pPr>
        <w:rPr>
          <w:lang w:val="en-US"/>
        </w:rPr>
      </w:pPr>
      <w:r w:rsidRPr="00FC12C4">
        <w:rPr>
          <w:lang w:val="en-US"/>
        </w:rPr>
        <w:t xml:space="preserve">Base </w:t>
      </w:r>
      <w:r>
        <w:rPr>
          <w:lang w:val="en-US"/>
        </w:rPr>
        <w:t>costs of assessment by public environment</w:t>
      </w:r>
      <w:r w:rsidRPr="00F0720D">
        <w:rPr>
          <w:lang w:val="en-US"/>
        </w:rPr>
        <w:t xml:space="preserve"> report </w:t>
      </w:r>
      <w:r>
        <w:rPr>
          <w:lang w:val="en-US"/>
        </w:rPr>
        <w:t xml:space="preserve">or </w:t>
      </w:r>
      <w:r w:rsidRPr="00F0720D">
        <w:rPr>
          <w:lang w:val="en-US"/>
        </w:rPr>
        <w:t xml:space="preserve">environmental impact statement are based on </w:t>
      </w:r>
      <w:r>
        <w:rPr>
          <w:lang w:val="en-US"/>
        </w:rPr>
        <w:t>32.53</w:t>
      </w:r>
      <w:r w:rsidRPr="00C17C01">
        <w:rPr>
          <w:lang w:val="en-US"/>
        </w:rPr>
        <w:t xml:space="preserve"> equivalent person-days for an Assessment Officer, </w:t>
      </w:r>
      <w:r>
        <w:rPr>
          <w:lang w:val="en-US"/>
        </w:rPr>
        <w:t>10.22</w:t>
      </w:r>
      <w:r w:rsidRPr="00C17C01">
        <w:rPr>
          <w:lang w:val="en-US"/>
        </w:rPr>
        <w:t> equivalent person-days</w:t>
      </w:r>
      <w:r w:rsidRPr="00F0720D">
        <w:rPr>
          <w:lang w:val="en-US"/>
        </w:rPr>
        <w:t xml:space="preserve"> for an Assistant Director, and </w:t>
      </w:r>
      <w:r>
        <w:rPr>
          <w:lang w:val="en-US"/>
        </w:rPr>
        <w:t>3.11</w:t>
      </w:r>
      <w:r w:rsidRPr="00C17C01">
        <w:rPr>
          <w:lang w:val="en-US"/>
        </w:rPr>
        <w:t xml:space="preserve"> equivalent person-day</w:t>
      </w:r>
      <w:r w:rsidRPr="00F0720D">
        <w:rPr>
          <w:lang w:val="en-US"/>
        </w:rPr>
        <w:t xml:space="preserve">s for a Director, plus executive oversight. </w:t>
      </w:r>
    </w:p>
    <w:p w:rsidR="001A641D" w:rsidRDefault="007E5C0A" w:rsidP="001A641D">
      <w:pPr>
        <w:spacing w:after="120"/>
        <w:rPr>
          <w:lang w:val="en-US"/>
        </w:rPr>
      </w:pPr>
      <w:r>
        <w:rPr>
          <w:lang w:val="en-US"/>
        </w:rPr>
        <w:t>Core a</w:t>
      </w:r>
      <w:r w:rsidRPr="00F0720D">
        <w:rPr>
          <w:lang w:val="en-US"/>
        </w:rPr>
        <w:t>ctivities involved in a</w:t>
      </w:r>
      <w:r>
        <w:rPr>
          <w:lang w:val="en-US"/>
        </w:rPr>
        <w:t>n assessment by</w:t>
      </w:r>
      <w:r w:rsidRPr="00F0720D">
        <w:rPr>
          <w:lang w:val="en-US"/>
        </w:rPr>
        <w:t xml:space="preserve"> </w:t>
      </w:r>
      <w:r>
        <w:rPr>
          <w:lang w:val="en-US"/>
        </w:rPr>
        <w:t xml:space="preserve">public environment report or environmental impact statement </w:t>
      </w:r>
      <w:r w:rsidRPr="00FC12C4">
        <w:rPr>
          <w:lang w:val="en-US"/>
        </w:rPr>
        <w:t xml:space="preserve">include: </w:t>
      </w:r>
    </w:p>
    <w:p w:rsidR="001A641D" w:rsidRDefault="007E5C0A" w:rsidP="001A641D">
      <w:pPr>
        <w:pStyle w:val="ListBullet"/>
        <w:spacing w:after="120"/>
        <w:rPr>
          <w:lang w:val="en-US"/>
        </w:rPr>
      </w:pPr>
      <w:r>
        <w:rPr>
          <w:lang w:val="en-US"/>
        </w:rPr>
        <w:t>a</w:t>
      </w:r>
      <w:r w:rsidRPr="00FC12C4">
        <w:rPr>
          <w:lang w:val="en-US"/>
        </w:rPr>
        <w:t xml:space="preserve"> comprehensive review of project scope</w:t>
      </w:r>
      <w:r>
        <w:rPr>
          <w:lang w:val="en-US"/>
        </w:rPr>
        <w:t>;</w:t>
      </w:r>
    </w:p>
    <w:p w:rsidR="001A641D" w:rsidRDefault="007E5C0A" w:rsidP="001A641D">
      <w:pPr>
        <w:pStyle w:val="ListBullet"/>
        <w:spacing w:after="120"/>
        <w:rPr>
          <w:lang w:val="en-US"/>
        </w:rPr>
      </w:pPr>
      <w:r>
        <w:rPr>
          <w:lang w:val="en-US"/>
        </w:rPr>
        <w:t>c</w:t>
      </w:r>
      <w:r w:rsidRPr="00FC12C4">
        <w:rPr>
          <w:lang w:val="en-US"/>
        </w:rPr>
        <w:t xml:space="preserve">onsultation with the </w:t>
      </w:r>
      <w:r>
        <w:rPr>
          <w:lang w:val="en-US"/>
        </w:rPr>
        <w:t>applicant;</w:t>
      </w:r>
    </w:p>
    <w:p w:rsidR="001A641D" w:rsidRDefault="007E5C0A" w:rsidP="001A641D">
      <w:pPr>
        <w:pStyle w:val="ListBullet"/>
        <w:spacing w:after="120"/>
        <w:rPr>
          <w:lang w:val="en-US"/>
        </w:rPr>
      </w:pPr>
      <w:r>
        <w:rPr>
          <w:lang w:val="en-US"/>
        </w:rPr>
        <w:t>p</w:t>
      </w:r>
      <w:r w:rsidRPr="00FC12C4">
        <w:rPr>
          <w:lang w:val="en-US"/>
        </w:rPr>
        <w:t>reparation of guidelines</w:t>
      </w:r>
      <w:r>
        <w:rPr>
          <w:lang w:val="en-US"/>
        </w:rPr>
        <w:t>;</w:t>
      </w:r>
    </w:p>
    <w:p w:rsidR="001A641D" w:rsidRDefault="007E5C0A" w:rsidP="001A641D">
      <w:pPr>
        <w:pStyle w:val="ListBullet"/>
        <w:spacing w:after="120"/>
        <w:rPr>
          <w:lang w:val="en-US"/>
        </w:rPr>
      </w:pPr>
      <w:r>
        <w:rPr>
          <w:lang w:val="en-US"/>
        </w:rPr>
        <w:t>r</w:t>
      </w:r>
      <w:r w:rsidRPr="00FC12C4">
        <w:rPr>
          <w:lang w:val="en-US"/>
        </w:rPr>
        <w:t>esearch and validation of assessment documentation</w:t>
      </w:r>
      <w:r>
        <w:rPr>
          <w:lang w:val="en-US"/>
        </w:rPr>
        <w:t>;</w:t>
      </w:r>
    </w:p>
    <w:p w:rsidR="001A641D" w:rsidRDefault="007E5C0A" w:rsidP="001A641D">
      <w:pPr>
        <w:pStyle w:val="ListBullet"/>
        <w:spacing w:after="120"/>
        <w:rPr>
          <w:lang w:val="en-US"/>
        </w:rPr>
      </w:pPr>
      <w:r>
        <w:rPr>
          <w:lang w:val="en-US"/>
        </w:rPr>
        <w:t>s</w:t>
      </w:r>
      <w:r w:rsidRPr="00FC12C4">
        <w:rPr>
          <w:lang w:val="en-US"/>
        </w:rPr>
        <w:t xml:space="preserve">ourcing of advice from other </w:t>
      </w:r>
      <w:r>
        <w:rPr>
          <w:lang w:val="en-US"/>
        </w:rPr>
        <w:t>departmental</w:t>
      </w:r>
      <w:r w:rsidRPr="00FC12C4">
        <w:rPr>
          <w:lang w:val="en-US"/>
        </w:rPr>
        <w:t xml:space="preserve"> areas responsible for specific aspects of the assessment</w:t>
      </w:r>
      <w:r>
        <w:rPr>
          <w:lang w:val="en-US"/>
        </w:rPr>
        <w:t>;</w:t>
      </w:r>
    </w:p>
    <w:p w:rsidR="001A641D" w:rsidRDefault="007E5C0A" w:rsidP="001A641D">
      <w:pPr>
        <w:pStyle w:val="ListBullet"/>
        <w:spacing w:after="120"/>
        <w:rPr>
          <w:lang w:val="en-US"/>
        </w:rPr>
      </w:pPr>
      <w:r>
        <w:rPr>
          <w:lang w:val="en-US"/>
        </w:rPr>
        <w:t>p</w:t>
      </w:r>
      <w:r w:rsidRPr="00FC12C4">
        <w:rPr>
          <w:lang w:val="en-US"/>
        </w:rPr>
        <w:t>reparation of advice to the Minister</w:t>
      </w:r>
      <w:r>
        <w:rPr>
          <w:lang w:val="en-US"/>
        </w:rPr>
        <w:t>;</w:t>
      </w:r>
    </w:p>
    <w:p w:rsidR="001A641D" w:rsidRDefault="007E5C0A" w:rsidP="001A641D">
      <w:pPr>
        <w:pStyle w:val="ListBullet"/>
        <w:spacing w:after="120"/>
        <w:rPr>
          <w:lang w:val="en-US"/>
        </w:rPr>
      </w:pPr>
      <w:r>
        <w:rPr>
          <w:lang w:val="en-US"/>
        </w:rPr>
        <w:t>consideration of advice;</w:t>
      </w:r>
    </w:p>
    <w:p w:rsidR="001A641D" w:rsidRDefault="007E5C0A" w:rsidP="001A641D">
      <w:pPr>
        <w:pStyle w:val="ListBullet"/>
        <w:spacing w:after="120"/>
        <w:rPr>
          <w:lang w:val="en-US"/>
        </w:rPr>
      </w:pPr>
      <w:r>
        <w:rPr>
          <w:lang w:val="en-US"/>
        </w:rPr>
        <w:t>d</w:t>
      </w:r>
      <w:r w:rsidRPr="00FC12C4">
        <w:rPr>
          <w:lang w:val="en-US"/>
        </w:rPr>
        <w:t>ecision notification</w:t>
      </w:r>
      <w:r>
        <w:rPr>
          <w:lang w:val="en-US"/>
        </w:rPr>
        <w:t>;</w:t>
      </w:r>
      <w:r w:rsidRPr="00FC12C4">
        <w:rPr>
          <w:lang w:val="en-US"/>
        </w:rPr>
        <w:t xml:space="preserve"> and </w:t>
      </w:r>
    </w:p>
    <w:p w:rsidR="001A641D" w:rsidRDefault="007E5C0A" w:rsidP="001A641D">
      <w:pPr>
        <w:pStyle w:val="ListBullet"/>
        <w:rPr>
          <w:lang w:val="en-US"/>
        </w:rPr>
      </w:pPr>
      <w:r>
        <w:rPr>
          <w:lang w:val="en-US"/>
        </w:rPr>
        <w:t>d</w:t>
      </w:r>
      <w:r w:rsidRPr="00FC12C4">
        <w:rPr>
          <w:lang w:val="en-US"/>
        </w:rPr>
        <w:t xml:space="preserve">atabase input. </w:t>
      </w:r>
    </w:p>
    <w:p w:rsidR="001A641D" w:rsidRDefault="007E5C0A" w:rsidP="001A641D">
      <w:pPr>
        <w:keepNext/>
        <w:rPr>
          <w:lang w:val="en-US"/>
        </w:rPr>
      </w:pPr>
      <w:r w:rsidRPr="00FC12C4">
        <w:rPr>
          <w:lang w:val="en-US"/>
        </w:rPr>
        <w:t xml:space="preserve">A summary of the </w:t>
      </w:r>
      <w:r>
        <w:rPr>
          <w:lang w:val="en-US"/>
        </w:rPr>
        <w:t>public environment report or environmental impact statement</w:t>
      </w:r>
      <w:r w:rsidRPr="00FC12C4">
        <w:rPr>
          <w:lang w:val="en-US"/>
        </w:rPr>
        <w:t xml:space="preserve"> costs </w:t>
      </w:r>
      <w:r>
        <w:rPr>
          <w:lang w:val="en-US"/>
        </w:rPr>
        <w:t>is</w:t>
      </w:r>
      <w:r w:rsidRPr="00FC12C4">
        <w:rPr>
          <w:lang w:val="en-US"/>
        </w:rPr>
        <w:t xml:space="preserve"> outlined in</w:t>
      </w:r>
      <w:r>
        <w:rPr>
          <w:lang w:val="en-US"/>
        </w:rPr>
        <w:t xml:space="preserve"> </w:t>
      </w:r>
      <w:r w:rsidR="00FF3730">
        <w:fldChar w:fldCharType="begin"/>
      </w:r>
      <w:r w:rsidR="00FF3730">
        <w:instrText xml:space="preserve"> REF _Ref457985210 \h  \* MERGEFORMAT </w:instrText>
      </w:r>
      <w:r w:rsidR="00FF3730">
        <w:fldChar w:fldCharType="separate"/>
      </w:r>
      <w:r w:rsidR="00FF3730">
        <w:t>Table 7</w:t>
      </w:r>
      <w:r w:rsidR="00FF3730">
        <w:fldChar w:fldCharType="end"/>
      </w:r>
      <w:r w:rsidRPr="00DD7C8D">
        <w:rPr>
          <w:lang w:val="en-US"/>
        </w:rPr>
        <w:t xml:space="preserve"> below.</w:t>
      </w:r>
    </w:p>
    <w:p w:rsidR="001A641D" w:rsidRDefault="007E5C0A" w:rsidP="001A641D">
      <w:pPr>
        <w:pStyle w:val="Caption"/>
        <w:keepNext/>
      </w:pPr>
      <w:bookmarkStart w:id="782" w:name="_Ref457985210"/>
      <w:bookmarkStart w:id="783" w:name="_Toc256000416"/>
      <w:bookmarkStart w:id="784" w:name="_Toc256000308"/>
      <w:bookmarkStart w:id="785" w:name="_Toc256000200"/>
      <w:bookmarkStart w:id="786" w:name="_Toc256000092"/>
      <w:bookmarkStart w:id="787" w:name="_Toc458170595"/>
      <w:r>
        <w:t xml:space="preserve">Table </w:t>
      </w:r>
      <w:r w:rsidR="003366B4">
        <w:fldChar w:fldCharType="begin"/>
      </w:r>
      <w:r>
        <w:instrText xml:space="preserve"> SEQ Table \* ARABIC </w:instrText>
      </w:r>
      <w:r w:rsidR="003366B4">
        <w:fldChar w:fldCharType="separate"/>
      </w:r>
      <w:r w:rsidR="00FF3730">
        <w:rPr>
          <w:noProof/>
        </w:rPr>
        <w:t>7</w:t>
      </w:r>
      <w:r w:rsidR="003366B4">
        <w:rPr>
          <w:noProof/>
        </w:rPr>
        <w:fldChar w:fldCharType="end"/>
      </w:r>
      <w:bookmarkEnd w:id="782"/>
      <w:r>
        <w:t xml:space="preserve">. </w:t>
      </w:r>
      <w:r w:rsidRPr="002A1F24">
        <w:t xml:space="preserve">Summary of </w:t>
      </w:r>
      <w:r>
        <w:t>b</w:t>
      </w:r>
      <w:r w:rsidRPr="002A1F24">
        <w:t xml:space="preserve">ase costs </w:t>
      </w:r>
      <w:r>
        <w:t>of assessment by public environment</w:t>
      </w:r>
      <w:r w:rsidRPr="002A1F24">
        <w:t xml:space="preserve"> report</w:t>
      </w:r>
      <w:r>
        <w:t xml:space="preserve"> or </w:t>
      </w:r>
      <w:r w:rsidRPr="002A1F24">
        <w:t>environmental impact statement.</w:t>
      </w:r>
      <w:bookmarkEnd w:id="783"/>
      <w:bookmarkEnd w:id="784"/>
      <w:bookmarkEnd w:id="785"/>
      <w:bookmarkEnd w:id="786"/>
      <w:bookmarkEnd w:id="787"/>
    </w:p>
    <w:tbl>
      <w:tblPr>
        <w:tblStyle w:val="TableGrid"/>
        <w:tblW w:w="5000" w:type="pct"/>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CellMar>
          <w:left w:w="57" w:type="dxa"/>
          <w:right w:w="57" w:type="dxa"/>
        </w:tblCellMar>
        <w:tblLook w:val="04A0" w:firstRow="1" w:lastRow="0" w:firstColumn="1" w:lastColumn="0" w:noHBand="0" w:noVBand="1"/>
      </w:tblPr>
      <w:tblGrid>
        <w:gridCol w:w="5054"/>
        <w:gridCol w:w="1469"/>
        <w:gridCol w:w="1174"/>
        <w:gridCol w:w="1028"/>
        <w:gridCol w:w="1028"/>
      </w:tblGrid>
      <w:tr w:rsidR="00397365" w:rsidTr="001A641D">
        <w:trPr>
          <w:cnfStyle w:val="100000000000" w:firstRow="1" w:lastRow="0" w:firstColumn="0" w:lastColumn="0" w:oddVBand="0" w:evenVBand="0" w:oddHBand="0" w:evenHBand="0" w:firstRowFirstColumn="0" w:firstRowLastColumn="0" w:lastRowFirstColumn="0" w:lastRowLastColumn="0"/>
          <w:cantSplit/>
          <w:trHeight w:val="269"/>
          <w:tblHeader/>
        </w:trPr>
        <w:tc>
          <w:tcPr>
            <w:tcW w:w="2591" w:type="pct"/>
            <w:tcBorders>
              <w:top w:val="nil"/>
              <w:left w:val="nil"/>
              <w:bottom w:val="single" w:sz="4" w:space="0" w:color="548DD4" w:themeColor="text2" w:themeTint="99"/>
              <w:right w:val="single" w:sz="4" w:space="0" w:color="548DD4" w:themeColor="text2" w:themeTint="99"/>
            </w:tcBorders>
          </w:tcPr>
          <w:p w:rsidR="001A641D" w:rsidRDefault="001A641D" w:rsidP="001A641D">
            <w:pPr>
              <w:spacing w:before="120" w:after="120"/>
              <w:rPr>
                <w:sz w:val="20"/>
                <w:szCs w:val="20"/>
              </w:rPr>
            </w:pPr>
          </w:p>
        </w:tc>
        <w:tc>
          <w:tcPr>
            <w:tcW w:w="2409"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Default="007E5C0A" w:rsidP="001A641D">
            <w:pPr>
              <w:spacing w:before="120" w:after="120"/>
              <w:jc w:val="center"/>
              <w:rPr>
                <w:b/>
                <w:sz w:val="20"/>
                <w:szCs w:val="20"/>
              </w:rPr>
            </w:pPr>
            <w:r w:rsidRPr="00F64587">
              <w:rPr>
                <w:b/>
                <w:sz w:val="20"/>
                <w:szCs w:val="20"/>
              </w:rPr>
              <w:t>Time (days)</w:t>
            </w:r>
          </w:p>
        </w:tc>
      </w:tr>
      <w:tr w:rsidR="00397365" w:rsidTr="001A641D">
        <w:trPr>
          <w:cnfStyle w:val="100000000000" w:firstRow="1" w:lastRow="0" w:firstColumn="0" w:lastColumn="0" w:oddVBand="0" w:evenVBand="0" w:oddHBand="0" w:evenHBand="0" w:firstRowFirstColumn="0" w:firstRowLastColumn="0" w:lastRowFirstColumn="0" w:lastRowLastColumn="0"/>
          <w:cantSplit/>
          <w:trHeight w:val="269"/>
          <w:tblHeader/>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b/>
                <w:sz w:val="20"/>
                <w:szCs w:val="20"/>
              </w:rPr>
            </w:pPr>
            <w:r w:rsidRPr="00C85C62">
              <w:rPr>
                <w:b/>
                <w:sz w:val="20"/>
                <w:szCs w:val="20"/>
              </w:rPr>
              <w:t>Stages of the assessment and approval process</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b/>
                <w:sz w:val="20"/>
                <w:szCs w:val="20"/>
              </w:rPr>
            </w:pPr>
            <w:r w:rsidRPr="00C85C62">
              <w:rPr>
                <w:b/>
                <w:sz w:val="20"/>
                <w:szCs w:val="20"/>
              </w:rPr>
              <w:t>Assessment Officer</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b/>
                <w:sz w:val="20"/>
                <w:szCs w:val="20"/>
              </w:rPr>
            </w:pPr>
            <w:r w:rsidRPr="00F64587">
              <w:rPr>
                <w:b/>
                <w:sz w:val="20"/>
                <w:szCs w:val="20"/>
              </w:rPr>
              <w:t>Assistant Director</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b/>
                <w:sz w:val="20"/>
                <w:szCs w:val="20"/>
              </w:rPr>
            </w:pPr>
            <w:r w:rsidRPr="00F64587">
              <w:rPr>
                <w:b/>
                <w:sz w:val="20"/>
                <w:szCs w:val="20"/>
              </w:rPr>
              <w:t>Director</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b/>
                <w:sz w:val="20"/>
                <w:szCs w:val="20"/>
              </w:rPr>
            </w:pPr>
            <w:r>
              <w:rPr>
                <w:b/>
                <w:sz w:val="20"/>
                <w:szCs w:val="20"/>
              </w:rPr>
              <w:t>SES</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Default="007E5C0A" w:rsidP="001A641D">
            <w:pPr>
              <w:spacing w:before="120" w:after="120"/>
              <w:rPr>
                <w:rFonts w:eastAsia="SimSun"/>
                <w:b/>
                <w:color w:val="0070C0"/>
                <w:sz w:val="20"/>
                <w:szCs w:val="20"/>
                <w:lang w:val="en-US"/>
              </w:rPr>
            </w:pPr>
            <w:r w:rsidRPr="00F64587">
              <w:rPr>
                <w:sz w:val="20"/>
                <w:szCs w:val="20"/>
              </w:rPr>
              <w:t xml:space="preserve">Stage 1: </w:t>
            </w:r>
            <w:r w:rsidRPr="00B6162A">
              <w:rPr>
                <w:sz w:val="20"/>
                <w:szCs w:val="20"/>
                <w:lang w:val="en-US"/>
              </w:rPr>
              <w:t>Determine information requirements</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6.33</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1.80</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0.47</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0.07</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Default="007E5C0A" w:rsidP="001A641D">
            <w:pPr>
              <w:spacing w:before="120" w:after="120"/>
              <w:rPr>
                <w:rFonts w:eastAsia="SimSun"/>
                <w:b/>
                <w:color w:val="0070C0"/>
                <w:sz w:val="20"/>
                <w:szCs w:val="20"/>
                <w:lang w:val="en-US"/>
              </w:rPr>
            </w:pPr>
            <w:r w:rsidRPr="00F64587">
              <w:rPr>
                <w:sz w:val="20"/>
                <w:szCs w:val="20"/>
              </w:rPr>
              <w:t xml:space="preserve">Stage 2: </w:t>
            </w:r>
            <w:r>
              <w:rPr>
                <w:sz w:val="20"/>
                <w:szCs w:val="20"/>
              </w:rPr>
              <w:t>Review draft assessment documentation</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7.13</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1.89</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0.72</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0.09</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Default="007E5C0A" w:rsidP="001A641D">
            <w:pPr>
              <w:spacing w:before="120" w:after="120"/>
              <w:rPr>
                <w:rFonts w:eastAsia="SimSun"/>
                <w:b/>
                <w:color w:val="0070C0"/>
                <w:sz w:val="20"/>
                <w:szCs w:val="20"/>
                <w:lang w:val="en-US"/>
              </w:rPr>
            </w:pPr>
            <w:r w:rsidRPr="00F64587">
              <w:rPr>
                <w:sz w:val="20"/>
                <w:szCs w:val="20"/>
              </w:rPr>
              <w:t xml:space="preserve">Stage 3: Review final </w:t>
            </w:r>
            <w:r>
              <w:rPr>
                <w:sz w:val="20"/>
                <w:szCs w:val="20"/>
              </w:rPr>
              <w:t>assessment documentation</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7.80</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3.39</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1.12</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0.23</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Default="007E5C0A" w:rsidP="001A641D">
            <w:pPr>
              <w:spacing w:before="120" w:after="120"/>
              <w:rPr>
                <w:rFonts w:eastAsia="SimSun"/>
                <w:b/>
                <w:color w:val="0070C0"/>
                <w:sz w:val="20"/>
                <w:szCs w:val="20"/>
                <w:lang w:val="en-US"/>
              </w:rPr>
            </w:pPr>
            <w:r w:rsidRPr="00F64587">
              <w:rPr>
                <w:sz w:val="20"/>
                <w:szCs w:val="20"/>
              </w:rPr>
              <w:t>Stage 4: Prepare</w:t>
            </w:r>
            <w:r>
              <w:rPr>
                <w:sz w:val="20"/>
                <w:szCs w:val="20"/>
              </w:rPr>
              <w:t xml:space="preserve"> </w:t>
            </w:r>
            <w:r w:rsidRPr="00F64587">
              <w:rPr>
                <w:sz w:val="20"/>
                <w:szCs w:val="20"/>
              </w:rPr>
              <w:t>recommendation report, proposed and final decision</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11.27</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3.13</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0.81</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Default="007E5C0A" w:rsidP="001A641D">
            <w:pPr>
              <w:spacing w:before="120" w:after="120"/>
              <w:jc w:val="center"/>
              <w:rPr>
                <w:sz w:val="20"/>
                <w:szCs w:val="20"/>
                <w:lang w:eastAsia="en-AU"/>
              </w:rPr>
            </w:pPr>
            <w:r>
              <w:rPr>
                <w:sz w:val="20"/>
                <w:szCs w:val="20"/>
                <w:lang w:eastAsia="en-AU"/>
              </w:rPr>
              <w:t>0.15</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7D5759" w:rsidRDefault="007E5C0A" w:rsidP="001A641D">
            <w:pPr>
              <w:spacing w:before="120" w:after="120"/>
              <w:rPr>
                <w:b/>
                <w:sz w:val="20"/>
                <w:szCs w:val="20"/>
              </w:rPr>
            </w:pPr>
            <w:r w:rsidRPr="007D5759">
              <w:rPr>
                <w:b/>
                <w:sz w:val="20"/>
                <w:szCs w:val="20"/>
              </w:rPr>
              <w:t>Total</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spacing w:before="120" w:after="120"/>
              <w:jc w:val="center"/>
              <w:rPr>
                <w:b/>
                <w:sz w:val="20"/>
                <w:szCs w:val="20"/>
                <w:lang w:eastAsia="en-AU"/>
              </w:rPr>
            </w:pPr>
            <w:r w:rsidRPr="007D5759">
              <w:rPr>
                <w:b/>
                <w:sz w:val="20"/>
                <w:szCs w:val="20"/>
                <w:lang w:eastAsia="en-AU"/>
              </w:rPr>
              <w:t>32.53</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spacing w:before="120" w:after="120"/>
              <w:jc w:val="center"/>
              <w:rPr>
                <w:b/>
                <w:sz w:val="20"/>
                <w:szCs w:val="20"/>
                <w:lang w:eastAsia="en-AU"/>
              </w:rPr>
            </w:pPr>
            <w:r w:rsidRPr="007D5759">
              <w:rPr>
                <w:b/>
                <w:sz w:val="20"/>
                <w:szCs w:val="20"/>
                <w:lang w:eastAsia="en-AU"/>
              </w:rPr>
              <w:t>10.22</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spacing w:before="120" w:after="120"/>
              <w:jc w:val="center"/>
              <w:rPr>
                <w:b/>
                <w:sz w:val="20"/>
                <w:szCs w:val="20"/>
                <w:lang w:eastAsia="en-AU"/>
              </w:rPr>
            </w:pPr>
            <w:r w:rsidRPr="007D5759">
              <w:rPr>
                <w:b/>
                <w:sz w:val="20"/>
                <w:szCs w:val="20"/>
                <w:lang w:eastAsia="en-AU"/>
              </w:rPr>
              <w:t>3.11</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7D5759" w:rsidRDefault="007E5C0A" w:rsidP="001A641D">
            <w:pPr>
              <w:spacing w:before="120" w:after="120"/>
              <w:jc w:val="center"/>
              <w:rPr>
                <w:b/>
                <w:sz w:val="20"/>
                <w:szCs w:val="20"/>
                <w:lang w:eastAsia="en-AU"/>
              </w:rPr>
            </w:pPr>
            <w:r w:rsidRPr="007D5759">
              <w:rPr>
                <w:b/>
                <w:sz w:val="20"/>
                <w:szCs w:val="20"/>
                <w:lang w:eastAsia="en-AU"/>
              </w:rPr>
              <w:t>0.54</w:t>
            </w:r>
          </w:p>
        </w:tc>
      </w:tr>
      <w:tr w:rsidR="00397365" w:rsidTr="001A641D">
        <w:trPr>
          <w:cnfStyle w:val="000000010000" w:firstRow="0" w:lastRow="0" w:firstColumn="0" w:lastColumn="0" w:oddVBand="0" w:evenVBand="0" w:oddHBand="0" w:evenHBand="1" w:firstRowFirstColumn="0" w:firstRowLastColumn="0" w:lastRowFirstColumn="0" w:lastRowLastColumn="0"/>
          <w:trHeight w:val="18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Default="007E5C0A" w:rsidP="001A641D">
            <w:pPr>
              <w:spacing w:before="120" w:after="120"/>
              <w:jc w:val="right"/>
              <w:rPr>
                <w:sz w:val="20"/>
                <w:szCs w:val="20"/>
              </w:rPr>
            </w:pPr>
            <w:r w:rsidRPr="00F64587">
              <w:rPr>
                <w:sz w:val="20"/>
                <w:szCs w:val="20"/>
              </w:rPr>
              <w:t>TOTAL BASE COST</w:t>
            </w:r>
          </w:p>
        </w:tc>
        <w:tc>
          <w:tcPr>
            <w:tcW w:w="2409"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Default="007E5C0A" w:rsidP="001A641D">
            <w:pPr>
              <w:spacing w:before="120" w:after="120"/>
              <w:jc w:val="center"/>
            </w:pPr>
            <w:r w:rsidRPr="003B07CD">
              <w:rPr>
                <w:sz w:val="20"/>
                <w:szCs w:val="20"/>
                <w:lang w:eastAsia="en-AU"/>
              </w:rPr>
              <w:t>$25,583</w:t>
            </w:r>
          </w:p>
        </w:tc>
      </w:tr>
    </w:tbl>
    <w:p w:rsidR="001A641D" w:rsidRPr="00FE13BC" w:rsidRDefault="007E5C0A">
      <w:pPr>
        <w:spacing w:after="0" w:line="240" w:lineRule="auto"/>
        <w:rPr>
          <w:rFonts w:cs="Arial"/>
          <w:i/>
          <w:sz w:val="2"/>
          <w:szCs w:val="2"/>
          <w:u w:val="single"/>
        </w:rPr>
      </w:pPr>
      <w:r w:rsidRPr="00FE13BC">
        <w:rPr>
          <w:sz w:val="2"/>
          <w:szCs w:val="2"/>
        </w:rPr>
        <w:br w:type="page"/>
      </w:r>
    </w:p>
    <w:p w:rsidR="001A641D" w:rsidRDefault="007E5C0A" w:rsidP="001A641D">
      <w:pPr>
        <w:pStyle w:val="Heading4"/>
      </w:pPr>
      <w:r>
        <w:t>Base costs of assessments by bilateral agreement or accredited process</w:t>
      </w:r>
    </w:p>
    <w:p w:rsidR="001A641D" w:rsidRPr="0022151B" w:rsidRDefault="007E5C0A" w:rsidP="001A641D">
      <w:pPr>
        <w:rPr>
          <w:lang w:val="en-US"/>
        </w:rPr>
      </w:pPr>
      <w:r w:rsidRPr="00107E4E">
        <w:rPr>
          <w:lang w:val="en-US"/>
        </w:rPr>
        <w:t>Bilateral agreements reduce duplication of environmental assessment processes between the Commonwealth and states/territories. They allow the Commonwealth to 'accredit' particular state/territory assessment processes</w:t>
      </w:r>
      <w:r>
        <w:rPr>
          <w:lang w:val="en-US"/>
        </w:rPr>
        <w:t>, either through an ongoing bilateral agreement for a type of process or a one-off accreditation of a process for a particular proposed action</w:t>
      </w:r>
      <w:r w:rsidRPr="00107E4E">
        <w:rPr>
          <w:lang w:val="en-US"/>
        </w:rPr>
        <w:t>.</w:t>
      </w:r>
      <w:r>
        <w:rPr>
          <w:lang w:val="en-US"/>
        </w:rPr>
        <w:t xml:space="preserve"> </w:t>
      </w:r>
      <w:r w:rsidRPr="0022151B">
        <w:rPr>
          <w:lang w:val="en-US"/>
        </w:rPr>
        <w:t xml:space="preserve">In both these cases, the applicant must refer the project under both the state legislation and the EPBC Act. </w:t>
      </w:r>
    </w:p>
    <w:p w:rsidR="001A641D" w:rsidRPr="0022151B" w:rsidRDefault="007E5C0A" w:rsidP="001A641D">
      <w:pPr>
        <w:spacing w:after="120"/>
        <w:rPr>
          <w:lang w:val="en-US"/>
        </w:rPr>
      </w:pPr>
      <w:r>
        <w:rPr>
          <w:lang w:val="en-US"/>
        </w:rPr>
        <w:t>Core a</w:t>
      </w:r>
      <w:r w:rsidRPr="0022151B">
        <w:rPr>
          <w:lang w:val="en-US"/>
        </w:rPr>
        <w:t>ctivities undertaken by the Commonwealth as part of a</w:t>
      </w:r>
      <w:r>
        <w:rPr>
          <w:lang w:val="en-US"/>
        </w:rPr>
        <w:t>n assessment by</w:t>
      </w:r>
      <w:r w:rsidRPr="0022151B">
        <w:rPr>
          <w:lang w:val="en-US"/>
        </w:rPr>
        <w:t xml:space="preserve"> bilateral assessment or accredited process include: </w:t>
      </w:r>
    </w:p>
    <w:p w:rsidR="001A641D" w:rsidRPr="0022151B" w:rsidRDefault="007E5C0A" w:rsidP="001A641D">
      <w:pPr>
        <w:pStyle w:val="ListBullet"/>
        <w:spacing w:after="120"/>
        <w:rPr>
          <w:lang w:val="en-US"/>
        </w:rPr>
      </w:pPr>
      <w:r>
        <w:rPr>
          <w:lang w:val="en-US"/>
        </w:rPr>
        <w:t>r</w:t>
      </w:r>
      <w:r w:rsidRPr="0022151B">
        <w:rPr>
          <w:lang w:val="en-US"/>
        </w:rPr>
        <w:t>egular liaison with the state or territory departments</w:t>
      </w:r>
      <w:r>
        <w:rPr>
          <w:lang w:val="en-US"/>
        </w:rPr>
        <w:t>;</w:t>
      </w:r>
      <w:r w:rsidRPr="0022151B">
        <w:rPr>
          <w:lang w:val="en-US"/>
        </w:rPr>
        <w:t xml:space="preserve"> </w:t>
      </w:r>
    </w:p>
    <w:p w:rsidR="001A641D" w:rsidRPr="0022151B" w:rsidRDefault="007E5C0A" w:rsidP="001A641D">
      <w:pPr>
        <w:pStyle w:val="ListBullet"/>
        <w:spacing w:after="120"/>
        <w:rPr>
          <w:lang w:val="en-US"/>
        </w:rPr>
      </w:pPr>
      <w:r>
        <w:rPr>
          <w:lang w:val="en-US"/>
        </w:rPr>
        <w:t>c</w:t>
      </w:r>
      <w:r w:rsidRPr="0022151B">
        <w:rPr>
          <w:lang w:val="en-US"/>
        </w:rPr>
        <w:t>omprehensive review of project scope</w:t>
      </w:r>
      <w:r>
        <w:rPr>
          <w:lang w:val="en-US"/>
        </w:rPr>
        <w:t>;</w:t>
      </w:r>
    </w:p>
    <w:p w:rsidR="001A641D" w:rsidRPr="0022151B" w:rsidRDefault="007E5C0A" w:rsidP="001A641D">
      <w:pPr>
        <w:pStyle w:val="ListBullet"/>
        <w:spacing w:after="120"/>
        <w:rPr>
          <w:lang w:val="en-US"/>
        </w:rPr>
      </w:pPr>
      <w:r>
        <w:rPr>
          <w:lang w:val="en-US"/>
        </w:rPr>
        <w:t>c</w:t>
      </w:r>
      <w:r w:rsidRPr="0022151B">
        <w:rPr>
          <w:lang w:val="en-US"/>
        </w:rPr>
        <w:t>onsultation with the state or territory departments and, the applicant, if required</w:t>
      </w:r>
      <w:r>
        <w:rPr>
          <w:lang w:val="en-US"/>
        </w:rPr>
        <w:t>;</w:t>
      </w:r>
    </w:p>
    <w:p w:rsidR="001A641D" w:rsidRPr="0022151B" w:rsidRDefault="007E5C0A" w:rsidP="001A641D">
      <w:pPr>
        <w:pStyle w:val="ListBullet"/>
        <w:spacing w:after="120"/>
        <w:rPr>
          <w:lang w:val="en-US"/>
        </w:rPr>
      </w:pPr>
      <w:r>
        <w:rPr>
          <w:lang w:val="en-US"/>
        </w:rPr>
        <w:t>i</w:t>
      </w:r>
      <w:r w:rsidRPr="0022151B">
        <w:rPr>
          <w:lang w:val="en-US"/>
        </w:rPr>
        <w:t>nput into state or territory project assessment guidelines</w:t>
      </w:r>
      <w:r>
        <w:rPr>
          <w:lang w:val="en-US"/>
        </w:rPr>
        <w:t>;</w:t>
      </w:r>
    </w:p>
    <w:p w:rsidR="001A641D" w:rsidRPr="0022151B" w:rsidRDefault="007E5C0A" w:rsidP="001A641D">
      <w:pPr>
        <w:pStyle w:val="ListBullet"/>
        <w:spacing w:after="120"/>
        <w:rPr>
          <w:lang w:val="en-US"/>
        </w:rPr>
      </w:pPr>
      <w:r>
        <w:rPr>
          <w:lang w:val="en-US"/>
        </w:rPr>
        <w:t>r</w:t>
      </w:r>
      <w:r w:rsidRPr="0022151B">
        <w:rPr>
          <w:lang w:val="en-US"/>
        </w:rPr>
        <w:t>esearch and validation of assessment documentation</w:t>
      </w:r>
      <w:r>
        <w:rPr>
          <w:lang w:val="en-US"/>
        </w:rPr>
        <w:t>;</w:t>
      </w:r>
    </w:p>
    <w:p w:rsidR="001A641D" w:rsidRPr="0022151B" w:rsidRDefault="007E5C0A" w:rsidP="001A641D">
      <w:pPr>
        <w:pStyle w:val="ListBullet"/>
        <w:spacing w:after="120"/>
        <w:rPr>
          <w:lang w:val="en-US"/>
        </w:rPr>
      </w:pPr>
      <w:r>
        <w:rPr>
          <w:lang w:val="en-US"/>
        </w:rPr>
        <w:t>s</w:t>
      </w:r>
      <w:r w:rsidRPr="0022151B">
        <w:rPr>
          <w:lang w:val="en-US"/>
        </w:rPr>
        <w:t>ourcing of advice from other departmental areas</w:t>
      </w:r>
      <w:r>
        <w:rPr>
          <w:lang w:val="en-US"/>
        </w:rPr>
        <w:t>;</w:t>
      </w:r>
    </w:p>
    <w:p w:rsidR="001A641D" w:rsidRPr="0022151B" w:rsidRDefault="007E5C0A" w:rsidP="001A641D">
      <w:pPr>
        <w:pStyle w:val="ListBullet"/>
        <w:spacing w:after="120"/>
        <w:rPr>
          <w:lang w:val="en-US"/>
        </w:rPr>
      </w:pPr>
      <w:r>
        <w:rPr>
          <w:lang w:val="en-US"/>
        </w:rPr>
        <w:t>p</w:t>
      </w:r>
      <w:r w:rsidRPr="0022151B">
        <w:rPr>
          <w:lang w:val="en-US"/>
        </w:rPr>
        <w:t>reparation of advice to the Minister</w:t>
      </w:r>
      <w:r>
        <w:rPr>
          <w:lang w:val="en-US"/>
        </w:rPr>
        <w:t>;</w:t>
      </w:r>
    </w:p>
    <w:p w:rsidR="001A641D" w:rsidRPr="0022151B" w:rsidRDefault="007E5C0A" w:rsidP="001A641D">
      <w:pPr>
        <w:pStyle w:val="ListBullet"/>
        <w:spacing w:after="120"/>
        <w:rPr>
          <w:lang w:val="en-US"/>
        </w:rPr>
      </w:pPr>
      <w:r>
        <w:rPr>
          <w:lang w:val="en-US"/>
        </w:rPr>
        <w:t>c</w:t>
      </w:r>
      <w:r w:rsidRPr="0022151B">
        <w:rPr>
          <w:lang w:val="en-US"/>
        </w:rPr>
        <w:t>onsideration of advice</w:t>
      </w:r>
      <w:r>
        <w:rPr>
          <w:lang w:val="en-US"/>
        </w:rPr>
        <w:t>;</w:t>
      </w:r>
    </w:p>
    <w:p w:rsidR="001A641D" w:rsidRPr="0022151B" w:rsidRDefault="007E5C0A" w:rsidP="001A641D">
      <w:pPr>
        <w:pStyle w:val="ListBullet"/>
        <w:spacing w:after="120"/>
        <w:rPr>
          <w:lang w:val="en-US"/>
        </w:rPr>
      </w:pPr>
      <w:r>
        <w:rPr>
          <w:lang w:val="en-US"/>
        </w:rPr>
        <w:t>d</w:t>
      </w:r>
      <w:r w:rsidRPr="0022151B">
        <w:rPr>
          <w:lang w:val="en-US"/>
        </w:rPr>
        <w:t>ecision notification</w:t>
      </w:r>
      <w:r>
        <w:rPr>
          <w:lang w:val="en-US"/>
        </w:rPr>
        <w:t xml:space="preserve">; </w:t>
      </w:r>
      <w:r w:rsidRPr="0022151B">
        <w:rPr>
          <w:lang w:val="en-US"/>
        </w:rPr>
        <w:t xml:space="preserve">and </w:t>
      </w:r>
    </w:p>
    <w:p w:rsidR="001A641D" w:rsidRPr="0022151B" w:rsidRDefault="007E5C0A" w:rsidP="001A641D">
      <w:pPr>
        <w:pStyle w:val="ListBullet"/>
        <w:rPr>
          <w:lang w:val="en-US"/>
        </w:rPr>
      </w:pPr>
      <w:r>
        <w:rPr>
          <w:lang w:val="en-US"/>
        </w:rPr>
        <w:t>d</w:t>
      </w:r>
      <w:r w:rsidRPr="0022151B">
        <w:rPr>
          <w:lang w:val="en-US"/>
        </w:rPr>
        <w:t xml:space="preserve">atabase input. </w:t>
      </w:r>
    </w:p>
    <w:p w:rsidR="001A641D" w:rsidRPr="0022151B" w:rsidRDefault="007E5C0A" w:rsidP="001A641D">
      <w:pPr>
        <w:rPr>
          <w:lang w:val="en-US"/>
        </w:rPr>
      </w:pPr>
      <w:r w:rsidRPr="0022151B">
        <w:rPr>
          <w:lang w:val="en-US"/>
        </w:rPr>
        <w:t xml:space="preserve">The costs </w:t>
      </w:r>
      <w:r>
        <w:rPr>
          <w:lang w:val="en-US"/>
        </w:rPr>
        <w:t>of</w:t>
      </w:r>
      <w:r w:rsidRPr="0022151B">
        <w:rPr>
          <w:lang w:val="en-US"/>
        </w:rPr>
        <w:t xml:space="preserve"> a bilateral or accredited </w:t>
      </w:r>
      <w:r w:rsidRPr="004D7891">
        <w:rPr>
          <w:lang w:val="en-US"/>
        </w:rPr>
        <w:t>assessment are lower than those under the en</w:t>
      </w:r>
      <w:r w:rsidRPr="0022151B">
        <w:rPr>
          <w:lang w:val="en-US"/>
        </w:rPr>
        <w:t xml:space="preserve">vironmental impact statement assessment as the Department </w:t>
      </w:r>
      <w:r w:rsidRPr="00A4293F">
        <w:rPr>
          <w:lang w:val="en-US"/>
        </w:rPr>
        <w:t xml:space="preserve">does not </w:t>
      </w:r>
      <w:r>
        <w:rPr>
          <w:lang w:val="en-US"/>
        </w:rPr>
        <w:t>undertake the activities that are completed as a part of the state assessment</w:t>
      </w:r>
      <w:r w:rsidRPr="0022151B">
        <w:rPr>
          <w:lang w:val="en-US"/>
        </w:rPr>
        <w:t xml:space="preserve">. There </w:t>
      </w:r>
      <w:r>
        <w:rPr>
          <w:lang w:val="en-US"/>
        </w:rPr>
        <w:t>is</w:t>
      </w:r>
      <w:r w:rsidRPr="0022151B">
        <w:rPr>
          <w:lang w:val="en-US"/>
        </w:rPr>
        <w:t xml:space="preserve"> no cost recovery by the Australian Government for assessment work undertaken by the states and territories under an assessment bilateral agreement. </w:t>
      </w:r>
    </w:p>
    <w:p w:rsidR="001A641D" w:rsidRDefault="007E5C0A" w:rsidP="001A641D">
      <w:pPr>
        <w:spacing w:after="0"/>
        <w:rPr>
          <w:lang w:val="en-US"/>
        </w:rPr>
      </w:pPr>
      <w:r w:rsidRPr="00C81B51">
        <w:rPr>
          <w:lang w:val="en-US"/>
        </w:rPr>
        <w:t xml:space="preserve">A summary of the bilateral agreement / accredited </w:t>
      </w:r>
      <w:r>
        <w:rPr>
          <w:lang w:val="en-US"/>
        </w:rPr>
        <w:t>process</w:t>
      </w:r>
      <w:r w:rsidRPr="00C81B51">
        <w:rPr>
          <w:lang w:val="en-US"/>
        </w:rPr>
        <w:t xml:space="preserve"> costs is </w:t>
      </w:r>
      <w:r w:rsidRPr="00DD7C8D">
        <w:rPr>
          <w:lang w:val="en-US"/>
        </w:rPr>
        <w:t xml:space="preserve">outlined in </w:t>
      </w:r>
      <w:r w:rsidR="00FF3730">
        <w:fldChar w:fldCharType="begin"/>
      </w:r>
      <w:r w:rsidR="00FF3730">
        <w:instrText xml:space="preserve"> REF _Ref457985215 \h  \* MERGEFORMAT </w:instrText>
      </w:r>
      <w:r w:rsidR="00FF3730">
        <w:fldChar w:fldCharType="separate"/>
      </w:r>
      <w:r w:rsidR="00FF3730">
        <w:t>Table 8</w:t>
      </w:r>
      <w:r w:rsidR="00FF3730">
        <w:fldChar w:fldCharType="end"/>
      </w:r>
      <w:r w:rsidRPr="00DD7C8D">
        <w:rPr>
          <w:lang w:val="en-US"/>
        </w:rPr>
        <w:t xml:space="preserve"> below.</w:t>
      </w:r>
    </w:p>
    <w:p w:rsidR="001A641D" w:rsidRPr="00473D71" w:rsidRDefault="001A641D" w:rsidP="001A641D">
      <w:pPr>
        <w:spacing w:after="0" w:line="240" w:lineRule="auto"/>
      </w:pPr>
    </w:p>
    <w:p w:rsidR="001A641D" w:rsidRDefault="007E5C0A" w:rsidP="001A641D">
      <w:pPr>
        <w:pStyle w:val="Caption"/>
        <w:keepNext/>
      </w:pPr>
      <w:bookmarkStart w:id="788" w:name="_Ref457985215"/>
      <w:bookmarkStart w:id="789" w:name="_Toc256000417"/>
      <w:bookmarkStart w:id="790" w:name="_Toc256000309"/>
      <w:bookmarkStart w:id="791" w:name="_Toc256000201"/>
      <w:bookmarkStart w:id="792" w:name="_Toc256000093"/>
      <w:bookmarkStart w:id="793" w:name="_Toc458170596"/>
      <w:r>
        <w:t xml:space="preserve">Table </w:t>
      </w:r>
      <w:r w:rsidR="003366B4">
        <w:fldChar w:fldCharType="begin"/>
      </w:r>
      <w:r>
        <w:instrText xml:space="preserve"> SEQ Table \* ARABIC </w:instrText>
      </w:r>
      <w:r w:rsidR="003366B4">
        <w:fldChar w:fldCharType="separate"/>
      </w:r>
      <w:r w:rsidR="00FF3730">
        <w:rPr>
          <w:noProof/>
        </w:rPr>
        <w:t>8</w:t>
      </w:r>
      <w:r w:rsidR="003366B4">
        <w:rPr>
          <w:noProof/>
        </w:rPr>
        <w:fldChar w:fldCharType="end"/>
      </w:r>
      <w:bookmarkEnd w:id="788"/>
      <w:r>
        <w:t>. Summary of b</w:t>
      </w:r>
      <w:r w:rsidRPr="009B69D8">
        <w:t xml:space="preserve">ase costs </w:t>
      </w:r>
      <w:r>
        <w:t>of assessment by</w:t>
      </w:r>
      <w:r w:rsidRPr="009B69D8">
        <w:t xml:space="preserve"> bilateral agreement </w:t>
      </w:r>
      <w:r>
        <w:t>or</w:t>
      </w:r>
      <w:r w:rsidRPr="009B69D8">
        <w:t xml:space="preserve"> accredited </w:t>
      </w:r>
      <w:r>
        <w:t>process</w:t>
      </w:r>
      <w:r w:rsidRPr="009B69D8">
        <w:t>.</w:t>
      </w:r>
      <w:bookmarkEnd w:id="789"/>
      <w:bookmarkEnd w:id="790"/>
      <w:bookmarkEnd w:id="791"/>
      <w:bookmarkEnd w:id="792"/>
      <w:bookmarkEnd w:id="793"/>
    </w:p>
    <w:tbl>
      <w:tblPr>
        <w:tblStyle w:val="TableGrid"/>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CellMar>
          <w:left w:w="57" w:type="dxa"/>
          <w:right w:w="57" w:type="dxa"/>
        </w:tblCellMar>
        <w:tblLook w:val="04A0" w:firstRow="1" w:lastRow="0" w:firstColumn="1" w:lastColumn="0" w:noHBand="0" w:noVBand="1"/>
      </w:tblPr>
      <w:tblGrid>
        <w:gridCol w:w="5054"/>
        <w:gridCol w:w="1469"/>
        <w:gridCol w:w="1174"/>
        <w:gridCol w:w="1028"/>
        <w:gridCol w:w="1028"/>
      </w:tblGrid>
      <w:tr w:rsidR="00397365" w:rsidTr="001A641D">
        <w:trPr>
          <w:cnfStyle w:val="100000000000" w:firstRow="1" w:lastRow="0" w:firstColumn="0" w:lastColumn="0" w:oddVBand="0" w:evenVBand="0" w:oddHBand="0" w:evenHBand="0" w:firstRowFirstColumn="0" w:firstRowLastColumn="0" w:lastRowFirstColumn="0" w:lastRowLastColumn="0"/>
          <w:trHeight w:val="269"/>
        </w:trPr>
        <w:tc>
          <w:tcPr>
            <w:tcW w:w="2591" w:type="pct"/>
            <w:tcBorders>
              <w:top w:val="nil"/>
              <w:left w:val="nil"/>
              <w:bottom w:val="single" w:sz="4" w:space="0" w:color="548DD4" w:themeColor="text2" w:themeTint="99"/>
              <w:right w:val="single" w:sz="4" w:space="0" w:color="548DD4" w:themeColor="text2" w:themeTint="99"/>
            </w:tcBorders>
          </w:tcPr>
          <w:p w:rsidR="001A641D" w:rsidRDefault="001A641D" w:rsidP="001A641D">
            <w:pPr>
              <w:spacing w:before="120" w:after="120"/>
              <w:rPr>
                <w:sz w:val="20"/>
                <w:szCs w:val="20"/>
              </w:rPr>
            </w:pPr>
          </w:p>
        </w:tc>
        <w:tc>
          <w:tcPr>
            <w:tcW w:w="2409"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tcPr>
          <w:p w:rsidR="001A641D" w:rsidRDefault="007E5C0A" w:rsidP="001A641D">
            <w:pPr>
              <w:spacing w:before="120" w:after="120"/>
              <w:jc w:val="center"/>
              <w:rPr>
                <w:rFonts w:eastAsia="SimSun"/>
                <w:b/>
                <w:color w:val="0070C0"/>
                <w:sz w:val="20"/>
                <w:szCs w:val="20"/>
                <w:lang w:val="en-US"/>
              </w:rPr>
            </w:pPr>
            <w:r w:rsidRPr="00F64587">
              <w:rPr>
                <w:b/>
                <w:sz w:val="20"/>
                <w:szCs w:val="20"/>
              </w:rPr>
              <w:t>Time (days)</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rFonts w:eastAsia="SimSun"/>
                <w:b/>
                <w:color w:val="0070C0"/>
                <w:sz w:val="20"/>
                <w:szCs w:val="20"/>
                <w:lang w:val="en-US"/>
              </w:rPr>
            </w:pPr>
            <w:r w:rsidRPr="00F64587">
              <w:rPr>
                <w:b/>
                <w:sz w:val="20"/>
                <w:szCs w:val="20"/>
              </w:rPr>
              <w:t>Stages of the assessment and approval process</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rFonts w:eastAsia="SimSun"/>
                <w:b/>
                <w:color w:val="0070C0"/>
                <w:sz w:val="20"/>
                <w:szCs w:val="20"/>
                <w:lang w:val="en-US"/>
              </w:rPr>
            </w:pPr>
            <w:r w:rsidRPr="00F64587">
              <w:rPr>
                <w:b/>
                <w:sz w:val="20"/>
                <w:szCs w:val="20"/>
              </w:rPr>
              <w:t>Assessment Officer</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rFonts w:eastAsia="SimSun"/>
                <w:b/>
                <w:color w:val="0070C0"/>
                <w:sz w:val="20"/>
                <w:szCs w:val="20"/>
                <w:lang w:val="en-US"/>
              </w:rPr>
            </w:pPr>
            <w:r w:rsidRPr="00F64587">
              <w:rPr>
                <w:b/>
                <w:sz w:val="20"/>
                <w:szCs w:val="20"/>
              </w:rPr>
              <w:t>Assistant Director</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rFonts w:eastAsia="SimSun"/>
                <w:b/>
                <w:color w:val="0070C0"/>
                <w:sz w:val="20"/>
                <w:szCs w:val="20"/>
                <w:lang w:val="en-US"/>
              </w:rPr>
            </w:pPr>
            <w:r w:rsidRPr="00F64587">
              <w:rPr>
                <w:b/>
                <w:sz w:val="20"/>
                <w:szCs w:val="20"/>
              </w:rPr>
              <w:t>Director</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Default="007E5C0A" w:rsidP="001A641D">
            <w:pPr>
              <w:spacing w:before="120" w:after="120"/>
              <w:jc w:val="center"/>
              <w:rPr>
                <w:rFonts w:eastAsia="SimSun"/>
                <w:b/>
                <w:color w:val="0070C0"/>
                <w:sz w:val="20"/>
                <w:szCs w:val="20"/>
                <w:lang w:val="en-US"/>
              </w:rPr>
            </w:pPr>
            <w:r>
              <w:rPr>
                <w:b/>
                <w:sz w:val="20"/>
                <w:szCs w:val="20"/>
              </w:rPr>
              <w:t>SES</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A641D" w:rsidRDefault="007E5C0A" w:rsidP="001A641D">
            <w:pPr>
              <w:spacing w:before="120" w:after="120"/>
              <w:rPr>
                <w:rFonts w:eastAsia="SimSun"/>
                <w:b/>
                <w:color w:val="0070C0"/>
                <w:sz w:val="20"/>
                <w:szCs w:val="20"/>
                <w:lang w:val="en-US"/>
              </w:rPr>
            </w:pPr>
            <w:r w:rsidRPr="00F64587">
              <w:rPr>
                <w:sz w:val="20"/>
                <w:szCs w:val="20"/>
              </w:rPr>
              <w:t xml:space="preserve">Stage 1: </w:t>
            </w:r>
            <w:r w:rsidRPr="00324E34">
              <w:rPr>
                <w:sz w:val="20"/>
                <w:szCs w:val="20"/>
                <w:lang w:val="en-US"/>
              </w:rPr>
              <w:t>Review terms of reference</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5.53</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1.53</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0.27</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0.03</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A641D" w:rsidRDefault="007E5C0A" w:rsidP="001A641D">
            <w:pPr>
              <w:spacing w:before="120" w:after="120"/>
              <w:rPr>
                <w:rFonts w:eastAsia="SimSun"/>
                <w:b/>
                <w:color w:val="0070C0"/>
                <w:sz w:val="20"/>
                <w:szCs w:val="20"/>
                <w:lang w:val="en-US"/>
              </w:rPr>
            </w:pPr>
            <w:r w:rsidRPr="00F64587">
              <w:rPr>
                <w:sz w:val="20"/>
                <w:szCs w:val="20"/>
              </w:rPr>
              <w:t xml:space="preserve">Stage 2: </w:t>
            </w:r>
            <w:r w:rsidRPr="00324E34">
              <w:rPr>
                <w:sz w:val="20"/>
                <w:szCs w:val="20"/>
                <w:lang w:val="en-US"/>
              </w:rPr>
              <w:t>Review draft assessment documentation</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5.13</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1.20</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0.40</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0.03</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A641D" w:rsidRDefault="007E5C0A" w:rsidP="001A641D">
            <w:pPr>
              <w:spacing w:before="120" w:after="120"/>
              <w:rPr>
                <w:rFonts w:eastAsia="SimSun"/>
                <w:b/>
                <w:color w:val="0070C0"/>
                <w:sz w:val="20"/>
                <w:szCs w:val="20"/>
                <w:lang w:val="en-US"/>
              </w:rPr>
            </w:pPr>
            <w:r w:rsidRPr="00F64587">
              <w:rPr>
                <w:sz w:val="20"/>
                <w:szCs w:val="20"/>
              </w:rPr>
              <w:t xml:space="preserve">Stage 3: </w:t>
            </w:r>
            <w:r>
              <w:rPr>
                <w:sz w:val="20"/>
                <w:szCs w:val="20"/>
                <w:lang w:val="en-US"/>
              </w:rPr>
              <w:t>Review final</w:t>
            </w:r>
            <w:r w:rsidRPr="00324E34">
              <w:rPr>
                <w:sz w:val="20"/>
                <w:szCs w:val="20"/>
                <w:lang w:val="en-US"/>
              </w:rPr>
              <w:t xml:space="preserve"> assessment documentation</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2.53</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0.80</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0.40</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0.10</w:t>
            </w:r>
          </w:p>
        </w:tc>
      </w:tr>
      <w:tr w:rsidR="00397365" w:rsidTr="001A641D">
        <w:trPr>
          <w:cnfStyle w:val="000000100000" w:firstRow="0" w:lastRow="0" w:firstColumn="0" w:lastColumn="0" w:oddVBand="0" w:evenVBand="0" w:oddHBand="1" w:evenHBand="0"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A641D" w:rsidRDefault="007E5C0A" w:rsidP="001A641D">
            <w:pPr>
              <w:spacing w:before="120" w:after="120"/>
              <w:rPr>
                <w:rFonts w:eastAsia="SimSun"/>
                <w:b/>
                <w:color w:val="0070C0"/>
                <w:sz w:val="20"/>
                <w:szCs w:val="20"/>
                <w:lang w:val="en-US"/>
              </w:rPr>
            </w:pPr>
            <w:r w:rsidRPr="00F64587">
              <w:rPr>
                <w:sz w:val="20"/>
                <w:szCs w:val="20"/>
              </w:rPr>
              <w:t xml:space="preserve">Stage 4: </w:t>
            </w:r>
            <w:r>
              <w:rPr>
                <w:sz w:val="20"/>
                <w:szCs w:val="20"/>
                <w:lang w:val="en-US"/>
              </w:rPr>
              <w:t>P</w:t>
            </w:r>
            <w:r w:rsidRPr="00324E34">
              <w:rPr>
                <w:sz w:val="20"/>
                <w:szCs w:val="20"/>
                <w:lang w:val="en-US"/>
              </w:rPr>
              <w:t>repare proposed and final decision</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11.27</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3.13</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0.81</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lang w:eastAsia="en-AU"/>
              </w:rPr>
            </w:pPr>
            <w:r w:rsidRPr="000517E5">
              <w:rPr>
                <w:sz w:val="20"/>
                <w:szCs w:val="20"/>
                <w:lang w:eastAsia="en-AU"/>
              </w:rPr>
              <w:t>0.15</w:t>
            </w:r>
          </w:p>
        </w:tc>
      </w:tr>
      <w:tr w:rsidR="00397365" w:rsidTr="001A641D">
        <w:trPr>
          <w:cnfStyle w:val="000000010000" w:firstRow="0" w:lastRow="0" w:firstColumn="0" w:lastColumn="0" w:oddVBand="0" w:evenVBand="0" w:oddHBand="0" w:evenHBand="1" w:firstRowFirstColumn="0" w:firstRowLastColumn="0" w:lastRowFirstColumn="0" w:lastRowLastColumn="0"/>
          <w:trHeight w:val="269"/>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A641D" w:rsidRPr="007D5759" w:rsidRDefault="007E5C0A" w:rsidP="001A641D">
            <w:pPr>
              <w:spacing w:before="120" w:after="120"/>
              <w:rPr>
                <w:b/>
                <w:sz w:val="20"/>
                <w:szCs w:val="20"/>
              </w:rPr>
            </w:pPr>
            <w:r w:rsidRPr="007D5759">
              <w:rPr>
                <w:b/>
                <w:sz w:val="20"/>
                <w:szCs w:val="20"/>
              </w:rPr>
              <w:t>Total</w:t>
            </w:r>
          </w:p>
        </w:tc>
        <w:tc>
          <w:tcPr>
            <w:tcW w:w="7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Pr="007D5759" w:rsidRDefault="007E5C0A" w:rsidP="001A641D">
            <w:pPr>
              <w:spacing w:before="120" w:after="120"/>
              <w:rPr>
                <w:b/>
                <w:sz w:val="20"/>
                <w:szCs w:val="20"/>
                <w:lang w:eastAsia="en-AU"/>
              </w:rPr>
            </w:pPr>
            <w:r w:rsidRPr="007D5759">
              <w:rPr>
                <w:b/>
                <w:sz w:val="20"/>
                <w:szCs w:val="20"/>
                <w:lang w:eastAsia="en-AU"/>
              </w:rPr>
              <w:t>24.47</w:t>
            </w:r>
          </w:p>
        </w:tc>
        <w:tc>
          <w:tcPr>
            <w:tcW w:w="60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Pr="007D5759" w:rsidRDefault="007E5C0A" w:rsidP="001A641D">
            <w:pPr>
              <w:spacing w:before="120" w:after="120"/>
              <w:rPr>
                <w:b/>
                <w:sz w:val="20"/>
                <w:szCs w:val="20"/>
                <w:lang w:eastAsia="en-AU"/>
              </w:rPr>
            </w:pPr>
            <w:r w:rsidRPr="007D5759">
              <w:rPr>
                <w:b/>
                <w:sz w:val="20"/>
                <w:szCs w:val="20"/>
                <w:lang w:eastAsia="en-AU"/>
              </w:rPr>
              <w:t>6.67</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Pr="007D5759" w:rsidRDefault="007E5C0A" w:rsidP="001A641D">
            <w:pPr>
              <w:spacing w:before="120" w:after="120"/>
              <w:rPr>
                <w:b/>
                <w:sz w:val="20"/>
                <w:szCs w:val="20"/>
                <w:lang w:eastAsia="en-AU"/>
              </w:rPr>
            </w:pPr>
            <w:r w:rsidRPr="007D5759">
              <w:rPr>
                <w:b/>
                <w:sz w:val="20"/>
                <w:szCs w:val="20"/>
                <w:lang w:eastAsia="en-AU"/>
              </w:rPr>
              <w:t>1.87</w:t>
            </w:r>
          </w:p>
        </w:tc>
        <w:tc>
          <w:tcPr>
            <w:tcW w:w="52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Pr="007D5759" w:rsidRDefault="007E5C0A" w:rsidP="001A641D">
            <w:pPr>
              <w:spacing w:before="120" w:after="120"/>
              <w:rPr>
                <w:b/>
                <w:sz w:val="20"/>
                <w:szCs w:val="20"/>
                <w:lang w:eastAsia="en-AU"/>
              </w:rPr>
            </w:pPr>
            <w:r w:rsidRPr="007D5759">
              <w:rPr>
                <w:b/>
                <w:sz w:val="20"/>
                <w:szCs w:val="20"/>
                <w:lang w:eastAsia="en-AU"/>
              </w:rPr>
              <w:t>0.31</w:t>
            </w:r>
          </w:p>
        </w:tc>
      </w:tr>
      <w:tr w:rsidR="00397365" w:rsidTr="001A641D">
        <w:trPr>
          <w:cnfStyle w:val="000000100000" w:firstRow="0" w:lastRow="0" w:firstColumn="0" w:lastColumn="0" w:oddVBand="0" w:evenVBand="0" w:oddHBand="1" w:evenHBand="0" w:firstRowFirstColumn="0" w:firstRowLastColumn="0" w:lastRowFirstColumn="0" w:lastRowLastColumn="0"/>
          <w:trHeight w:val="435"/>
        </w:trPr>
        <w:tc>
          <w:tcPr>
            <w:tcW w:w="2591"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Default="007E5C0A" w:rsidP="001A641D">
            <w:pPr>
              <w:spacing w:before="120" w:after="120"/>
              <w:jc w:val="right"/>
              <w:rPr>
                <w:sz w:val="20"/>
                <w:szCs w:val="20"/>
              </w:rPr>
            </w:pPr>
            <w:r w:rsidRPr="00F64587">
              <w:rPr>
                <w:sz w:val="20"/>
                <w:szCs w:val="20"/>
              </w:rPr>
              <w:t>TOTAL BASE COST</w:t>
            </w:r>
          </w:p>
        </w:tc>
        <w:tc>
          <w:tcPr>
            <w:tcW w:w="2409"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Default="007E5C0A" w:rsidP="001A641D">
            <w:pPr>
              <w:spacing w:before="120" w:after="120"/>
              <w:jc w:val="center"/>
              <w:rPr>
                <w:sz w:val="20"/>
                <w:szCs w:val="20"/>
              </w:rPr>
            </w:pPr>
            <w:r w:rsidRPr="000517E5">
              <w:rPr>
                <w:sz w:val="20"/>
                <w:szCs w:val="20"/>
                <w:lang w:eastAsia="en-AU"/>
              </w:rPr>
              <w:t>$18,14</w:t>
            </w:r>
            <w:r>
              <w:rPr>
                <w:sz w:val="20"/>
                <w:szCs w:val="20"/>
                <w:lang w:eastAsia="en-AU"/>
              </w:rPr>
              <w:t>6</w:t>
            </w:r>
          </w:p>
        </w:tc>
      </w:tr>
    </w:tbl>
    <w:p w:rsidR="001A641D" w:rsidRPr="005833A4" w:rsidRDefault="007E5C0A" w:rsidP="001A641D">
      <w:pPr>
        <w:pStyle w:val="Heading3"/>
        <w:ind w:left="720"/>
      </w:pPr>
      <w:bookmarkStart w:id="794" w:name="_Toc456517118"/>
      <w:bookmarkStart w:id="795" w:name="_Toc456517119"/>
      <w:bookmarkStart w:id="796" w:name="_Toc456517120"/>
      <w:bookmarkStart w:id="797" w:name="_Toc456360377"/>
      <w:bookmarkStart w:id="798" w:name="_Toc456364093"/>
      <w:bookmarkStart w:id="799" w:name="_Toc456365312"/>
      <w:bookmarkStart w:id="800" w:name="_Toc456366533"/>
      <w:bookmarkStart w:id="801" w:name="_Toc456367160"/>
      <w:bookmarkStart w:id="802" w:name="_Toc456367792"/>
      <w:bookmarkStart w:id="803" w:name="_Toc456368422"/>
      <w:bookmarkStart w:id="804" w:name="_Toc456369051"/>
      <w:bookmarkStart w:id="805" w:name="_Toc456369732"/>
      <w:bookmarkStart w:id="806" w:name="_Toc456370409"/>
      <w:bookmarkStart w:id="807" w:name="_Toc456371086"/>
      <w:bookmarkStart w:id="808" w:name="_Toc456517121"/>
      <w:bookmarkStart w:id="809" w:name="_Toc456360378"/>
      <w:bookmarkStart w:id="810" w:name="_Toc456364094"/>
      <w:bookmarkStart w:id="811" w:name="_Toc456365313"/>
      <w:bookmarkStart w:id="812" w:name="_Toc456366534"/>
      <w:bookmarkStart w:id="813" w:name="_Toc456367161"/>
      <w:bookmarkStart w:id="814" w:name="_Toc456367793"/>
      <w:bookmarkStart w:id="815" w:name="_Toc456368423"/>
      <w:bookmarkStart w:id="816" w:name="_Toc456369052"/>
      <w:bookmarkStart w:id="817" w:name="_Toc456369733"/>
      <w:bookmarkStart w:id="818" w:name="_Toc456370410"/>
      <w:bookmarkStart w:id="819" w:name="_Toc456371087"/>
      <w:bookmarkStart w:id="820" w:name="_Toc456517122"/>
      <w:bookmarkStart w:id="821" w:name="_Toc456360417"/>
      <w:bookmarkStart w:id="822" w:name="_Toc456364133"/>
      <w:bookmarkStart w:id="823" w:name="_Toc456365352"/>
      <w:bookmarkStart w:id="824" w:name="_Toc456366573"/>
      <w:bookmarkStart w:id="825" w:name="_Toc456367200"/>
      <w:bookmarkStart w:id="826" w:name="_Toc456367832"/>
      <w:bookmarkStart w:id="827" w:name="_Toc456368462"/>
      <w:bookmarkStart w:id="828" w:name="_Toc456369091"/>
      <w:bookmarkStart w:id="829" w:name="_Toc456369772"/>
      <w:bookmarkStart w:id="830" w:name="_Toc456370449"/>
      <w:bookmarkStart w:id="831" w:name="_Toc456371126"/>
      <w:bookmarkStart w:id="832" w:name="_Toc456517161"/>
      <w:bookmarkStart w:id="833" w:name="_Toc256000349"/>
      <w:bookmarkStart w:id="834" w:name="_Toc256000241"/>
      <w:bookmarkStart w:id="835" w:name="_Toc256000133"/>
      <w:bookmarkStart w:id="836" w:name="_Toc256000025"/>
      <w:bookmarkStart w:id="837" w:name="_Ref458159414"/>
      <w:bookmarkStart w:id="838" w:name="_Toc458170529"/>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5833A4">
        <w:t>Complexity costs for a</w:t>
      </w:r>
      <w:r>
        <w:t>s</w:t>
      </w:r>
      <w:r w:rsidRPr="005833A4">
        <w:t>sessments</w:t>
      </w:r>
      <w:bookmarkEnd w:id="833"/>
      <w:bookmarkEnd w:id="834"/>
      <w:bookmarkEnd w:id="835"/>
      <w:bookmarkEnd w:id="836"/>
      <w:bookmarkEnd w:id="837"/>
      <w:bookmarkEnd w:id="838"/>
    </w:p>
    <w:p w:rsidR="001A641D" w:rsidRDefault="007E5C0A" w:rsidP="001A641D">
      <w:r w:rsidRPr="00FC12C4">
        <w:rPr>
          <w:lang w:val="en-US"/>
        </w:rPr>
        <w:t xml:space="preserve">The level of complexity of a </w:t>
      </w:r>
      <w:r>
        <w:rPr>
          <w:lang w:val="en-US"/>
        </w:rPr>
        <w:t>proposed action determines the additional departmental resources required</w:t>
      </w:r>
      <w:r w:rsidRPr="00FC12C4">
        <w:rPr>
          <w:lang w:val="en-US"/>
        </w:rPr>
        <w:t xml:space="preserve"> </w:t>
      </w:r>
      <w:r>
        <w:rPr>
          <w:lang w:val="en-US"/>
        </w:rPr>
        <w:t xml:space="preserve">above the base costs for the relevant assessment method (see section </w:t>
      </w:r>
      <w:r w:rsidR="003366B4">
        <w:rPr>
          <w:lang w:val="en-US"/>
        </w:rPr>
        <w:fldChar w:fldCharType="begin"/>
      </w:r>
      <w:r>
        <w:rPr>
          <w:lang w:val="en-US"/>
        </w:rPr>
        <w:instrText xml:space="preserve"> REF _Ref458159803 \r \h </w:instrText>
      </w:r>
      <w:r w:rsidR="003366B4">
        <w:rPr>
          <w:lang w:val="en-US"/>
        </w:rPr>
      </w:r>
      <w:r w:rsidR="003366B4">
        <w:rPr>
          <w:lang w:val="en-US"/>
        </w:rPr>
        <w:fldChar w:fldCharType="separate"/>
      </w:r>
      <w:r w:rsidR="00FF3730">
        <w:rPr>
          <w:lang w:val="en-US"/>
        </w:rPr>
        <w:t>3.2.5</w:t>
      </w:r>
      <w:r w:rsidR="003366B4">
        <w:rPr>
          <w:lang w:val="en-US"/>
        </w:rPr>
        <w:fldChar w:fldCharType="end"/>
      </w:r>
      <w:r>
        <w:rPr>
          <w:lang w:val="en-US"/>
        </w:rPr>
        <w:t>) to address the specific attributes of a project</w:t>
      </w:r>
      <w:r w:rsidRPr="00FC12C4">
        <w:rPr>
          <w:lang w:val="en-US"/>
        </w:rPr>
        <w:t xml:space="preserve">. </w:t>
      </w:r>
      <w:r w:rsidRPr="00FC12C4">
        <w:t xml:space="preserve">The major </w:t>
      </w:r>
      <w:r>
        <w:t>component of addressing complexity for environmental impact assessments</w:t>
      </w:r>
      <w:r w:rsidRPr="00FC12C4">
        <w:t xml:space="preserve"> is staff costs</w:t>
      </w:r>
      <w:r>
        <w:t xml:space="preserve">, which </w:t>
      </w:r>
      <w:r w:rsidRPr="000B54E7">
        <w:t>includ</w:t>
      </w:r>
      <w:r>
        <w:t>es</w:t>
      </w:r>
      <w:r w:rsidRPr="000B54E7">
        <w:t xml:space="preserve"> base salary, superannuation and other on-costs for staff</w:t>
      </w:r>
      <w:r>
        <w:t>, at a range of classifications,</w:t>
      </w:r>
      <w:r w:rsidRPr="000B54E7">
        <w:t xml:space="preserve"> who are directly involved in providing the assessment. The total </w:t>
      </w:r>
      <w:r>
        <w:t xml:space="preserve">staff </w:t>
      </w:r>
      <w:r w:rsidRPr="000B54E7">
        <w:t>cost also includes a component of accommodation and property expenses, IT costs and human resources support</w:t>
      </w:r>
      <w:r w:rsidRPr="00FC12C4">
        <w:t>.</w:t>
      </w:r>
      <w:r>
        <w:t xml:space="preserve"> Complexity costs also include the procurement of specialist advice for very high complexity scenarios. Expert advice may be needed in order to ensure a fair and rigorous assessment where the Department does not have the relevant expertise to provide advice to the Minister.</w:t>
      </w:r>
    </w:p>
    <w:p w:rsidR="001A641D" w:rsidRDefault="007E5C0A" w:rsidP="001A641D">
      <w:pPr>
        <w:pStyle w:val="ListParagraph"/>
        <w:numPr>
          <w:ilvl w:val="0"/>
          <w:numId w:val="0"/>
        </w:numPr>
      </w:pPr>
      <w:r>
        <w:t xml:space="preserve">A number of factors drive the complexity of environmental assessments. These include factors such as the number of matters of national environmental significance affected by the action and the number of project components. However, the applicant can alter other factors which drive complexity, such as the adequacy of information provided in referral information, and the clarity of the project </w:t>
      </w:r>
      <w:r w:rsidRPr="00DD7C8D">
        <w:t xml:space="preserve">scope. </w:t>
      </w:r>
      <w:r w:rsidR="00FF3730">
        <w:fldChar w:fldCharType="begin"/>
      </w:r>
      <w:r w:rsidR="00FF3730">
        <w:instrText xml:space="preserve"> REF _Ref457985298 \h  \* MERGEFORMAT </w:instrText>
      </w:r>
      <w:r w:rsidR="00FF3730">
        <w:fldChar w:fldCharType="separate"/>
      </w:r>
      <w:r w:rsidR="00FF3730">
        <w:t>Table 9</w:t>
      </w:r>
      <w:r w:rsidR="00FF3730">
        <w:fldChar w:fldCharType="end"/>
      </w:r>
      <w:r w:rsidRPr="00DD7C8D">
        <w:t xml:space="preserve"> below outlines</w:t>
      </w:r>
      <w:r>
        <w:t xml:space="preserve"> the drivers of complexity, which form the basis for the calculation of complexity costs.</w:t>
      </w:r>
    </w:p>
    <w:p w:rsidR="001A641D" w:rsidRDefault="007E5C0A" w:rsidP="001A641D">
      <w:pPr>
        <w:spacing w:before="240"/>
        <w:rPr>
          <w:lang w:val="en-US"/>
        </w:rPr>
      </w:pPr>
      <w:r>
        <w:t xml:space="preserve">Complexity costs associated with individual assessments will vary on a case-by-case basis. Further detail on the breakdown of complexity costs is </w:t>
      </w:r>
      <w:r w:rsidRPr="00D33E10">
        <w:t xml:space="preserve">provided </w:t>
      </w:r>
      <w:r>
        <w:t>in the complexity matrix at</w:t>
      </w:r>
      <w:r w:rsidRPr="00D33E10">
        <w:t xml:space="preserve"> </w:t>
      </w:r>
      <w:r w:rsidRPr="00DD7C8D">
        <w:t>Appendix C.</w:t>
      </w:r>
      <w:r w:rsidRPr="00203F3E">
        <w:rPr>
          <w:lang w:val="en-US"/>
        </w:rPr>
        <w:t xml:space="preserve"> </w:t>
      </w:r>
    </w:p>
    <w:p w:rsidR="001A641D" w:rsidRDefault="007E5C0A" w:rsidP="001A641D">
      <w:pPr>
        <w:spacing w:before="240"/>
        <w:rPr>
          <w:lang w:val="en-US"/>
        </w:rPr>
      </w:pPr>
      <w:r w:rsidRPr="00E93C5B">
        <w:rPr>
          <w:lang w:val="en-US"/>
        </w:rPr>
        <w:t xml:space="preserve">The additional activities undertaken by the </w:t>
      </w:r>
      <w:r>
        <w:rPr>
          <w:lang w:val="en-US"/>
        </w:rPr>
        <w:t>D</w:t>
      </w:r>
      <w:r w:rsidRPr="00E93C5B">
        <w:rPr>
          <w:lang w:val="en-US"/>
        </w:rPr>
        <w:t xml:space="preserve">epartment based on the level of complexity may include: </w:t>
      </w:r>
    </w:p>
    <w:p w:rsidR="001A641D" w:rsidRPr="008F17D2" w:rsidRDefault="007E5C0A" w:rsidP="001A641D">
      <w:pPr>
        <w:pStyle w:val="ListBullet"/>
      </w:pPr>
      <w:r>
        <w:t>d</w:t>
      </w:r>
      <w:r w:rsidRPr="00CA3ABF">
        <w:t>etailed analysis</w:t>
      </w:r>
      <w:r>
        <w:t>;</w:t>
      </w:r>
    </w:p>
    <w:p w:rsidR="001A641D" w:rsidRDefault="007E5C0A" w:rsidP="001A641D">
      <w:pPr>
        <w:pStyle w:val="ListBullet"/>
      </w:pPr>
      <w:r>
        <w:t>r</w:t>
      </w:r>
      <w:r w:rsidRPr="00CA3ABF">
        <w:t>esearch of impacts and management and mitigation measures</w:t>
      </w:r>
      <w:r>
        <w:t>;</w:t>
      </w:r>
    </w:p>
    <w:p w:rsidR="001A641D" w:rsidRPr="008F17D2" w:rsidRDefault="007E5C0A" w:rsidP="001A641D">
      <w:pPr>
        <w:pStyle w:val="ListBullet"/>
      </w:pPr>
      <w:r>
        <w:t>e</w:t>
      </w:r>
      <w:r w:rsidRPr="00CA3ABF">
        <w:t>ngagement of and consultation with experts</w:t>
      </w:r>
      <w:r>
        <w:t>;</w:t>
      </w:r>
      <w:r w:rsidRPr="00CA3ABF">
        <w:t xml:space="preserve"> </w:t>
      </w:r>
    </w:p>
    <w:p w:rsidR="001A641D" w:rsidRPr="008F17D2" w:rsidRDefault="007E5C0A" w:rsidP="001A641D">
      <w:pPr>
        <w:pStyle w:val="ListBullet"/>
      </w:pPr>
      <w:r>
        <w:t>c</w:t>
      </w:r>
      <w:r w:rsidRPr="00CA3ABF">
        <w:t>onsultation with the applicant</w:t>
      </w:r>
      <w:r>
        <w:t>;</w:t>
      </w:r>
    </w:p>
    <w:p w:rsidR="001A641D" w:rsidRPr="008F17D2" w:rsidRDefault="007E5C0A" w:rsidP="001A641D">
      <w:pPr>
        <w:pStyle w:val="ListBullet"/>
      </w:pPr>
      <w:r>
        <w:t>s</w:t>
      </w:r>
      <w:r w:rsidRPr="00CA3ABF">
        <w:t xml:space="preserve">ourcing advice from other </w:t>
      </w:r>
      <w:r>
        <w:t>departmental</w:t>
      </w:r>
      <w:r w:rsidRPr="00CA3ABF">
        <w:t xml:space="preserve"> areas and committees (such as the Independent Expert Scientific Committee on Coal Seam Gas and Large Coal Mining Development) and Commonwealth agencies</w:t>
      </w:r>
      <w:r>
        <w:t>;</w:t>
      </w:r>
      <w:r w:rsidRPr="00CA3ABF">
        <w:t xml:space="preserve"> and </w:t>
      </w:r>
    </w:p>
    <w:p w:rsidR="001A641D" w:rsidRPr="008F17D2" w:rsidRDefault="007E5C0A" w:rsidP="001A641D">
      <w:pPr>
        <w:pStyle w:val="ListBullet"/>
      </w:pPr>
      <w:r>
        <w:t>r</w:t>
      </w:r>
      <w:r w:rsidRPr="00CA3ABF">
        <w:t xml:space="preserve">eview of responses from the applicant and members of the public. </w:t>
      </w:r>
    </w:p>
    <w:p w:rsidR="001A641D" w:rsidRDefault="001A641D" w:rsidP="001A641D"/>
    <w:p w:rsidR="001A641D" w:rsidRDefault="007E5C0A" w:rsidP="001A641D">
      <w:pPr>
        <w:pStyle w:val="Caption"/>
        <w:keepNext/>
      </w:pPr>
      <w:bookmarkStart w:id="839" w:name="_Ref457985298"/>
      <w:bookmarkStart w:id="840" w:name="_Toc256000418"/>
      <w:bookmarkStart w:id="841" w:name="_Toc256000310"/>
      <w:bookmarkStart w:id="842" w:name="_Toc256000202"/>
      <w:bookmarkStart w:id="843" w:name="_Toc256000094"/>
      <w:bookmarkStart w:id="844" w:name="_Ref457994225"/>
      <w:bookmarkStart w:id="845" w:name="_Ref457995807"/>
      <w:bookmarkStart w:id="846" w:name="_Toc458170597"/>
      <w:r>
        <w:t xml:space="preserve">Table </w:t>
      </w:r>
      <w:r w:rsidR="003366B4">
        <w:fldChar w:fldCharType="begin"/>
      </w:r>
      <w:r>
        <w:instrText xml:space="preserve"> SEQ Table \* ARABIC </w:instrText>
      </w:r>
      <w:r w:rsidR="003366B4">
        <w:fldChar w:fldCharType="separate"/>
      </w:r>
      <w:r w:rsidR="00FF3730">
        <w:rPr>
          <w:noProof/>
        </w:rPr>
        <w:t>9</w:t>
      </w:r>
      <w:r w:rsidR="003366B4">
        <w:rPr>
          <w:noProof/>
        </w:rPr>
        <w:fldChar w:fldCharType="end"/>
      </w:r>
      <w:bookmarkEnd w:id="839"/>
      <w:r>
        <w:t>. Complexity drivers.</w:t>
      </w:r>
      <w:bookmarkEnd w:id="840"/>
      <w:bookmarkEnd w:id="841"/>
      <w:bookmarkEnd w:id="842"/>
      <w:bookmarkEnd w:id="843"/>
      <w:bookmarkEnd w:id="844"/>
      <w:bookmarkEnd w:id="845"/>
      <w:bookmarkEnd w:id="846"/>
    </w:p>
    <w:tbl>
      <w:tblPr>
        <w:tblStyle w:val="LightShading1"/>
        <w:tblW w:w="962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2131"/>
        <w:gridCol w:w="7492"/>
      </w:tblGrid>
      <w:tr w:rsidR="00397365" w:rsidTr="0039736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1" w:type="dxa"/>
            <w:tcBorders>
              <w:top w:val="nil"/>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FE13BC" w:rsidRDefault="007E5C0A" w:rsidP="001A641D">
            <w:pPr>
              <w:keepNext/>
              <w:spacing w:after="120" w:line="240" w:lineRule="auto"/>
              <w:rPr>
                <w:rFonts w:ascii="Arial" w:eastAsia="SimSun" w:hAnsi="Arial" w:cs="Arial"/>
              </w:rPr>
            </w:pPr>
            <w:r w:rsidRPr="00FE13BC">
              <w:rPr>
                <w:rFonts w:ascii="Arial" w:hAnsi="Arial" w:cs="Arial"/>
              </w:rPr>
              <w:t>Driver</w:t>
            </w:r>
          </w:p>
        </w:tc>
        <w:tc>
          <w:tcPr>
            <w:tcW w:w="7492" w:type="dxa"/>
            <w:tcBorders>
              <w:top w:val="nil"/>
              <w:left w:val="single" w:sz="4" w:space="0" w:color="548DD4" w:themeColor="text2" w:themeTint="99"/>
              <w:bottom w:val="single" w:sz="4" w:space="0" w:color="548DD4" w:themeColor="text2" w:themeTint="99"/>
            </w:tcBorders>
            <w:shd w:val="clear" w:color="auto" w:fill="8DB3E2" w:themeFill="text2" w:themeFillTint="66"/>
            <w:vAlign w:val="center"/>
          </w:tcPr>
          <w:p w:rsidR="001A641D" w:rsidRPr="00FE13BC" w:rsidRDefault="007E5C0A" w:rsidP="001A641D">
            <w:pPr>
              <w:keepNext/>
              <w:spacing w:after="120" w:line="240" w:lineRule="auto"/>
              <w:cnfStyle w:val="100000000000" w:firstRow="1" w:lastRow="0" w:firstColumn="0" w:lastColumn="0" w:oddVBand="0" w:evenVBand="0" w:oddHBand="0" w:evenHBand="0" w:firstRowFirstColumn="0" w:firstRowLastColumn="0" w:lastRowFirstColumn="0" w:lastRowLastColumn="0"/>
              <w:rPr>
                <w:rFonts w:ascii="Arial" w:eastAsia="SimSun" w:hAnsi="Arial" w:cs="Arial"/>
              </w:rPr>
            </w:pPr>
            <w:r w:rsidRPr="00FE13BC">
              <w:rPr>
                <w:rFonts w:ascii="Arial" w:hAnsi="Arial" w:cs="Arial"/>
              </w:rPr>
              <w:t>Description</w:t>
            </w:r>
          </w:p>
        </w:tc>
      </w:tr>
      <w:tr w:rsidR="00397365" w:rsidTr="003973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1" w:type="dxa"/>
            <w:tcBorders>
              <w:left w:val="single" w:sz="4" w:space="0" w:color="548DD4" w:themeColor="text2" w:themeTint="99"/>
              <w:right w:val="single" w:sz="4" w:space="0" w:color="548DD4" w:themeColor="text2" w:themeTint="99"/>
            </w:tcBorders>
            <w:shd w:val="clear" w:color="auto" w:fill="C6D9F1" w:themeFill="text2" w:themeFillTint="33"/>
          </w:tcPr>
          <w:p w:rsidR="001A641D" w:rsidRPr="00AB3600" w:rsidRDefault="007E5C0A" w:rsidP="001A641D">
            <w:pPr>
              <w:spacing w:after="120" w:line="240" w:lineRule="auto"/>
              <w:rPr>
                <w:rFonts w:ascii="Arial" w:hAnsi="Arial" w:cs="Arial"/>
                <w:color w:val="auto"/>
              </w:rPr>
            </w:pPr>
            <w:r w:rsidRPr="00AB3600">
              <w:rPr>
                <w:rFonts w:ascii="Arial" w:hAnsi="Arial" w:cs="Arial"/>
                <w:b w:val="0"/>
              </w:rPr>
              <w:t>Number of controlling provisions</w:t>
            </w:r>
          </w:p>
          <w:p w:rsidR="001A641D" w:rsidRPr="00AB3600" w:rsidRDefault="007E5C0A" w:rsidP="001A641D">
            <w:pPr>
              <w:spacing w:after="120" w:line="240" w:lineRule="auto"/>
              <w:rPr>
                <w:rFonts w:ascii="Arial" w:hAnsi="Arial" w:cs="Arial"/>
              </w:rPr>
            </w:pPr>
            <w:r w:rsidRPr="00AB3600">
              <w:rPr>
                <w:rFonts w:ascii="Arial" w:hAnsi="Arial" w:cs="Arial"/>
                <w:b w:val="0"/>
              </w:rPr>
              <w:t>AND</w:t>
            </w:r>
          </w:p>
          <w:p w:rsidR="001A641D" w:rsidRPr="00AB3600" w:rsidRDefault="007E5C0A" w:rsidP="001A641D">
            <w:pPr>
              <w:spacing w:after="120" w:line="240" w:lineRule="auto"/>
              <w:rPr>
                <w:rFonts w:ascii="Arial" w:hAnsi="Arial" w:cs="Arial"/>
                <w:color w:val="auto"/>
              </w:rPr>
            </w:pPr>
            <w:r w:rsidRPr="00AB3600">
              <w:rPr>
                <w:rFonts w:ascii="Arial" w:hAnsi="Arial" w:cs="Arial"/>
                <w:b w:val="0"/>
              </w:rPr>
              <w:t>The degree to which the potential impacts on matters of national environmental significance, and the available measures for managing these impacts, are understood</w:t>
            </w:r>
          </w:p>
          <w:p w:rsidR="001A641D" w:rsidRPr="00AB3600" w:rsidRDefault="007E5C0A" w:rsidP="001A641D">
            <w:pPr>
              <w:spacing w:after="120" w:line="240" w:lineRule="auto"/>
              <w:rPr>
                <w:rFonts w:ascii="Arial" w:hAnsi="Arial" w:cs="Arial"/>
              </w:rPr>
            </w:pPr>
            <w:r w:rsidRPr="00AB3600">
              <w:rPr>
                <w:rFonts w:ascii="Arial" w:hAnsi="Arial" w:cs="Arial"/>
                <w:b w:val="0"/>
              </w:rPr>
              <w:t>(Rows A to I of the complexity matrix)</w:t>
            </w:r>
          </w:p>
        </w:tc>
        <w:tc>
          <w:tcPr>
            <w:tcW w:w="7492" w:type="dxa"/>
            <w:tcBorders>
              <w:left w:val="single" w:sz="4" w:space="0" w:color="548DD4" w:themeColor="text2" w:themeTint="99"/>
              <w:right w:val="single" w:sz="4" w:space="0" w:color="548DD4" w:themeColor="text2" w:themeTint="99"/>
            </w:tcBorders>
            <w:shd w:val="clear" w:color="auto" w:fill="auto"/>
          </w:tcPr>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The number of controlling provisions triggered under the EPBC Act, and the number of protected matters to be assessed under each controlling provision, has a direct impact on the time and resources required to undertake the assessment, as each controlling provision and matter requires separate assessment</w:t>
            </w:r>
            <w:r>
              <w:rPr>
                <w:rStyle w:val="FootnoteReference"/>
                <w:rFonts w:ascii="Arial" w:hAnsi="Arial" w:cs="Arial"/>
              </w:rPr>
              <w:footnoteReference w:id="6"/>
            </w:r>
            <w:r w:rsidRPr="00FE13BC">
              <w:rPr>
                <w:rFonts w:ascii="Arial" w:hAnsi="Arial" w:cs="Arial"/>
              </w:rPr>
              <w:t>.</w:t>
            </w:r>
          </w:p>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E13BC">
              <w:rPr>
                <w:rFonts w:ascii="Arial" w:hAnsi="Arial" w:cs="Arial"/>
              </w:rPr>
              <w:t>Where particular protected matters are well known and understood by the department, the departmental time and resources required to undertake the assessment will be less than for assessments involving less well-known matters.</w:t>
            </w:r>
          </w:p>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E13BC">
              <w:rPr>
                <w:rFonts w:ascii="Arial" w:hAnsi="Arial" w:cs="Arial"/>
              </w:rPr>
              <w:t>Likewise, where the management or mitigation options available to deal with the impacts to a particular matter are well established and understood, the departmental time and resources required to develop appropriate controls for the action will be less.</w:t>
            </w:r>
          </w:p>
          <w:p w:rsidR="001A641D" w:rsidRPr="00DD7C8D"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E13BC">
              <w:rPr>
                <w:rFonts w:ascii="Arial" w:hAnsi="Arial" w:cs="Arial"/>
              </w:rPr>
              <w:t xml:space="preserve">In this context “well understood” means the information necessary to understand the impacts to the matter and the available measures to manage the impacts are readily available to the department or provided in the referral </w:t>
            </w:r>
            <w:r w:rsidRPr="00DD7C8D">
              <w:rPr>
                <w:rFonts w:ascii="Arial" w:hAnsi="Arial" w:cs="Arial"/>
              </w:rPr>
              <w:t>documentation.</w:t>
            </w:r>
          </w:p>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847" w:name="OLE_LINK1"/>
            <w:bookmarkStart w:id="848" w:name="OLE_LINK2"/>
            <w:r w:rsidRPr="00DD7C8D">
              <w:rPr>
                <w:rFonts w:ascii="Arial" w:hAnsi="Arial" w:cs="Arial"/>
              </w:rPr>
              <w:t xml:space="preserve">See examples 1 to 5 on pages </w:t>
            </w:r>
            <w:r w:rsidR="003366B4" w:rsidRPr="00DD7C8D">
              <w:rPr>
                <w:rFonts w:cs="Arial"/>
              </w:rPr>
              <w:fldChar w:fldCharType="begin"/>
            </w:r>
            <w:r w:rsidRPr="00DD7C8D">
              <w:rPr>
                <w:rFonts w:ascii="Arial" w:hAnsi="Arial" w:cs="Arial"/>
              </w:rPr>
              <w:instrText xml:space="preserve"> PAGEREF _Ref457985748 \h </w:instrText>
            </w:r>
            <w:r w:rsidR="003366B4" w:rsidRPr="00DD7C8D">
              <w:rPr>
                <w:rFonts w:cs="Arial"/>
              </w:rPr>
            </w:r>
            <w:r w:rsidR="003366B4" w:rsidRPr="00DD7C8D">
              <w:rPr>
                <w:rFonts w:cs="Arial"/>
              </w:rPr>
              <w:fldChar w:fldCharType="separate"/>
            </w:r>
            <w:r w:rsidR="00FF3730">
              <w:rPr>
                <w:rFonts w:ascii="Arial" w:hAnsi="Arial" w:cs="Arial"/>
                <w:noProof/>
              </w:rPr>
              <w:t>42</w:t>
            </w:r>
            <w:r w:rsidR="003366B4" w:rsidRPr="00DD7C8D">
              <w:rPr>
                <w:rFonts w:cs="Arial"/>
              </w:rPr>
              <w:fldChar w:fldCharType="end"/>
            </w:r>
            <w:r w:rsidRPr="00DD7C8D">
              <w:rPr>
                <w:rFonts w:ascii="Arial" w:hAnsi="Arial" w:cs="Arial"/>
              </w:rPr>
              <w:t xml:space="preserve">, </w:t>
            </w:r>
            <w:r w:rsidR="003366B4" w:rsidRPr="00DD7C8D">
              <w:rPr>
                <w:rFonts w:cs="Arial"/>
              </w:rPr>
              <w:fldChar w:fldCharType="begin"/>
            </w:r>
            <w:r w:rsidRPr="00DD7C8D">
              <w:rPr>
                <w:rFonts w:ascii="Arial" w:hAnsi="Arial" w:cs="Arial"/>
              </w:rPr>
              <w:instrText xml:space="preserve"> PAGEREF _Ref457985824 \h </w:instrText>
            </w:r>
            <w:r w:rsidR="003366B4" w:rsidRPr="00DD7C8D">
              <w:rPr>
                <w:rFonts w:cs="Arial"/>
              </w:rPr>
            </w:r>
            <w:r w:rsidR="003366B4" w:rsidRPr="00DD7C8D">
              <w:rPr>
                <w:rFonts w:cs="Arial"/>
              </w:rPr>
              <w:fldChar w:fldCharType="separate"/>
            </w:r>
            <w:r w:rsidR="00FF3730">
              <w:rPr>
                <w:rFonts w:ascii="Arial" w:hAnsi="Arial" w:cs="Arial"/>
                <w:noProof/>
              </w:rPr>
              <w:t>45</w:t>
            </w:r>
            <w:r w:rsidR="003366B4" w:rsidRPr="00DD7C8D">
              <w:rPr>
                <w:rFonts w:cs="Arial"/>
              </w:rPr>
              <w:fldChar w:fldCharType="end"/>
            </w:r>
            <w:r w:rsidRPr="00DD7C8D">
              <w:rPr>
                <w:rFonts w:ascii="Arial" w:hAnsi="Arial" w:cs="Arial"/>
              </w:rPr>
              <w:t xml:space="preserve">, </w:t>
            </w:r>
            <w:r w:rsidR="003366B4" w:rsidRPr="00DD7C8D">
              <w:rPr>
                <w:rFonts w:cs="Arial"/>
              </w:rPr>
              <w:fldChar w:fldCharType="begin"/>
            </w:r>
            <w:r w:rsidRPr="00DD7C8D">
              <w:rPr>
                <w:rFonts w:ascii="Arial" w:hAnsi="Arial" w:cs="Arial"/>
              </w:rPr>
              <w:instrText xml:space="preserve"> PAGEREF _Ref457985829 \h </w:instrText>
            </w:r>
            <w:r w:rsidR="003366B4" w:rsidRPr="00DD7C8D">
              <w:rPr>
                <w:rFonts w:cs="Arial"/>
              </w:rPr>
            </w:r>
            <w:r w:rsidR="003366B4" w:rsidRPr="00DD7C8D">
              <w:rPr>
                <w:rFonts w:cs="Arial"/>
              </w:rPr>
              <w:fldChar w:fldCharType="separate"/>
            </w:r>
            <w:r w:rsidR="00FF3730">
              <w:rPr>
                <w:rFonts w:ascii="Arial" w:hAnsi="Arial" w:cs="Arial"/>
                <w:noProof/>
              </w:rPr>
              <w:t>46</w:t>
            </w:r>
            <w:r w:rsidR="003366B4" w:rsidRPr="00DD7C8D">
              <w:rPr>
                <w:rFonts w:cs="Arial"/>
              </w:rPr>
              <w:fldChar w:fldCharType="end"/>
            </w:r>
            <w:r w:rsidRPr="00DD7C8D">
              <w:rPr>
                <w:rFonts w:ascii="Arial" w:hAnsi="Arial" w:cs="Arial"/>
              </w:rPr>
              <w:t xml:space="preserve">, </w:t>
            </w:r>
            <w:r w:rsidR="003366B4" w:rsidRPr="00DD7C8D">
              <w:rPr>
                <w:rFonts w:cs="Arial"/>
              </w:rPr>
              <w:fldChar w:fldCharType="begin"/>
            </w:r>
            <w:r w:rsidRPr="00DD7C8D">
              <w:rPr>
                <w:rFonts w:ascii="Arial" w:hAnsi="Arial" w:cs="Arial"/>
              </w:rPr>
              <w:instrText xml:space="preserve"> PAGEREF _Ref457985835 \h </w:instrText>
            </w:r>
            <w:r w:rsidR="003366B4" w:rsidRPr="00DD7C8D">
              <w:rPr>
                <w:rFonts w:cs="Arial"/>
              </w:rPr>
            </w:r>
            <w:r w:rsidR="003366B4" w:rsidRPr="00DD7C8D">
              <w:rPr>
                <w:rFonts w:cs="Arial"/>
              </w:rPr>
              <w:fldChar w:fldCharType="separate"/>
            </w:r>
            <w:r w:rsidR="00FF3730">
              <w:rPr>
                <w:rFonts w:ascii="Arial" w:hAnsi="Arial" w:cs="Arial"/>
                <w:noProof/>
              </w:rPr>
              <w:t>49</w:t>
            </w:r>
            <w:r w:rsidR="003366B4" w:rsidRPr="00DD7C8D">
              <w:rPr>
                <w:rFonts w:cs="Arial"/>
              </w:rPr>
              <w:fldChar w:fldCharType="end"/>
            </w:r>
            <w:r w:rsidRPr="00DD7C8D">
              <w:rPr>
                <w:rFonts w:ascii="Arial" w:hAnsi="Arial" w:cs="Arial"/>
              </w:rPr>
              <w:t xml:space="preserve"> and </w:t>
            </w:r>
            <w:r w:rsidR="003366B4" w:rsidRPr="00DD7C8D">
              <w:rPr>
                <w:rFonts w:cs="Arial"/>
              </w:rPr>
              <w:fldChar w:fldCharType="begin"/>
            </w:r>
            <w:r w:rsidRPr="00DD7C8D">
              <w:rPr>
                <w:rFonts w:ascii="Arial" w:hAnsi="Arial" w:cs="Arial"/>
              </w:rPr>
              <w:instrText xml:space="preserve"> PAGEREF _Ref457985840 \h </w:instrText>
            </w:r>
            <w:r w:rsidR="003366B4" w:rsidRPr="00DD7C8D">
              <w:rPr>
                <w:rFonts w:cs="Arial"/>
              </w:rPr>
            </w:r>
            <w:r w:rsidR="003366B4" w:rsidRPr="00DD7C8D">
              <w:rPr>
                <w:rFonts w:cs="Arial"/>
              </w:rPr>
              <w:fldChar w:fldCharType="separate"/>
            </w:r>
            <w:r w:rsidR="00FF3730">
              <w:rPr>
                <w:rFonts w:ascii="Arial" w:hAnsi="Arial" w:cs="Arial"/>
                <w:noProof/>
              </w:rPr>
              <w:t>53</w:t>
            </w:r>
            <w:r w:rsidR="003366B4" w:rsidRPr="00DD7C8D">
              <w:rPr>
                <w:rFonts w:cs="Arial"/>
              </w:rPr>
              <w:fldChar w:fldCharType="end"/>
            </w:r>
            <w:r w:rsidRPr="00DD7C8D">
              <w:rPr>
                <w:rFonts w:ascii="Arial" w:hAnsi="Arial" w:cs="Arial"/>
              </w:rPr>
              <w:t>.</w:t>
            </w:r>
            <w:bookmarkEnd w:id="847"/>
            <w:bookmarkEnd w:id="848"/>
          </w:p>
        </w:tc>
      </w:tr>
      <w:tr w:rsidR="00397365" w:rsidTr="00397365">
        <w:trPr>
          <w:cantSplit/>
        </w:trPr>
        <w:tc>
          <w:tcPr>
            <w:cnfStyle w:val="001000000000" w:firstRow="0" w:lastRow="0" w:firstColumn="1" w:lastColumn="0" w:oddVBand="0" w:evenVBand="0" w:oddHBand="0" w:evenHBand="0" w:firstRowFirstColumn="0" w:firstRowLastColumn="0" w:lastRowFirstColumn="0" w:lastRowLastColumn="0"/>
            <w:tcW w:w="2131" w:type="dxa"/>
            <w:tcBorders>
              <w:bottom w:val="single" w:sz="4" w:space="0" w:color="548DD4" w:themeColor="text2" w:themeTint="99"/>
              <w:right w:val="single" w:sz="4" w:space="0" w:color="548DD4" w:themeColor="text2" w:themeTint="99"/>
            </w:tcBorders>
            <w:shd w:val="clear" w:color="auto" w:fill="C6D9F1" w:themeFill="text2" w:themeFillTint="33"/>
          </w:tcPr>
          <w:p w:rsidR="001A641D" w:rsidRPr="00AB3600" w:rsidRDefault="007E5C0A" w:rsidP="001A641D">
            <w:pPr>
              <w:spacing w:after="120" w:line="240" w:lineRule="auto"/>
              <w:rPr>
                <w:rFonts w:ascii="Arial" w:hAnsi="Arial" w:cs="Arial"/>
                <w:color w:val="auto"/>
              </w:rPr>
            </w:pPr>
            <w:r w:rsidRPr="00AB3600">
              <w:rPr>
                <w:rFonts w:ascii="Arial" w:hAnsi="Arial" w:cs="Arial"/>
                <w:b w:val="0"/>
              </w:rPr>
              <w:t>The requirement to undertake a ‘whole of environment’ assessment</w:t>
            </w:r>
          </w:p>
          <w:p w:rsidR="001A641D" w:rsidRPr="00AB3600" w:rsidRDefault="007E5C0A" w:rsidP="001A641D">
            <w:pPr>
              <w:spacing w:after="120" w:line="240" w:lineRule="auto"/>
              <w:rPr>
                <w:rFonts w:ascii="Arial" w:hAnsi="Arial" w:cs="Arial"/>
              </w:rPr>
            </w:pPr>
            <w:r w:rsidRPr="00AB3600">
              <w:rPr>
                <w:rFonts w:ascii="Arial" w:hAnsi="Arial" w:cs="Arial"/>
                <w:b w:val="0"/>
              </w:rPr>
              <w:t>(Row J of the complexity matrix)</w:t>
            </w:r>
          </w:p>
        </w:tc>
        <w:tc>
          <w:tcPr>
            <w:tcW w:w="7492" w:type="dxa"/>
            <w:tcBorders>
              <w:left w:val="single" w:sz="4" w:space="0" w:color="548DD4" w:themeColor="text2" w:themeTint="99"/>
              <w:bottom w:val="single" w:sz="4" w:space="0" w:color="548DD4" w:themeColor="text2" w:themeTint="99"/>
            </w:tcBorders>
            <w:shd w:val="clear" w:color="auto" w:fill="auto"/>
          </w:tcPr>
          <w:p w:rsidR="001A641D" w:rsidRPr="00FE13BC" w:rsidRDefault="007E5C0A" w:rsidP="001A6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E13BC">
              <w:rPr>
                <w:rFonts w:ascii="Arial" w:hAnsi="Arial" w:cs="Arial"/>
              </w:rPr>
              <w:t xml:space="preserve">While in most cases the assessment of a proposed action focuses on the impact on defined matters, there are some cases where the assessment must consider the impact of the action on all aspects of the environment. This is relevant where the proposed action may impact on Commonwealth land or the environment of the Commonwealth marine area, is taken within the Great Barrier Reef Marine Park, or is a nuclear action.  Such a broad assessment will take more time and resources. </w:t>
            </w:r>
          </w:p>
          <w:p w:rsidR="001A641D" w:rsidRPr="00FE13BC" w:rsidRDefault="007E5C0A" w:rsidP="001A6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E13BC">
              <w:rPr>
                <w:rFonts w:ascii="Arial" w:hAnsi="Arial" w:cs="Arial"/>
              </w:rPr>
              <w:t>As for controlling provisions, where the impacts and options for management measures are well-understood, the departmental time and resources required will be less than for less well-understood impacts and measures.</w:t>
            </w:r>
          </w:p>
          <w:p w:rsidR="001A641D" w:rsidRPr="00FE13BC" w:rsidRDefault="007E5C0A" w:rsidP="001A6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DD7C8D">
              <w:rPr>
                <w:rFonts w:ascii="Arial" w:hAnsi="Arial" w:cs="Arial"/>
              </w:rPr>
              <w:t xml:space="preserve">See examples 4 and 5 on pages </w:t>
            </w:r>
            <w:r w:rsidR="003366B4" w:rsidRPr="00DD7C8D">
              <w:rPr>
                <w:rFonts w:cs="Arial"/>
              </w:rPr>
              <w:fldChar w:fldCharType="begin"/>
            </w:r>
            <w:r w:rsidRPr="00DD7C8D">
              <w:rPr>
                <w:rFonts w:ascii="Arial" w:hAnsi="Arial" w:cs="Arial"/>
              </w:rPr>
              <w:instrText xml:space="preserve"> PAGEREF _Ref457985835 \h </w:instrText>
            </w:r>
            <w:r w:rsidR="003366B4" w:rsidRPr="00DD7C8D">
              <w:rPr>
                <w:rFonts w:cs="Arial"/>
              </w:rPr>
            </w:r>
            <w:r w:rsidR="003366B4" w:rsidRPr="00DD7C8D">
              <w:rPr>
                <w:rFonts w:cs="Arial"/>
              </w:rPr>
              <w:fldChar w:fldCharType="separate"/>
            </w:r>
            <w:r w:rsidR="00FF3730">
              <w:rPr>
                <w:rFonts w:ascii="Arial" w:hAnsi="Arial" w:cs="Arial"/>
                <w:noProof/>
              </w:rPr>
              <w:t>49</w:t>
            </w:r>
            <w:r w:rsidR="003366B4" w:rsidRPr="00DD7C8D">
              <w:rPr>
                <w:rFonts w:cs="Arial"/>
              </w:rPr>
              <w:fldChar w:fldCharType="end"/>
            </w:r>
            <w:r w:rsidRPr="00DD7C8D">
              <w:rPr>
                <w:rFonts w:ascii="Arial" w:hAnsi="Arial" w:cs="Arial"/>
              </w:rPr>
              <w:t xml:space="preserve"> and </w:t>
            </w:r>
            <w:r w:rsidR="003366B4" w:rsidRPr="00DD7C8D">
              <w:rPr>
                <w:rFonts w:cs="Arial"/>
              </w:rPr>
              <w:fldChar w:fldCharType="begin"/>
            </w:r>
            <w:r w:rsidRPr="00DD7C8D">
              <w:rPr>
                <w:rFonts w:ascii="Arial" w:hAnsi="Arial" w:cs="Arial"/>
              </w:rPr>
              <w:instrText xml:space="preserve"> PAGEREF _Ref457985840 \h </w:instrText>
            </w:r>
            <w:r w:rsidR="003366B4" w:rsidRPr="00DD7C8D">
              <w:rPr>
                <w:rFonts w:cs="Arial"/>
              </w:rPr>
            </w:r>
            <w:r w:rsidR="003366B4" w:rsidRPr="00DD7C8D">
              <w:rPr>
                <w:rFonts w:cs="Arial"/>
              </w:rPr>
              <w:fldChar w:fldCharType="separate"/>
            </w:r>
            <w:r w:rsidR="00FF3730">
              <w:rPr>
                <w:rFonts w:ascii="Arial" w:hAnsi="Arial" w:cs="Arial"/>
                <w:noProof/>
              </w:rPr>
              <w:t>53</w:t>
            </w:r>
            <w:r w:rsidR="003366B4" w:rsidRPr="00DD7C8D">
              <w:rPr>
                <w:rFonts w:cs="Arial"/>
              </w:rPr>
              <w:fldChar w:fldCharType="end"/>
            </w:r>
            <w:r w:rsidRPr="00DD7C8D">
              <w:rPr>
                <w:rFonts w:ascii="Arial" w:hAnsi="Arial" w:cs="Arial"/>
              </w:rPr>
              <w:t>.</w:t>
            </w:r>
          </w:p>
        </w:tc>
      </w:tr>
      <w:tr w:rsidR="00397365" w:rsidTr="003973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1" w:type="dxa"/>
            <w:tcBorders>
              <w:left w:val="single" w:sz="4" w:space="0" w:color="548DD4" w:themeColor="text2" w:themeTint="99"/>
              <w:right w:val="single" w:sz="4" w:space="0" w:color="548DD4" w:themeColor="text2" w:themeTint="99"/>
            </w:tcBorders>
            <w:shd w:val="clear" w:color="auto" w:fill="C6D9F1" w:themeFill="text2" w:themeFillTint="33"/>
          </w:tcPr>
          <w:p w:rsidR="001A641D" w:rsidRPr="00AB3600" w:rsidRDefault="007E5C0A" w:rsidP="001A641D">
            <w:pPr>
              <w:spacing w:after="120" w:line="240" w:lineRule="auto"/>
              <w:rPr>
                <w:rFonts w:ascii="Arial" w:hAnsi="Arial" w:cs="Arial"/>
                <w:color w:val="auto"/>
              </w:rPr>
            </w:pPr>
            <w:r w:rsidRPr="00AB3600">
              <w:rPr>
                <w:rFonts w:ascii="Arial" w:hAnsi="Arial" w:cs="Arial"/>
                <w:b w:val="0"/>
              </w:rPr>
              <w:t>Number of project components</w:t>
            </w:r>
          </w:p>
          <w:p w:rsidR="001A641D" w:rsidRPr="00AB3600" w:rsidRDefault="007E5C0A" w:rsidP="001A641D">
            <w:pPr>
              <w:spacing w:after="120" w:line="240" w:lineRule="auto"/>
              <w:rPr>
                <w:rFonts w:ascii="Arial" w:hAnsi="Arial" w:cs="Arial"/>
              </w:rPr>
            </w:pPr>
            <w:r w:rsidRPr="00AB3600">
              <w:rPr>
                <w:rFonts w:ascii="Arial" w:hAnsi="Arial" w:cs="Arial"/>
                <w:b w:val="0"/>
              </w:rPr>
              <w:t>(Row K of the complexity matrix)</w:t>
            </w:r>
          </w:p>
        </w:tc>
        <w:tc>
          <w:tcPr>
            <w:tcW w:w="7492" w:type="dxa"/>
            <w:tcBorders>
              <w:left w:val="single" w:sz="4" w:space="0" w:color="548DD4" w:themeColor="text2" w:themeTint="99"/>
              <w:right w:val="single" w:sz="4" w:space="0" w:color="548DD4" w:themeColor="text2" w:themeTint="99"/>
            </w:tcBorders>
            <w:shd w:val="clear" w:color="auto" w:fill="auto"/>
          </w:tcPr>
          <w:p w:rsidR="001A641D"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 xml:space="preserve">Proposed actions referred under the EPBC Act vary in size. Where additional project ‘components’ result in a wider variety of impacts that require assessment under the EPBC Act, more time and resources are required. </w:t>
            </w:r>
          </w:p>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E13BC">
              <w:rPr>
                <w:rFonts w:ascii="Arial" w:hAnsi="Arial" w:cs="Arial"/>
              </w:rPr>
              <w:t>For example the assessment of a rail line is likely to require less time to assess than the assessment of a rail line that is connected to a new mine and a new port facility.</w:t>
            </w:r>
            <w:r>
              <w:rPr>
                <w:rFonts w:ascii="Arial" w:hAnsi="Arial" w:cs="Arial"/>
              </w:rPr>
              <w:t xml:space="preserve"> In this instance, the rail line, the mine and the port facility could be considered to be three separate components of the project.</w:t>
            </w:r>
          </w:p>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 xml:space="preserve">See examples 4 and 5 </w:t>
            </w:r>
            <w:r w:rsidRPr="00DD7C8D">
              <w:rPr>
                <w:rFonts w:ascii="Arial" w:hAnsi="Arial" w:cs="Arial"/>
              </w:rPr>
              <w:t xml:space="preserve">on pages </w:t>
            </w:r>
            <w:r w:rsidR="003366B4" w:rsidRPr="00DD7C8D">
              <w:rPr>
                <w:rFonts w:cs="Arial"/>
              </w:rPr>
              <w:fldChar w:fldCharType="begin"/>
            </w:r>
            <w:r w:rsidRPr="00DD7C8D">
              <w:rPr>
                <w:rFonts w:ascii="Arial" w:hAnsi="Arial" w:cs="Arial"/>
              </w:rPr>
              <w:instrText xml:space="preserve"> PAGEREF _Ref457985835 \h </w:instrText>
            </w:r>
            <w:r w:rsidR="003366B4" w:rsidRPr="00DD7C8D">
              <w:rPr>
                <w:rFonts w:cs="Arial"/>
              </w:rPr>
            </w:r>
            <w:r w:rsidR="003366B4" w:rsidRPr="00DD7C8D">
              <w:rPr>
                <w:rFonts w:cs="Arial"/>
              </w:rPr>
              <w:fldChar w:fldCharType="separate"/>
            </w:r>
            <w:r w:rsidR="00FF3730">
              <w:rPr>
                <w:rFonts w:ascii="Arial" w:hAnsi="Arial" w:cs="Arial"/>
                <w:noProof/>
              </w:rPr>
              <w:t>49</w:t>
            </w:r>
            <w:r w:rsidR="003366B4" w:rsidRPr="00DD7C8D">
              <w:rPr>
                <w:rFonts w:cs="Arial"/>
              </w:rPr>
              <w:fldChar w:fldCharType="end"/>
            </w:r>
            <w:r w:rsidRPr="00DD7C8D">
              <w:rPr>
                <w:rFonts w:ascii="Arial" w:hAnsi="Arial" w:cs="Arial"/>
              </w:rPr>
              <w:t xml:space="preserve"> and </w:t>
            </w:r>
            <w:r w:rsidR="003366B4" w:rsidRPr="00DD7C8D">
              <w:rPr>
                <w:rFonts w:cs="Arial"/>
              </w:rPr>
              <w:fldChar w:fldCharType="begin"/>
            </w:r>
            <w:r w:rsidRPr="00DD7C8D">
              <w:rPr>
                <w:rFonts w:ascii="Arial" w:hAnsi="Arial" w:cs="Arial"/>
              </w:rPr>
              <w:instrText xml:space="preserve"> PAGEREF _Ref457985840 \h </w:instrText>
            </w:r>
            <w:r w:rsidR="003366B4" w:rsidRPr="00DD7C8D">
              <w:rPr>
                <w:rFonts w:cs="Arial"/>
              </w:rPr>
            </w:r>
            <w:r w:rsidR="003366B4" w:rsidRPr="00DD7C8D">
              <w:rPr>
                <w:rFonts w:cs="Arial"/>
              </w:rPr>
              <w:fldChar w:fldCharType="separate"/>
            </w:r>
            <w:r w:rsidR="00FF3730">
              <w:rPr>
                <w:rFonts w:ascii="Arial" w:hAnsi="Arial" w:cs="Arial"/>
                <w:noProof/>
              </w:rPr>
              <w:t>53</w:t>
            </w:r>
            <w:r w:rsidR="003366B4" w:rsidRPr="00DD7C8D">
              <w:rPr>
                <w:rFonts w:cs="Arial"/>
              </w:rPr>
              <w:fldChar w:fldCharType="end"/>
            </w:r>
            <w:r w:rsidRPr="00DD7C8D">
              <w:rPr>
                <w:rFonts w:ascii="Arial" w:hAnsi="Arial" w:cs="Arial"/>
              </w:rPr>
              <w:t>.</w:t>
            </w:r>
          </w:p>
        </w:tc>
      </w:tr>
      <w:tr w:rsidR="00397365" w:rsidTr="00397365">
        <w:trPr>
          <w:cantSplit/>
        </w:trPr>
        <w:tc>
          <w:tcPr>
            <w:cnfStyle w:val="001000000000" w:firstRow="0" w:lastRow="0" w:firstColumn="1" w:lastColumn="0" w:oddVBand="0" w:evenVBand="0" w:oddHBand="0" w:evenHBand="0" w:firstRowFirstColumn="0" w:firstRowLastColumn="0" w:lastRowFirstColumn="0" w:lastRowLastColumn="0"/>
            <w:tcW w:w="2131" w:type="dxa"/>
            <w:tcBorders>
              <w:bottom w:val="single" w:sz="4" w:space="0" w:color="548DD4" w:themeColor="text2" w:themeTint="99"/>
              <w:right w:val="single" w:sz="4" w:space="0" w:color="548DD4" w:themeColor="text2" w:themeTint="99"/>
            </w:tcBorders>
            <w:shd w:val="clear" w:color="auto" w:fill="C6D9F1" w:themeFill="text2" w:themeFillTint="33"/>
          </w:tcPr>
          <w:p w:rsidR="001A641D" w:rsidRPr="00AB3600" w:rsidRDefault="007E5C0A" w:rsidP="001A641D">
            <w:pPr>
              <w:spacing w:after="120" w:line="240" w:lineRule="auto"/>
              <w:rPr>
                <w:rFonts w:ascii="Arial" w:hAnsi="Arial" w:cs="Arial"/>
                <w:color w:val="auto"/>
              </w:rPr>
            </w:pPr>
            <w:r w:rsidRPr="00AB3600">
              <w:rPr>
                <w:rFonts w:ascii="Arial" w:hAnsi="Arial" w:cs="Arial"/>
                <w:b w:val="0"/>
              </w:rPr>
              <w:t>Coordination with other legislation</w:t>
            </w:r>
          </w:p>
          <w:p w:rsidR="001A641D" w:rsidRPr="00AB3600" w:rsidRDefault="007E5C0A" w:rsidP="001A641D">
            <w:pPr>
              <w:spacing w:after="120" w:line="240" w:lineRule="auto"/>
              <w:rPr>
                <w:rFonts w:ascii="Arial" w:hAnsi="Arial" w:cs="Arial"/>
              </w:rPr>
            </w:pPr>
            <w:r w:rsidRPr="00AB3600">
              <w:rPr>
                <w:rFonts w:ascii="Arial" w:hAnsi="Arial" w:cs="Arial"/>
                <w:b w:val="0"/>
              </w:rPr>
              <w:t>(Row L of the complexity matrix)</w:t>
            </w:r>
          </w:p>
        </w:tc>
        <w:tc>
          <w:tcPr>
            <w:tcW w:w="7492" w:type="dxa"/>
            <w:tcBorders>
              <w:left w:val="single" w:sz="4" w:space="0" w:color="548DD4" w:themeColor="text2" w:themeTint="99"/>
              <w:bottom w:val="single" w:sz="4" w:space="0" w:color="548DD4" w:themeColor="text2" w:themeTint="99"/>
            </w:tcBorders>
            <w:shd w:val="clear" w:color="auto" w:fill="auto"/>
          </w:tcPr>
          <w:p w:rsidR="001A641D" w:rsidRPr="00FE13BC" w:rsidRDefault="007E5C0A" w:rsidP="001A6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E13BC">
              <w:rPr>
                <w:rFonts w:ascii="Arial" w:hAnsi="Arial" w:cs="Arial"/>
              </w:rPr>
              <w:t xml:space="preserve">Where the department needs to coordinate an assessment with </w:t>
            </w:r>
            <w:r>
              <w:rPr>
                <w:rFonts w:ascii="Arial" w:hAnsi="Arial" w:cs="Arial"/>
              </w:rPr>
              <w:t>another Commonwealth, State or T</w:t>
            </w:r>
            <w:r w:rsidRPr="00FE13BC">
              <w:rPr>
                <w:rFonts w:ascii="Arial" w:hAnsi="Arial" w:cs="Arial"/>
              </w:rPr>
              <w:t xml:space="preserve">erritory statutory process, more time and resources are required during the assessment process. The amount of time and resources increases with each process that the department needs to coordinate with. </w:t>
            </w:r>
          </w:p>
          <w:p w:rsidR="001A641D" w:rsidRPr="00CA7A78" w:rsidRDefault="007E5C0A" w:rsidP="001A6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E13BC">
              <w:rPr>
                <w:rFonts w:ascii="Arial" w:hAnsi="Arial" w:cs="Arial"/>
              </w:rPr>
              <w:t xml:space="preserve">Where coordination is required with other statutory processes </w:t>
            </w:r>
            <w:r>
              <w:rPr>
                <w:rFonts w:ascii="Arial" w:hAnsi="Arial" w:cs="Arial"/>
              </w:rPr>
              <w:t>for which</w:t>
            </w:r>
            <w:r w:rsidRPr="00FE13BC">
              <w:rPr>
                <w:rFonts w:ascii="Arial" w:hAnsi="Arial" w:cs="Arial"/>
              </w:rPr>
              <w:t xml:space="preserve"> the relationship to </w:t>
            </w:r>
            <w:r>
              <w:rPr>
                <w:rFonts w:ascii="Arial" w:hAnsi="Arial" w:cs="Arial"/>
              </w:rPr>
              <w:t>the EPBC Act is well established (</w:t>
            </w:r>
            <w:r w:rsidRPr="00FE13BC">
              <w:rPr>
                <w:rFonts w:ascii="Arial" w:hAnsi="Arial" w:cs="Arial"/>
              </w:rPr>
              <w:t>including processes under section 160 of the EPBC Act or accredited through bilateral agreements</w:t>
            </w:r>
            <w:r>
              <w:rPr>
                <w:rFonts w:ascii="Arial" w:hAnsi="Arial" w:cs="Arial"/>
              </w:rPr>
              <w:t>)</w:t>
            </w:r>
            <w:r w:rsidRPr="00FE13BC">
              <w:rPr>
                <w:rFonts w:ascii="Arial" w:hAnsi="Arial" w:cs="Arial"/>
              </w:rPr>
              <w:t xml:space="preserve"> this coordination effort is less than for processes </w:t>
            </w:r>
            <w:r>
              <w:rPr>
                <w:rFonts w:ascii="Arial" w:hAnsi="Arial" w:cs="Arial"/>
              </w:rPr>
              <w:t>for which</w:t>
            </w:r>
            <w:r w:rsidRPr="00FE13BC">
              <w:rPr>
                <w:rFonts w:ascii="Arial" w:hAnsi="Arial" w:cs="Arial"/>
              </w:rPr>
              <w:t xml:space="preserve"> the relationship</w:t>
            </w:r>
            <w:r>
              <w:rPr>
                <w:rFonts w:ascii="Arial" w:hAnsi="Arial" w:cs="Arial"/>
              </w:rPr>
              <w:t xml:space="preserve"> </w:t>
            </w:r>
            <w:r w:rsidRPr="00FE13BC">
              <w:rPr>
                <w:rFonts w:ascii="Arial" w:hAnsi="Arial" w:cs="Arial"/>
              </w:rPr>
              <w:t>with the EPBC Act has not been established.</w:t>
            </w:r>
          </w:p>
          <w:p w:rsidR="001A641D" w:rsidRPr="00FE13BC" w:rsidRDefault="007E5C0A" w:rsidP="001A641D">
            <w:pPr>
              <w:spacing w:after="120"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FE13BC">
              <w:rPr>
                <w:rFonts w:ascii="Arial" w:hAnsi="Arial" w:cs="Arial"/>
              </w:rPr>
              <w:t xml:space="preserve">See example 4 </w:t>
            </w:r>
            <w:r w:rsidRPr="00DD7C8D">
              <w:rPr>
                <w:rFonts w:ascii="Arial" w:hAnsi="Arial" w:cs="Arial"/>
              </w:rPr>
              <w:t xml:space="preserve">on page </w:t>
            </w:r>
            <w:r w:rsidR="003366B4" w:rsidRPr="00DD7C8D">
              <w:rPr>
                <w:rFonts w:cs="Arial"/>
              </w:rPr>
              <w:fldChar w:fldCharType="begin"/>
            </w:r>
            <w:r w:rsidRPr="00DD7C8D">
              <w:rPr>
                <w:rFonts w:ascii="Arial" w:hAnsi="Arial" w:cs="Arial"/>
              </w:rPr>
              <w:instrText xml:space="preserve"> PAGEREF _Ref457985835 \h </w:instrText>
            </w:r>
            <w:r w:rsidR="003366B4" w:rsidRPr="00DD7C8D">
              <w:rPr>
                <w:rFonts w:cs="Arial"/>
              </w:rPr>
            </w:r>
            <w:r w:rsidR="003366B4" w:rsidRPr="00DD7C8D">
              <w:rPr>
                <w:rFonts w:cs="Arial"/>
              </w:rPr>
              <w:fldChar w:fldCharType="separate"/>
            </w:r>
            <w:r w:rsidR="00FF3730">
              <w:rPr>
                <w:rFonts w:ascii="Arial" w:hAnsi="Arial" w:cs="Arial"/>
                <w:noProof/>
              </w:rPr>
              <w:t>49</w:t>
            </w:r>
            <w:r w:rsidR="003366B4" w:rsidRPr="00DD7C8D">
              <w:rPr>
                <w:rFonts w:cs="Arial"/>
              </w:rPr>
              <w:fldChar w:fldCharType="end"/>
            </w:r>
            <w:r w:rsidRPr="00DD7C8D">
              <w:rPr>
                <w:rFonts w:ascii="Arial" w:hAnsi="Arial" w:cs="Arial"/>
              </w:rPr>
              <w:t>.</w:t>
            </w:r>
          </w:p>
        </w:tc>
      </w:tr>
      <w:tr w:rsidR="00397365" w:rsidTr="003973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31" w:type="dxa"/>
            <w:tcBorders>
              <w:left w:val="single" w:sz="4" w:space="0" w:color="548DD4" w:themeColor="text2" w:themeTint="99"/>
              <w:right w:val="single" w:sz="4" w:space="0" w:color="548DD4" w:themeColor="text2" w:themeTint="99"/>
            </w:tcBorders>
            <w:shd w:val="clear" w:color="auto" w:fill="C6D9F1" w:themeFill="text2" w:themeFillTint="33"/>
          </w:tcPr>
          <w:p w:rsidR="001A641D" w:rsidRPr="00AB3600" w:rsidRDefault="007E5C0A" w:rsidP="001A641D">
            <w:pPr>
              <w:spacing w:after="120" w:line="240" w:lineRule="auto"/>
              <w:rPr>
                <w:rFonts w:ascii="Arial" w:hAnsi="Arial" w:cs="Arial"/>
                <w:color w:val="auto"/>
              </w:rPr>
            </w:pPr>
            <w:r w:rsidRPr="00AB3600">
              <w:rPr>
                <w:rFonts w:ascii="Arial" w:hAnsi="Arial" w:cs="Arial"/>
                <w:b w:val="0"/>
              </w:rPr>
              <w:t>Adequacy of information and clarity of project scope</w:t>
            </w:r>
          </w:p>
          <w:p w:rsidR="001A641D" w:rsidRPr="00AB3600" w:rsidRDefault="007E5C0A" w:rsidP="001A641D">
            <w:pPr>
              <w:spacing w:after="120" w:line="240" w:lineRule="auto"/>
              <w:rPr>
                <w:rFonts w:ascii="Arial" w:hAnsi="Arial" w:cs="Arial"/>
              </w:rPr>
            </w:pPr>
            <w:r w:rsidRPr="00AB3600">
              <w:rPr>
                <w:rFonts w:ascii="Arial" w:hAnsi="Arial" w:cs="Arial"/>
                <w:b w:val="0"/>
              </w:rPr>
              <w:t>(Rows M, N and O of the complexity matrix)</w:t>
            </w:r>
          </w:p>
        </w:tc>
        <w:tc>
          <w:tcPr>
            <w:tcW w:w="7492" w:type="dxa"/>
            <w:tcBorders>
              <w:left w:val="single" w:sz="4" w:space="0" w:color="548DD4" w:themeColor="text2" w:themeTint="99"/>
              <w:right w:val="single" w:sz="4" w:space="0" w:color="548DD4" w:themeColor="text2" w:themeTint="99"/>
            </w:tcBorders>
            <w:shd w:val="clear" w:color="auto" w:fill="auto"/>
          </w:tcPr>
          <w:p w:rsidR="001A641D" w:rsidRPr="00FE13BC" w:rsidRDefault="007E5C0A" w:rsidP="001A641D">
            <w:p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Assessing a proposed action that has unclear or partially complete information requires additional time and resources to gather this information, and potentially the commissioning of specialist external consultants to ensure a rigorous assessment is undertaken.  Complexity may be driven by:</w:t>
            </w:r>
          </w:p>
          <w:p w:rsidR="001A641D" w:rsidRPr="00FE13BC" w:rsidRDefault="007E5C0A" w:rsidP="001A641D">
            <w:pPr>
              <w:pStyle w:val="ListBullet"/>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The availability of relevant environme</w:t>
            </w:r>
            <w:r>
              <w:rPr>
                <w:rFonts w:ascii="Arial" w:hAnsi="Arial" w:cs="Arial"/>
              </w:rPr>
              <w:t>ntal data for the project area;</w:t>
            </w:r>
          </w:p>
          <w:p w:rsidR="001A641D" w:rsidRPr="00FE13BC" w:rsidRDefault="007E5C0A" w:rsidP="001A641D">
            <w:pPr>
              <w:pStyle w:val="ListBullet"/>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The certainty of likely impacts from the proposed action on matters of national environmental significance, and whether the management or mitigation strategies propo</w:t>
            </w:r>
            <w:r>
              <w:rPr>
                <w:rFonts w:ascii="Arial" w:hAnsi="Arial" w:cs="Arial"/>
              </w:rPr>
              <w:t>sed are well defined and proven;</w:t>
            </w:r>
            <w:r w:rsidRPr="00FE13BC">
              <w:rPr>
                <w:rFonts w:ascii="Arial" w:hAnsi="Arial" w:cs="Arial"/>
              </w:rPr>
              <w:t xml:space="preserve"> and</w:t>
            </w:r>
          </w:p>
          <w:p w:rsidR="001A641D" w:rsidRPr="00FE13BC" w:rsidRDefault="007E5C0A" w:rsidP="001A641D">
            <w:pPr>
              <w:pStyle w:val="ListBullet"/>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The l</w:t>
            </w:r>
            <w:r w:rsidRPr="00FE13BC">
              <w:rPr>
                <w:rFonts w:ascii="Arial" w:hAnsi="Arial" w:cs="Arial"/>
              </w:rPr>
              <w:t xml:space="preserve">evel of certainty </w:t>
            </w:r>
            <w:r>
              <w:rPr>
                <w:rFonts w:ascii="Arial" w:hAnsi="Arial" w:cs="Arial"/>
              </w:rPr>
              <w:t xml:space="preserve">regarding the scope of the proposed action. </w:t>
            </w:r>
            <w:r w:rsidRPr="00FE13BC">
              <w:rPr>
                <w:rFonts w:ascii="Arial" w:hAnsi="Arial" w:cs="Arial"/>
              </w:rPr>
              <w:t xml:space="preserve">The more options that the Department needs to assess, the more time and resources are required to review documentation and provide feedback. </w:t>
            </w:r>
          </w:p>
          <w:p w:rsidR="001A641D" w:rsidRPr="00FE13BC" w:rsidRDefault="007E5C0A" w:rsidP="001A641D">
            <w:pPr>
              <w:pStyle w:val="ListBullet"/>
              <w:numPr>
                <w:ilvl w:val="0"/>
                <w:numId w:val="0"/>
              </w:numPr>
              <w:spacing w:after="12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FE13BC">
              <w:rPr>
                <w:rFonts w:ascii="Arial" w:hAnsi="Arial" w:cs="Arial"/>
              </w:rPr>
              <w:t xml:space="preserve">See examples 1 to 5 on </w:t>
            </w:r>
            <w:r w:rsidRPr="00DD7C8D">
              <w:rPr>
                <w:rFonts w:ascii="Arial" w:hAnsi="Arial" w:cs="Arial"/>
              </w:rPr>
              <w:t xml:space="preserve">pages </w:t>
            </w:r>
            <w:r w:rsidR="003366B4" w:rsidRPr="00DD7C8D">
              <w:rPr>
                <w:rFonts w:cs="Arial"/>
              </w:rPr>
              <w:fldChar w:fldCharType="begin"/>
            </w:r>
            <w:r w:rsidRPr="00DD7C8D">
              <w:rPr>
                <w:rFonts w:ascii="Arial" w:hAnsi="Arial" w:cs="Arial"/>
              </w:rPr>
              <w:instrText xml:space="preserve"> PAGEREF _Ref457985748 \h </w:instrText>
            </w:r>
            <w:r w:rsidR="003366B4" w:rsidRPr="00DD7C8D">
              <w:rPr>
                <w:rFonts w:cs="Arial"/>
              </w:rPr>
            </w:r>
            <w:r w:rsidR="003366B4" w:rsidRPr="00DD7C8D">
              <w:rPr>
                <w:rFonts w:cs="Arial"/>
              </w:rPr>
              <w:fldChar w:fldCharType="separate"/>
            </w:r>
            <w:r w:rsidR="00FF3730">
              <w:rPr>
                <w:rFonts w:ascii="Arial" w:hAnsi="Arial" w:cs="Arial"/>
                <w:noProof/>
              </w:rPr>
              <w:t>42</w:t>
            </w:r>
            <w:r w:rsidR="003366B4" w:rsidRPr="00DD7C8D">
              <w:rPr>
                <w:rFonts w:cs="Arial"/>
              </w:rPr>
              <w:fldChar w:fldCharType="end"/>
            </w:r>
            <w:r w:rsidRPr="00DD7C8D">
              <w:rPr>
                <w:rFonts w:ascii="Arial" w:hAnsi="Arial" w:cs="Arial"/>
              </w:rPr>
              <w:t xml:space="preserve">, </w:t>
            </w:r>
            <w:r w:rsidR="003366B4" w:rsidRPr="00DD7C8D">
              <w:rPr>
                <w:rFonts w:cs="Arial"/>
              </w:rPr>
              <w:fldChar w:fldCharType="begin"/>
            </w:r>
            <w:r w:rsidRPr="00DD7C8D">
              <w:rPr>
                <w:rFonts w:ascii="Arial" w:hAnsi="Arial" w:cs="Arial"/>
              </w:rPr>
              <w:instrText xml:space="preserve"> PAGEREF _Ref457985824 \h </w:instrText>
            </w:r>
            <w:r w:rsidR="003366B4" w:rsidRPr="00DD7C8D">
              <w:rPr>
                <w:rFonts w:cs="Arial"/>
              </w:rPr>
            </w:r>
            <w:r w:rsidR="003366B4" w:rsidRPr="00DD7C8D">
              <w:rPr>
                <w:rFonts w:cs="Arial"/>
              </w:rPr>
              <w:fldChar w:fldCharType="separate"/>
            </w:r>
            <w:r w:rsidR="00FF3730">
              <w:rPr>
                <w:rFonts w:ascii="Arial" w:hAnsi="Arial" w:cs="Arial"/>
                <w:noProof/>
              </w:rPr>
              <w:t>45</w:t>
            </w:r>
            <w:r w:rsidR="003366B4" w:rsidRPr="00DD7C8D">
              <w:rPr>
                <w:rFonts w:cs="Arial"/>
              </w:rPr>
              <w:fldChar w:fldCharType="end"/>
            </w:r>
            <w:r w:rsidRPr="00DD7C8D">
              <w:rPr>
                <w:rFonts w:ascii="Arial" w:hAnsi="Arial" w:cs="Arial"/>
              </w:rPr>
              <w:t xml:space="preserve">, </w:t>
            </w:r>
            <w:r w:rsidR="003366B4" w:rsidRPr="00DD7C8D">
              <w:rPr>
                <w:rFonts w:cs="Arial"/>
              </w:rPr>
              <w:fldChar w:fldCharType="begin"/>
            </w:r>
            <w:r w:rsidRPr="00DD7C8D">
              <w:rPr>
                <w:rFonts w:ascii="Arial" w:hAnsi="Arial" w:cs="Arial"/>
              </w:rPr>
              <w:instrText xml:space="preserve"> PAGEREF _Ref457985829 \h </w:instrText>
            </w:r>
            <w:r w:rsidR="003366B4" w:rsidRPr="00DD7C8D">
              <w:rPr>
                <w:rFonts w:cs="Arial"/>
              </w:rPr>
            </w:r>
            <w:r w:rsidR="003366B4" w:rsidRPr="00DD7C8D">
              <w:rPr>
                <w:rFonts w:cs="Arial"/>
              </w:rPr>
              <w:fldChar w:fldCharType="separate"/>
            </w:r>
            <w:r w:rsidR="00FF3730">
              <w:rPr>
                <w:rFonts w:ascii="Arial" w:hAnsi="Arial" w:cs="Arial"/>
                <w:noProof/>
              </w:rPr>
              <w:t>46</w:t>
            </w:r>
            <w:r w:rsidR="003366B4" w:rsidRPr="00DD7C8D">
              <w:rPr>
                <w:rFonts w:cs="Arial"/>
              </w:rPr>
              <w:fldChar w:fldCharType="end"/>
            </w:r>
            <w:r w:rsidRPr="00DD7C8D">
              <w:rPr>
                <w:rFonts w:ascii="Arial" w:hAnsi="Arial" w:cs="Arial"/>
              </w:rPr>
              <w:t xml:space="preserve">, </w:t>
            </w:r>
            <w:r w:rsidR="003366B4" w:rsidRPr="00DD7C8D">
              <w:rPr>
                <w:rFonts w:cs="Arial"/>
              </w:rPr>
              <w:fldChar w:fldCharType="begin"/>
            </w:r>
            <w:r w:rsidRPr="00DD7C8D">
              <w:rPr>
                <w:rFonts w:ascii="Arial" w:hAnsi="Arial" w:cs="Arial"/>
              </w:rPr>
              <w:instrText xml:space="preserve"> PAGEREF _Ref457985835 \h </w:instrText>
            </w:r>
            <w:r w:rsidR="003366B4" w:rsidRPr="00DD7C8D">
              <w:rPr>
                <w:rFonts w:cs="Arial"/>
              </w:rPr>
            </w:r>
            <w:r w:rsidR="003366B4" w:rsidRPr="00DD7C8D">
              <w:rPr>
                <w:rFonts w:cs="Arial"/>
              </w:rPr>
              <w:fldChar w:fldCharType="separate"/>
            </w:r>
            <w:r w:rsidR="00FF3730">
              <w:rPr>
                <w:rFonts w:ascii="Arial" w:hAnsi="Arial" w:cs="Arial"/>
                <w:noProof/>
              </w:rPr>
              <w:t>49</w:t>
            </w:r>
            <w:r w:rsidR="003366B4" w:rsidRPr="00DD7C8D">
              <w:rPr>
                <w:rFonts w:cs="Arial"/>
              </w:rPr>
              <w:fldChar w:fldCharType="end"/>
            </w:r>
            <w:r w:rsidRPr="00DD7C8D">
              <w:rPr>
                <w:rFonts w:ascii="Arial" w:hAnsi="Arial" w:cs="Arial"/>
              </w:rPr>
              <w:t xml:space="preserve"> and </w:t>
            </w:r>
            <w:r w:rsidR="003366B4" w:rsidRPr="00DD7C8D">
              <w:rPr>
                <w:rFonts w:cs="Arial"/>
              </w:rPr>
              <w:fldChar w:fldCharType="begin"/>
            </w:r>
            <w:r w:rsidRPr="00DD7C8D">
              <w:rPr>
                <w:rFonts w:ascii="Arial" w:hAnsi="Arial" w:cs="Arial"/>
              </w:rPr>
              <w:instrText xml:space="preserve"> PAGEREF _Ref457985840 \h </w:instrText>
            </w:r>
            <w:r w:rsidR="003366B4" w:rsidRPr="00DD7C8D">
              <w:rPr>
                <w:rFonts w:cs="Arial"/>
              </w:rPr>
            </w:r>
            <w:r w:rsidR="003366B4" w:rsidRPr="00DD7C8D">
              <w:rPr>
                <w:rFonts w:cs="Arial"/>
              </w:rPr>
              <w:fldChar w:fldCharType="separate"/>
            </w:r>
            <w:r w:rsidR="00FF3730">
              <w:rPr>
                <w:rFonts w:ascii="Arial" w:hAnsi="Arial" w:cs="Arial"/>
                <w:noProof/>
              </w:rPr>
              <w:t>53</w:t>
            </w:r>
            <w:r w:rsidR="003366B4" w:rsidRPr="00DD7C8D">
              <w:rPr>
                <w:rFonts w:cs="Arial"/>
              </w:rPr>
              <w:fldChar w:fldCharType="end"/>
            </w:r>
            <w:r w:rsidRPr="00DD7C8D">
              <w:rPr>
                <w:rFonts w:ascii="Arial" w:hAnsi="Arial" w:cs="Arial"/>
              </w:rPr>
              <w:t>.</w:t>
            </w:r>
          </w:p>
        </w:tc>
      </w:tr>
    </w:tbl>
    <w:p w:rsidR="001A641D" w:rsidRDefault="007E5C0A">
      <w:pPr>
        <w:spacing w:after="0" w:line="240" w:lineRule="auto"/>
        <w:rPr>
          <w:rFonts w:cs="Arial"/>
          <w:b/>
          <w:i/>
        </w:rPr>
      </w:pPr>
      <w:bookmarkStart w:id="849" w:name="_Toc456360419"/>
      <w:bookmarkStart w:id="850" w:name="_Toc456364135"/>
      <w:bookmarkStart w:id="851" w:name="_Toc456365354"/>
      <w:bookmarkStart w:id="852" w:name="_Toc456360420"/>
      <w:bookmarkStart w:id="853" w:name="_Toc456364136"/>
      <w:bookmarkStart w:id="854" w:name="_Toc456365355"/>
      <w:bookmarkStart w:id="855" w:name="_Toc456360421"/>
      <w:bookmarkStart w:id="856" w:name="_Toc456364137"/>
      <w:bookmarkStart w:id="857" w:name="_Toc456365356"/>
      <w:bookmarkStart w:id="858" w:name="_Toc456360422"/>
      <w:bookmarkStart w:id="859" w:name="_Toc456364138"/>
      <w:bookmarkStart w:id="860" w:name="_Toc456365357"/>
      <w:bookmarkStart w:id="861" w:name="_Toc456360425"/>
      <w:bookmarkStart w:id="862" w:name="_Toc456364141"/>
      <w:bookmarkStart w:id="863" w:name="_Toc456365360"/>
      <w:bookmarkStart w:id="864" w:name="_Toc456360466"/>
      <w:bookmarkStart w:id="865" w:name="_Toc456364182"/>
      <w:bookmarkStart w:id="866" w:name="_Toc456365401"/>
      <w:bookmarkStart w:id="867" w:name="_Toc456360467"/>
      <w:bookmarkStart w:id="868" w:name="_Toc456364183"/>
      <w:bookmarkStart w:id="869" w:name="_Toc456365402"/>
      <w:bookmarkStart w:id="870" w:name="_Toc456360468"/>
      <w:bookmarkStart w:id="871" w:name="_Toc456364184"/>
      <w:bookmarkStart w:id="872" w:name="_Toc456365403"/>
      <w:bookmarkStart w:id="873" w:name="_Toc456360469"/>
      <w:bookmarkStart w:id="874" w:name="_Toc456364185"/>
      <w:bookmarkStart w:id="875" w:name="_Toc456365404"/>
      <w:bookmarkStart w:id="876" w:name="_Toc456360470"/>
      <w:bookmarkStart w:id="877" w:name="_Toc456364186"/>
      <w:bookmarkStart w:id="878" w:name="_Toc456365405"/>
      <w:bookmarkStart w:id="879" w:name="_Toc456360471"/>
      <w:bookmarkStart w:id="880" w:name="_Toc456364187"/>
      <w:bookmarkStart w:id="881" w:name="_Toc456365406"/>
      <w:bookmarkStart w:id="882" w:name="_Toc456360472"/>
      <w:bookmarkStart w:id="883" w:name="_Toc456364188"/>
      <w:bookmarkStart w:id="884" w:name="_Toc456365407"/>
      <w:bookmarkStart w:id="885" w:name="_Toc456360473"/>
      <w:bookmarkStart w:id="886" w:name="_Toc456364189"/>
      <w:bookmarkStart w:id="887" w:name="_Toc456365408"/>
      <w:bookmarkStart w:id="888" w:name="_Toc456360474"/>
      <w:bookmarkStart w:id="889" w:name="_Toc456364190"/>
      <w:bookmarkStart w:id="890" w:name="_Toc456365409"/>
      <w:bookmarkStart w:id="891" w:name="_Toc456360475"/>
      <w:bookmarkStart w:id="892" w:name="_Toc456364191"/>
      <w:bookmarkStart w:id="893" w:name="_Toc456365410"/>
      <w:bookmarkStart w:id="894" w:name="_Toc456360476"/>
      <w:bookmarkStart w:id="895" w:name="_Toc456364192"/>
      <w:bookmarkStart w:id="896" w:name="_Toc456365411"/>
      <w:bookmarkStart w:id="897" w:name="_Toc456360480"/>
      <w:bookmarkStart w:id="898" w:name="_Toc456364196"/>
      <w:bookmarkStart w:id="899" w:name="_Toc456365415"/>
      <w:bookmarkStart w:id="900" w:name="_Toc456360481"/>
      <w:bookmarkStart w:id="901" w:name="_Toc456364197"/>
      <w:bookmarkStart w:id="902" w:name="_Toc456365416"/>
      <w:bookmarkStart w:id="903" w:name="_Toc456360482"/>
      <w:bookmarkStart w:id="904" w:name="_Toc456364198"/>
      <w:bookmarkStart w:id="905" w:name="_Toc456365417"/>
      <w:bookmarkStart w:id="906" w:name="_Toc456360483"/>
      <w:bookmarkStart w:id="907" w:name="_Toc456364199"/>
      <w:bookmarkStart w:id="908" w:name="_Toc456365418"/>
      <w:bookmarkStart w:id="909" w:name="_Toc456360484"/>
      <w:bookmarkStart w:id="910" w:name="_Toc456364200"/>
      <w:bookmarkStart w:id="911" w:name="_Toc456365419"/>
      <w:bookmarkStart w:id="912" w:name="_Toc456360485"/>
      <w:bookmarkStart w:id="913" w:name="_Toc456364201"/>
      <w:bookmarkStart w:id="914" w:name="_Toc456365420"/>
      <w:bookmarkStart w:id="915" w:name="_Toc456360486"/>
      <w:bookmarkStart w:id="916" w:name="_Toc456364202"/>
      <w:bookmarkStart w:id="917" w:name="_Toc456365421"/>
      <w:bookmarkStart w:id="918" w:name="_Toc456360487"/>
      <w:bookmarkStart w:id="919" w:name="_Toc456364203"/>
      <w:bookmarkStart w:id="920" w:name="_Toc456365422"/>
      <w:bookmarkStart w:id="921" w:name="_Toc456360488"/>
      <w:bookmarkStart w:id="922" w:name="_Toc456364204"/>
      <w:bookmarkStart w:id="923" w:name="_Toc456365423"/>
      <w:bookmarkStart w:id="924" w:name="_Toc456360489"/>
      <w:bookmarkStart w:id="925" w:name="_Toc456364205"/>
      <w:bookmarkStart w:id="926" w:name="_Toc456365424"/>
      <w:bookmarkStart w:id="927" w:name="_Toc456360491"/>
      <w:bookmarkStart w:id="928" w:name="_Toc456364207"/>
      <w:bookmarkStart w:id="929" w:name="_Toc456365426"/>
      <w:bookmarkStart w:id="930" w:name="_Toc456360493"/>
      <w:bookmarkStart w:id="931" w:name="_Toc456364209"/>
      <w:bookmarkStart w:id="932" w:name="_Toc456365428"/>
      <w:bookmarkStart w:id="933" w:name="_Toc456360539"/>
      <w:bookmarkStart w:id="934" w:name="_Toc456364255"/>
      <w:bookmarkStart w:id="935" w:name="_Toc456365474"/>
      <w:bookmarkStart w:id="936" w:name="_Toc456360540"/>
      <w:bookmarkStart w:id="937" w:name="_Toc456364256"/>
      <w:bookmarkStart w:id="938" w:name="_Toc456365475"/>
      <w:bookmarkStart w:id="939" w:name="_Toc456360553"/>
      <w:bookmarkStart w:id="940" w:name="_Toc456364269"/>
      <w:bookmarkStart w:id="941" w:name="_Toc456365488"/>
      <w:bookmarkStart w:id="942" w:name="_Toc456360554"/>
      <w:bookmarkStart w:id="943" w:name="_Toc456364270"/>
      <w:bookmarkStart w:id="944" w:name="_Toc456365489"/>
      <w:bookmarkStart w:id="945" w:name="_Toc456360584"/>
      <w:bookmarkStart w:id="946" w:name="_Toc456364300"/>
      <w:bookmarkStart w:id="947" w:name="_Toc456365519"/>
      <w:bookmarkStart w:id="948" w:name="_Toc456360586"/>
      <w:bookmarkStart w:id="949" w:name="_Toc456364302"/>
      <w:bookmarkStart w:id="950" w:name="_Toc456365521"/>
      <w:bookmarkStart w:id="951" w:name="_Toc456360587"/>
      <w:bookmarkStart w:id="952" w:name="_Toc456364303"/>
      <w:bookmarkStart w:id="953" w:name="_Toc456365522"/>
      <w:bookmarkStart w:id="954" w:name="_Toc456360588"/>
      <w:bookmarkStart w:id="955" w:name="_Toc456364304"/>
      <w:bookmarkStart w:id="956" w:name="_Toc456365523"/>
      <w:bookmarkStart w:id="957" w:name="_Toc456360589"/>
      <w:bookmarkStart w:id="958" w:name="_Toc456364305"/>
      <w:bookmarkStart w:id="959" w:name="_Toc456365524"/>
      <w:bookmarkStart w:id="960" w:name="_Toc456360590"/>
      <w:bookmarkStart w:id="961" w:name="_Toc456364306"/>
      <w:bookmarkStart w:id="962" w:name="_Toc456365525"/>
      <w:bookmarkStart w:id="963" w:name="_Toc456360591"/>
      <w:bookmarkStart w:id="964" w:name="_Toc456364307"/>
      <w:bookmarkStart w:id="965" w:name="_Toc456365526"/>
      <w:bookmarkStart w:id="966" w:name="_Toc456360592"/>
      <w:bookmarkStart w:id="967" w:name="_Toc456364308"/>
      <w:bookmarkStart w:id="968" w:name="_Toc456365527"/>
      <w:bookmarkStart w:id="969" w:name="_Toc456360593"/>
      <w:bookmarkStart w:id="970" w:name="_Toc456364309"/>
      <w:bookmarkStart w:id="971" w:name="_Toc456365528"/>
      <w:bookmarkStart w:id="972" w:name="_Toc456360594"/>
      <w:bookmarkStart w:id="973" w:name="_Toc456364310"/>
      <w:bookmarkStart w:id="974" w:name="_Toc456365529"/>
      <w:bookmarkStart w:id="975" w:name="_Toc456360595"/>
      <w:bookmarkStart w:id="976" w:name="_Toc456364311"/>
      <w:bookmarkStart w:id="977" w:name="_Toc456365530"/>
      <w:bookmarkStart w:id="978" w:name="_Toc456360596"/>
      <w:bookmarkStart w:id="979" w:name="_Toc456364312"/>
      <w:bookmarkStart w:id="980" w:name="_Toc456365531"/>
      <w:bookmarkStart w:id="981" w:name="_Toc456360597"/>
      <w:bookmarkStart w:id="982" w:name="_Toc456364313"/>
      <w:bookmarkStart w:id="983" w:name="_Toc456365532"/>
      <w:bookmarkStart w:id="984" w:name="_Toc456360598"/>
      <w:bookmarkStart w:id="985" w:name="_Toc456364314"/>
      <w:bookmarkStart w:id="986" w:name="_Toc456365533"/>
      <w:bookmarkStart w:id="987" w:name="_Toc456360600"/>
      <w:bookmarkStart w:id="988" w:name="_Toc456364316"/>
      <w:bookmarkStart w:id="989" w:name="_Toc456365535"/>
      <w:bookmarkStart w:id="990" w:name="_Toc456360602"/>
      <w:bookmarkStart w:id="991" w:name="_Toc456364318"/>
      <w:bookmarkStart w:id="992" w:name="_Toc456365537"/>
      <w:bookmarkStart w:id="993" w:name="_Toc456360648"/>
      <w:bookmarkStart w:id="994" w:name="_Toc456364364"/>
      <w:bookmarkStart w:id="995" w:name="_Toc456365583"/>
      <w:bookmarkStart w:id="996" w:name="_Toc456360660"/>
      <w:bookmarkStart w:id="997" w:name="_Toc456364376"/>
      <w:bookmarkStart w:id="998" w:name="_Toc456365595"/>
      <w:bookmarkStart w:id="999" w:name="_Toc456360662"/>
      <w:bookmarkStart w:id="1000" w:name="_Toc456364378"/>
      <w:bookmarkStart w:id="1001" w:name="_Toc456365597"/>
      <w:bookmarkStart w:id="1002" w:name="_Toc456360698"/>
      <w:bookmarkStart w:id="1003" w:name="_Toc456364414"/>
      <w:bookmarkStart w:id="1004" w:name="_Toc456365633"/>
      <w:bookmarkStart w:id="1005" w:name="_Toc456360699"/>
      <w:bookmarkStart w:id="1006" w:name="_Toc456364415"/>
      <w:bookmarkStart w:id="1007" w:name="_Toc456365634"/>
      <w:bookmarkStart w:id="1008" w:name="_Toc456360700"/>
      <w:bookmarkStart w:id="1009" w:name="_Toc456364416"/>
      <w:bookmarkStart w:id="1010" w:name="_Toc456365635"/>
      <w:bookmarkStart w:id="1011" w:name="_Toc456360703"/>
      <w:bookmarkStart w:id="1012" w:name="_Toc456364419"/>
      <w:bookmarkStart w:id="1013" w:name="_Toc456365638"/>
      <w:bookmarkStart w:id="1014" w:name="_Toc456360711"/>
      <w:bookmarkStart w:id="1015" w:name="_Toc456364427"/>
      <w:bookmarkStart w:id="1016" w:name="_Toc456365646"/>
      <w:bookmarkStart w:id="1017" w:name="_Toc456360712"/>
      <w:bookmarkStart w:id="1018" w:name="_Toc456364428"/>
      <w:bookmarkStart w:id="1019" w:name="_Toc456365647"/>
      <w:bookmarkStart w:id="1020" w:name="_Toc456360716"/>
      <w:bookmarkStart w:id="1021" w:name="_Toc456364432"/>
      <w:bookmarkStart w:id="1022" w:name="_Toc456365651"/>
      <w:bookmarkStart w:id="1023" w:name="_Toc456360769"/>
      <w:bookmarkStart w:id="1024" w:name="_Toc456364485"/>
      <w:bookmarkStart w:id="1025" w:name="_Toc456365704"/>
      <w:bookmarkStart w:id="1026" w:name="_Toc456360770"/>
      <w:bookmarkStart w:id="1027" w:name="_Toc456364486"/>
      <w:bookmarkStart w:id="1028" w:name="_Toc456365705"/>
      <w:bookmarkStart w:id="1029" w:name="_Toc456360783"/>
      <w:bookmarkStart w:id="1030" w:name="_Toc456364499"/>
      <w:bookmarkStart w:id="1031" w:name="_Toc456365718"/>
      <w:bookmarkStart w:id="1032" w:name="_Toc456360785"/>
      <w:bookmarkStart w:id="1033" w:name="_Toc456364501"/>
      <w:bookmarkStart w:id="1034" w:name="_Toc456365720"/>
      <w:bookmarkStart w:id="1035" w:name="_Toc456360821"/>
      <w:bookmarkStart w:id="1036" w:name="_Toc456364537"/>
      <w:bookmarkStart w:id="1037" w:name="_Toc456365756"/>
      <w:bookmarkStart w:id="1038" w:name="_Toc456360822"/>
      <w:bookmarkStart w:id="1039" w:name="_Toc456364538"/>
      <w:bookmarkStart w:id="1040" w:name="_Toc456365757"/>
      <w:bookmarkStart w:id="1041" w:name="_Toc456360987"/>
      <w:bookmarkStart w:id="1042" w:name="_Toc456364703"/>
      <w:bookmarkStart w:id="1043" w:name="_Toc456365922"/>
      <w:bookmarkStart w:id="1044" w:name="_Toc456360988"/>
      <w:bookmarkStart w:id="1045" w:name="_Toc456364704"/>
      <w:bookmarkStart w:id="1046" w:name="_Toc456365923"/>
      <w:bookmarkStart w:id="1047" w:name="_Toc456360996"/>
      <w:bookmarkStart w:id="1048" w:name="_Toc456364712"/>
      <w:bookmarkStart w:id="1049" w:name="_Toc456365931"/>
      <w:bookmarkStart w:id="1050" w:name="_Toc456360997"/>
      <w:bookmarkStart w:id="1051" w:name="_Toc456364713"/>
      <w:bookmarkStart w:id="1052" w:name="_Toc456365932"/>
      <w:bookmarkStart w:id="1053" w:name="_Toc456361009"/>
      <w:bookmarkStart w:id="1054" w:name="_Toc456364725"/>
      <w:bookmarkStart w:id="1055" w:name="_Toc456365944"/>
      <w:bookmarkStart w:id="1056" w:name="_Toc456361010"/>
      <w:bookmarkStart w:id="1057" w:name="_Toc456364726"/>
      <w:bookmarkStart w:id="1058" w:name="_Toc456365945"/>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br w:type="page"/>
      </w:r>
    </w:p>
    <w:p w:rsidR="001A641D" w:rsidRDefault="007E5C0A" w:rsidP="001A641D">
      <w:pPr>
        <w:pStyle w:val="Heading3"/>
        <w:ind w:left="720"/>
      </w:pPr>
      <w:bookmarkStart w:id="1059" w:name="_Toc256000350"/>
      <w:bookmarkStart w:id="1060" w:name="_Toc256000242"/>
      <w:bookmarkStart w:id="1061" w:name="_Toc256000134"/>
      <w:bookmarkStart w:id="1062" w:name="_Toc256000026"/>
      <w:bookmarkStart w:id="1063" w:name="_Toc458170530"/>
      <w:r>
        <w:t>Costs of assessments by public inquiry</w:t>
      </w:r>
      <w:bookmarkEnd w:id="1059"/>
      <w:bookmarkEnd w:id="1060"/>
      <w:bookmarkEnd w:id="1061"/>
      <w:bookmarkEnd w:id="1062"/>
      <w:bookmarkEnd w:id="1063"/>
    </w:p>
    <w:p w:rsidR="001A641D" w:rsidRPr="0031798D" w:rsidRDefault="007E5C0A" w:rsidP="001A641D">
      <w:r w:rsidRPr="006F2E02">
        <w:t xml:space="preserve">The costs of an assessment by public inquiry vary on a case-by-case basis. The exact costs will be dependent on the specifics of a project and therefore cannot be determined in advance, as opposed to the costing structure for other assessment methods. </w:t>
      </w:r>
    </w:p>
    <w:p w:rsidR="001A641D" w:rsidRPr="0031798D" w:rsidRDefault="007E5C0A" w:rsidP="001A641D">
      <w:r w:rsidRPr="006F2E02">
        <w:rPr>
          <w:lang w:val="en-US"/>
        </w:rPr>
        <w:t xml:space="preserve">The departmental costs </w:t>
      </w:r>
      <w:r>
        <w:rPr>
          <w:lang w:val="en-US"/>
        </w:rPr>
        <w:t>of</w:t>
      </w:r>
      <w:r w:rsidRPr="006F2E02">
        <w:rPr>
          <w:lang w:val="en-US"/>
        </w:rPr>
        <w:t xml:space="preserve"> assessment by public inquiry would be directly related to the size and scope of the project that is being assessed. </w:t>
      </w:r>
      <w:r>
        <w:rPr>
          <w:lang w:val="en-US"/>
        </w:rPr>
        <w:t>Factors</w:t>
      </w:r>
      <w:r w:rsidRPr="006F2E02">
        <w:rPr>
          <w:lang w:val="en-US"/>
        </w:rPr>
        <w:t xml:space="preserve"> that could influence costs include the number of staff resources necessary to undertake the assessment, the size and expertise of the panel, the extent of independent expert advice required, the role and number of hearings during the assessment process</w:t>
      </w:r>
      <w:r>
        <w:rPr>
          <w:lang w:val="en-US"/>
        </w:rPr>
        <w:t>,</w:t>
      </w:r>
      <w:r w:rsidRPr="006F2E02">
        <w:rPr>
          <w:lang w:val="en-US"/>
        </w:rPr>
        <w:t xml:space="preserve"> and potentially the related travel to conduct and support these hearings. </w:t>
      </w:r>
    </w:p>
    <w:p w:rsidR="001A641D" w:rsidRDefault="007E5C0A">
      <w:pPr>
        <w:spacing w:after="0" w:line="240" w:lineRule="auto"/>
        <w:rPr>
          <w:rFonts w:cs="Arial"/>
          <w:b/>
        </w:rPr>
      </w:pPr>
      <w:r>
        <w:br w:type="page"/>
      </w:r>
    </w:p>
    <w:p w:rsidR="001A641D" w:rsidRPr="00764975" w:rsidRDefault="007E5C0A" w:rsidP="001A641D">
      <w:pPr>
        <w:pStyle w:val="Heading2"/>
      </w:pPr>
      <w:bookmarkStart w:id="1064" w:name="_Toc256000351"/>
      <w:bookmarkStart w:id="1065" w:name="_Toc256000243"/>
      <w:bookmarkStart w:id="1066" w:name="_Toc256000135"/>
      <w:bookmarkStart w:id="1067" w:name="_Toc256000027"/>
      <w:bookmarkStart w:id="1068" w:name="_Toc458170531"/>
      <w:r w:rsidRPr="00764975">
        <w:t>Charges for environmental impact assessments</w:t>
      </w:r>
      <w:bookmarkEnd w:id="1064"/>
      <w:bookmarkEnd w:id="1065"/>
      <w:bookmarkEnd w:id="1066"/>
      <w:bookmarkEnd w:id="1067"/>
      <w:bookmarkEnd w:id="1068"/>
    </w:p>
    <w:p w:rsidR="001A641D" w:rsidRDefault="007E5C0A" w:rsidP="001A641D">
      <w:pPr>
        <w:spacing w:after="120"/>
        <w:rPr>
          <w:lang w:val="en-US"/>
        </w:rPr>
      </w:pPr>
      <w:bookmarkStart w:id="1069" w:name="_Toc456361013"/>
      <w:bookmarkStart w:id="1070" w:name="_Toc456364729"/>
      <w:bookmarkStart w:id="1071" w:name="_Toc456365948"/>
      <w:bookmarkStart w:id="1072" w:name="_Toc456366576"/>
      <w:bookmarkStart w:id="1073" w:name="_Toc456367203"/>
      <w:bookmarkStart w:id="1074" w:name="_Toc456367835"/>
      <w:bookmarkStart w:id="1075" w:name="_Toc456368465"/>
      <w:bookmarkStart w:id="1076" w:name="_Toc456369094"/>
      <w:bookmarkStart w:id="1077" w:name="_Toc456369775"/>
      <w:bookmarkStart w:id="1078" w:name="_Toc456370452"/>
      <w:bookmarkStart w:id="1079" w:name="_Toc456371129"/>
      <w:bookmarkStart w:id="1080" w:name="_Toc456361014"/>
      <w:bookmarkStart w:id="1081" w:name="_Toc456364730"/>
      <w:bookmarkStart w:id="1082" w:name="_Toc456365949"/>
      <w:bookmarkStart w:id="1083" w:name="_Toc456366577"/>
      <w:bookmarkStart w:id="1084" w:name="_Toc456367204"/>
      <w:bookmarkStart w:id="1085" w:name="_Toc456367836"/>
      <w:bookmarkStart w:id="1086" w:name="_Toc456368466"/>
      <w:bookmarkStart w:id="1087" w:name="_Toc456369095"/>
      <w:bookmarkStart w:id="1088" w:name="_Toc456369776"/>
      <w:bookmarkStart w:id="1089" w:name="_Toc456370453"/>
      <w:bookmarkStart w:id="1090" w:name="_Toc456371130"/>
      <w:bookmarkStart w:id="1091" w:name="_Toc456361015"/>
      <w:bookmarkStart w:id="1092" w:name="_Toc456364731"/>
      <w:bookmarkStart w:id="1093" w:name="_Toc456365950"/>
      <w:bookmarkStart w:id="1094" w:name="_Toc456366578"/>
      <w:bookmarkStart w:id="1095" w:name="_Toc456367205"/>
      <w:bookmarkStart w:id="1096" w:name="_Toc456367837"/>
      <w:bookmarkStart w:id="1097" w:name="_Toc456368467"/>
      <w:bookmarkStart w:id="1098" w:name="_Toc456369096"/>
      <w:bookmarkStart w:id="1099" w:name="_Toc456369777"/>
      <w:bookmarkStart w:id="1100" w:name="_Toc456370454"/>
      <w:bookmarkStart w:id="1101" w:name="_Toc456371131"/>
      <w:bookmarkStart w:id="1102" w:name="_Toc456361016"/>
      <w:bookmarkStart w:id="1103" w:name="_Toc456364732"/>
      <w:bookmarkStart w:id="1104" w:name="_Toc456365951"/>
      <w:bookmarkStart w:id="1105" w:name="_Toc456366579"/>
      <w:bookmarkStart w:id="1106" w:name="_Toc456367206"/>
      <w:bookmarkStart w:id="1107" w:name="_Toc456367838"/>
      <w:bookmarkStart w:id="1108" w:name="_Toc456368468"/>
      <w:bookmarkStart w:id="1109" w:name="_Toc456369097"/>
      <w:bookmarkStart w:id="1110" w:name="_Toc456369778"/>
      <w:bookmarkStart w:id="1111" w:name="_Toc456370455"/>
      <w:bookmarkStart w:id="1112" w:name="_Toc456371132"/>
      <w:bookmarkStart w:id="1113" w:name="_Toc456361017"/>
      <w:bookmarkStart w:id="1114" w:name="_Toc456364733"/>
      <w:bookmarkStart w:id="1115" w:name="_Toc456365952"/>
      <w:bookmarkStart w:id="1116" w:name="_Toc456366580"/>
      <w:bookmarkStart w:id="1117" w:name="_Toc456367207"/>
      <w:bookmarkStart w:id="1118" w:name="_Toc456367839"/>
      <w:bookmarkStart w:id="1119" w:name="_Toc456368469"/>
      <w:bookmarkStart w:id="1120" w:name="_Toc456369098"/>
      <w:bookmarkStart w:id="1121" w:name="_Toc456369779"/>
      <w:bookmarkStart w:id="1122" w:name="_Toc456370456"/>
      <w:bookmarkStart w:id="1123" w:name="_Toc456371133"/>
      <w:bookmarkStart w:id="1124" w:name="_Toc456361018"/>
      <w:bookmarkStart w:id="1125" w:name="_Toc456364734"/>
      <w:bookmarkStart w:id="1126" w:name="_Toc456365953"/>
      <w:bookmarkStart w:id="1127" w:name="_Toc456366581"/>
      <w:bookmarkStart w:id="1128" w:name="_Toc456367208"/>
      <w:bookmarkStart w:id="1129" w:name="_Toc456367840"/>
      <w:bookmarkStart w:id="1130" w:name="_Toc456368470"/>
      <w:bookmarkStart w:id="1131" w:name="_Toc456369099"/>
      <w:bookmarkStart w:id="1132" w:name="_Toc456369780"/>
      <w:bookmarkStart w:id="1133" w:name="_Toc456370457"/>
      <w:bookmarkStart w:id="1134" w:name="_Toc456371134"/>
      <w:bookmarkStart w:id="1135" w:name="_Toc456361019"/>
      <w:bookmarkStart w:id="1136" w:name="_Toc456364735"/>
      <w:bookmarkStart w:id="1137" w:name="_Toc456365954"/>
      <w:bookmarkStart w:id="1138" w:name="_Toc456366582"/>
      <w:bookmarkStart w:id="1139" w:name="_Toc456367209"/>
      <w:bookmarkStart w:id="1140" w:name="_Toc456367841"/>
      <w:bookmarkStart w:id="1141" w:name="_Toc456368471"/>
      <w:bookmarkStart w:id="1142" w:name="_Toc456369100"/>
      <w:bookmarkStart w:id="1143" w:name="_Toc456369781"/>
      <w:bookmarkStart w:id="1144" w:name="_Toc456370458"/>
      <w:bookmarkStart w:id="1145" w:name="_Toc456371135"/>
      <w:bookmarkStart w:id="1146" w:name="_Toc456361020"/>
      <w:bookmarkStart w:id="1147" w:name="_Toc456364736"/>
      <w:bookmarkStart w:id="1148" w:name="_Toc456365955"/>
      <w:bookmarkStart w:id="1149" w:name="_Toc456366583"/>
      <w:bookmarkStart w:id="1150" w:name="_Toc456367210"/>
      <w:bookmarkStart w:id="1151" w:name="_Toc456367842"/>
      <w:bookmarkStart w:id="1152" w:name="_Toc456368472"/>
      <w:bookmarkStart w:id="1153" w:name="_Toc456369101"/>
      <w:bookmarkStart w:id="1154" w:name="_Toc456369782"/>
      <w:bookmarkStart w:id="1155" w:name="_Toc456370459"/>
      <w:bookmarkStart w:id="1156" w:name="_Toc456371136"/>
      <w:bookmarkStart w:id="1157" w:name="_Toc456361021"/>
      <w:bookmarkStart w:id="1158" w:name="_Toc456364737"/>
      <w:bookmarkStart w:id="1159" w:name="_Toc456365956"/>
      <w:bookmarkStart w:id="1160" w:name="_Toc456366584"/>
      <w:bookmarkStart w:id="1161" w:name="_Toc456367211"/>
      <w:bookmarkStart w:id="1162" w:name="_Toc456367843"/>
      <w:bookmarkStart w:id="1163" w:name="_Toc456368473"/>
      <w:bookmarkStart w:id="1164" w:name="_Toc456369102"/>
      <w:bookmarkStart w:id="1165" w:name="_Toc456369783"/>
      <w:bookmarkStart w:id="1166" w:name="_Toc456370460"/>
      <w:bookmarkStart w:id="1167" w:name="_Toc456371137"/>
      <w:bookmarkStart w:id="1168" w:name="_Toc456361022"/>
      <w:bookmarkStart w:id="1169" w:name="_Toc456364738"/>
      <w:bookmarkStart w:id="1170" w:name="_Toc456365957"/>
      <w:bookmarkStart w:id="1171" w:name="_Toc456366585"/>
      <w:bookmarkStart w:id="1172" w:name="_Toc456367212"/>
      <w:bookmarkStart w:id="1173" w:name="_Toc456367844"/>
      <w:bookmarkStart w:id="1174" w:name="_Toc456368474"/>
      <w:bookmarkStart w:id="1175" w:name="_Toc456369103"/>
      <w:bookmarkStart w:id="1176" w:name="_Toc456369784"/>
      <w:bookmarkStart w:id="1177" w:name="_Toc456370461"/>
      <w:bookmarkStart w:id="1178" w:name="_Toc456371138"/>
      <w:bookmarkStart w:id="1179" w:name="_Toc456361023"/>
      <w:bookmarkStart w:id="1180" w:name="_Toc456364739"/>
      <w:bookmarkStart w:id="1181" w:name="_Toc456365958"/>
      <w:bookmarkStart w:id="1182" w:name="_Toc456366586"/>
      <w:bookmarkStart w:id="1183" w:name="_Toc456367213"/>
      <w:bookmarkStart w:id="1184" w:name="_Toc456367845"/>
      <w:bookmarkStart w:id="1185" w:name="_Toc456368475"/>
      <w:bookmarkStart w:id="1186" w:name="_Toc456369104"/>
      <w:bookmarkStart w:id="1187" w:name="_Toc456369785"/>
      <w:bookmarkStart w:id="1188" w:name="_Toc456370462"/>
      <w:bookmarkStart w:id="1189" w:name="_Toc456371139"/>
      <w:bookmarkStart w:id="1190" w:name="_Toc456361024"/>
      <w:bookmarkStart w:id="1191" w:name="_Toc456364740"/>
      <w:bookmarkStart w:id="1192" w:name="_Toc456365959"/>
      <w:bookmarkStart w:id="1193" w:name="_Toc456366587"/>
      <w:bookmarkStart w:id="1194" w:name="_Toc456367214"/>
      <w:bookmarkStart w:id="1195" w:name="_Toc456367846"/>
      <w:bookmarkStart w:id="1196" w:name="_Toc456368476"/>
      <w:bookmarkStart w:id="1197" w:name="_Toc456369105"/>
      <w:bookmarkStart w:id="1198" w:name="_Toc456369786"/>
      <w:bookmarkStart w:id="1199" w:name="_Toc456370463"/>
      <w:bookmarkStart w:id="1200" w:name="_Toc456371140"/>
      <w:bookmarkStart w:id="1201" w:name="_Toc456361025"/>
      <w:bookmarkStart w:id="1202" w:name="_Toc456364741"/>
      <w:bookmarkStart w:id="1203" w:name="_Toc456365960"/>
      <w:bookmarkStart w:id="1204" w:name="_Toc456366588"/>
      <w:bookmarkStart w:id="1205" w:name="_Toc456367215"/>
      <w:bookmarkStart w:id="1206" w:name="_Toc456367847"/>
      <w:bookmarkStart w:id="1207" w:name="_Toc456368477"/>
      <w:bookmarkStart w:id="1208" w:name="_Toc456369106"/>
      <w:bookmarkStart w:id="1209" w:name="_Toc456369787"/>
      <w:bookmarkStart w:id="1210" w:name="_Toc456370464"/>
      <w:bookmarkStart w:id="1211" w:name="_Toc456371141"/>
      <w:bookmarkStart w:id="1212" w:name="_Toc456361026"/>
      <w:bookmarkStart w:id="1213" w:name="_Toc456364742"/>
      <w:bookmarkStart w:id="1214" w:name="_Toc456365961"/>
      <w:bookmarkStart w:id="1215" w:name="_Toc456366589"/>
      <w:bookmarkStart w:id="1216" w:name="_Toc456367216"/>
      <w:bookmarkStart w:id="1217" w:name="_Toc456367848"/>
      <w:bookmarkStart w:id="1218" w:name="_Toc456368478"/>
      <w:bookmarkStart w:id="1219" w:name="_Toc456369107"/>
      <w:bookmarkStart w:id="1220" w:name="_Toc456369788"/>
      <w:bookmarkStart w:id="1221" w:name="_Toc456370465"/>
      <w:bookmarkStart w:id="1222" w:name="_Toc456371142"/>
      <w:bookmarkStart w:id="1223" w:name="_Toc456361027"/>
      <w:bookmarkStart w:id="1224" w:name="_Toc456364743"/>
      <w:bookmarkStart w:id="1225" w:name="_Toc456365962"/>
      <w:bookmarkStart w:id="1226" w:name="_Toc456366590"/>
      <w:bookmarkStart w:id="1227" w:name="_Toc456367217"/>
      <w:bookmarkStart w:id="1228" w:name="_Toc456367849"/>
      <w:bookmarkStart w:id="1229" w:name="_Toc456368479"/>
      <w:bookmarkStart w:id="1230" w:name="_Toc456369108"/>
      <w:bookmarkStart w:id="1231" w:name="_Toc456369789"/>
      <w:bookmarkStart w:id="1232" w:name="_Toc456370466"/>
      <w:bookmarkStart w:id="1233" w:name="_Toc456371143"/>
      <w:bookmarkStart w:id="1234" w:name="_Toc456361028"/>
      <w:bookmarkStart w:id="1235" w:name="_Toc456364744"/>
      <w:bookmarkStart w:id="1236" w:name="_Toc456365963"/>
      <w:bookmarkStart w:id="1237" w:name="_Toc456366591"/>
      <w:bookmarkStart w:id="1238" w:name="_Toc456367218"/>
      <w:bookmarkStart w:id="1239" w:name="_Toc456367850"/>
      <w:bookmarkStart w:id="1240" w:name="_Toc456368480"/>
      <w:bookmarkStart w:id="1241" w:name="_Toc456369109"/>
      <w:bookmarkStart w:id="1242" w:name="_Toc456369790"/>
      <w:bookmarkStart w:id="1243" w:name="_Toc456370467"/>
      <w:bookmarkStart w:id="1244" w:name="_Toc456371144"/>
      <w:bookmarkStart w:id="1245" w:name="_Toc456361029"/>
      <w:bookmarkStart w:id="1246" w:name="_Toc456364745"/>
      <w:bookmarkStart w:id="1247" w:name="_Toc456365964"/>
      <w:bookmarkStart w:id="1248" w:name="_Toc456366592"/>
      <w:bookmarkStart w:id="1249" w:name="_Toc456367219"/>
      <w:bookmarkStart w:id="1250" w:name="_Toc456367851"/>
      <w:bookmarkStart w:id="1251" w:name="_Toc456368481"/>
      <w:bookmarkStart w:id="1252" w:name="_Toc456369110"/>
      <w:bookmarkStart w:id="1253" w:name="_Toc456369791"/>
      <w:bookmarkStart w:id="1254" w:name="_Toc456370468"/>
      <w:bookmarkStart w:id="1255" w:name="_Toc456371145"/>
      <w:bookmarkStart w:id="1256" w:name="_Toc456361030"/>
      <w:bookmarkStart w:id="1257" w:name="_Toc456364746"/>
      <w:bookmarkStart w:id="1258" w:name="_Toc456365965"/>
      <w:bookmarkStart w:id="1259" w:name="_Toc456366593"/>
      <w:bookmarkStart w:id="1260" w:name="_Toc456367220"/>
      <w:bookmarkStart w:id="1261" w:name="_Toc456367852"/>
      <w:bookmarkStart w:id="1262" w:name="_Toc456368482"/>
      <w:bookmarkStart w:id="1263" w:name="_Toc456369111"/>
      <w:bookmarkStart w:id="1264" w:name="_Toc456369792"/>
      <w:bookmarkStart w:id="1265" w:name="_Toc456370469"/>
      <w:bookmarkStart w:id="1266" w:name="_Toc456371146"/>
      <w:bookmarkStart w:id="1267" w:name="_Toc456361031"/>
      <w:bookmarkStart w:id="1268" w:name="_Toc456364747"/>
      <w:bookmarkStart w:id="1269" w:name="_Toc456365966"/>
      <w:bookmarkStart w:id="1270" w:name="_Toc456366594"/>
      <w:bookmarkStart w:id="1271" w:name="_Toc456367221"/>
      <w:bookmarkStart w:id="1272" w:name="_Toc456367853"/>
      <w:bookmarkStart w:id="1273" w:name="_Toc456368483"/>
      <w:bookmarkStart w:id="1274" w:name="_Toc456369112"/>
      <w:bookmarkStart w:id="1275" w:name="_Toc456369793"/>
      <w:bookmarkStart w:id="1276" w:name="_Toc456370470"/>
      <w:bookmarkStart w:id="1277" w:name="_Toc456371147"/>
      <w:bookmarkStart w:id="1278" w:name="_Toc456361032"/>
      <w:bookmarkStart w:id="1279" w:name="_Toc456364748"/>
      <w:bookmarkStart w:id="1280" w:name="_Toc456365967"/>
      <w:bookmarkStart w:id="1281" w:name="_Toc456366595"/>
      <w:bookmarkStart w:id="1282" w:name="_Toc456367222"/>
      <w:bookmarkStart w:id="1283" w:name="_Toc456367854"/>
      <w:bookmarkStart w:id="1284" w:name="_Toc456368484"/>
      <w:bookmarkStart w:id="1285" w:name="_Toc456369113"/>
      <w:bookmarkStart w:id="1286" w:name="_Toc456369794"/>
      <w:bookmarkStart w:id="1287" w:name="_Toc456370471"/>
      <w:bookmarkStart w:id="1288" w:name="_Toc456371148"/>
      <w:bookmarkStart w:id="1289" w:name="_Toc397607989"/>
      <w:bookmarkStart w:id="1290" w:name="_Toc397607990"/>
      <w:bookmarkStart w:id="1291" w:name="_Toc397607991"/>
      <w:bookmarkStart w:id="1292" w:name="_Toc397607992"/>
      <w:bookmarkStart w:id="1293" w:name="_Toc397607993"/>
      <w:bookmarkStart w:id="1294" w:name="_Toc397607994"/>
      <w:bookmarkStart w:id="1295" w:name="_Toc397607995"/>
      <w:bookmarkStart w:id="1296" w:name="_Toc397607996"/>
      <w:bookmarkStart w:id="1297" w:name="_Toc397607997"/>
      <w:bookmarkStart w:id="1298" w:name="_Toc397607998"/>
      <w:bookmarkStart w:id="1299" w:name="_Toc397607999"/>
      <w:bookmarkStart w:id="1300" w:name="_Toc397608000"/>
      <w:bookmarkStart w:id="1301" w:name="_Toc397608001"/>
      <w:bookmarkStart w:id="1302" w:name="_Toc397608002"/>
      <w:bookmarkStart w:id="1303" w:name="_Toc397608003"/>
      <w:bookmarkStart w:id="1304" w:name="_Toc397608004"/>
      <w:bookmarkStart w:id="1305" w:name="_Toc397608005"/>
      <w:bookmarkStart w:id="1306" w:name="_Toc397608006"/>
      <w:bookmarkStart w:id="1307" w:name="_Toc397608007"/>
      <w:bookmarkStart w:id="1308" w:name="_Toc397608008"/>
      <w:bookmarkStart w:id="1309" w:name="_Toc397608009"/>
      <w:bookmarkStart w:id="1310" w:name="_Toc397608010"/>
      <w:bookmarkStart w:id="1311" w:name="_Toc397608011"/>
      <w:bookmarkStart w:id="1312" w:name="_Toc397608012"/>
      <w:bookmarkStart w:id="1313" w:name="_Toc397608013"/>
      <w:bookmarkStart w:id="1314" w:name="_Toc397608014"/>
      <w:bookmarkStart w:id="1315" w:name="_Toc397608015"/>
      <w:bookmarkStart w:id="1316" w:name="_Toc397608016"/>
      <w:bookmarkStart w:id="1317" w:name="_Toc456361033"/>
      <w:bookmarkStart w:id="1318" w:name="_Toc456364749"/>
      <w:bookmarkStart w:id="1319" w:name="_Toc456365968"/>
      <w:bookmarkStart w:id="1320" w:name="_Toc456366596"/>
      <w:bookmarkStart w:id="1321" w:name="_Toc456367223"/>
      <w:bookmarkStart w:id="1322" w:name="_Toc456367855"/>
      <w:bookmarkStart w:id="1323" w:name="_Toc456368485"/>
      <w:bookmarkStart w:id="1324" w:name="_Toc456369114"/>
      <w:bookmarkStart w:id="1325" w:name="_Toc456369795"/>
      <w:bookmarkStart w:id="1326" w:name="_Toc456370472"/>
      <w:bookmarkStart w:id="1327" w:name="_Toc456371149"/>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r>
        <w:rPr>
          <w:lang w:val="en-US"/>
        </w:rPr>
        <w:t>The fees for environmental assessments are made up of four different types of fee:</w:t>
      </w:r>
    </w:p>
    <w:p w:rsidR="001A641D" w:rsidRDefault="007E5C0A" w:rsidP="001A641D">
      <w:pPr>
        <w:pStyle w:val="ListParagraph"/>
        <w:numPr>
          <w:ilvl w:val="0"/>
          <w:numId w:val="12"/>
        </w:numPr>
        <w:spacing w:after="120"/>
        <w:rPr>
          <w:lang w:val="en-US"/>
        </w:rPr>
      </w:pPr>
      <w:r>
        <w:rPr>
          <w:lang w:val="en-US"/>
        </w:rPr>
        <w:t>Set fees for:</w:t>
      </w:r>
    </w:p>
    <w:p w:rsidR="001A641D" w:rsidRDefault="007E5C0A" w:rsidP="001A641D">
      <w:pPr>
        <w:pStyle w:val="ListParagraph"/>
        <w:numPr>
          <w:ilvl w:val="1"/>
          <w:numId w:val="12"/>
        </w:numPr>
        <w:spacing w:after="120"/>
        <w:rPr>
          <w:lang w:val="en-US"/>
        </w:rPr>
      </w:pPr>
      <w:r>
        <w:rPr>
          <w:lang w:val="en-US"/>
        </w:rPr>
        <w:t>referrals;</w:t>
      </w:r>
    </w:p>
    <w:p w:rsidR="001A641D" w:rsidRDefault="007E5C0A" w:rsidP="001A641D">
      <w:pPr>
        <w:pStyle w:val="ListParagraph"/>
        <w:numPr>
          <w:ilvl w:val="1"/>
          <w:numId w:val="12"/>
        </w:numPr>
        <w:spacing w:after="120"/>
        <w:rPr>
          <w:lang w:val="en-US"/>
        </w:rPr>
      </w:pPr>
      <w:r>
        <w:rPr>
          <w:lang w:val="en-US"/>
        </w:rPr>
        <w:t xml:space="preserve">evaluating post approval management plans; and </w:t>
      </w:r>
    </w:p>
    <w:p w:rsidR="001A641D" w:rsidRDefault="007E5C0A" w:rsidP="001A641D">
      <w:pPr>
        <w:pStyle w:val="ListParagraph"/>
        <w:numPr>
          <w:ilvl w:val="1"/>
          <w:numId w:val="12"/>
        </w:numPr>
        <w:spacing w:after="120"/>
        <w:rPr>
          <w:lang w:val="en-US"/>
        </w:rPr>
      </w:pPr>
      <w:r>
        <w:rPr>
          <w:lang w:val="en-US"/>
        </w:rPr>
        <w:t>contingent activities;</w:t>
      </w:r>
    </w:p>
    <w:p w:rsidR="001A641D" w:rsidRDefault="007E5C0A" w:rsidP="001A641D">
      <w:pPr>
        <w:pStyle w:val="ListParagraph"/>
        <w:numPr>
          <w:ilvl w:val="0"/>
          <w:numId w:val="12"/>
        </w:numPr>
        <w:spacing w:after="120"/>
        <w:rPr>
          <w:lang w:val="en-US"/>
        </w:rPr>
      </w:pPr>
      <w:r>
        <w:rPr>
          <w:lang w:val="en-US"/>
        </w:rPr>
        <w:t>Base fees for assessments;</w:t>
      </w:r>
    </w:p>
    <w:p w:rsidR="001A641D" w:rsidRDefault="007E5C0A" w:rsidP="001A641D">
      <w:pPr>
        <w:pStyle w:val="ListParagraph"/>
        <w:numPr>
          <w:ilvl w:val="0"/>
          <w:numId w:val="12"/>
        </w:numPr>
        <w:spacing w:after="120"/>
        <w:rPr>
          <w:lang w:val="en-US"/>
        </w:rPr>
      </w:pPr>
      <w:r>
        <w:rPr>
          <w:lang w:val="en-US"/>
        </w:rPr>
        <w:t>Complexity fees for assessments; and</w:t>
      </w:r>
    </w:p>
    <w:p w:rsidR="001A641D" w:rsidRDefault="007E5C0A" w:rsidP="001A641D">
      <w:pPr>
        <w:pStyle w:val="ListParagraph"/>
        <w:numPr>
          <w:ilvl w:val="0"/>
          <w:numId w:val="12"/>
        </w:numPr>
        <w:spacing w:after="120"/>
        <w:rPr>
          <w:lang w:val="en-US"/>
        </w:rPr>
      </w:pPr>
      <w:r>
        <w:rPr>
          <w:lang w:val="en-US"/>
        </w:rPr>
        <w:t>Case by case fees for public enquiries.</w:t>
      </w:r>
    </w:p>
    <w:p w:rsidR="001A641D" w:rsidRDefault="007E5C0A" w:rsidP="001A641D">
      <w:pPr>
        <w:rPr>
          <w:lang w:val="en-US"/>
        </w:rPr>
      </w:pPr>
      <w:r>
        <w:rPr>
          <w:lang w:val="en-US"/>
        </w:rPr>
        <w:t xml:space="preserve">Set fees are payable before the activity they relate to commences. Base and complexity fees are spread in instalments across a number of stages of the assessment process. Each fee instalment reflects </w:t>
      </w:r>
      <w:r w:rsidRPr="00FC12C4">
        <w:rPr>
          <w:lang w:val="en-US"/>
        </w:rPr>
        <w:t xml:space="preserve">the proportion of </w:t>
      </w:r>
      <w:r>
        <w:rPr>
          <w:lang w:val="en-US"/>
        </w:rPr>
        <w:t>cost and regulatory effort required at that</w:t>
      </w:r>
      <w:r w:rsidRPr="00FC12C4">
        <w:rPr>
          <w:lang w:val="en-US"/>
        </w:rPr>
        <w:t xml:space="preserve"> stage of the assessment.</w:t>
      </w:r>
      <w:r>
        <w:rPr>
          <w:lang w:val="en-US"/>
        </w:rPr>
        <w:t xml:space="preserve"> </w:t>
      </w:r>
      <w:r w:rsidRPr="00FC12C4">
        <w:rPr>
          <w:lang w:val="en-US"/>
        </w:rPr>
        <w:t xml:space="preserve">The fee </w:t>
      </w:r>
      <w:r>
        <w:rPr>
          <w:lang w:val="en-US"/>
        </w:rPr>
        <w:t>is</w:t>
      </w:r>
      <w:r w:rsidRPr="00FC12C4">
        <w:rPr>
          <w:lang w:val="en-US"/>
        </w:rPr>
        <w:t xml:space="preserve"> payable prior to </w:t>
      </w:r>
      <w:r>
        <w:rPr>
          <w:lang w:val="en-US"/>
        </w:rPr>
        <w:t>the relevant stage of assessment</w:t>
      </w:r>
      <w:r w:rsidRPr="00FC12C4">
        <w:rPr>
          <w:lang w:val="en-US"/>
        </w:rPr>
        <w:t xml:space="preserve"> commencing. </w:t>
      </w:r>
      <w:r>
        <w:rPr>
          <w:lang w:val="en-US"/>
        </w:rPr>
        <w:t xml:space="preserve">Case by case fees will be agreed with applicants prior to the activity commencing. Further information is provided on each of the fee types in the relevant </w:t>
      </w:r>
      <w:r w:rsidRPr="00AF783B">
        <w:rPr>
          <w:lang w:val="en-US"/>
        </w:rPr>
        <w:t>sections below.</w:t>
      </w:r>
    </w:p>
    <w:p w:rsidR="001A641D" w:rsidRPr="00DA3D23" w:rsidRDefault="007E5C0A" w:rsidP="001A641D">
      <w:pPr>
        <w:pStyle w:val="Heading3"/>
        <w:ind w:left="0" w:firstLine="0"/>
      </w:pPr>
      <w:bookmarkStart w:id="1328" w:name="_Toc256000352"/>
      <w:bookmarkStart w:id="1329" w:name="_Toc256000244"/>
      <w:bookmarkStart w:id="1330" w:name="_Toc256000136"/>
      <w:bookmarkStart w:id="1331" w:name="_Toc256000028"/>
      <w:bookmarkStart w:id="1332" w:name="_Toc458170532"/>
      <w:r w:rsidRPr="00DA3D23">
        <w:t>Set fees</w:t>
      </w:r>
      <w:bookmarkEnd w:id="1328"/>
      <w:bookmarkEnd w:id="1329"/>
      <w:bookmarkEnd w:id="1330"/>
      <w:bookmarkEnd w:id="1331"/>
      <w:bookmarkEnd w:id="1332"/>
    </w:p>
    <w:p w:rsidR="001A641D" w:rsidRDefault="007E5C0A">
      <w:pPr>
        <w:pStyle w:val="Heading4"/>
        <w:rPr>
          <w:lang w:val="en-US"/>
        </w:rPr>
      </w:pPr>
      <w:r>
        <w:rPr>
          <w:lang w:val="en-US"/>
        </w:rPr>
        <w:t xml:space="preserve">Fees for </w:t>
      </w:r>
      <w:r w:rsidRPr="006F2E02">
        <w:rPr>
          <w:lang w:val="en-US"/>
        </w:rPr>
        <w:t>Referrals</w:t>
      </w:r>
    </w:p>
    <w:p w:rsidR="001A641D" w:rsidRDefault="007E5C0A" w:rsidP="001A641D">
      <w:pPr>
        <w:rPr>
          <w:lang w:val="en-US"/>
        </w:rPr>
      </w:pPr>
      <w:r>
        <w:rPr>
          <w:lang w:val="en-US"/>
        </w:rPr>
        <w:t>Applicants pay a fixed fee for r</w:t>
      </w:r>
      <w:r w:rsidRPr="00FC12C4">
        <w:rPr>
          <w:lang w:val="en-US"/>
        </w:rPr>
        <w:t xml:space="preserve">eferrals based on the </w:t>
      </w:r>
      <w:r>
        <w:rPr>
          <w:lang w:val="en-US"/>
        </w:rPr>
        <w:t>amount</w:t>
      </w:r>
      <w:r w:rsidRPr="00FC12C4">
        <w:rPr>
          <w:lang w:val="en-US"/>
        </w:rPr>
        <w:t xml:space="preserve"> of work that is required </w:t>
      </w:r>
      <w:r>
        <w:rPr>
          <w:lang w:val="en-US"/>
        </w:rPr>
        <w:t>for the Minister to meet</w:t>
      </w:r>
      <w:r w:rsidRPr="00FC12C4">
        <w:rPr>
          <w:lang w:val="en-US"/>
        </w:rPr>
        <w:t xml:space="preserve"> the </w:t>
      </w:r>
      <w:r w:rsidRPr="001555F8">
        <w:rPr>
          <w:lang w:val="en-US"/>
        </w:rPr>
        <w:t>20 day statutory timeframe</w:t>
      </w:r>
      <w:r>
        <w:rPr>
          <w:lang w:val="en-US"/>
        </w:rPr>
        <w:t xml:space="preserve"> for making a controlled action decision</w:t>
      </w:r>
      <w:r w:rsidRPr="001555F8">
        <w:rPr>
          <w:lang w:val="en-US"/>
        </w:rPr>
        <w:t xml:space="preserve">. </w:t>
      </w:r>
      <w:r>
        <w:rPr>
          <w:lang w:val="en-US"/>
        </w:rPr>
        <w:t>The applicant must pay t</w:t>
      </w:r>
      <w:r w:rsidRPr="001555F8">
        <w:rPr>
          <w:lang w:val="en-US"/>
        </w:rPr>
        <w:t xml:space="preserve">he </w:t>
      </w:r>
      <w:r>
        <w:rPr>
          <w:lang w:val="en-US"/>
        </w:rPr>
        <w:t>fixed</w:t>
      </w:r>
      <w:r w:rsidRPr="001555F8">
        <w:rPr>
          <w:lang w:val="en-US"/>
        </w:rPr>
        <w:t xml:space="preserve"> referral </w:t>
      </w:r>
      <w:r w:rsidRPr="005F55EB">
        <w:rPr>
          <w:lang w:val="en-US"/>
        </w:rPr>
        <w:t>fee of $</w:t>
      </w:r>
      <w:r>
        <w:rPr>
          <w:lang w:val="en-US"/>
        </w:rPr>
        <w:t>6,577</w:t>
      </w:r>
      <w:r w:rsidRPr="005F55EB">
        <w:rPr>
          <w:lang w:val="en-US"/>
        </w:rPr>
        <w:t xml:space="preserve"> </w:t>
      </w:r>
      <w:r w:rsidRPr="001555F8">
        <w:rPr>
          <w:lang w:val="en-US"/>
        </w:rPr>
        <w:t xml:space="preserve">prior to the </w:t>
      </w:r>
      <w:r>
        <w:rPr>
          <w:lang w:val="en-US"/>
        </w:rPr>
        <w:t>D</w:t>
      </w:r>
      <w:r w:rsidRPr="001555F8">
        <w:rPr>
          <w:lang w:val="en-US"/>
        </w:rPr>
        <w:t xml:space="preserve">epartment commencing </w:t>
      </w:r>
      <w:r>
        <w:rPr>
          <w:lang w:val="en-US"/>
        </w:rPr>
        <w:t>consideration</w:t>
      </w:r>
      <w:r w:rsidRPr="001555F8">
        <w:rPr>
          <w:lang w:val="en-US"/>
        </w:rPr>
        <w:t xml:space="preserve"> of the referral, and </w:t>
      </w:r>
      <w:r>
        <w:rPr>
          <w:lang w:val="en-US"/>
        </w:rPr>
        <w:t xml:space="preserve">this </w:t>
      </w:r>
      <w:r w:rsidRPr="001555F8">
        <w:rPr>
          <w:lang w:val="en-US"/>
        </w:rPr>
        <w:t xml:space="preserve">will not vary </w:t>
      </w:r>
      <w:r>
        <w:rPr>
          <w:lang w:val="en-US"/>
        </w:rPr>
        <w:t xml:space="preserve">based on the outcome </w:t>
      </w:r>
      <w:r w:rsidRPr="001555F8">
        <w:rPr>
          <w:lang w:val="en-US"/>
        </w:rPr>
        <w:t>(</w:t>
      </w:r>
      <w:r>
        <w:rPr>
          <w:lang w:val="en-US"/>
        </w:rPr>
        <w:t xml:space="preserve">i.e.: </w:t>
      </w:r>
      <w:r w:rsidRPr="001555F8">
        <w:rPr>
          <w:lang w:val="en-US"/>
        </w:rPr>
        <w:t>not controlled action</w:t>
      </w:r>
      <w:r>
        <w:rPr>
          <w:lang w:val="en-US"/>
        </w:rPr>
        <w:t>,</w:t>
      </w:r>
      <w:r w:rsidRPr="001555F8">
        <w:rPr>
          <w:lang w:val="en-US"/>
        </w:rPr>
        <w:t xml:space="preserve"> not control</w:t>
      </w:r>
      <w:r>
        <w:rPr>
          <w:lang w:val="en-US"/>
        </w:rPr>
        <w:t xml:space="preserve">led action ‘particular manner’, </w:t>
      </w:r>
      <w:r w:rsidRPr="001555F8">
        <w:rPr>
          <w:lang w:val="en-US"/>
        </w:rPr>
        <w:t>controlled action</w:t>
      </w:r>
      <w:r>
        <w:rPr>
          <w:lang w:val="en-US"/>
        </w:rPr>
        <w:t xml:space="preserve"> </w:t>
      </w:r>
      <w:r w:rsidRPr="001555F8">
        <w:rPr>
          <w:lang w:val="en-US"/>
        </w:rPr>
        <w:t>or</w:t>
      </w:r>
      <w:r>
        <w:rPr>
          <w:lang w:val="en-US"/>
        </w:rPr>
        <w:t xml:space="preserve"> decision that an</w:t>
      </w:r>
      <w:r w:rsidRPr="001555F8">
        <w:rPr>
          <w:lang w:val="en-US"/>
        </w:rPr>
        <w:t xml:space="preserve"> action is clearly unacceptable), because the </w:t>
      </w:r>
      <w:r>
        <w:rPr>
          <w:lang w:val="en-US"/>
        </w:rPr>
        <w:t>Department undertakes the same amount of work regardless of the final decision</w:t>
      </w:r>
      <w:r w:rsidRPr="001555F8">
        <w:rPr>
          <w:lang w:val="en-US"/>
        </w:rPr>
        <w:t>. There</w:t>
      </w:r>
      <w:r w:rsidRPr="00FC12C4">
        <w:rPr>
          <w:lang w:val="en-US"/>
        </w:rPr>
        <w:t xml:space="preserve"> </w:t>
      </w:r>
      <w:r>
        <w:rPr>
          <w:lang w:val="en-US"/>
        </w:rPr>
        <w:t>are</w:t>
      </w:r>
      <w:r w:rsidRPr="00FC12C4">
        <w:rPr>
          <w:lang w:val="en-US"/>
        </w:rPr>
        <w:t xml:space="preserve"> no additional </w:t>
      </w:r>
      <w:r>
        <w:rPr>
          <w:lang w:val="en-US"/>
        </w:rPr>
        <w:t xml:space="preserve">complexity </w:t>
      </w:r>
      <w:r w:rsidRPr="00FC12C4">
        <w:rPr>
          <w:lang w:val="en-US"/>
        </w:rPr>
        <w:t>fee</w:t>
      </w:r>
      <w:r>
        <w:rPr>
          <w:lang w:val="en-US"/>
        </w:rPr>
        <w:t>s for referrals</w:t>
      </w:r>
      <w:r w:rsidRPr="00FC12C4">
        <w:rPr>
          <w:lang w:val="en-US"/>
        </w:rPr>
        <w:t xml:space="preserve">. </w:t>
      </w:r>
    </w:p>
    <w:p w:rsidR="001A641D" w:rsidRDefault="007E5C0A">
      <w:pPr>
        <w:pStyle w:val="Heading4"/>
        <w:rPr>
          <w:lang w:val="en-US"/>
        </w:rPr>
      </w:pPr>
      <w:bookmarkStart w:id="1333" w:name="_Ref457992829"/>
      <w:r>
        <w:rPr>
          <w:lang w:val="en-US"/>
        </w:rPr>
        <w:t>Fees for evaluation of action management plans post approval</w:t>
      </w:r>
      <w:bookmarkEnd w:id="1333"/>
    </w:p>
    <w:p w:rsidR="001A641D" w:rsidRPr="0055135C" w:rsidRDefault="007E5C0A" w:rsidP="001A641D">
      <w:pPr>
        <w:rPr>
          <w:lang w:val="en-US"/>
        </w:rPr>
      </w:pPr>
      <w:r>
        <w:rPr>
          <w:lang w:val="en-US"/>
        </w:rPr>
        <w:t xml:space="preserve">Applicants pay a fixed fee for the evaluation of action management plans. The applicant must pay the </w:t>
      </w:r>
      <w:r w:rsidRPr="00B04D61">
        <w:rPr>
          <w:lang w:val="en-US"/>
        </w:rPr>
        <w:t xml:space="preserve">fixed fee of $2,690 prior to the Department commencing evaluation </w:t>
      </w:r>
      <w:r>
        <w:rPr>
          <w:lang w:val="en-US"/>
        </w:rPr>
        <w:t xml:space="preserve">of the action management plan. The fee for evaluating an action management plan </w:t>
      </w:r>
      <w:r w:rsidRPr="00B04D61">
        <w:rPr>
          <w:rFonts w:cs="Arial"/>
          <w:lang w:val="en-US"/>
        </w:rPr>
        <w:t xml:space="preserve">is only applicable when the </w:t>
      </w:r>
      <w:r>
        <w:rPr>
          <w:rFonts w:cs="Arial"/>
          <w:lang w:val="en-US"/>
        </w:rPr>
        <w:t>person proposing the action</w:t>
      </w:r>
      <w:r w:rsidRPr="00B04D61">
        <w:rPr>
          <w:rFonts w:cs="Arial"/>
          <w:lang w:val="en-US"/>
        </w:rPr>
        <w:t xml:space="preserve"> has elected</w:t>
      </w:r>
      <w:r>
        <w:rPr>
          <w:rFonts w:cs="Arial"/>
          <w:lang w:val="en-US"/>
        </w:rPr>
        <w:t xml:space="preserve"> under section 132 of the Act</w:t>
      </w:r>
      <w:r w:rsidRPr="00B04D61">
        <w:rPr>
          <w:rFonts w:cs="Arial"/>
          <w:lang w:val="en-US"/>
        </w:rPr>
        <w:t xml:space="preserve"> to provide a</w:t>
      </w:r>
      <w:r>
        <w:rPr>
          <w:rFonts w:cs="Arial"/>
          <w:lang w:val="en-US"/>
        </w:rPr>
        <w:t>n action</w:t>
      </w:r>
      <w:r w:rsidRPr="00B04D61">
        <w:rPr>
          <w:rFonts w:cs="Arial"/>
          <w:lang w:val="en-US"/>
        </w:rPr>
        <w:t xml:space="preserve"> management plan for the consideration of the Minister</w:t>
      </w:r>
      <w:r>
        <w:rPr>
          <w:rFonts w:cs="Arial"/>
          <w:lang w:val="en-US"/>
        </w:rPr>
        <w:t xml:space="preserve"> post approval (see </w:t>
      </w:r>
      <w:r w:rsidRPr="00DD7C8D">
        <w:rPr>
          <w:rFonts w:cs="Arial"/>
          <w:lang w:val="en-US"/>
        </w:rPr>
        <w:t xml:space="preserve">section </w:t>
      </w:r>
      <w:r w:rsidR="00FF3730">
        <w:fldChar w:fldCharType="begin"/>
      </w:r>
      <w:r w:rsidR="00FF3730">
        <w:instrText xml:space="preserve"> REF _Ref457992668 \r \h  \* MERG</w:instrText>
      </w:r>
      <w:r w:rsidR="00FF3730">
        <w:instrText xml:space="preserve">EFORMAT </w:instrText>
      </w:r>
      <w:r w:rsidR="00FF3730">
        <w:fldChar w:fldCharType="separate"/>
      </w:r>
      <w:r w:rsidR="00FF3730" w:rsidRPr="00FF3730">
        <w:rPr>
          <w:rFonts w:cs="Arial"/>
          <w:lang w:val="en-US"/>
        </w:rPr>
        <w:t>3.1.1.5</w:t>
      </w:r>
      <w:r w:rsidR="00FF3730">
        <w:fldChar w:fldCharType="end"/>
      </w:r>
      <w:r w:rsidRPr="00DD7C8D">
        <w:rPr>
          <w:rFonts w:cs="Arial"/>
          <w:lang w:val="en-US"/>
        </w:rPr>
        <w:t>).</w:t>
      </w:r>
    </w:p>
    <w:p w:rsidR="001A641D" w:rsidRDefault="007E5C0A">
      <w:pPr>
        <w:pStyle w:val="Heading4"/>
        <w:rPr>
          <w:lang w:val="en-US"/>
        </w:rPr>
      </w:pPr>
      <w:bookmarkStart w:id="1334" w:name="_Ref457992822"/>
      <w:r>
        <w:t xml:space="preserve">Fees for </w:t>
      </w:r>
      <w:r>
        <w:rPr>
          <w:lang w:val="en-US"/>
        </w:rPr>
        <w:t>Contingent activities</w:t>
      </w:r>
      <w:bookmarkEnd w:id="1334"/>
    </w:p>
    <w:p w:rsidR="001A641D" w:rsidRDefault="007E5C0A" w:rsidP="001A641D">
      <w:pPr>
        <w:rPr>
          <w:lang w:val="en-US"/>
        </w:rPr>
      </w:pPr>
      <w:r>
        <w:rPr>
          <w:lang w:val="en-US"/>
        </w:rPr>
        <w:t>C</w:t>
      </w:r>
      <w:r w:rsidRPr="00FC12C4">
        <w:rPr>
          <w:lang w:val="en-US"/>
        </w:rPr>
        <w:t>ontingent fees must be paid prior to the commencement of the related work.</w:t>
      </w:r>
      <w:r>
        <w:rPr>
          <w:lang w:val="en-US"/>
        </w:rPr>
        <w:t xml:space="preserve"> These fees will not be included in the fee schedule at the time of the assessment approach decision</w:t>
      </w:r>
      <w:r w:rsidRPr="00FC12C4">
        <w:rPr>
          <w:lang w:val="en-US"/>
        </w:rPr>
        <w:t>,</w:t>
      </w:r>
      <w:r>
        <w:rPr>
          <w:lang w:val="en-US"/>
        </w:rPr>
        <w:t xml:space="preserve"> as the requirement for them arises only for some projects (usually at the request of the applicant) and cannot be determined in advance. Contingent fees apply to the activities outlined </w:t>
      </w:r>
      <w:r w:rsidRPr="000523CF">
        <w:rPr>
          <w:lang w:val="en-US"/>
        </w:rPr>
        <w:t>in section </w:t>
      </w:r>
      <w:r w:rsidR="00FF3730">
        <w:fldChar w:fldCharType="begin"/>
      </w:r>
      <w:r w:rsidR="00FF3730">
        <w:instrText xml:space="preserve"> REF _Ref458075301 \r </w:instrText>
      </w:r>
      <w:r w:rsidR="00FF3730">
        <w:instrText xml:space="preserve">\h  \* MERGEFORMAT </w:instrText>
      </w:r>
      <w:r w:rsidR="00FF3730">
        <w:fldChar w:fldCharType="separate"/>
      </w:r>
      <w:r w:rsidR="00FF3730" w:rsidRPr="00FF3730">
        <w:rPr>
          <w:lang w:val="en-US"/>
        </w:rPr>
        <w:t>3.2.4</w:t>
      </w:r>
      <w:r w:rsidR="00FF3730">
        <w:fldChar w:fldCharType="end"/>
      </w:r>
      <w:r>
        <w:rPr>
          <w:lang w:val="en-US"/>
        </w:rPr>
        <w:t xml:space="preserve"> and the fees for each of the contingent activities are shown in the schedule of fees </w:t>
      </w:r>
      <w:r w:rsidRPr="000523CF">
        <w:rPr>
          <w:lang w:val="en-US"/>
        </w:rPr>
        <w:t xml:space="preserve">at </w:t>
      </w:r>
      <w:r w:rsidRPr="000523CF">
        <w:t>Appendix A</w:t>
      </w:r>
      <w:r w:rsidRPr="000523CF">
        <w:rPr>
          <w:lang w:val="en-US"/>
        </w:rPr>
        <w:t>.</w:t>
      </w:r>
    </w:p>
    <w:p w:rsidR="001A641D" w:rsidRPr="00BC7E11" w:rsidRDefault="007E5C0A" w:rsidP="001A641D">
      <w:pPr>
        <w:keepNext/>
        <w:rPr>
          <w:u w:val="single"/>
          <w:lang w:val="en-US"/>
        </w:rPr>
      </w:pPr>
      <w:r>
        <w:rPr>
          <w:u w:val="single"/>
          <w:lang w:val="en-US"/>
        </w:rPr>
        <w:t>Contingent fees for r</w:t>
      </w:r>
      <w:r w:rsidRPr="00BC7E11">
        <w:rPr>
          <w:u w:val="single"/>
          <w:lang w:val="en-US"/>
        </w:rPr>
        <w:t>equesting additional information</w:t>
      </w:r>
    </w:p>
    <w:p w:rsidR="001A641D" w:rsidRDefault="007E5C0A" w:rsidP="001A641D">
      <w:pPr>
        <w:keepLines/>
        <w:rPr>
          <w:lang w:val="en-US"/>
        </w:rPr>
      </w:pPr>
      <w:r>
        <w:rPr>
          <w:lang w:val="en-US"/>
        </w:rPr>
        <w:t>There are a number of different contingent fees associated with requesting additional information, where insufficient information is available to make a decision. Contingent fees for requesting for additional information are</w:t>
      </w:r>
      <w:r w:rsidRPr="000A1897">
        <w:rPr>
          <w:lang w:val="en-US"/>
        </w:rPr>
        <w:t xml:space="preserve"> applicable for</w:t>
      </w:r>
      <w:r>
        <w:rPr>
          <w:lang w:val="en-US"/>
        </w:rPr>
        <w:t>:</w:t>
      </w:r>
    </w:p>
    <w:p w:rsidR="001A641D" w:rsidRDefault="007E5C0A" w:rsidP="001A641D">
      <w:pPr>
        <w:pStyle w:val="ListParagraph"/>
        <w:numPr>
          <w:ilvl w:val="0"/>
          <w:numId w:val="14"/>
        </w:numPr>
        <w:rPr>
          <w:lang w:val="en-US"/>
        </w:rPr>
      </w:pPr>
      <w:r w:rsidRPr="00585BB4">
        <w:rPr>
          <w:lang w:val="en-US"/>
        </w:rPr>
        <w:t>requests made under section 76 where the Minister requires more information to make a referral decis</w:t>
      </w:r>
      <w:r>
        <w:rPr>
          <w:lang w:val="en-US"/>
        </w:rPr>
        <w:t>ion ($1,701);</w:t>
      </w:r>
    </w:p>
    <w:p w:rsidR="001A641D" w:rsidRDefault="007E5C0A" w:rsidP="001A641D">
      <w:pPr>
        <w:pStyle w:val="ListParagraph"/>
        <w:numPr>
          <w:ilvl w:val="0"/>
          <w:numId w:val="14"/>
        </w:numPr>
        <w:rPr>
          <w:lang w:val="en-US"/>
        </w:rPr>
      </w:pPr>
      <w:r>
        <w:rPr>
          <w:lang w:val="en-US"/>
        </w:rPr>
        <w:t xml:space="preserve">requests made </w:t>
      </w:r>
      <w:r w:rsidRPr="00585BB4">
        <w:rPr>
          <w:lang w:val="en-US"/>
        </w:rPr>
        <w:t>under section 89 where the Minister requires more information to make an assessment approach decision</w:t>
      </w:r>
      <w:r>
        <w:rPr>
          <w:lang w:val="en-US"/>
        </w:rPr>
        <w:t xml:space="preserve"> ($1,701);</w:t>
      </w:r>
      <w:r w:rsidRPr="00585BB4">
        <w:rPr>
          <w:lang w:val="en-US"/>
        </w:rPr>
        <w:t xml:space="preserve"> or </w:t>
      </w:r>
    </w:p>
    <w:p w:rsidR="001A641D" w:rsidRPr="00585BB4" w:rsidRDefault="007E5C0A" w:rsidP="001A641D">
      <w:pPr>
        <w:pStyle w:val="ListParagraph"/>
        <w:numPr>
          <w:ilvl w:val="0"/>
          <w:numId w:val="14"/>
        </w:numPr>
        <w:rPr>
          <w:lang w:val="en-US"/>
        </w:rPr>
      </w:pPr>
      <w:r>
        <w:rPr>
          <w:lang w:val="en-US"/>
        </w:rPr>
        <w:t xml:space="preserve">requests made </w:t>
      </w:r>
      <w:r w:rsidRPr="00585BB4">
        <w:rPr>
          <w:lang w:val="en-US"/>
        </w:rPr>
        <w:t xml:space="preserve">under section 132 </w:t>
      </w:r>
      <w:r>
        <w:rPr>
          <w:lang w:val="en-US"/>
        </w:rPr>
        <w:t xml:space="preserve">or section 134(3D) </w:t>
      </w:r>
      <w:r w:rsidRPr="00585BB4">
        <w:rPr>
          <w:lang w:val="en-US"/>
        </w:rPr>
        <w:t>where the Minister requires more information to make an approval decision</w:t>
      </w:r>
      <w:r>
        <w:rPr>
          <w:lang w:val="en-US"/>
        </w:rPr>
        <w:t xml:space="preserve"> ($1,701 where the assessment was undertaken on referral information, preliminary documentation or under a bilateral agreement or accredited process; $7,476 where the assessment was undertaken by public environment report or environmental impact statement).</w:t>
      </w:r>
      <w:r w:rsidRPr="00585BB4">
        <w:rPr>
          <w:lang w:val="en-US"/>
        </w:rPr>
        <w:t xml:space="preserve"> </w:t>
      </w:r>
    </w:p>
    <w:p w:rsidR="001A641D" w:rsidRDefault="007E5C0A" w:rsidP="001A641D">
      <w:pPr>
        <w:rPr>
          <w:lang w:val="en-US"/>
        </w:rPr>
      </w:pPr>
      <w:r>
        <w:rPr>
          <w:lang w:val="en-US"/>
        </w:rPr>
        <w:t>There are no contingent fees for requesting additional information during the preparation of the assessment documentation, as this is factored into the complexity fees. Contingent fees are also not applicable when:</w:t>
      </w:r>
    </w:p>
    <w:p w:rsidR="001A641D" w:rsidRDefault="007E5C0A" w:rsidP="001A641D">
      <w:pPr>
        <w:pStyle w:val="ListParagraph"/>
        <w:numPr>
          <w:ilvl w:val="0"/>
          <w:numId w:val="18"/>
        </w:numPr>
        <w:rPr>
          <w:lang w:val="en-US"/>
        </w:rPr>
      </w:pPr>
      <w:r w:rsidRPr="00BC7E11">
        <w:rPr>
          <w:lang w:val="en-US"/>
        </w:rPr>
        <w:t>requesting additional information to make an assessment approach decision, where that additional information relates to how the proposal will be assessed under state legislation</w:t>
      </w:r>
      <w:r>
        <w:rPr>
          <w:lang w:val="en-US"/>
        </w:rPr>
        <w:t>; or</w:t>
      </w:r>
    </w:p>
    <w:p w:rsidR="001A641D" w:rsidRPr="00BC7E11" w:rsidRDefault="007E5C0A" w:rsidP="001A641D">
      <w:pPr>
        <w:pStyle w:val="ListParagraph"/>
        <w:numPr>
          <w:ilvl w:val="0"/>
          <w:numId w:val="18"/>
        </w:numPr>
        <w:rPr>
          <w:lang w:val="en-US"/>
        </w:rPr>
      </w:pPr>
      <w:r>
        <w:rPr>
          <w:lang w:val="en-US"/>
        </w:rPr>
        <w:t>the Minister requests additional information from a third party instead of the person proposing the action or the proponent.</w:t>
      </w:r>
    </w:p>
    <w:p w:rsidR="001A641D" w:rsidRPr="00BC7E11" w:rsidRDefault="007E5C0A" w:rsidP="001A641D">
      <w:pPr>
        <w:rPr>
          <w:u w:val="single"/>
          <w:lang w:val="en-US"/>
        </w:rPr>
      </w:pPr>
      <w:r>
        <w:rPr>
          <w:u w:val="single"/>
          <w:lang w:val="en-US"/>
        </w:rPr>
        <w:t>Contingent fees for reconsideration</w:t>
      </w:r>
      <w:r w:rsidRPr="00BC7E11">
        <w:rPr>
          <w:u w:val="single"/>
          <w:lang w:val="en-US"/>
        </w:rPr>
        <w:t xml:space="preserve"> of controlled action decisions</w:t>
      </w:r>
    </w:p>
    <w:p w:rsidR="001A641D" w:rsidRDefault="007E5C0A" w:rsidP="001A641D">
      <w:pPr>
        <w:rPr>
          <w:lang w:val="en-US"/>
        </w:rPr>
      </w:pPr>
      <w:r>
        <w:rPr>
          <w:lang w:val="en-US"/>
        </w:rPr>
        <w:t>The contingent fee of $6,577 for reconsideration of the controlled action decision is only payable where this request is made by the applicant. If a reconsideration is requested by a third party, no fee is payable. In either case, i</w:t>
      </w:r>
      <w:r w:rsidRPr="000A1897">
        <w:rPr>
          <w:lang w:val="en-US"/>
        </w:rPr>
        <w:t xml:space="preserve">f the reconsideration results in a change to the original </w:t>
      </w:r>
      <w:r>
        <w:rPr>
          <w:lang w:val="en-US"/>
        </w:rPr>
        <w:t>controlled action</w:t>
      </w:r>
      <w:r w:rsidRPr="000A1897">
        <w:rPr>
          <w:lang w:val="en-US"/>
        </w:rPr>
        <w:t xml:space="preserve"> decision then fees will be revised</w:t>
      </w:r>
      <w:r>
        <w:rPr>
          <w:lang w:val="en-US"/>
        </w:rPr>
        <w:t xml:space="preserve"> accordingly</w:t>
      </w:r>
      <w:r w:rsidRPr="000A1897">
        <w:rPr>
          <w:lang w:val="en-US"/>
        </w:rPr>
        <w:t xml:space="preserve">, and an updated fee schedule will be provided to the </w:t>
      </w:r>
      <w:r>
        <w:rPr>
          <w:lang w:val="en-US"/>
        </w:rPr>
        <w:t>applicant</w:t>
      </w:r>
      <w:r w:rsidRPr="000A1897">
        <w:rPr>
          <w:lang w:val="en-US"/>
        </w:rPr>
        <w:t xml:space="preserve"> if applicable.</w:t>
      </w:r>
    </w:p>
    <w:p w:rsidR="001A641D" w:rsidRPr="00BC7E11" w:rsidRDefault="007E5C0A" w:rsidP="001A641D">
      <w:pPr>
        <w:rPr>
          <w:u w:val="single"/>
          <w:lang w:val="en-US"/>
        </w:rPr>
      </w:pPr>
      <w:r>
        <w:rPr>
          <w:u w:val="single"/>
          <w:lang w:val="en-US"/>
        </w:rPr>
        <w:t>Contingent fees for v</w:t>
      </w:r>
      <w:r w:rsidRPr="00BC7E11">
        <w:rPr>
          <w:u w:val="single"/>
          <w:lang w:val="en-US"/>
        </w:rPr>
        <w:t>arying action management plans</w:t>
      </w:r>
    </w:p>
    <w:p w:rsidR="001A641D" w:rsidRDefault="007E5C0A" w:rsidP="001A641D">
      <w:pPr>
        <w:rPr>
          <w:lang w:val="en-US"/>
        </w:rPr>
      </w:pPr>
      <w:r>
        <w:rPr>
          <w:lang w:val="en-US"/>
        </w:rPr>
        <w:t xml:space="preserve">There is a contingent fee of $2,690 for the variation of an action management plan and a separate contingent fee of $710 for the administrative variation of an action management plan. These two different fees recognise that in some circumstances, the Department may be requested to approve a minor </w:t>
      </w:r>
      <w:r w:rsidRPr="000523CF">
        <w:rPr>
          <w:lang w:val="en-US"/>
        </w:rPr>
        <w:t xml:space="preserve">‘administrative’ variation of an action management plan, such as a change of a name of an entity (see section </w:t>
      </w:r>
      <w:r w:rsidR="00FF3730">
        <w:fldChar w:fldCharType="begin"/>
      </w:r>
      <w:r w:rsidR="00FF3730">
        <w:instrText xml:space="preserve"> REF _Ref457992668 \r \h  \* MERGEFORMAT </w:instrText>
      </w:r>
      <w:r w:rsidR="00FF3730">
        <w:fldChar w:fldCharType="separate"/>
      </w:r>
      <w:r w:rsidR="00FF3730" w:rsidRPr="00FF3730">
        <w:rPr>
          <w:lang w:val="en-US"/>
        </w:rPr>
        <w:t>3.1.1.5</w:t>
      </w:r>
      <w:r w:rsidR="00FF3730">
        <w:fldChar w:fldCharType="end"/>
      </w:r>
      <w:r w:rsidRPr="000523CF">
        <w:rPr>
          <w:lang w:val="en-US"/>
        </w:rPr>
        <w:t>). This will</w:t>
      </w:r>
      <w:r>
        <w:rPr>
          <w:lang w:val="en-US"/>
        </w:rPr>
        <w:t xml:space="preserve"> require less work by the Department, and in such scenario it is appropriate to charge a reduced fee for such work. Where both substantive and administrative changes are requested in the same variation, only the substantive variation fee is charged.</w:t>
      </w:r>
    </w:p>
    <w:p w:rsidR="001A641D" w:rsidRDefault="007E5C0A">
      <w:pPr>
        <w:spacing w:after="0" w:line="240" w:lineRule="auto"/>
        <w:rPr>
          <w:rFonts w:cs="Arial"/>
          <w:b/>
          <w:i/>
        </w:rPr>
      </w:pPr>
      <w:bookmarkStart w:id="1335" w:name="_Toc456369117"/>
      <w:bookmarkStart w:id="1336" w:name="_Toc456369798"/>
      <w:bookmarkStart w:id="1337" w:name="_Toc456370475"/>
      <w:bookmarkStart w:id="1338" w:name="_Toc456371152"/>
      <w:bookmarkStart w:id="1339" w:name="_Toc456517166"/>
      <w:bookmarkStart w:id="1340" w:name="_Toc456369118"/>
      <w:bookmarkStart w:id="1341" w:name="_Toc456369799"/>
      <w:bookmarkStart w:id="1342" w:name="_Toc456370476"/>
      <w:bookmarkStart w:id="1343" w:name="_Toc456371153"/>
      <w:bookmarkStart w:id="1344" w:name="_Toc456517167"/>
      <w:bookmarkStart w:id="1345" w:name="_Toc456369119"/>
      <w:bookmarkStart w:id="1346" w:name="_Toc456369800"/>
      <w:bookmarkStart w:id="1347" w:name="_Toc456370477"/>
      <w:bookmarkStart w:id="1348" w:name="_Toc456371154"/>
      <w:bookmarkStart w:id="1349" w:name="_Toc456517168"/>
      <w:bookmarkStart w:id="1350" w:name="_Toc456369120"/>
      <w:bookmarkStart w:id="1351" w:name="_Toc456369801"/>
      <w:bookmarkStart w:id="1352" w:name="_Toc456370478"/>
      <w:bookmarkStart w:id="1353" w:name="_Toc456371155"/>
      <w:bookmarkStart w:id="1354" w:name="_Toc456517169"/>
      <w:bookmarkStart w:id="1355" w:name="_Toc456369121"/>
      <w:bookmarkStart w:id="1356" w:name="_Toc456369802"/>
      <w:bookmarkStart w:id="1357" w:name="_Toc456370479"/>
      <w:bookmarkStart w:id="1358" w:name="_Toc456371156"/>
      <w:bookmarkStart w:id="1359" w:name="_Toc456517170"/>
      <w:bookmarkStart w:id="1360" w:name="_Toc456369122"/>
      <w:bookmarkStart w:id="1361" w:name="_Toc456369803"/>
      <w:bookmarkStart w:id="1362" w:name="_Toc456370480"/>
      <w:bookmarkStart w:id="1363" w:name="_Toc456371157"/>
      <w:bookmarkStart w:id="1364" w:name="_Toc456517171"/>
      <w:bookmarkStart w:id="1365" w:name="_Toc456369123"/>
      <w:bookmarkStart w:id="1366" w:name="_Toc456369804"/>
      <w:bookmarkStart w:id="1367" w:name="_Toc456370481"/>
      <w:bookmarkStart w:id="1368" w:name="_Toc456371158"/>
      <w:bookmarkStart w:id="1369" w:name="_Toc456517172"/>
      <w:bookmarkStart w:id="1370" w:name="_Toc456369124"/>
      <w:bookmarkStart w:id="1371" w:name="_Toc456369805"/>
      <w:bookmarkStart w:id="1372" w:name="_Toc456370482"/>
      <w:bookmarkStart w:id="1373" w:name="_Toc456371159"/>
      <w:bookmarkStart w:id="1374" w:name="_Toc456517173"/>
      <w:bookmarkStart w:id="1375" w:name="_Toc456369125"/>
      <w:bookmarkStart w:id="1376" w:name="_Toc456369806"/>
      <w:bookmarkStart w:id="1377" w:name="_Toc456370483"/>
      <w:bookmarkStart w:id="1378" w:name="_Toc456371160"/>
      <w:bookmarkStart w:id="1379" w:name="_Toc456517174"/>
      <w:bookmarkStart w:id="1380" w:name="_Toc456369159"/>
      <w:bookmarkStart w:id="1381" w:name="_Toc387069813"/>
      <w:bookmarkStart w:id="1382" w:name="_Toc387073275"/>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r>
        <w:br w:type="page"/>
      </w:r>
    </w:p>
    <w:p w:rsidR="001A641D" w:rsidRDefault="007E5C0A" w:rsidP="001A641D">
      <w:pPr>
        <w:pStyle w:val="Heading3"/>
        <w:ind w:left="0" w:firstLine="0"/>
      </w:pPr>
      <w:bookmarkStart w:id="1383" w:name="_Toc256000353"/>
      <w:bookmarkStart w:id="1384" w:name="_Toc256000245"/>
      <w:bookmarkStart w:id="1385" w:name="_Toc256000137"/>
      <w:bookmarkStart w:id="1386" w:name="_Toc256000029"/>
      <w:bookmarkStart w:id="1387" w:name="_Toc458170533"/>
      <w:r>
        <w:t>Fees for assessments</w:t>
      </w:r>
      <w:bookmarkEnd w:id="1383"/>
      <w:bookmarkEnd w:id="1384"/>
      <w:bookmarkEnd w:id="1385"/>
      <w:bookmarkEnd w:id="1386"/>
      <w:bookmarkEnd w:id="1387"/>
    </w:p>
    <w:p w:rsidR="001A641D" w:rsidRDefault="007E5C0A" w:rsidP="001A641D">
      <w:r w:rsidRPr="007E66B0">
        <w:t>The to</w:t>
      </w:r>
      <w:r>
        <w:t xml:space="preserve">tal fees for an assessment include the base fee for the relevant assessment method plus the relevant </w:t>
      </w:r>
      <w:r w:rsidRPr="000523CF">
        <w:t>complexity fees (</w:t>
      </w:r>
      <w:r w:rsidR="00FF3730">
        <w:fldChar w:fldCharType="begin"/>
      </w:r>
      <w:r w:rsidR="00FF3730">
        <w:instrText xml:space="preserve"> REF _Ref457985377 \h  \* MERGEFORMAT </w:instrText>
      </w:r>
      <w:r w:rsidR="00FF3730">
        <w:fldChar w:fldCharType="separate"/>
      </w:r>
      <w:r w:rsidR="00FF3730">
        <w:t xml:space="preserve">Table </w:t>
      </w:r>
      <w:r w:rsidR="00FF3730">
        <w:rPr>
          <w:noProof/>
        </w:rPr>
        <w:t>10</w:t>
      </w:r>
      <w:r w:rsidR="00FF3730">
        <w:fldChar w:fldCharType="end"/>
      </w:r>
      <w:r w:rsidRPr="000523CF">
        <w:t>).</w:t>
      </w:r>
      <w:r>
        <w:t xml:space="preserve"> </w:t>
      </w:r>
    </w:p>
    <w:p w:rsidR="001A641D" w:rsidRDefault="007E5C0A" w:rsidP="001A641D">
      <w:r w:rsidRPr="001A5216">
        <w:rPr>
          <w:lang w:val="en-US"/>
        </w:rPr>
        <w:t xml:space="preserve">A base </w:t>
      </w:r>
      <w:r>
        <w:rPr>
          <w:lang w:val="en-US"/>
        </w:rPr>
        <w:t>fee</w:t>
      </w:r>
      <w:r w:rsidRPr="001A5216">
        <w:rPr>
          <w:lang w:val="en-US"/>
        </w:rPr>
        <w:t xml:space="preserve"> is applicable for each </w:t>
      </w:r>
      <w:r>
        <w:rPr>
          <w:lang w:val="en-US"/>
        </w:rPr>
        <w:t xml:space="preserve">possible </w:t>
      </w:r>
      <w:r w:rsidRPr="001A5216">
        <w:rPr>
          <w:lang w:val="en-US"/>
        </w:rPr>
        <w:t xml:space="preserve">stage of an environmental impact assessment </w:t>
      </w:r>
      <w:r>
        <w:rPr>
          <w:lang w:val="en-US"/>
        </w:rPr>
        <w:t xml:space="preserve">which could be </w:t>
      </w:r>
      <w:r w:rsidRPr="001A5216">
        <w:rPr>
          <w:lang w:val="en-US"/>
        </w:rPr>
        <w:t xml:space="preserve">undertaken for an individual </w:t>
      </w:r>
      <w:r>
        <w:rPr>
          <w:lang w:val="en-US"/>
        </w:rPr>
        <w:t xml:space="preserve">action. </w:t>
      </w:r>
      <w:r w:rsidRPr="001A5216">
        <w:t xml:space="preserve">Base </w:t>
      </w:r>
      <w:r>
        <w:t>fees</w:t>
      </w:r>
      <w:r w:rsidRPr="001A5216">
        <w:t xml:space="preserve"> for environmenta</w:t>
      </w:r>
      <w:r>
        <w:t>l impact assessment activities,</w:t>
      </w:r>
      <w:r w:rsidRPr="001A5216">
        <w:t xml:space="preserve"> </w:t>
      </w:r>
      <w:r>
        <w:t xml:space="preserve">corresponding to fees </w:t>
      </w:r>
      <w:r w:rsidRPr="001A5216">
        <w:t xml:space="preserve">set out in </w:t>
      </w:r>
      <w:r>
        <w:t>R</w:t>
      </w:r>
      <w:r w:rsidRPr="001A5216">
        <w:t xml:space="preserve">egulations, are outlined </w:t>
      </w:r>
      <w:r w:rsidRPr="000523CF">
        <w:t xml:space="preserve">in </w:t>
      </w:r>
      <w:r w:rsidR="00FF3730">
        <w:fldChar w:fldCharType="begin"/>
      </w:r>
      <w:r w:rsidR="00FF3730">
        <w:instrText xml:space="preserve"> REF _Ref457985377 \h  \* MERGEFORMAT </w:instrText>
      </w:r>
      <w:r w:rsidR="00FF3730">
        <w:fldChar w:fldCharType="separate"/>
      </w:r>
      <w:r w:rsidR="00FF3730">
        <w:t xml:space="preserve">Table </w:t>
      </w:r>
      <w:r w:rsidR="00FF3730">
        <w:rPr>
          <w:noProof/>
        </w:rPr>
        <w:t>10</w:t>
      </w:r>
      <w:r w:rsidR="00FF3730">
        <w:fldChar w:fldCharType="end"/>
      </w:r>
      <w:r w:rsidRPr="000523CF">
        <w:t xml:space="preserve"> below.</w:t>
      </w:r>
      <w:r>
        <w:t xml:space="preserve"> </w:t>
      </w:r>
    </w:p>
    <w:p w:rsidR="001A641D" w:rsidRDefault="007E5C0A" w:rsidP="001A641D">
      <w:pPr>
        <w:pStyle w:val="Caption"/>
        <w:keepNext/>
      </w:pPr>
      <w:bookmarkStart w:id="1388" w:name="_Ref457985377"/>
      <w:bookmarkStart w:id="1389" w:name="_Toc256000419"/>
      <w:bookmarkStart w:id="1390" w:name="_Toc256000311"/>
      <w:bookmarkStart w:id="1391" w:name="_Toc256000203"/>
      <w:bookmarkStart w:id="1392" w:name="_Toc256000095"/>
      <w:bookmarkStart w:id="1393" w:name="_Toc458170598"/>
      <w:r>
        <w:t xml:space="preserve">Table </w:t>
      </w:r>
      <w:r w:rsidR="003366B4">
        <w:fldChar w:fldCharType="begin"/>
      </w:r>
      <w:r>
        <w:instrText xml:space="preserve"> SEQ Table \* ARABIC </w:instrText>
      </w:r>
      <w:r w:rsidR="003366B4">
        <w:fldChar w:fldCharType="separate"/>
      </w:r>
      <w:r w:rsidR="00FF3730">
        <w:rPr>
          <w:noProof/>
        </w:rPr>
        <w:t>10</w:t>
      </w:r>
      <w:r w:rsidR="003366B4">
        <w:rPr>
          <w:noProof/>
        </w:rPr>
        <w:fldChar w:fldCharType="end"/>
      </w:r>
      <w:bookmarkEnd w:id="1388"/>
      <w:r>
        <w:t xml:space="preserve">. </w:t>
      </w:r>
      <w:r w:rsidRPr="00A921B8">
        <w:t>Summary of assessment fees.</w:t>
      </w:r>
      <w:bookmarkEnd w:id="1389"/>
      <w:bookmarkEnd w:id="1390"/>
      <w:bookmarkEnd w:id="1391"/>
      <w:bookmarkEnd w:id="1392"/>
      <w:bookmarkEnd w:id="1393"/>
    </w:p>
    <w:tbl>
      <w:tblPr>
        <w:tblW w:w="964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3691"/>
        <w:gridCol w:w="1276"/>
        <w:gridCol w:w="1984"/>
        <w:gridCol w:w="2693"/>
      </w:tblGrid>
      <w:tr w:rsidR="00397365" w:rsidTr="001A641D">
        <w:trPr>
          <w:trHeight w:val="768"/>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7E66B0">
              <w:rPr>
                <w:b/>
                <w:sz w:val="20"/>
                <w:szCs w:val="20"/>
                <w:lang w:eastAsia="en-AU"/>
              </w:rPr>
              <w:t>Activity</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7E66B0">
              <w:rPr>
                <w:b/>
                <w:sz w:val="20"/>
                <w:szCs w:val="20"/>
                <w:lang w:eastAsia="en-AU"/>
              </w:rPr>
              <w:t>Base fee</w:t>
            </w:r>
          </w:p>
        </w:tc>
        <w:tc>
          <w:tcPr>
            <w:tcW w:w="19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7E66B0">
              <w:rPr>
                <w:b/>
                <w:sz w:val="20"/>
                <w:szCs w:val="20"/>
                <w:lang w:eastAsia="en-AU"/>
              </w:rPr>
              <w:t>Complexity fees</w:t>
            </w:r>
          </w:p>
        </w:tc>
        <w:tc>
          <w:tcPr>
            <w:tcW w:w="26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sidRPr="007E66B0">
              <w:rPr>
                <w:b/>
                <w:sz w:val="20"/>
                <w:szCs w:val="20"/>
                <w:lang w:eastAsia="en-AU"/>
              </w:rPr>
              <w:t>Total fee</w:t>
            </w:r>
            <w:r w:rsidRPr="007E66B0">
              <w:rPr>
                <w:b/>
                <w:sz w:val="20"/>
                <w:szCs w:val="20"/>
                <w:lang w:eastAsia="en-AU"/>
              </w:rPr>
              <w:br/>
              <w:t>Base + Complexity</w:t>
            </w:r>
          </w:p>
        </w:tc>
      </w:tr>
      <w:tr w:rsidR="00397365" w:rsidTr="001A641D">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7E66B0">
              <w:rPr>
                <w:sz w:val="20"/>
                <w:szCs w:val="20"/>
                <w:lang w:eastAsia="en-AU"/>
              </w:rPr>
              <w:t>Assessment on referral information</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rFonts w:cs="Arial"/>
                <w:lang w:eastAsia="en-AU"/>
              </w:rPr>
            </w:pPr>
            <w:r w:rsidRPr="001873AC">
              <w:rPr>
                <w:rFonts w:cs="Arial"/>
                <w:lang w:eastAsia="en-AU"/>
              </w:rPr>
              <w:t>$8,964</w:t>
            </w:r>
          </w:p>
        </w:tc>
        <w:tc>
          <w:tcPr>
            <w:tcW w:w="19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1873AC">
              <w:rPr>
                <w:sz w:val="20"/>
                <w:szCs w:val="20"/>
                <w:lang w:eastAsia="en-AU"/>
              </w:rPr>
              <w:t>Determined on a case by case basis</w:t>
            </w:r>
          </w:p>
        </w:tc>
        <w:tc>
          <w:tcPr>
            <w:tcW w:w="26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1873AC">
              <w:rPr>
                <w:sz w:val="20"/>
                <w:szCs w:val="20"/>
                <w:lang w:eastAsia="en-AU"/>
              </w:rPr>
              <w:t>$8,964 +</w:t>
            </w:r>
            <w:r>
              <w:rPr>
                <w:sz w:val="20"/>
                <w:szCs w:val="20"/>
                <w:lang w:eastAsia="en-AU"/>
              </w:rPr>
              <w:t xml:space="preserve"> </w:t>
            </w:r>
            <w:r w:rsidRPr="001873AC">
              <w:rPr>
                <w:sz w:val="20"/>
                <w:szCs w:val="20"/>
                <w:lang w:eastAsia="en-AU"/>
              </w:rPr>
              <w:t>Complexity fees</w:t>
            </w:r>
          </w:p>
        </w:tc>
      </w:tr>
      <w:tr w:rsidR="00397365" w:rsidTr="001A641D">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7E66B0">
              <w:rPr>
                <w:sz w:val="20"/>
                <w:szCs w:val="20"/>
                <w:lang w:eastAsia="en-AU"/>
              </w:rPr>
              <w:t>Assessment on preliminary documentation</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rFonts w:cs="Arial"/>
                <w:b/>
                <w:lang w:eastAsia="en-AU"/>
              </w:rPr>
            </w:pPr>
            <w:r w:rsidRPr="001873AC">
              <w:rPr>
                <w:sz w:val="20"/>
                <w:szCs w:val="20"/>
                <w:lang w:eastAsia="en-AU"/>
              </w:rPr>
              <w:t>$8,010</w:t>
            </w:r>
            <w:r>
              <w:rPr>
                <w:rStyle w:val="FootnoteReference"/>
                <w:sz w:val="20"/>
                <w:szCs w:val="20"/>
              </w:rPr>
              <w:footnoteReference w:id="7"/>
            </w:r>
          </w:p>
        </w:tc>
        <w:tc>
          <w:tcPr>
            <w:tcW w:w="19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1873AC">
              <w:rPr>
                <w:sz w:val="20"/>
                <w:szCs w:val="20"/>
                <w:lang w:eastAsia="en-AU"/>
              </w:rPr>
              <w:t>Determined on a case by case basis</w:t>
            </w:r>
          </w:p>
        </w:tc>
        <w:tc>
          <w:tcPr>
            <w:tcW w:w="26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1873AC">
              <w:rPr>
                <w:sz w:val="20"/>
                <w:szCs w:val="20"/>
                <w:lang w:eastAsia="en-AU"/>
              </w:rPr>
              <w:t>$8,010 +</w:t>
            </w:r>
            <w:r>
              <w:rPr>
                <w:sz w:val="20"/>
                <w:szCs w:val="20"/>
                <w:lang w:eastAsia="en-AU"/>
              </w:rPr>
              <w:t xml:space="preserve"> </w:t>
            </w:r>
            <w:r w:rsidRPr="001873AC">
              <w:rPr>
                <w:sz w:val="20"/>
                <w:szCs w:val="20"/>
                <w:lang w:eastAsia="en-AU"/>
              </w:rPr>
              <w:t>Complexity fees</w:t>
            </w:r>
          </w:p>
        </w:tc>
      </w:tr>
      <w:tr w:rsidR="00397365" w:rsidTr="001A641D">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Pr>
                <w:sz w:val="20"/>
                <w:szCs w:val="20"/>
                <w:lang w:eastAsia="en-AU"/>
              </w:rPr>
              <w:t>Assessment by public environment report or environmental impact statement</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1873AC">
              <w:rPr>
                <w:sz w:val="20"/>
                <w:szCs w:val="20"/>
                <w:lang w:eastAsia="en-AU"/>
              </w:rPr>
              <w:t>$25,583</w:t>
            </w:r>
            <w:r>
              <w:rPr>
                <w:rStyle w:val="FootnoteReference"/>
                <w:sz w:val="20"/>
                <w:szCs w:val="20"/>
              </w:rPr>
              <w:footnoteReference w:id="8"/>
            </w:r>
          </w:p>
        </w:tc>
        <w:tc>
          <w:tcPr>
            <w:tcW w:w="19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1873AC">
              <w:rPr>
                <w:sz w:val="20"/>
                <w:szCs w:val="20"/>
                <w:lang w:eastAsia="en-AU"/>
              </w:rPr>
              <w:t>Determined on a case by case basis</w:t>
            </w:r>
          </w:p>
        </w:tc>
        <w:tc>
          <w:tcPr>
            <w:tcW w:w="26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1873AC">
              <w:rPr>
                <w:sz w:val="20"/>
                <w:szCs w:val="20"/>
                <w:lang w:eastAsia="en-AU"/>
              </w:rPr>
              <w:t>$25,583 +</w:t>
            </w:r>
            <w:r>
              <w:rPr>
                <w:sz w:val="20"/>
                <w:szCs w:val="20"/>
                <w:lang w:eastAsia="en-AU"/>
              </w:rPr>
              <w:t xml:space="preserve"> </w:t>
            </w:r>
            <w:r w:rsidRPr="001873AC">
              <w:rPr>
                <w:sz w:val="20"/>
                <w:szCs w:val="20"/>
                <w:lang w:eastAsia="en-AU"/>
              </w:rPr>
              <w:t>Complexity fees</w:t>
            </w:r>
          </w:p>
        </w:tc>
      </w:tr>
      <w:tr w:rsidR="00397365" w:rsidTr="001A641D">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Pr>
                <w:sz w:val="20"/>
                <w:szCs w:val="20"/>
                <w:lang w:eastAsia="en-AU"/>
              </w:rPr>
              <w:t>Assessment by bilateral agreement or accredited process</w:t>
            </w:r>
          </w:p>
        </w:tc>
        <w:tc>
          <w:tcPr>
            <w:tcW w:w="1276"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sidRPr="001873AC">
              <w:rPr>
                <w:sz w:val="20"/>
                <w:szCs w:val="20"/>
                <w:lang w:eastAsia="en-AU"/>
              </w:rPr>
              <w:t>$18,14</w:t>
            </w:r>
            <w:r>
              <w:rPr>
                <w:sz w:val="20"/>
                <w:szCs w:val="20"/>
                <w:lang w:eastAsia="en-AU"/>
              </w:rPr>
              <w:t>6</w:t>
            </w:r>
            <w:r>
              <w:rPr>
                <w:rStyle w:val="FootnoteReference"/>
                <w:sz w:val="20"/>
                <w:szCs w:val="20"/>
              </w:rPr>
              <w:footnoteReference w:id="9"/>
            </w:r>
          </w:p>
        </w:tc>
        <w:tc>
          <w:tcPr>
            <w:tcW w:w="1984"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1873AC">
              <w:rPr>
                <w:sz w:val="20"/>
                <w:szCs w:val="20"/>
                <w:lang w:eastAsia="en-AU"/>
              </w:rPr>
              <w:t>Determined on a case by case basis</w:t>
            </w:r>
          </w:p>
        </w:tc>
        <w:tc>
          <w:tcPr>
            <w:tcW w:w="2693"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Pr>
                <w:sz w:val="20"/>
                <w:szCs w:val="20"/>
                <w:lang w:eastAsia="en-AU"/>
              </w:rPr>
              <w:t>$18,146</w:t>
            </w:r>
            <w:r w:rsidRPr="001873AC">
              <w:rPr>
                <w:sz w:val="20"/>
                <w:szCs w:val="20"/>
                <w:lang w:eastAsia="en-AU"/>
              </w:rPr>
              <w:t xml:space="preserve"> +</w:t>
            </w:r>
            <w:r>
              <w:rPr>
                <w:sz w:val="20"/>
                <w:szCs w:val="20"/>
                <w:lang w:eastAsia="en-AU"/>
              </w:rPr>
              <w:t xml:space="preserve"> </w:t>
            </w:r>
            <w:r w:rsidRPr="001873AC">
              <w:rPr>
                <w:sz w:val="20"/>
                <w:szCs w:val="20"/>
                <w:lang w:eastAsia="en-AU"/>
              </w:rPr>
              <w:t>Complexity fees</w:t>
            </w:r>
          </w:p>
        </w:tc>
      </w:tr>
      <w:tr w:rsidR="00397365" w:rsidTr="001A641D">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Pr>
                <w:sz w:val="20"/>
                <w:szCs w:val="20"/>
                <w:lang w:eastAsia="en-AU"/>
              </w:rPr>
              <w:t>Assessment by public inquiry</w:t>
            </w:r>
          </w:p>
        </w:tc>
        <w:tc>
          <w:tcPr>
            <w:tcW w:w="5953" w:type="dxa"/>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sz w:val="20"/>
                <w:szCs w:val="20"/>
                <w:lang w:eastAsia="en-AU"/>
              </w:rPr>
            </w:pPr>
            <w:r>
              <w:rPr>
                <w:sz w:val="20"/>
                <w:szCs w:val="20"/>
                <w:lang w:eastAsia="en-AU"/>
              </w:rPr>
              <w:t>Determined on a case by case basis.</w:t>
            </w:r>
          </w:p>
        </w:tc>
      </w:tr>
    </w:tbl>
    <w:p w:rsidR="001A641D" w:rsidRDefault="001A641D" w:rsidP="001A641D">
      <w:pPr>
        <w:rPr>
          <w:lang w:val="en-US"/>
        </w:rPr>
      </w:pPr>
    </w:p>
    <w:p w:rsidR="001A641D" w:rsidRDefault="007E5C0A" w:rsidP="001A641D">
      <w:pPr>
        <w:rPr>
          <w:lang w:val="en-US"/>
        </w:rPr>
      </w:pPr>
      <w:r w:rsidRPr="007E66B0">
        <w:rPr>
          <w:lang w:val="en-US"/>
        </w:rPr>
        <w:t xml:space="preserve">These fees are payable </w:t>
      </w:r>
      <w:r>
        <w:rPr>
          <w:lang w:val="en-US"/>
        </w:rPr>
        <w:t xml:space="preserve">in instalments </w:t>
      </w:r>
      <w:r w:rsidRPr="007E66B0">
        <w:rPr>
          <w:lang w:val="en-US"/>
        </w:rPr>
        <w:t xml:space="preserve">across a number of stages of the assessment process, as </w:t>
      </w:r>
      <w:r w:rsidRPr="000523CF">
        <w:rPr>
          <w:lang w:val="en-US"/>
        </w:rPr>
        <w:t xml:space="preserve">outlined in </w:t>
      </w:r>
      <w:r w:rsidR="00FF3730">
        <w:fldChar w:fldCharType="begin"/>
      </w:r>
      <w:r w:rsidR="00FF3730">
        <w:instrText xml:space="preserve"> REF _Ref457913049 \h  \* MERGEFORMAT </w:instrText>
      </w:r>
      <w:r w:rsidR="00FF3730">
        <w:fldChar w:fldCharType="separate"/>
      </w:r>
      <w:r w:rsidR="00FF3730">
        <w:t>Figure 5</w:t>
      </w:r>
      <w:r w:rsidR="00FF3730">
        <w:fldChar w:fldCharType="end"/>
      </w:r>
      <w:r w:rsidRPr="000523CF">
        <w:rPr>
          <w:lang w:val="en-US"/>
        </w:rPr>
        <w:t xml:space="preserve"> below. If</w:t>
      </w:r>
      <w:r>
        <w:rPr>
          <w:lang w:val="en-US"/>
        </w:rPr>
        <w:t xml:space="preserve"> a particular stage is not required for a particular assessment then the fees for that stage would not apply (for example, if no further information is required for a preliminary documentation assessment, the stage 1 and 2 fees for requesting and reviewing further information would not apply).</w:t>
      </w:r>
      <w:r w:rsidRPr="00FC12C4">
        <w:rPr>
          <w:lang w:val="en-US"/>
        </w:rPr>
        <w:t xml:space="preserve"> </w:t>
      </w:r>
    </w:p>
    <w:p w:rsidR="001A641D" w:rsidRDefault="007E5C0A" w:rsidP="001A641D">
      <w:pPr>
        <w:rPr>
          <w:lang w:val="en-US"/>
        </w:rPr>
      </w:pPr>
      <w:r w:rsidRPr="00FC12C4">
        <w:rPr>
          <w:lang w:val="en-US"/>
        </w:rPr>
        <w:t>If a</w:t>
      </w:r>
      <w:r>
        <w:rPr>
          <w:lang w:val="en-US"/>
        </w:rPr>
        <w:t>n</w:t>
      </w:r>
      <w:r w:rsidRPr="00FC12C4">
        <w:rPr>
          <w:lang w:val="en-US"/>
        </w:rPr>
        <w:t xml:space="preserve"> </w:t>
      </w:r>
      <w:r>
        <w:rPr>
          <w:lang w:val="en-US"/>
        </w:rPr>
        <w:t>applicant</w:t>
      </w:r>
      <w:r w:rsidRPr="00FC12C4">
        <w:rPr>
          <w:lang w:val="en-US"/>
        </w:rPr>
        <w:t xml:space="preserve"> </w:t>
      </w:r>
      <w:r>
        <w:rPr>
          <w:lang w:val="en-US"/>
        </w:rPr>
        <w:t xml:space="preserve">cancels or withdraws from the assessment </w:t>
      </w:r>
      <w:r w:rsidRPr="00FC12C4">
        <w:rPr>
          <w:lang w:val="en-US"/>
        </w:rPr>
        <w:t>at any stage</w:t>
      </w:r>
      <w:r>
        <w:rPr>
          <w:lang w:val="en-US"/>
        </w:rPr>
        <w:t>,</w:t>
      </w:r>
      <w:r w:rsidRPr="00FC12C4">
        <w:rPr>
          <w:lang w:val="en-US"/>
        </w:rPr>
        <w:t xml:space="preserve"> </w:t>
      </w:r>
      <w:r>
        <w:rPr>
          <w:lang w:val="en-US"/>
        </w:rPr>
        <w:t>the applicant is not liable</w:t>
      </w:r>
      <w:r w:rsidRPr="00FC12C4">
        <w:rPr>
          <w:lang w:val="en-US"/>
        </w:rPr>
        <w:t xml:space="preserve"> for the </w:t>
      </w:r>
      <w:r w:rsidRPr="004D5D80">
        <w:rPr>
          <w:lang w:val="en-US"/>
        </w:rPr>
        <w:t>payment of fees for subsequent stages of the assessment.</w:t>
      </w:r>
      <w:r>
        <w:rPr>
          <w:lang w:val="en-US"/>
        </w:rPr>
        <w:t xml:space="preserve"> The Minister can also waive stage fees in limited </w:t>
      </w:r>
      <w:r w:rsidRPr="000523CF">
        <w:rPr>
          <w:lang w:val="en-US"/>
        </w:rPr>
        <w:t xml:space="preserve">circumstances (see section </w:t>
      </w:r>
      <w:r w:rsidR="00FF3730">
        <w:fldChar w:fldCharType="begin"/>
      </w:r>
      <w:r w:rsidR="00FF3730">
        <w:instrText xml:space="preserve"> REF _Ref458068279 \r \h  \* MERGEFORMAT </w:instrText>
      </w:r>
      <w:r w:rsidR="00FF3730">
        <w:fldChar w:fldCharType="separate"/>
      </w:r>
      <w:r w:rsidR="00FF3730" w:rsidRPr="00FF3730">
        <w:rPr>
          <w:lang w:val="en-US"/>
        </w:rPr>
        <w:t>3.3.8</w:t>
      </w:r>
      <w:r w:rsidR="00FF3730">
        <w:fldChar w:fldCharType="end"/>
      </w:r>
      <w:r w:rsidRPr="000523CF">
        <w:rPr>
          <w:lang w:val="en-US"/>
        </w:rPr>
        <w:t>).</w:t>
      </w:r>
    </w:p>
    <w:p w:rsidR="001A641D" w:rsidRDefault="007E5C0A" w:rsidP="001A641D">
      <w:pPr>
        <w:rPr>
          <w:lang w:val="en-US"/>
        </w:rPr>
      </w:pPr>
      <w:r>
        <w:rPr>
          <w:lang w:val="en-US"/>
        </w:rPr>
        <w:t>These arrangements ensure that applicants only pay fees for services actually provided, and recognise that proposed actions subject to the EPBC Act often involve a long planning process. T</w:t>
      </w:r>
      <w:r w:rsidRPr="00944731">
        <w:rPr>
          <w:lang w:val="en-US"/>
        </w:rPr>
        <w:t>here is</w:t>
      </w:r>
      <w:r>
        <w:rPr>
          <w:lang w:val="en-US"/>
        </w:rPr>
        <w:t xml:space="preserve"> also</w:t>
      </w:r>
      <w:r w:rsidRPr="00944731">
        <w:rPr>
          <w:lang w:val="en-US"/>
        </w:rPr>
        <w:t xml:space="preserve"> scope for </w:t>
      </w:r>
      <w:r>
        <w:rPr>
          <w:lang w:val="en-US"/>
        </w:rPr>
        <w:t>applicant</w:t>
      </w:r>
      <w:r w:rsidRPr="00944731">
        <w:rPr>
          <w:lang w:val="en-US"/>
        </w:rPr>
        <w:t>s to reduce their overall fees for their assessment by improving</w:t>
      </w:r>
      <w:r>
        <w:rPr>
          <w:lang w:val="en-US"/>
        </w:rPr>
        <w:t xml:space="preserve"> the quality of information provided to the Department (</w:t>
      </w:r>
      <w:r w:rsidRPr="000523CF">
        <w:rPr>
          <w:lang w:val="en-US"/>
        </w:rPr>
        <w:t xml:space="preserve">see section </w:t>
      </w:r>
      <w:r w:rsidR="00FF3730">
        <w:fldChar w:fldCharType="begin"/>
      </w:r>
      <w:r w:rsidR="00FF3730">
        <w:instrText xml:space="preserve"> REF _Ref457993827 \r \h  \* MERGEFORMAT </w:instrText>
      </w:r>
      <w:r w:rsidR="00FF3730">
        <w:fldChar w:fldCharType="separate"/>
      </w:r>
      <w:r w:rsidR="00FF3730" w:rsidRPr="00FF3730">
        <w:rPr>
          <w:lang w:val="en-US"/>
        </w:rPr>
        <w:t>3.3.3.2</w:t>
      </w:r>
      <w:r w:rsidR="00FF3730">
        <w:fldChar w:fldCharType="end"/>
      </w:r>
      <w:r w:rsidRPr="000523CF">
        <w:rPr>
          <w:lang w:val="en-US"/>
        </w:rPr>
        <w:t>).</w:t>
      </w:r>
      <w:r w:rsidRPr="001555F8">
        <w:rPr>
          <w:lang w:val="en-US"/>
        </w:rPr>
        <w:t xml:space="preserve"> </w:t>
      </w:r>
      <w:r w:rsidRPr="000523CF">
        <w:rPr>
          <w:lang w:val="en-US"/>
        </w:rPr>
        <w:t>The following sections</w:t>
      </w:r>
      <w:r>
        <w:rPr>
          <w:lang w:val="en-US"/>
        </w:rPr>
        <w:t xml:space="preserve"> provide</w:t>
      </w:r>
      <w:r w:rsidRPr="00FC12C4">
        <w:rPr>
          <w:lang w:val="en-US"/>
        </w:rPr>
        <w:t xml:space="preserve"> an overview of </w:t>
      </w:r>
      <w:r>
        <w:rPr>
          <w:lang w:val="en-US"/>
        </w:rPr>
        <w:t xml:space="preserve">referrals and environmental impact assessments, </w:t>
      </w:r>
      <w:r w:rsidRPr="00FC12C4">
        <w:rPr>
          <w:lang w:val="en-US"/>
        </w:rPr>
        <w:t xml:space="preserve">and </w:t>
      </w:r>
      <w:r>
        <w:rPr>
          <w:lang w:val="en-US"/>
        </w:rPr>
        <w:t xml:space="preserve">the </w:t>
      </w:r>
      <w:r w:rsidRPr="00FC12C4">
        <w:rPr>
          <w:lang w:val="en-US"/>
        </w:rPr>
        <w:t xml:space="preserve">fees </w:t>
      </w:r>
      <w:r>
        <w:rPr>
          <w:lang w:val="en-US"/>
        </w:rPr>
        <w:t xml:space="preserve">which may be </w:t>
      </w:r>
      <w:r w:rsidRPr="00FC12C4">
        <w:rPr>
          <w:lang w:val="en-US"/>
        </w:rPr>
        <w:t xml:space="preserve">applicable at each stage of the </w:t>
      </w:r>
      <w:r>
        <w:rPr>
          <w:lang w:val="en-US"/>
        </w:rPr>
        <w:t>assessment.</w:t>
      </w:r>
    </w:p>
    <w:p w:rsidR="001A641D" w:rsidRDefault="007E5C0A" w:rsidP="001A641D">
      <w:pPr>
        <w:keepNext/>
      </w:pPr>
      <w:r>
        <w:rPr>
          <w:noProof/>
          <w:lang w:eastAsia="en-AU"/>
        </w:rPr>
        <w:drawing>
          <wp:inline distT="0" distB="0" distL="0" distR="0">
            <wp:extent cx="6031230" cy="3282491"/>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stretch>
                      <a:fillRect/>
                    </a:stretch>
                  </pic:blipFill>
                  <pic:spPr bwMode="auto">
                    <a:xfrm>
                      <a:off x="0" y="0"/>
                      <a:ext cx="6031230" cy="3282491"/>
                    </a:xfrm>
                    <a:prstGeom prst="rect">
                      <a:avLst/>
                    </a:prstGeom>
                    <a:noFill/>
                    <a:ln w="9525">
                      <a:noFill/>
                      <a:miter lim="800000"/>
                      <a:headEnd/>
                      <a:tailEnd/>
                    </a:ln>
                  </pic:spPr>
                </pic:pic>
              </a:graphicData>
            </a:graphic>
          </wp:inline>
        </w:drawing>
      </w:r>
    </w:p>
    <w:p w:rsidR="001A641D" w:rsidRDefault="007E5C0A" w:rsidP="001A641D">
      <w:pPr>
        <w:pStyle w:val="Caption"/>
        <w:jc w:val="left"/>
        <w:rPr>
          <w:lang w:val="en-US"/>
        </w:rPr>
      </w:pPr>
      <w:bookmarkStart w:id="1394" w:name="_Ref457913049"/>
      <w:bookmarkStart w:id="1395" w:name="_Toc256000289"/>
      <w:bookmarkStart w:id="1396" w:name="_Toc256000181"/>
      <w:bookmarkStart w:id="1397" w:name="_Toc256000073"/>
      <w:bookmarkStart w:id="1398" w:name="_Toc458170576"/>
      <w:bookmarkStart w:id="1399" w:name="_Toc459108589"/>
      <w:r>
        <w:t xml:space="preserve">Figure </w:t>
      </w:r>
      <w:r w:rsidR="003366B4">
        <w:fldChar w:fldCharType="begin"/>
      </w:r>
      <w:r>
        <w:instrText xml:space="preserve"> SEQ Figure \* ARABIC </w:instrText>
      </w:r>
      <w:r w:rsidR="003366B4">
        <w:fldChar w:fldCharType="separate"/>
      </w:r>
      <w:r w:rsidR="00FF3730">
        <w:rPr>
          <w:noProof/>
        </w:rPr>
        <w:t>5</w:t>
      </w:r>
      <w:r w:rsidR="003366B4">
        <w:fldChar w:fldCharType="end"/>
      </w:r>
      <w:bookmarkEnd w:id="1394"/>
      <w:r>
        <w:t xml:space="preserve">. </w:t>
      </w:r>
      <w:r w:rsidRPr="00A522A1">
        <w:t>The EPBC Act cost recovery charging model for environmental impact assessments.</w:t>
      </w:r>
      <w:bookmarkEnd w:id="1395"/>
      <w:bookmarkEnd w:id="1396"/>
      <w:bookmarkEnd w:id="1397"/>
      <w:bookmarkEnd w:id="1398"/>
      <w:bookmarkEnd w:id="1399"/>
    </w:p>
    <w:p w:rsidR="001A641D" w:rsidRDefault="007E5C0A" w:rsidP="001A641D">
      <w:pPr>
        <w:rPr>
          <w:lang w:val="en-US"/>
        </w:rPr>
      </w:pPr>
      <w:r>
        <w:rPr>
          <w:lang w:val="en-US"/>
        </w:rPr>
        <w:t>The applicant must pay the relevant instalment of the a</w:t>
      </w:r>
      <w:r w:rsidRPr="00FC12C4">
        <w:rPr>
          <w:lang w:val="en-US"/>
        </w:rPr>
        <w:t xml:space="preserve">ssessment fees </w:t>
      </w:r>
      <w:r>
        <w:rPr>
          <w:lang w:val="en-US"/>
        </w:rPr>
        <w:t>prior to commencing</w:t>
      </w:r>
      <w:r w:rsidRPr="00FC12C4">
        <w:rPr>
          <w:lang w:val="en-US"/>
        </w:rPr>
        <w:t xml:space="preserve"> each </w:t>
      </w:r>
      <w:r>
        <w:rPr>
          <w:lang w:val="en-US"/>
        </w:rPr>
        <w:t xml:space="preserve">relevant </w:t>
      </w:r>
      <w:r w:rsidRPr="00FC12C4">
        <w:rPr>
          <w:lang w:val="en-US"/>
        </w:rPr>
        <w:t>stage of the assessment process</w:t>
      </w:r>
      <w:r>
        <w:rPr>
          <w:lang w:val="en-US"/>
        </w:rPr>
        <w:t>, or the assessment will ‘pause’ until the fee is paid. The fees for each stage will be</w:t>
      </w:r>
      <w:r w:rsidRPr="00FC12C4">
        <w:rPr>
          <w:lang w:val="en-US"/>
        </w:rPr>
        <w:t xml:space="preserve"> commensurate with the work required at that stage. </w:t>
      </w:r>
    </w:p>
    <w:p w:rsidR="001A641D" w:rsidRPr="004B60F9" w:rsidRDefault="007E5C0A" w:rsidP="001A641D">
      <w:pPr>
        <w:pStyle w:val="Heading4"/>
      </w:pPr>
      <w:r>
        <w:t>Schedule of fees and charges for environmental impact assessment</w:t>
      </w:r>
    </w:p>
    <w:p w:rsidR="001A641D" w:rsidRDefault="007E5C0A" w:rsidP="001A641D">
      <w:pPr>
        <w:rPr>
          <w:lang w:val="en-US"/>
        </w:rPr>
      </w:pPr>
      <w:r w:rsidRPr="00FC12C4">
        <w:rPr>
          <w:lang w:val="en-US"/>
        </w:rPr>
        <w:t xml:space="preserve">If the </w:t>
      </w:r>
      <w:r>
        <w:rPr>
          <w:lang w:val="en-US"/>
        </w:rPr>
        <w:t xml:space="preserve">Minister decides that the </w:t>
      </w:r>
      <w:r w:rsidRPr="00FC12C4">
        <w:rPr>
          <w:lang w:val="en-US"/>
        </w:rPr>
        <w:t>proposed action</w:t>
      </w:r>
      <w:r>
        <w:rPr>
          <w:lang w:val="en-US"/>
        </w:rPr>
        <w:t xml:space="preserve"> is a controlled action and</w:t>
      </w:r>
      <w:r w:rsidRPr="00FC12C4">
        <w:rPr>
          <w:lang w:val="en-US"/>
        </w:rPr>
        <w:t xml:space="preserve"> requires assessment under the EPBC Act</w:t>
      </w:r>
      <w:r>
        <w:rPr>
          <w:lang w:val="en-US"/>
        </w:rPr>
        <w:t>,</w:t>
      </w:r>
      <w:r w:rsidRPr="00FC12C4">
        <w:rPr>
          <w:lang w:val="en-US"/>
        </w:rPr>
        <w:t xml:space="preserve"> </w:t>
      </w:r>
      <w:r>
        <w:rPr>
          <w:lang w:val="en-US"/>
        </w:rPr>
        <w:t>the Minister then makes a decision on the assessment approach to be used. T</w:t>
      </w:r>
      <w:r w:rsidRPr="00FC12C4">
        <w:rPr>
          <w:lang w:val="en-US"/>
        </w:rPr>
        <w:t xml:space="preserve">he </w:t>
      </w:r>
      <w:r>
        <w:rPr>
          <w:lang w:val="en-US"/>
        </w:rPr>
        <w:t>Department notifies the applicant</w:t>
      </w:r>
      <w:r w:rsidRPr="00FC12C4">
        <w:rPr>
          <w:lang w:val="en-US"/>
        </w:rPr>
        <w:t xml:space="preserve"> of the assessment approach decision</w:t>
      </w:r>
      <w:r>
        <w:rPr>
          <w:lang w:val="en-US"/>
        </w:rPr>
        <w:t xml:space="preserve"> and</w:t>
      </w:r>
      <w:r w:rsidRPr="00FC12C4">
        <w:rPr>
          <w:lang w:val="en-US"/>
        </w:rPr>
        <w:t xml:space="preserve"> </w:t>
      </w:r>
      <w:r>
        <w:rPr>
          <w:lang w:val="en-US"/>
        </w:rPr>
        <w:t>at this point provides</w:t>
      </w:r>
      <w:r w:rsidRPr="00FC12C4">
        <w:rPr>
          <w:lang w:val="en-US"/>
        </w:rPr>
        <w:t xml:space="preserve"> the </w:t>
      </w:r>
      <w:r>
        <w:rPr>
          <w:lang w:val="en-US"/>
        </w:rPr>
        <w:t>applicant</w:t>
      </w:r>
      <w:r w:rsidRPr="00FC12C4">
        <w:rPr>
          <w:lang w:val="en-US"/>
        </w:rPr>
        <w:t xml:space="preserve"> </w:t>
      </w:r>
      <w:r>
        <w:rPr>
          <w:lang w:val="en-US"/>
        </w:rPr>
        <w:t xml:space="preserve">with an initial fee schedule that includes an estimate of maximum applicable </w:t>
      </w:r>
      <w:r w:rsidRPr="00FC12C4">
        <w:rPr>
          <w:lang w:val="en-US"/>
        </w:rPr>
        <w:t>assessment fees</w:t>
      </w:r>
      <w:r>
        <w:rPr>
          <w:lang w:val="en-US"/>
        </w:rPr>
        <w:t xml:space="preserve"> </w:t>
      </w:r>
      <w:r w:rsidRPr="00FC12C4">
        <w:rPr>
          <w:lang w:val="en-US"/>
        </w:rPr>
        <w:t xml:space="preserve">(including </w:t>
      </w:r>
      <w:r>
        <w:rPr>
          <w:lang w:val="en-US"/>
        </w:rPr>
        <w:t xml:space="preserve">all stages and all </w:t>
      </w:r>
      <w:r w:rsidRPr="00FC12C4">
        <w:rPr>
          <w:lang w:val="en-US"/>
        </w:rPr>
        <w:t xml:space="preserve">complexity </w:t>
      </w:r>
      <w:r>
        <w:rPr>
          <w:lang w:val="en-US"/>
        </w:rPr>
        <w:t>fee components</w:t>
      </w:r>
      <w:r w:rsidRPr="00FC12C4">
        <w:rPr>
          <w:lang w:val="en-US"/>
        </w:rPr>
        <w:t>).</w:t>
      </w:r>
      <w:r>
        <w:rPr>
          <w:lang w:val="en-US"/>
        </w:rPr>
        <w:t xml:space="preserve"> </w:t>
      </w:r>
    </w:p>
    <w:p w:rsidR="001A641D" w:rsidRDefault="007E5C0A" w:rsidP="001A641D">
      <w:pPr>
        <w:rPr>
          <w:lang w:val="en-US"/>
        </w:rPr>
      </w:pPr>
      <w:r>
        <w:rPr>
          <w:lang w:val="en-US"/>
        </w:rPr>
        <w:t>For assessments on referral information, the initial fee schedule is the final fee schedule.</w:t>
      </w:r>
    </w:p>
    <w:p w:rsidR="001A641D" w:rsidRDefault="007E5C0A" w:rsidP="001A641D">
      <w:pPr>
        <w:rPr>
          <w:lang w:val="en-US"/>
        </w:rPr>
      </w:pPr>
      <w:r>
        <w:rPr>
          <w:lang w:val="en-US"/>
        </w:rPr>
        <w:t>For all other assessment methods, the initial fee schedule includes the final fees for stages 1 and 2 and an estimate of the fees for stages 3 and 4. This fee schedule is reviewed and a final fee schedule is issued during stage 2 of the assessment, when the draft assessment documentation is complete and the final complexity can be calculated (for more information refer to</w:t>
      </w:r>
      <w:r w:rsidRPr="000523CF">
        <w:rPr>
          <w:lang w:val="en-US"/>
        </w:rPr>
        <w:t xml:space="preserve"> section </w:t>
      </w:r>
      <w:r w:rsidR="00FF3730">
        <w:fldChar w:fldCharType="begin"/>
      </w:r>
      <w:r w:rsidR="00FF3730">
        <w:instrText xml:space="preserve"> REF _Ref457993827 \r \h  \* MERGEFORMAT </w:instrText>
      </w:r>
      <w:r w:rsidR="00FF3730">
        <w:fldChar w:fldCharType="separate"/>
      </w:r>
      <w:r w:rsidR="00FF3730" w:rsidRPr="00FF3730">
        <w:rPr>
          <w:lang w:val="en-US"/>
        </w:rPr>
        <w:t>3.3.3.2</w:t>
      </w:r>
      <w:r w:rsidR="00FF3730">
        <w:fldChar w:fldCharType="end"/>
      </w:r>
      <w:r w:rsidRPr="000523CF">
        <w:rPr>
          <w:lang w:val="en-US"/>
        </w:rPr>
        <w:t>).</w:t>
      </w:r>
    </w:p>
    <w:p w:rsidR="001A641D" w:rsidRDefault="007E5C0A" w:rsidP="001A641D">
      <w:pPr>
        <w:rPr>
          <w:lang w:val="en-US"/>
        </w:rPr>
      </w:pPr>
      <w:r w:rsidRPr="004D5D80">
        <w:rPr>
          <w:lang w:val="en-US"/>
        </w:rPr>
        <w:t xml:space="preserve">A detailed schedule of fees is </w:t>
      </w:r>
      <w:r w:rsidRPr="000523CF">
        <w:rPr>
          <w:lang w:val="en-US"/>
        </w:rPr>
        <w:t xml:space="preserve">found at </w:t>
      </w:r>
      <w:r w:rsidRPr="000523CF">
        <w:rPr>
          <w:b/>
          <w:lang w:val="en-US"/>
        </w:rPr>
        <w:t>Appendix A</w:t>
      </w:r>
      <w:r w:rsidRPr="000523CF">
        <w:rPr>
          <w:lang w:val="en-US"/>
        </w:rPr>
        <w:t>.</w:t>
      </w:r>
      <w:r>
        <w:rPr>
          <w:lang w:val="en-US"/>
        </w:rPr>
        <w:t xml:space="preserve">   </w:t>
      </w:r>
    </w:p>
    <w:p w:rsidR="001A641D" w:rsidRDefault="007E5C0A">
      <w:pPr>
        <w:spacing w:after="0" w:line="240" w:lineRule="auto"/>
        <w:rPr>
          <w:rFonts w:cs="Arial"/>
          <w:b/>
          <w:i/>
        </w:rPr>
      </w:pPr>
      <w:bookmarkStart w:id="1400" w:name="_Toc456369841"/>
      <w:bookmarkStart w:id="1401" w:name="_Toc456370518"/>
      <w:bookmarkStart w:id="1402" w:name="_Toc456371195"/>
      <w:bookmarkStart w:id="1403" w:name="_Toc456517209"/>
      <w:bookmarkStart w:id="1404" w:name="_Toc456369160"/>
      <w:bookmarkStart w:id="1405" w:name="_Toc456369842"/>
      <w:bookmarkStart w:id="1406" w:name="_Toc456370519"/>
      <w:bookmarkStart w:id="1407" w:name="_Toc456371196"/>
      <w:bookmarkStart w:id="1408" w:name="_Toc456517210"/>
      <w:bookmarkStart w:id="1409" w:name="_Toc456369161"/>
      <w:bookmarkStart w:id="1410" w:name="_Toc456369843"/>
      <w:bookmarkStart w:id="1411" w:name="_Toc456370520"/>
      <w:bookmarkStart w:id="1412" w:name="_Toc456371197"/>
      <w:bookmarkStart w:id="1413" w:name="_Toc456517211"/>
      <w:bookmarkStart w:id="1414" w:name="_Toc456369162"/>
      <w:bookmarkStart w:id="1415" w:name="_Toc456369844"/>
      <w:bookmarkStart w:id="1416" w:name="_Toc456370521"/>
      <w:bookmarkStart w:id="1417" w:name="_Toc456371198"/>
      <w:bookmarkStart w:id="1418" w:name="_Toc456517212"/>
      <w:bookmarkStart w:id="1419" w:name="_Toc456369163"/>
      <w:bookmarkStart w:id="1420" w:name="_Toc456369845"/>
      <w:bookmarkStart w:id="1421" w:name="_Toc456370522"/>
      <w:bookmarkStart w:id="1422" w:name="_Toc456371199"/>
      <w:bookmarkStart w:id="1423" w:name="_Toc456517213"/>
      <w:bookmarkStart w:id="1424" w:name="_Toc456369164"/>
      <w:bookmarkStart w:id="1425" w:name="_Toc456369846"/>
      <w:bookmarkStart w:id="1426" w:name="_Toc456370523"/>
      <w:bookmarkStart w:id="1427" w:name="_Toc456371200"/>
      <w:bookmarkStart w:id="1428" w:name="_Toc456517214"/>
      <w:bookmarkStart w:id="1429" w:name="_Toc456369165"/>
      <w:bookmarkStart w:id="1430" w:name="_Toc456369847"/>
      <w:bookmarkStart w:id="1431" w:name="_Toc456370524"/>
      <w:bookmarkStart w:id="1432" w:name="_Toc456371201"/>
      <w:bookmarkStart w:id="1433" w:name="_Toc456517215"/>
      <w:bookmarkStart w:id="1434" w:name="_Toc456369166"/>
      <w:bookmarkStart w:id="1435" w:name="_Toc456369848"/>
      <w:bookmarkStart w:id="1436" w:name="_Toc456370525"/>
      <w:bookmarkStart w:id="1437" w:name="_Toc456371202"/>
      <w:bookmarkStart w:id="1438" w:name="_Toc456517216"/>
      <w:bookmarkStart w:id="1439" w:name="_Toc456369167"/>
      <w:bookmarkStart w:id="1440" w:name="_Toc456369849"/>
      <w:bookmarkStart w:id="1441" w:name="_Toc456370526"/>
      <w:bookmarkStart w:id="1442" w:name="_Toc456371203"/>
      <w:bookmarkStart w:id="1443" w:name="_Toc456517217"/>
      <w:bookmarkStart w:id="1444" w:name="_Toc456369168"/>
      <w:bookmarkStart w:id="1445" w:name="_Toc456369850"/>
      <w:bookmarkStart w:id="1446" w:name="_Toc456370527"/>
      <w:bookmarkStart w:id="1447" w:name="_Toc456371204"/>
      <w:bookmarkStart w:id="1448" w:name="_Toc456517218"/>
      <w:bookmarkStart w:id="1449" w:name="_Toc456369169"/>
      <w:bookmarkStart w:id="1450" w:name="_Toc456369851"/>
      <w:bookmarkStart w:id="1451" w:name="_Toc456370528"/>
      <w:bookmarkStart w:id="1452" w:name="_Toc456371205"/>
      <w:bookmarkStart w:id="1453" w:name="_Toc456517219"/>
      <w:bookmarkStart w:id="1454" w:name="_Toc456369170"/>
      <w:bookmarkStart w:id="1455" w:name="_Toc456369852"/>
      <w:bookmarkStart w:id="1456" w:name="_Toc456370529"/>
      <w:bookmarkStart w:id="1457" w:name="_Toc456371206"/>
      <w:bookmarkStart w:id="1458" w:name="_Toc456517220"/>
      <w:bookmarkEnd w:id="1381"/>
      <w:bookmarkEnd w:id="1382"/>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br w:type="page"/>
      </w:r>
    </w:p>
    <w:p w:rsidR="001A641D" w:rsidRPr="00500A62" w:rsidRDefault="007E5C0A" w:rsidP="001A641D">
      <w:pPr>
        <w:pStyle w:val="Heading3"/>
        <w:ind w:left="0" w:firstLine="0"/>
      </w:pPr>
      <w:bookmarkStart w:id="1459" w:name="_Toc256000354"/>
      <w:bookmarkStart w:id="1460" w:name="_Toc256000246"/>
      <w:bookmarkStart w:id="1461" w:name="_Toc256000138"/>
      <w:bookmarkStart w:id="1462" w:name="_Toc256000030"/>
      <w:bookmarkStart w:id="1463" w:name="_Toc458170534"/>
      <w:r w:rsidRPr="00500A62">
        <w:t>Complexity fees for assessments</w:t>
      </w:r>
      <w:bookmarkEnd w:id="1459"/>
      <w:bookmarkEnd w:id="1460"/>
      <w:bookmarkEnd w:id="1461"/>
      <w:bookmarkEnd w:id="1462"/>
      <w:bookmarkEnd w:id="1463"/>
    </w:p>
    <w:p w:rsidR="001A641D" w:rsidRDefault="007E5C0A" w:rsidP="001A641D">
      <w:pPr>
        <w:pStyle w:val="Heading4"/>
      </w:pPr>
      <w:bookmarkStart w:id="1464" w:name="_Ref457993898"/>
      <w:r w:rsidRPr="00767BDD">
        <w:t xml:space="preserve">Setting </w:t>
      </w:r>
      <w:r w:rsidRPr="00C66C28">
        <w:t>co</w:t>
      </w:r>
      <w:r w:rsidRPr="00DB1E64">
        <w:t>mplexity fees</w:t>
      </w:r>
      <w:bookmarkEnd w:id="1464"/>
    </w:p>
    <w:p w:rsidR="001A641D" w:rsidRDefault="007E5C0A" w:rsidP="001A641D">
      <w:pPr>
        <w:tabs>
          <w:tab w:val="num" w:pos="709"/>
        </w:tabs>
      </w:pPr>
      <w:r>
        <w:t xml:space="preserve">The complexity matrix at </w:t>
      </w:r>
      <w:r w:rsidRPr="000523CF">
        <w:t>Appendix B</w:t>
      </w:r>
      <w:r>
        <w:t xml:space="preserve"> sets out the basis for determining the complexity of conducting individual assessments. The complexity matrix sets out five elements of complexity:</w:t>
      </w:r>
    </w:p>
    <w:p w:rsidR="001A641D" w:rsidRDefault="007E5C0A" w:rsidP="001A641D">
      <w:pPr>
        <w:pStyle w:val="ListParagraph"/>
        <w:numPr>
          <w:ilvl w:val="0"/>
          <w:numId w:val="17"/>
        </w:numPr>
        <w:tabs>
          <w:tab w:val="num" w:pos="709"/>
        </w:tabs>
      </w:pPr>
      <w:r>
        <w:t>Controlling provisions (rows A-J);</w:t>
      </w:r>
    </w:p>
    <w:p w:rsidR="001A641D" w:rsidRDefault="007E5C0A" w:rsidP="001A641D">
      <w:pPr>
        <w:pStyle w:val="ListParagraph"/>
        <w:numPr>
          <w:ilvl w:val="0"/>
          <w:numId w:val="17"/>
        </w:numPr>
        <w:tabs>
          <w:tab w:val="num" w:pos="709"/>
        </w:tabs>
      </w:pPr>
      <w:r>
        <w:t>Number of project components (row K);</w:t>
      </w:r>
    </w:p>
    <w:p w:rsidR="001A641D" w:rsidRDefault="007E5C0A" w:rsidP="001A641D">
      <w:pPr>
        <w:pStyle w:val="ListParagraph"/>
        <w:numPr>
          <w:ilvl w:val="0"/>
          <w:numId w:val="17"/>
        </w:numPr>
        <w:tabs>
          <w:tab w:val="num" w:pos="709"/>
        </w:tabs>
      </w:pPr>
      <w:r>
        <w:t>Coordination with other legislation (row L);</w:t>
      </w:r>
    </w:p>
    <w:p w:rsidR="001A641D" w:rsidRDefault="007E5C0A" w:rsidP="001A641D">
      <w:pPr>
        <w:pStyle w:val="ListParagraph"/>
        <w:numPr>
          <w:ilvl w:val="0"/>
          <w:numId w:val="17"/>
        </w:numPr>
        <w:tabs>
          <w:tab w:val="num" w:pos="709"/>
        </w:tabs>
      </w:pPr>
      <w:r>
        <w:t>Adequacy of information and clarity of project scope (rows M, N and O); and</w:t>
      </w:r>
    </w:p>
    <w:p w:rsidR="001A641D" w:rsidRDefault="007E5C0A" w:rsidP="001A641D">
      <w:pPr>
        <w:pStyle w:val="ListParagraph"/>
        <w:numPr>
          <w:ilvl w:val="0"/>
          <w:numId w:val="17"/>
        </w:numPr>
        <w:tabs>
          <w:tab w:val="num" w:pos="709"/>
        </w:tabs>
      </w:pPr>
      <w:r>
        <w:t>Exceptional circumstances (row P).</w:t>
      </w:r>
    </w:p>
    <w:p w:rsidR="001A641D" w:rsidRDefault="007E5C0A" w:rsidP="001A641D">
      <w:pPr>
        <w:tabs>
          <w:tab w:val="num" w:pos="709"/>
        </w:tabs>
      </w:pPr>
      <w:r>
        <w:t xml:space="preserve">For each complexity element, descriptions for moderate, high or very high complexity projects are set out. The drivers for these descriptions are outlined in </w:t>
      </w:r>
      <w:r w:rsidR="00FF3730">
        <w:fldChar w:fldCharType="begin"/>
      </w:r>
      <w:r w:rsidR="00FF3730">
        <w:instrText xml:space="preserve"> REF _Ref457985298 \h  \* MERGEFORMAT </w:instrText>
      </w:r>
      <w:r w:rsidR="00FF3730">
        <w:fldChar w:fldCharType="separate"/>
      </w:r>
      <w:r w:rsidR="00FF3730">
        <w:t>Table 9</w:t>
      </w:r>
      <w:r w:rsidR="00FF3730">
        <w:fldChar w:fldCharType="end"/>
      </w:r>
      <w:r w:rsidRPr="000523CF">
        <w:t xml:space="preserve"> on page </w:t>
      </w:r>
      <w:r w:rsidR="003366B4" w:rsidRPr="000523CF">
        <w:fldChar w:fldCharType="begin"/>
      </w:r>
      <w:r w:rsidRPr="000523CF">
        <w:instrText xml:space="preserve"> PAGEREF _Ref457994225 \h </w:instrText>
      </w:r>
      <w:r w:rsidR="003366B4" w:rsidRPr="000523CF">
        <w:fldChar w:fldCharType="separate"/>
      </w:r>
      <w:r w:rsidR="00FF3730">
        <w:rPr>
          <w:noProof/>
        </w:rPr>
        <w:t>30</w:t>
      </w:r>
      <w:r w:rsidR="003366B4" w:rsidRPr="000523CF">
        <w:fldChar w:fldCharType="end"/>
      </w:r>
      <w:r w:rsidRPr="000523CF">
        <w:t>.</w:t>
      </w:r>
    </w:p>
    <w:p w:rsidR="001A641D" w:rsidRDefault="007E5C0A" w:rsidP="001A641D">
      <w:pPr>
        <w:tabs>
          <w:tab w:val="num" w:pos="709"/>
        </w:tabs>
        <w:rPr>
          <w:iCs/>
          <w:color w:val="000000"/>
          <w:lang w:eastAsia="en-AU"/>
        </w:rPr>
      </w:pPr>
      <w:r>
        <w:rPr>
          <w:lang w:val="en-US"/>
        </w:rPr>
        <w:t xml:space="preserve">The Department ensures that double or excessive charging of complexity fees does not occur when setting those fees. For example, </w:t>
      </w:r>
      <w:r w:rsidRPr="00147143">
        <w:rPr>
          <w:lang w:val="en-US"/>
        </w:rPr>
        <w:t>if</w:t>
      </w:r>
      <w:r w:rsidRPr="00040DA4">
        <w:rPr>
          <w:iCs/>
          <w:color w:val="000000"/>
          <w:lang w:eastAsia="en-AU"/>
        </w:rPr>
        <w:t xml:space="preserve"> a </w:t>
      </w:r>
      <w:r>
        <w:rPr>
          <w:iCs/>
          <w:color w:val="000000"/>
          <w:lang w:eastAsia="en-AU"/>
        </w:rPr>
        <w:t xml:space="preserve">particular </w:t>
      </w:r>
      <w:r w:rsidRPr="00040DA4">
        <w:rPr>
          <w:iCs/>
          <w:color w:val="000000"/>
          <w:lang w:eastAsia="en-AU"/>
        </w:rPr>
        <w:t>migratory species is also a listed threatened species</w:t>
      </w:r>
      <w:r>
        <w:rPr>
          <w:iCs/>
          <w:color w:val="000000"/>
          <w:lang w:eastAsia="en-AU"/>
        </w:rPr>
        <w:t>,</w:t>
      </w:r>
      <w:r w:rsidRPr="00040DA4">
        <w:rPr>
          <w:iCs/>
          <w:color w:val="000000"/>
          <w:lang w:eastAsia="en-AU"/>
        </w:rPr>
        <w:t xml:space="preserve"> </w:t>
      </w:r>
      <w:r>
        <w:rPr>
          <w:iCs/>
          <w:color w:val="000000"/>
          <w:lang w:eastAsia="en-AU"/>
        </w:rPr>
        <w:t xml:space="preserve">or a particular national heritage place is also a World Heritage property, </w:t>
      </w:r>
      <w:r w:rsidRPr="002A52FA">
        <w:rPr>
          <w:iCs/>
          <w:color w:val="000000"/>
          <w:lang w:eastAsia="en-AU"/>
        </w:rPr>
        <w:t xml:space="preserve">applicants will only be charged </w:t>
      </w:r>
      <w:r>
        <w:rPr>
          <w:iCs/>
          <w:color w:val="000000"/>
          <w:lang w:eastAsia="en-AU"/>
        </w:rPr>
        <w:t xml:space="preserve">complexity </w:t>
      </w:r>
      <w:r w:rsidRPr="002A52FA">
        <w:rPr>
          <w:iCs/>
          <w:color w:val="000000"/>
          <w:lang w:eastAsia="en-AU"/>
        </w:rPr>
        <w:t xml:space="preserve">fees for </w:t>
      </w:r>
      <w:r>
        <w:rPr>
          <w:iCs/>
          <w:color w:val="000000"/>
          <w:lang w:eastAsia="en-AU"/>
        </w:rPr>
        <w:t xml:space="preserve">that species or place in </w:t>
      </w:r>
      <w:r w:rsidRPr="002A52FA">
        <w:rPr>
          <w:iCs/>
          <w:color w:val="000000"/>
          <w:lang w:eastAsia="en-AU"/>
        </w:rPr>
        <w:t>one of those categories,</w:t>
      </w:r>
      <w:r>
        <w:rPr>
          <w:iCs/>
          <w:color w:val="000000"/>
          <w:lang w:eastAsia="en-AU"/>
        </w:rPr>
        <w:t xml:space="preserve"> not both, to avoid double charging for the assessment of the impacts of the action on a single matter.</w:t>
      </w:r>
      <w:r>
        <w:rPr>
          <w:rStyle w:val="FootnoteReference"/>
          <w:iCs/>
          <w:color w:val="000000"/>
          <w:lang w:eastAsia="en-AU"/>
        </w:rPr>
        <w:footnoteReference w:id="10"/>
      </w:r>
    </w:p>
    <w:p w:rsidR="001A641D" w:rsidRDefault="007E5C0A" w:rsidP="001A641D">
      <w:pPr>
        <w:tabs>
          <w:tab w:val="num" w:pos="709"/>
        </w:tabs>
        <w:rPr>
          <w:lang w:val="en-US"/>
        </w:rPr>
      </w:pPr>
      <w:r>
        <w:rPr>
          <w:iCs/>
          <w:color w:val="000000"/>
          <w:lang w:eastAsia="en-AU"/>
        </w:rPr>
        <w:t>The Great Barrier Reef Marine Park also contains significant overlap with the Great Barrier Reef World Heritage Area and National Heritage place. As such the complexity fee for assessing actions impacting on the Great Barrier Reef Marine Park is reduced when the World Heritage or National Heritage controlling provisions also apply, to avoid excessive charging.</w:t>
      </w:r>
    </w:p>
    <w:p w:rsidR="001A641D" w:rsidRDefault="007E5C0A" w:rsidP="001A641D">
      <w:pPr>
        <w:tabs>
          <w:tab w:val="num" w:pos="709"/>
        </w:tabs>
        <w:rPr>
          <w:lang w:val="en-US"/>
        </w:rPr>
      </w:pPr>
      <w:r>
        <w:rPr>
          <w:lang w:val="en-US"/>
        </w:rPr>
        <w:t>T</w:t>
      </w:r>
      <w:r w:rsidRPr="004D5D80">
        <w:rPr>
          <w:lang w:val="en-US"/>
        </w:rPr>
        <w:t>he CRIS</w:t>
      </w:r>
      <w:r>
        <w:rPr>
          <w:lang w:val="en-US"/>
        </w:rPr>
        <w:t xml:space="preserve"> includes examples </w:t>
      </w:r>
      <w:r w:rsidRPr="004D5D80">
        <w:rPr>
          <w:lang w:val="en-US"/>
        </w:rPr>
        <w:t>(</w:t>
      </w:r>
      <w:r>
        <w:rPr>
          <w:lang w:val="en-US"/>
        </w:rPr>
        <w:t xml:space="preserve">see </w:t>
      </w:r>
      <w:r w:rsidRPr="000523CF">
        <w:rPr>
          <w:lang w:val="en-US"/>
        </w:rPr>
        <w:t xml:space="preserve">pages </w:t>
      </w:r>
      <w:r w:rsidR="003366B4" w:rsidRPr="000523CF">
        <w:rPr>
          <w:lang w:val="en-US"/>
        </w:rPr>
        <w:fldChar w:fldCharType="begin"/>
      </w:r>
      <w:r w:rsidRPr="000523CF">
        <w:rPr>
          <w:lang w:val="en-US"/>
        </w:rPr>
        <w:instrText xml:space="preserve"> PAGEREF _Ref457985748 \h </w:instrText>
      </w:r>
      <w:r w:rsidR="003366B4" w:rsidRPr="000523CF">
        <w:rPr>
          <w:lang w:val="en-US"/>
        </w:rPr>
      </w:r>
      <w:r w:rsidR="003366B4" w:rsidRPr="000523CF">
        <w:rPr>
          <w:lang w:val="en-US"/>
        </w:rPr>
        <w:fldChar w:fldCharType="separate"/>
      </w:r>
      <w:r w:rsidR="00FF3730">
        <w:rPr>
          <w:noProof/>
          <w:lang w:val="en-US"/>
        </w:rPr>
        <w:t>42</w:t>
      </w:r>
      <w:r w:rsidR="003366B4" w:rsidRPr="000523CF">
        <w:rPr>
          <w:lang w:val="en-US"/>
        </w:rPr>
        <w:fldChar w:fldCharType="end"/>
      </w:r>
      <w:r w:rsidRPr="000523CF">
        <w:rPr>
          <w:lang w:val="en-US"/>
        </w:rPr>
        <w:t xml:space="preserve">, </w:t>
      </w:r>
      <w:r w:rsidR="003366B4" w:rsidRPr="000523CF">
        <w:rPr>
          <w:lang w:val="en-US"/>
        </w:rPr>
        <w:fldChar w:fldCharType="begin"/>
      </w:r>
      <w:r w:rsidRPr="000523CF">
        <w:rPr>
          <w:lang w:val="en-US"/>
        </w:rPr>
        <w:instrText xml:space="preserve"> PAGEREF _Ref457985824 \h </w:instrText>
      </w:r>
      <w:r w:rsidR="003366B4" w:rsidRPr="000523CF">
        <w:rPr>
          <w:lang w:val="en-US"/>
        </w:rPr>
      </w:r>
      <w:r w:rsidR="003366B4" w:rsidRPr="000523CF">
        <w:rPr>
          <w:lang w:val="en-US"/>
        </w:rPr>
        <w:fldChar w:fldCharType="separate"/>
      </w:r>
      <w:r w:rsidR="00FF3730">
        <w:rPr>
          <w:noProof/>
          <w:lang w:val="en-US"/>
        </w:rPr>
        <w:t>45</w:t>
      </w:r>
      <w:r w:rsidR="003366B4" w:rsidRPr="000523CF">
        <w:rPr>
          <w:lang w:val="en-US"/>
        </w:rPr>
        <w:fldChar w:fldCharType="end"/>
      </w:r>
      <w:r w:rsidRPr="000523CF">
        <w:rPr>
          <w:lang w:val="en-US"/>
        </w:rPr>
        <w:t xml:space="preserve">, </w:t>
      </w:r>
      <w:r w:rsidR="003366B4" w:rsidRPr="000523CF">
        <w:rPr>
          <w:lang w:val="en-US"/>
        </w:rPr>
        <w:fldChar w:fldCharType="begin"/>
      </w:r>
      <w:r w:rsidRPr="000523CF">
        <w:rPr>
          <w:lang w:val="en-US"/>
        </w:rPr>
        <w:instrText xml:space="preserve"> PAGEREF _Ref457985829 \h </w:instrText>
      </w:r>
      <w:r w:rsidR="003366B4" w:rsidRPr="000523CF">
        <w:rPr>
          <w:lang w:val="en-US"/>
        </w:rPr>
      </w:r>
      <w:r w:rsidR="003366B4" w:rsidRPr="000523CF">
        <w:rPr>
          <w:lang w:val="en-US"/>
        </w:rPr>
        <w:fldChar w:fldCharType="separate"/>
      </w:r>
      <w:r w:rsidR="00FF3730">
        <w:rPr>
          <w:noProof/>
          <w:lang w:val="en-US"/>
        </w:rPr>
        <w:t>46</w:t>
      </w:r>
      <w:r w:rsidR="003366B4" w:rsidRPr="000523CF">
        <w:rPr>
          <w:lang w:val="en-US"/>
        </w:rPr>
        <w:fldChar w:fldCharType="end"/>
      </w:r>
      <w:r w:rsidRPr="000523CF">
        <w:rPr>
          <w:lang w:val="en-US"/>
        </w:rPr>
        <w:t xml:space="preserve">, </w:t>
      </w:r>
      <w:r w:rsidR="003366B4" w:rsidRPr="000523CF">
        <w:rPr>
          <w:lang w:val="en-US"/>
        </w:rPr>
        <w:fldChar w:fldCharType="begin"/>
      </w:r>
      <w:r w:rsidRPr="000523CF">
        <w:rPr>
          <w:lang w:val="en-US"/>
        </w:rPr>
        <w:instrText xml:space="preserve"> PAGEREF _Ref457985835 \h </w:instrText>
      </w:r>
      <w:r w:rsidR="003366B4" w:rsidRPr="000523CF">
        <w:rPr>
          <w:lang w:val="en-US"/>
        </w:rPr>
      </w:r>
      <w:r w:rsidR="003366B4" w:rsidRPr="000523CF">
        <w:rPr>
          <w:lang w:val="en-US"/>
        </w:rPr>
        <w:fldChar w:fldCharType="separate"/>
      </w:r>
      <w:r w:rsidR="00FF3730">
        <w:rPr>
          <w:noProof/>
          <w:lang w:val="en-US"/>
        </w:rPr>
        <w:t>49</w:t>
      </w:r>
      <w:r w:rsidR="003366B4" w:rsidRPr="000523CF">
        <w:rPr>
          <w:lang w:val="en-US"/>
        </w:rPr>
        <w:fldChar w:fldCharType="end"/>
      </w:r>
      <w:r w:rsidRPr="000523CF">
        <w:rPr>
          <w:lang w:val="en-US"/>
        </w:rPr>
        <w:t xml:space="preserve"> and </w:t>
      </w:r>
      <w:r w:rsidR="003366B4" w:rsidRPr="000523CF">
        <w:rPr>
          <w:lang w:val="en-US"/>
        </w:rPr>
        <w:fldChar w:fldCharType="begin"/>
      </w:r>
      <w:r w:rsidRPr="000523CF">
        <w:rPr>
          <w:lang w:val="en-US"/>
        </w:rPr>
        <w:instrText xml:space="preserve"> PAGEREF _Ref457985840 \h </w:instrText>
      </w:r>
      <w:r w:rsidR="003366B4" w:rsidRPr="000523CF">
        <w:rPr>
          <w:lang w:val="en-US"/>
        </w:rPr>
      </w:r>
      <w:r w:rsidR="003366B4" w:rsidRPr="000523CF">
        <w:rPr>
          <w:lang w:val="en-US"/>
        </w:rPr>
        <w:fldChar w:fldCharType="separate"/>
      </w:r>
      <w:r w:rsidR="00FF3730">
        <w:rPr>
          <w:noProof/>
          <w:lang w:val="en-US"/>
        </w:rPr>
        <w:t>53</w:t>
      </w:r>
      <w:r w:rsidR="003366B4" w:rsidRPr="000523CF">
        <w:rPr>
          <w:lang w:val="en-US"/>
        </w:rPr>
        <w:fldChar w:fldCharType="end"/>
      </w:r>
      <w:r w:rsidRPr="000523CF">
        <w:rPr>
          <w:lang w:val="en-US"/>
        </w:rPr>
        <w:t>), which</w:t>
      </w:r>
      <w:r>
        <w:rPr>
          <w:lang w:val="en-US"/>
        </w:rPr>
        <w:t xml:space="preserve"> </w:t>
      </w:r>
      <w:r w:rsidRPr="004D5D80">
        <w:rPr>
          <w:lang w:val="en-US"/>
        </w:rPr>
        <w:t xml:space="preserve">demonstrate how different complexity </w:t>
      </w:r>
      <w:r>
        <w:rPr>
          <w:lang w:val="en-US"/>
        </w:rPr>
        <w:t>fees</w:t>
      </w:r>
      <w:r w:rsidRPr="004D5D80">
        <w:rPr>
          <w:lang w:val="en-US"/>
        </w:rPr>
        <w:t xml:space="preserve"> may apply to projects under each assessment</w:t>
      </w:r>
      <w:r w:rsidRPr="00FC12C4">
        <w:rPr>
          <w:lang w:val="en-US"/>
        </w:rPr>
        <w:t xml:space="preserve"> method. </w:t>
      </w:r>
      <w:r>
        <w:rPr>
          <w:lang w:val="en-US"/>
        </w:rPr>
        <w:t>Examples are provided for illustrative purposes only. The total fees for individual projects are determined based on the specific complexity of those projects.</w:t>
      </w:r>
    </w:p>
    <w:p w:rsidR="001A641D" w:rsidRDefault="007E5C0A" w:rsidP="001A641D">
      <w:pPr>
        <w:pStyle w:val="Heading4"/>
        <w:rPr>
          <w:lang w:val="en-US"/>
        </w:rPr>
      </w:pPr>
      <w:bookmarkStart w:id="1465" w:name="_Ref457993827"/>
      <w:r w:rsidRPr="00CA3ABF">
        <w:rPr>
          <w:lang w:val="en-US"/>
        </w:rPr>
        <w:t>Opportunities for applicants to reduce complexity fees</w:t>
      </w:r>
      <w:bookmarkEnd w:id="1465"/>
      <w:r w:rsidRPr="00CA3ABF">
        <w:rPr>
          <w:lang w:val="en-US"/>
        </w:rPr>
        <w:t xml:space="preserve"> </w:t>
      </w:r>
    </w:p>
    <w:p w:rsidR="001A641D" w:rsidRPr="00293769" w:rsidRDefault="007E5C0A" w:rsidP="001A641D">
      <w:r>
        <w:t xml:space="preserve">The Department advises the applicant of the level of complexity fees </w:t>
      </w:r>
      <w:r>
        <w:rPr>
          <w:lang w:val="en-US"/>
        </w:rPr>
        <w:t>at the time of the assessment approach decision.</w:t>
      </w:r>
      <w:r>
        <w:rPr>
          <w:rStyle w:val="FootnoteReference"/>
          <w:sz w:val="20"/>
          <w:szCs w:val="20"/>
          <w:lang w:val="en-US"/>
        </w:rPr>
        <w:footnoteReference w:id="11"/>
      </w:r>
      <w:r>
        <w:rPr>
          <w:lang w:val="en-US"/>
        </w:rPr>
        <w:t xml:space="preserve"> </w:t>
      </w:r>
      <w:r w:rsidRPr="00293769">
        <w:t>The charging methodology for complexity enables applicants to potentially reduce the overall fees for their assessment by several means. For example the applicant can:</w:t>
      </w:r>
    </w:p>
    <w:p w:rsidR="001A641D" w:rsidRDefault="007E5C0A" w:rsidP="001A641D">
      <w:pPr>
        <w:pStyle w:val="ListBullet"/>
      </w:pPr>
      <w:r w:rsidRPr="00293769">
        <w:t xml:space="preserve">propose to take the action in such a way that the action triggers fewer controlling provisions, or fewer individual matters within the controlling provisions, by avoiding or minimising the potential impacts on particular matters of national environmental significance; </w:t>
      </w:r>
      <w:r>
        <w:t>and/or</w:t>
      </w:r>
    </w:p>
    <w:p w:rsidR="001A641D" w:rsidRPr="00293769" w:rsidRDefault="007E5C0A" w:rsidP="001A641D">
      <w:pPr>
        <w:pStyle w:val="ListBullet"/>
      </w:pPr>
      <w:r>
        <w:t xml:space="preserve">provide sufficient information in the referral documentation to demonstrate that individual matters will not be significantly impacted and do not require assessment; and/or </w:t>
      </w:r>
    </w:p>
    <w:p w:rsidR="001A641D" w:rsidRPr="00293769" w:rsidRDefault="007E5C0A" w:rsidP="001A641D">
      <w:pPr>
        <w:pStyle w:val="ListBullet"/>
      </w:pPr>
      <w:r w:rsidRPr="00293769">
        <w:t>provide comprehensive information about the action and its impacts, making the assessment less time consuming for the Department to conduct.</w:t>
      </w:r>
    </w:p>
    <w:p w:rsidR="001A641D" w:rsidRDefault="007E5C0A" w:rsidP="001A641D">
      <w:pPr>
        <w:keepLines/>
        <w:rPr>
          <w:lang w:val="en-US"/>
        </w:rPr>
      </w:pPr>
      <w:r>
        <w:rPr>
          <w:lang w:eastAsia="en-AU"/>
        </w:rPr>
        <w:t xml:space="preserve">Applicants have a further opportunity to reduce </w:t>
      </w:r>
      <w:r>
        <w:rPr>
          <w:lang w:val="en-US"/>
        </w:rPr>
        <w:t xml:space="preserve">the Part B </w:t>
      </w:r>
      <w:r>
        <w:rPr>
          <w:lang w:eastAsia="en-AU"/>
        </w:rPr>
        <w:t>“</w:t>
      </w:r>
      <w:r w:rsidRPr="00C57500">
        <w:rPr>
          <w:lang w:eastAsia="en-AU"/>
        </w:rPr>
        <w:t>adequacy of information</w:t>
      </w:r>
      <w:r>
        <w:rPr>
          <w:lang w:eastAsia="en-AU"/>
        </w:rPr>
        <w:t>”</w:t>
      </w:r>
      <w:r w:rsidRPr="00C57500">
        <w:rPr>
          <w:lang w:eastAsia="en-AU"/>
        </w:rPr>
        <w:t xml:space="preserve"> and </w:t>
      </w:r>
      <w:r>
        <w:rPr>
          <w:lang w:eastAsia="en-AU"/>
        </w:rPr>
        <w:t>“</w:t>
      </w:r>
      <w:r w:rsidRPr="00C57500">
        <w:rPr>
          <w:lang w:eastAsia="en-AU"/>
        </w:rPr>
        <w:t>clarity of project scope</w:t>
      </w:r>
      <w:r>
        <w:rPr>
          <w:lang w:eastAsia="en-AU"/>
        </w:rPr>
        <w:t>”</w:t>
      </w:r>
      <w:r w:rsidRPr="00C57500">
        <w:rPr>
          <w:lang w:eastAsia="en-AU"/>
        </w:rPr>
        <w:t xml:space="preserve"> </w:t>
      </w:r>
      <w:r>
        <w:rPr>
          <w:lang w:eastAsia="en-AU"/>
        </w:rPr>
        <w:t xml:space="preserve">complexity fees </w:t>
      </w:r>
      <w:r w:rsidRPr="00C57500">
        <w:rPr>
          <w:lang w:eastAsia="en-AU"/>
        </w:rPr>
        <w:t xml:space="preserve">(shown in rows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w:t>
      </w:r>
      <w:r w:rsidRPr="00C57500">
        <w:rPr>
          <w:lang w:eastAsia="en-AU"/>
        </w:rPr>
        <w:t xml:space="preserve">in complexity </w:t>
      </w:r>
      <w:r>
        <w:rPr>
          <w:lang w:eastAsia="en-AU"/>
        </w:rPr>
        <w:t xml:space="preserve">fee </w:t>
      </w:r>
      <w:r w:rsidRPr="00C57500">
        <w:rPr>
          <w:lang w:eastAsia="en-AU"/>
        </w:rPr>
        <w:t>matrix)</w:t>
      </w:r>
      <w:r>
        <w:rPr>
          <w:lang w:eastAsia="en-AU"/>
        </w:rPr>
        <w:t xml:space="preserve"> </w:t>
      </w:r>
      <w:r w:rsidRPr="00C57500">
        <w:rPr>
          <w:lang w:eastAsia="en-AU"/>
        </w:rPr>
        <w:t xml:space="preserve">during the assessment process. </w:t>
      </w:r>
      <w:r w:rsidRPr="00C57500">
        <w:rPr>
          <w:lang w:val="en-US"/>
        </w:rPr>
        <w:t xml:space="preserve">The </w:t>
      </w:r>
      <w:r>
        <w:rPr>
          <w:lang w:val="en-US"/>
        </w:rPr>
        <w:t xml:space="preserve">Department advises applicants of the </w:t>
      </w:r>
      <w:r w:rsidRPr="00C57500">
        <w:rPr>
          <w:lang w:val="en-US"/>
        </w:rPr>
        <w:t>maximum liability for complexity fees</w:t>
      </w:r>
      <w:r>
        <w:rPr>
          <w:lang w:val="en-US"/>
        </w:rPr>
        <w:t xml:space="preserve"> in rows</w:t>
      </w:r>
      <w:r w:rsidRPr="00C57500">
        <w:rPr>
          <w:lang w:val="en-US"/>
        </w:rPr>
        <w:t xml:space="preserve"> </w:t>
      </w:r>
      <w:r>
        <w:rPr>
          <w:lang w:eastAsia="en-AU"/>
        </w:rPr>
        <w:t>M</w:t>
      </w:r>
      <w:r w:rsidRPr="00A70225">
        <w:rPr>
          <w:lang w:eastAsia="en-AU"/>
        </w:rPr>
        <w:t xml:space="preserve">, </w:t>
      </w:r>
      <w:r>
        <w:rPr>
          <w:lang w:eastAsia="en-AU"/>
        </w:rPr>
        <w:t>N</w:t>
      </w:r>
      <w:r w:rsidRPr="00A70225">
        <w:rPr>
          <w:lang w:eastAsia="en-AU"/>
        </w:rPr>
        <w:t xml:space="preserve">, </w:t>
      </w:r>
      <w:r>
        <w:rPr>
          <w:lang w:eastAsia="en-AU"/>
        </w:rPr>
        <w:t>and O</w:t>
      </w:r>
      <w:r w:rsidRPr="00A70225">
        <w:rPr>
          <w:lang w:eastAsia="en-AU"/>
        </w:rPr>
        <w:t xml:space="preserve"> </w:t>
      </w:r>
      <w:r w:rsidRPr="00C57500">
        <w:rPr>
          <w:lang w:val="en-US"/>
        </w:rPr>
        <w:t>at the time of the assessment approach decision, based on the information provided in the referral documentation</w:t>
      </w:r>
      <w:r>
        <w:rPr>
          <w:lang w:val="en-US"/>
        </w:rPr>
        <w:t>.</w:t>
      </w:r>
      <w:r w:rsidRPr="00C57500">
        <w:rPr>
          <w:lang w:val="en-US"/>
        </w:rPr>
        <w:t xml:space="preserve"> </w:t>
      </w:r>
      <w:r>
        <w:rPr>
          <w:lang w:val="en-US"/>
        </w:rPr>
        <w:t>However, these components of the fees are</w:t>
      </w:r>
      <w:r w:rsidRPr="00C57500">
        <w:rPr>
          <w:lang w:val="en-US"/>
        </w:rPr>
        <w:t xml:space="preserve"> not payable until stage</w:t>
      </w:r>
      <w:r>
        <w:rPr>
          <w:lang w:val="en-US"/>
        </w:rPr>
        <w:t>s</w:t>
      </w:r>
      <w:r w:rsidRPr="00C57500">
        <w:rPr>
          <w:lang w:val="en-US"/>
        </w:rPr>
        <w:t xml:space="preserve"> 3 and 4 of the assessment. </w:t>
      </w:r>
    </w:p>
    <w:p w:rsidR="001A641D" w:rsidRDefault="007E5C0A" w:rsidP="001A641D">
      <w:r w:rsidRPr="00C57500">
        <w:rPr>
          <w:lang w:val="en-US"/>
        </w:rPr>
        <w:t xml:space="preserve">The </w:t>
      </w:r>
      <w:r>
        <w:rPr>
          <w:lang w:val="en-US"/>
        </w:rPr>
        <w:t>D</w:t>
      </w:r>
      <w:r w:rsidRPr="00C57500">
        <w:rPr>
          <w:lang w:val="en-US"/>
        </w:rPr>
        <w:t xml:space="preserve">epartment acknowledges that sometimes </w:t>
      </w:r>
      <w:r>
        <w:rPr>
          <w:lang w:val="en-US"/>
        </w:rPr>
        <w:t xml:space="preserve">the applicant does not have </w:t>
      </w:r>
      <w:r w:rsidRPr="00C57500">
        <w:rPr>
          <w:lang w:val="en-US"/>
        </w:rPr>
        <w:t xml:space="preserve">all information regarding a </w:t>
      </w:r>
      <w:r>
        <w:rPr>
          <w:lang w:val="en-US"/>
        </w:rPr>
        <w:t xml:space="preserve">proposed action </w:t>
      </w:r>
      <w:r w:rsidRPr="00C57500">
        <w:rPr>
          <w:lang w:val="en-US"/>
        </w:rPr>
        <w:t xml:space="preserve">at the time of the referral, and that </w:t>
      </w:r>
      <w:r>
        <w:rPr>
          <w:lang w:val="en-US"/>
        </w:rPr>
        <w:t xml:space="preserve">an applicant will often be able to provide </w:t>
      </w:r>
      <w:r w:rsidRPr="00C57500">
        <w:rPr>
          <w:lang w:val="en-US"/>
        </w:rPr>
        <w:t>more adequate information in the draft assessment documentation. Therefore</w:t>
      </w:r>
      <w:r>
        <w:rPr>
          <w:lang w:val="en-US"/>
        </w:rPr>
        <w:t>,</w:t>
      </w:r>
      <w:r w:rsidRPr="00C57500">
        <w:rPr>
          <w:lang w:val="en-US"/>
        </w:rPr>
        <w:t xml:space="preserve"> </w:t>
      </w:r>
      <w:r>
        <w:rPr>
          <w:lang w:val="en-US"/>
        </w:rPr>
        <w:t xml:space="preserve">the Department may reassess the Part B </w:t>
      </w:r>
      <w:r w:rsidRPr="00C57500">
        <w:rPr>
          <w:lang w:val="en-US"/>
        </w:rPr>
        <w:t xml:space="preserve">complexity </w:t>
      </w:r>
      <w:r>
        <w:rPr>
          <w:lang w:val="en-US"/>
        </w:rPr>
        <w:t xml:space="preserve">and reduce the associated </w:t>
      </w:r>
      <w:r w:rsidRPr="00C57500">
        <w:rPr>
          <w:lang w:val="en-US"/>
        </w:rPr>
        <w:t>fees when</w:t>
      </w:r>
      <w:r w:rsidRPr="00C57500">
        <w:t xml:space="preserve"> </w:t>
      </w:r>
      <w:r>
        <w:t>the applicant better defines the s</w:t>
      </w:r>
      <w:r w:rsidRPr="00C57500">
        <w:t>cope</w:t>
      </w:r>
      <w:r>
        <w:t xml:space="preserve"> of the proposed action</w:t>
      </w:r>
      <w:r w:rsidRPr="00C57500">
        <w:t xml:space="preserve"> and</w:t>
      </w:r>
      <w:r>
        <w:t xml:space="preserve">/or proposed </w:t>
      </w:r>
      <w:r w:rsidRPr="00C57500">
        <w:t xml:space="preserve">management measures in </w:t>
      </w:r>
      <w:r>
        <w:t xml:space="preserve">the </w:t>
      </w:r>
      <w:r w:rsidRPr="00C57500">
        <w:t xml:space="preserve">draft assessment documentation. </w:t>
      </w:r>
    </w:p>
    <w:p w:rsidR="001A641D" w:rsidRDefault="007E5C0A" w:rsidP="001A641D">
      <w:r w:rsidRPr="00040345">
        <w:t>Th</w:t>
      </w:r>
      <w:r>
        <w:t>e Part B complexity</w:t>
      </w:r>
      <w:r w:rsidRPr="00040345">
        <w:t xml:space="preserve"> </w:t>
      </w:r>
      <w:r>
        <w:t xml:space="preserve">fees </w:t>
      </w:r>
      <w:r w:rsidRPr="00040345">
        <w:t>do not apply to assessments on referral information</w:t>
      </w:r>
      <w:r>
        <w:t xml:space="preserve"> or assessments on preliminary documentation with no further information required, as to be eligible for these</w:t>
      </w:r>
      <w:r w:rsidRPr="00040345">
        <w:t xml:space="preserve"> assessment method</w:t>
      </w:r>
      <w:r>
        <w:t>s</w:t>
      </w:r>
      <w:r w:rsidRPr="00040345">
        <w:t xml:space="preserve"> the information provided at the referral stage must be sufficient so that no further information is required</w:t>
      </w:r>
      <w:r w:rsidRPr="0066417E">
        <w:t>.</w:t>
      </w:r>
      <w:r>
        <w:t xml:space="preserve"> </w:t>
      </w:r>
    </w:p>
    <w:p w:rsidR="001A641D" w:rsidRPr="000523CF" w:rsidRDefault="007E5C0A" w:rsidP="001A641D">
      <w:r w:rsidRPr="00C57500">
        <w:rPr>
          <w:lang w:val="en-US"/>
        </w:rPr>
        <w:t>T</w:t>
      </w:r>
      <w:r w:rsidRPr="00C57500">
        <w:t xml:space="preserve">he final applicable fees for </w:t>
      </w:r>
      <w:r>
        <w:t xml:space="preserve">Part B complexity </w:t>
      </w:r>
      <w:r w:rsidRPr="00C57500">
        <w:t xml:space="preserve">are confirmed after the draft assessment documentation is received by the </w:t>
      </w:r>
      <w:r>
        <w:t>D</w:t>
      </w:r>
      <w:r w:rsidRPr="00C57500">
        <w:t>epartment</w:t>
      </w:r>
      <w:r>
        <w:t xml:space="preserve"> (during stage 2)</w:t>
      </w:r>
      <w:r w:rsidRPr="00C57500">
        <w:t xml:space="preserve">, and are </w:t>
      </w:r>
      <w:r>
        <w:t xml:space="preserve">then </w:t>
      </w:r>
      <w:r w:rsidRPr="00C57500">
        <w:t xml:space="preserve">payable across the remaining stages of </w:t>
      </w:r>
      <w:r w:rsidRPr="000523CF">
        <w:t>the assessment (stages 3 &amp; 4).</w:t>
      </w:r>
    </w:p>
    <w:p w:rsidR="001A641D" w:rsidRDefault="007E5C0A" w:rsidP="001A641D">
      <w:pPr>
        <w:rPr>
          <w:lang w:val="en-US"/>
        </w:rPr>
      </w:pPr>
      <w:r w:rsidRPr="000523CF">
        <w:t xml:space="preserve">See examples 2 and 3 on pages </w:t>
      </w:r>
      <w:r w:rsidR="003366B4" w:rsidRPr="000523CF">
        <w:fldChar w:fldCharType="begin"/>
      </w:r>
      <w:r w:rsidRPr="000523CF">
        <w:instrText xml:space="preserve"> PAGEREF _Ref457985868 \h </w:instrText>
      </w:r>
      <w:r w:rsidR="003366B4" w:rsidRPr="000523CF">
        <w:fldChar w:fldCharType="separate"/>
      </w:r>
      <w:r w:rsidR="00FF3730">
        <w:rPr>
          <w:noProof/>
        </w:rPr>
        <w:t>45</w:t>
      </w:r>
      <w:r w:rsidR="003366B4" w:rsidRPr="000523CF">
        <w:fldChar w:fldCharType="end"/>
      </w:r>
      <w:r w:rsidRPr="000523CF">
        <w:t xml:space="preserve"> and </w:t>
      </w:r>
      <w:r w:rsidR="003366B4" w:rsidRPr="000523CF">
        <w:fldChar w:fldCharType="begin"/>
      </w:r>
      <w:r w:rsidRPr="000523CF">
        <w:instrText xml:space="preserve"> PAGEREF _Ref457985873 \h </w:instrText>
      </w:r>
      <w:r w:rsidR="003366B4" w:rsidRPr="000523CF">
        <w:fldChar w:fldCharType="separate"/>
      </w:r>
      <w:r w:rsidR="00FF3730">
        <w:rPr>
          <w:noProof/>
        </w:rPr>
        <w:t>46</w:t>
      </w:r>
      <w:r w:rsidR="003366B4" w:rsidRPr="000523CF">
        <w:fldChar w:fldCharType="end"/>
      </w:r>
      <w:r w:rsidRPr="000523CF">
        <w:t xml:space="preserve"> for</w:t>
      </w:r>
      <w:r>
        <w:t xml:space="preserve"> more information.</w:t>
      </w:r>
      <w:r w:rsidRPr="00C57500">
        <w:t xml:space="preserve">  </w:t>
      </w:r>
      <w:r w:rsidRPr="00C57500">
        <w:rPr>
          <w:lang w:val="en-US"/>
        </w:rPr>
        <w:t xml:space="preserve"> </w:t>
      </w:r>
    </w:p>
    <w:p w:rsidR="001A641D" w:rsidRDefault="007E5C0A" w:rsidP="001A641D">
      <w:pPr>
        <w:pStyle w:val="Heading4"/>
        <w:rPr>
          <w:lang w:val="en-US"/>
        </w:rPr>
      </w:pPr>
      <w:r w:rsidRPr="004D26AA">
        <w:rPr>
          <w:lang w:val="en-US"/>
        </w:rPr>
        <w:t xml:space="preserve">Fee points for complexity </w:t>
      </w:r>
    </w:p>
    <w:p w:rsidR="001A641D" w:rsidRDefault="007E5C0A" w:rsidP="001A641D">
      <w:pPr>
        <w:tabs>
          <w:tab w:val="num" w:pos="709"/>
        </w:tabs>
      </w:pPr>
      <w:r>
        <w:rPr>
          <w:lang w:val="en-US"/>
        </w:rPr>
        <w:t>Applicants pay the following complexity fees (Part A complexity fees) in instalments across</w:t>
      </w:r>
      <w:r w:rsidRPr="00FC12C4">
        <w:rPr>
          <w:lang w:val="en-US"/>
        </w:rPr>
        <w:t xml:space="preserve"> </w:t>
      </w:r>
      <w:r>
        <w:rPr>
          <w:lang w:val="en-US"/>
        </w:rPr>
        <w:t xml:space="preserve">all stages of the assessment: </w:t>
      </w:r>
    </w:p>
    <w:p w:rsidR="001A641D" w:rsidRPr="008F17D2" w:rsidRDefault="007E5C0A" w:rsidP="001A641D">
      <w:pPr>
        <w:pStyle w:val="ListBullet"/>
      </w:pPr>
      <w:r>
        <w:t>c</w:t>
      </w:r>
      <w:r w:rsidRPr="00CA3ABF">
        <w:t xml:space="preserve">ontrolling provision fees (shown in rows A to J in the complexity </w:t>
      </w:r>
      <w:r>
        <w:t xml:space="preserve">fee </w:t>
      </w:r>
      <w:r w:rsidRPr="00CA3ABF">
        <w:t>matrix)</w:t>
      </w:r>
      <w:r>
        <w:t>;</w:t>
      </w:r>
    </w:p>
    <w:p w:rsidR="001A641D" w:rsidRPr="008F17D2" w:rsidRDefault="007E5C0A" w:rsidP="001A641D">
      <w:pPr>
        <w:pStyle w:val="ListBullet"/>
      </w:pPr>
      <w:r>
        <w:t>n</w:t>
      </w:r>
      <w:r w:rsidRPr="00CA3ABF">
        <w:t xml:space="preserve">umber of project component fees (shown in row K in the complexity </w:t>
      </w:r>
      <w:r>
        <w:t xml:space="preserve">fee </w:t>
      </w:r>
      <w:r w:rsidRPr="00CA3ABF">
        <w:t>matrix)</w:t>
      </w:r>
      <w:r>
        <w:t>;</w:t>
      </w:r>
      <w:r w:rsidRPr="00CA3ABF">
        <w:t xml:space="preserve"> </w:t>
      </w:r>
    </w:p>
    <w:p w:rsidR="001A641D" w:rsidRPr="008F17D2" w:rsidRDefault="007E5C0A" w:rsidP="001A641D">
      <w:pPr>
        <w:pStyle w:val="ListBullet"/>
      </w:pPr>
      <w:r>
        <w:t>c</w:t>
      </w:r>
      <w:r w:rsidRPr="00CA3ABF">
        <w:t xml:space="preserve">oordination with other legislation (shown in row L in the complexity </w:t>
      </w:r>
      <w:r>
        <w:t xml:space="preserve">fee </w:t>
      </w:r>
      <w:r w:rsidRPr="00CA3ABF">
        <w:t>matrix)</w:t>
      </w:r>
      <w:r>
        <w:t xml:space="preserve">; </w:t>
      </w:r>
      <w:r w:rsidRPr="00CA3ABF">
        <w:t xml:space="preserve">and </w:t>
      </w:r>
    </w:p>
    <w:p w:rsidR="001A641D" w:rsidRPr="008F17D2" w:rsidRDefault="007E5C0A" w:rsidP="001A641D">
      <w:pPr>
        <w:pStyle w:val="ListBullet"/>
      </w:pPr>
      <w:r>
        <w:t>e</w:t>
      </w:r>
      <w:r w:rsidRPr="00CA3ABF">
        <w:t xml:space="preserve">xceptional circumstance fee (shown in row P in the complexity </w:t>
      </w:r>
      <w:r>
        <w:t xml:space="preserve">fee </w:t>
      </w:r>
      <w:r w:rsidRPr="00CA3ABF">
        <w:t xml:space="preserve">matrix). </w:t>
      </w:r>
    </w:p>
    <w:p w:rsidR="001A641D" w:rsidRDefault="007E5C0A" w:rsidP="001A641D">
      <w:pPr>
        <w:tabs>
          <w:tab w:val="num" w:pos="709"/>
        </w:tabs>
        <w:rPr>
          <w:lang w:val="en-US"/>
        </w:rPr>
      </w:pPr>
      <w:r>
        <w:rPr>
          <w:lang w:val="en-US"/>
        </w:rPr>
        <w:t xml:space="preserve">Applicants will also need to pay the following complexity fees </w:t>
      </w:r>
      <w:r w:rsidRPr="00A70225">
        <w:rPr>
          <w:lang w:eastAsia="en-AU"/>
        </w:rPr>
        <w:t>(</w:t>
      </w:r>
      <w:r>
        <w:rPr>
          <w:lang w:eastAsia="en-AU"/>
        </w:rPr>
        <w:t>Part B complexity fees)</w:t>
      </w:r>
      <w:r>
        <w:rPr>
          <w:lang w:val="en-US"/>
        </w:rPr>
        <w:t xml:space="preserve"> in instalments across stages 3-4 of the assessment:</w:t>
      </w:r>
    </w:p>
    <w:p w:rsidR="001A641D" w:rsidRPr="00C72C5D" w:rsidRDefault="007E5C0A" w:rsidP="001A641D">
      <w:pPr>
        <w:pStyle w:val="ListBullet"/>
        <w:rPr>
          <w:lang w:val="en-US"/>
        </w:rPr>
      </w:pPr>
      <w:r w:rsidRPr="00A70225">
        <w:rPr>
          <w:lang w:eastAsia="en-AU"/>
        </w:rPr>
        <w:t xml:space="preserve">adequacy of information </w:t>
      </w:r>
      <w:r>
        <w:rPr>
          <w:lang w:eastAsia="en-AU"/>
        </w:rPr>
        <w:t>(</w:t>
      </w:r>
      <w:r w:rsidRPr="00A70225">
        <w:rPr>
          <w:lang w:eastAsia="en-AU"/>
        </w:rPr>
        <w:t xml:space="preserve">shown in rows </w:t>
      </w:r>
      <w:r>
        <w:rPr>
          <w:lang w:eastAsia="en-AU"/>
        </w:rPr>
        <w:t xml:space="preserve">M and N </w:t>
      </w:r>
      <w:r w:rsidRPr="00A70225">
        <w:rPr>
          <w:lang w:eastAsia="en-AU"/>
        </w:rPr>
        <w:t xml:space="preserve">in </w:t>
      </w:r>
      <w:r>
        <w:rPr>
          <w:lang w:eastAsia="en-AU"/>
        </w:rPr>
        <w:t xml:space="preserve">the </w:t>
      </w:r>
      <w:r w:rsidRPr="00A70225">
        <w:rPr>
          <w:lang w:eastAsia="en-AU"/>
        </w:rPr>
        <w:t xml:space="preserve">complexity </w:t>
      </w:r>
      <w:r>
        <w:rPr>
          <w:lang w:eastAsia="en-AU"/>
        </w:rPr>
        <w:t xml:space="preserve">fee </w:t>
      </w:r>
      <w:r w:rsidRPr="00A70225">
        <w:rPr>
          <w:lang w:eastAsia="en-AU"/>
        </w:rPr>
        <w:t>matrix)</w:t>
      </w:r>
      <w:r>
        <w:rPr>
          <w:lang w:eastAsia="en-AU"/>
        </w:rPr>
        <w:t xml:space="preserve">; </w:t>
      </w:r>
      <w:r w:rsidRPr="00A70225">
        <w:rPr>
          <w:lang w:eastAsia="en-AU"/>
        </w:rPr>
        <w:t xml:space="preserve">and </w:t>
      </w:r>
    </w:p>
    <w:p w:rsidR="001A641D" w:rsidRDefault="007E5C0A" w:rsidP="001A641D">
      <w:pPr>
        <w:pStyle w:val="ListBullet"/>
        <w:rPr>
          <w:lang w:val="en-US"/>
        </w:rPr>
      </w:pPr>
      <w:r w:rsidRPr="00A70225">
        <w:rPr>
          <w:lang w:eastAsia="en-AU"/>
        </w:rPr>
        <w:t>clarity of project scope</w:t>
      </w:r>
      <w:r>
        <w:rPr>
          <w:lang w:eastAsia="en-AU"/>
        </w:rPr>
        <w:t xml:space="preserve"> (shown in row</w:t>
      </w:r>
      <w:r w:rsidRPr="00A70225">
        <w:rPr>
          <w:lang w:eastAsia="en-AU"/>
        </w:rPr>
        <w:t xml:space="preserve"> </w:t>
      </w:r>
      <w:r>
        <w:rPr>
          <w:lang w:eastAsia="en-AU"/>
        </w:rPr>
        <w:t>O</w:t>
      </w:r>
      <w:r w:rsidRPr="00A70225">
        <w:rPr>
          <w:lang w:eastAsia="en-AU"/>
        </w:rPr>
        <w:t xml:space="preserve"> in </w:t>
      </w:r>
      <w:r>
        <w:rPr>
          <w:lang w:eastAsia="en-AU"/>
        </w:rPr>
        <w:t xml:space="preserve">the </w:t>
      </w:r>
      <w:r w:rsidRPr="00A70225">
        <w:rPr>
          <w:lang w:eastAsia="en-AU"/>
        </w:rPr>
        <w:t xml:space="preserve">complexity </w:t>
      </w:r>
      <w:r>
        <w:rPr>
          <w:lang w:eastAsia="en-AU"/>
        </w:rPr>
        <w:t xml:space="preserve">fee </w:t>
      </w:r>
      <w:r w:rsidRPr="00A70225">
        <w:rPr>
          <w:lang w:eastAsia="en-AU"/>
        </w:rPr>
        <w:t>matrix)</w:t>
      </w:r>
      <w:r>
        <w:rPr>
          <w:lang w:eastAsia="en-AU"/>
        </w:rPr>
        <w:t>.</w:t>
      </w:r>
    </w:p>
    <w:p w:rsidR="001A641D" w:rsidRDefault="007E5C0A" w:rsidP="001A641D">
      <w:pPr>
        <w:tabs>
          <w:tab w:val="num" w:pos="709"/>
        </w:tabs>
        <w:rPr>
          <w:lang w:val="en-US"/>
        </w:rPr>
      </w:pPr>
      <w:r>
        <w:rPr>
          <w:lang w:val="en-US"/>
        </w:rPr>
        <w:t>The Part B complexity fees are only applicable to the latter stages of the assessment as the information available to determine this type of complexity may be provided during the earlier stages. Part B fees are not applicable for assessments on referral information, or assessments on preliminary documentation where no further information is required, as these assessment methods can only be used when adequate information relevant to the assessment is provided in the referral documentation.</w:t>
      </w:r>
    </w:p>
    <w:p w:rsidR="001A641D" w:rsidRDefault="007E5C0A" w:rsidP="001A641D">
      <w:pPr>
        <w:tabs>
          <w:tab w:val="num" w:pos="709"/>
        </w:tabs>
        <w:rPr>
          <w:lang w:val="en-US"/>
        </w:rPr>
      </w:pPr>
      <w:r>
        <w:rPr>
          <w:lang w:val="en-US"/>
        </w:rPr>
        <w:t xml:space="preserve">The fee schedule </w:t>
      </w:r>
      <w:r w:rsidRPr="000523CF">
        <w:rPr>
          <w:lang w:val="en-US"/>
        </w:rPr>
        <w:t>at Appendix A sets</w:t>
      </w:r>
      <w:r>
        <w:rPr>
          <w:lang w:val="en-US"/>
        </w:rPr>
        <w:t xml:space="preserve"> out the proportion of complexity fees payable at each stage for each assessment method.</w:t>
      </w:r>
    </w:p>
    <w:p w:rsidR="001A641D" w:rsidRDefault="007E5C0A" w:rsidP="001A641D">
      <w:pPr>
        <w:pStyle w:val="Heading3"/>
        <w:ind w:left="0" w:firstLine="0"/>
      </w:pPr>
      <w:bookmarkStart w:id="1466" w:name="_Toc256000355"/>
      <w:bookmarkStart w:id="1467" w:name="_Toc256000247"/>
      <w:bookmarkStart w:id="1468" w:name="_Toc256000139"/>
      <w:bookmarkStart w:id="1469" w:name="_Toc256000031"/>
      <w:bookmarkStart w:id="1470" w:name="_Toc458170535"/>
      <w:r>
        <w:t>Reconsideration of fees</w:t>
      </w:r>
      <w:bookmarkEnd w:id="1466"/>
      <w:bookmarkEnd w:id="1467"/>
      <w:bookmarkEnd w:id="1468"/>
      <w:bookmarkEnd w:id="1469"/>
      <w:bookmarkEnd w:id="1470"/>
    </w:p>
    <w:p w:rsidR="001A641D" w:rsidRDefault="007E5C0A" w:rsidP="001A641D">
      <w:pPr>
        <w:rPr>
          <w:lang w:val="en-US"/>
        </w:rPr>
      </w:pPr>
      <w:r>
        <w:t xml:space="preserve">A person may submit an application for a reconsideration of a method used to work out a fee (for instance, the method used to calculate the complexity fees) to the Department. The Department will have 30 business days to reconsider the fee. </w:t>
      </w:r>
      <w:r>
        <w:rPr>
          <w:lang w:val="en-US"/>
        </w:rPr>
        <w:t>The review of the fee will be undertaken by an officer more senior than the original decision maker to ensure fairness</w:t>
      </w:r>
      <w:r w:rsidRPr="00FC12C4">
        <w:rPr>
          <w:lang w:val="en-US"/>
        </w:rPr>
        <w:t>.</w:t>
      </w:r>
      <w:r>
        <w:rPr>
          <w:lang w:val="en-US"/>
        </w:rPr>
        <w:t xml:space="preserve"> The Department does not charge for this service. The EPBC Act and Regulations set out the requirements for seeking review of complexity fees. </w:t>
      </w:r>
    </w:p>
    <w:p w:rsidR="001A641D" w:rsidRDefault="007E5C0A" w:rsidP="001A641D">
      <w:r>
        <w:t xml:space="preserve">If the fee is lowered following a reconsideration process then the Department will provide a refund of the difference between the original fee and the reconsidered fee. </w:t>
      </w:r>
    </w:p>
    <w:p w:rsidR="001A641D" w:rsidRDefault="007E5C0A" w:rsidP="001A641D">
      <w:r>
        <w:t>If the fee is raised following a reconsideration process then the applicant is liable for the higher fee.</w:t>
      </w:r>
    </w:p>
    <w:p w:rsidR="001A641D" w:rsidRDefault="007E5C0A">
      <w:pPr>
        <w:spacing w:after="0" w:line="240" w:lineRule="auto"/>
        <w:rPr>
          <w:rFonts w:cs="Arial"/>
          <w:b/>
          <w:i/>
        </w:rPr>
      </w:pPr>
      <w:bookmarkStart w:id="1471" w:name="_Toc387064801"/>
      <w:bookmarkStart w:id="1472" w:name="_Toc387065013"/>
      <w:bookmarkStart w:id="1473" w:name="_Toc387065219"/>
      <w:bookmarkStart w:id="1474" w:name="_Toc387065430"/>
      <w:bookmarkStart w:id="1475" w:name="_Toc387065636"/>
      <w:bookmarkStart w:id="1476" w:name="_Toc387065841"/>
      <w:bookmarkStart w:id="1477" w:name="_Toc387066044"/>
      <w:bookmarkStart w:id="1478" w:name="_Toc387066233"/>
      <w:bookmarkStart w:id="1479" w:name="_Toc387069469"/>
      <w:bookmarkStart w:id="1480" w:name="_Toc387069656"/>
      <w:bookmarkStart w:id="1481" w:name="_Toc387069865"/>
      <w:bookmarkStart w:id="1482" w:name="_Toc387070064"/>
      <w:bookmarkStart w:id="1483" w:name="_Toc387072329"/>
      <w:bookmarkStart w:id="1484" w:name="_Toc387072540"/>
      <w:bookmarkStart w:id="1485" w:name="_Toc387392568"/>
      <w:bookmarkStart w:id="1486" w:name="_Toc387064802"/>
      <w:bookmarkStart w:id="1487" w:name="_Toc387065014"/>
      <w:bookmarkStart w:id="1488" w:name="_Toc387065220"/>
      <w:bookmarkStart w:id="1489" w:name="_Toc387065431"/>
      <w:bookmarkStart w:id="1490" w:name="_Toc387065637"/>
      <w:bookmarkStart w:id="1491" w:name="_Toc387065842"/>
      <w:bookmarkStart w:id="1492" w:name="_Toc387066045"/>
      <w:bookmarkStart w:id="1493" w:name="_Toc387066234"/>
      <w:bookmarkStart w:id="1494" w:name="_Toc387069470"/>
      <w:bookmarkStart w:id="1495" w:name="_Toc387069657"/>
      <w:bookmarkStart w:id="1496" w:name="_Toc387069866"/>
      <w:bookmarkStart w:id="1497" w:name="_Toc387070065"/>
      <w:bookmarkStart w:id="1498" w:name="_Toc387072330"/>
      <w:bookmarkStart w:id="1499" w:name="_Toc387072541"/>
      <w:bookmarkStart w:id="1500" w:name="_Toc387392569"/>
      <w:bookmarkStart w:id="1501" w:name="_Toc387064803"/>
      <w:bookmarkStart w:id="1502" w:name="_Toc387065015"/>
      <w:bookmarkStart w:id="1503" w:name="_Toc387065221"/>
      <w:bookmarkStart w:id="1504" w:name="_Toc387065432"/>
      <w:bookmarkStart w:id="1505" w:name="_Toc387065638"/>
      <w:bookmarkStart w:id="1506" w:name="_Toc387065843"/>
      <w:bookmarkStart w:id="1507" w:name="_Toc387066046"/>
      <w:bookmarkStart w:id="1508" w:name="_Toc387066235"/>
      <w:bookmarkStart w:id="1509" w:name="_Toc387069471"/>
      <w:bookmarkStart w:id="1510" w:name="_Toc387069658"/>
      <w:bookmarkStart w:id="1511" w:name="_Toc387069867"/>
      <w:bookmarkStart w:id="1512" w:name="_Toc387070066"/>
      <w:bookmarkStart w:id="1513" w:name="_Toc387072331"/>
      <w:bookmarkStart w:id="1514" w:name="_Toc387072542"/>
      <w:bookmarkStart w:id="1515" w:name="_Toc387392570"/>
      <w:bookmarkStart w:id="1516" w:name="_Toc387064804"/>
      <w:bookmarkStart w:id="1517" w:name="_Toc387065016"/>
      <w:bookmarkStart w:id="1518" w:name="_Toc387065222"/>
      <w:bookmarkStart w:id="1519" w:name="_Toc387065433"/>
      <w:bookmarkStart w:id="1520" w:name="_Toc387065639"/>
      <w:bookmarkStart w:id="1521" w:name="_Toc387065844"/>
      <w:bookmarkStart w:id="1522" w:name="_Toc387066047"/>
      <w:bookmarkStart w:id="1523" w:name="_Toc387066236"/>
      <w:bookmarkStart w:id="1524" w:name="_Toc387069472"/>
      <w:bookmarkStart w:id="1525" w:name="_Toc387069659"/>
      <w:bookmarkStart w:id="1526" w:name="_Toc387069868"/>
      <w:bookmarkStart w:id="1527" w:name="_Toc387070067"/>
      <w:bookmarkStart w:id="1528" w:name="_Toc387072332"/>
      <w:bookmarkStart w:id="1529" w:name="_Toc387072543"/>
      <w:bookmarkStart w:id="1530" w:name="_Toc387392571"/>
      <w:bookmarkStart w:id="1531" w:name="_Toc387064805"/>
      <w:bookmarkStart w:id="1532" w:name="_Toc387065017"/>
      <w:bookmarkStart w:id="1533" w:name="_Toc387065223"/>
      <w:bookmarkStart w:id="1534" w:name="_Toc387065434"/>
      <w:bookmarkStart w:id="1535" w:name="_Toc387065640"/>
      <w:bookmarkStart w:id="1536" w:name="_Toc387065845"/>
      <w:bookmarkStart w:id="1537" w:name="_Toc387066048"/>
      <w:bookmarkStart w:id="1538" w:name="_Toc387066237"/>
      <w:bookmarkStart w:id="1539" w:name="_Toc387069473"/>
      <w:bookmarkStart w:id="1540" w:name="_Toc387069660"/>
      <w:bookmarkStart w:id="1541" w:name="_Toc387069869"/>
      <w:bookmarkStart w:id="1542" w:name="_Toc387070068"/>
      <w:bookmarkStart w:id="1543" w:name="_Toc387072333"/>
      <w:bookmarkStart w:id="1544" w:name="_Toc387072544"/>
      <w:bookmarkStart w:id="1545" w:name="_Toc387392572"/>
      <w:bookmarkStart w:id="1546" w:name="_Toc387064806"/>
      <w:bookmarkStart w:id="1547" w:name="_Toc387065018"/>
      <w:bookmarkStart w:id="1548" w:name="_Toc387065224"/>
      <w:bookmarkStart w:id="1549" w:name="_Toc387065435"/>
      <w:bookmarkStart w:id="1550" w:name="_Toc387065641"/>
      <w:bookmarkStart w:id="1551" w:name="_Toc387065846"/>
      <w:bookmarkStart w:id="1552" w:name="_Toc387066049"/>
      <w:bookmarkStart w:id="1553" w:name="_Toc387066238"/>
      <w:bookmarkStart w:id="1554" w:name="_Toc387069474"/>
      <w:bookmarkStart w:id="1555" w:name="_Toc387069661"/>
      <w:bookmarkStart w:id="1556" w:name="_Toc387069870"/>
      <w:bookmarkStart w:id="1557" w:name="_Toc387070069"/>
      <w:bookmarkStart w:id="1558" w:name="_Toc387072334"/>
      <w:bookmarkStart w:id="1559" w:name="_Toc387072545"/>
      <w:bookmarkStart w:id="1560" w:name="_Toc387392573"/>
      <w:bookmarkStart w:id="1561" w:name="_Toc387064807"/>
      <w:bookmarkStart w:id="1562" w:name="_Toc387065019"/>
      <w:bookmarkStart w:id="1563" w:name="_Toc387065225"/>
      <w:bookmarkStart w:id="1564" w:name="_Toc387065436"/>
      <w:bookmarkStart w:id="1565" w:name="_Toc387065642"/>
      <w:bookmarkStart w:id="1566" w:name="_Toc387065847"/>
      <w:bookmarkStart w:id="1567" w:name="_Toc387066050"/>
      <w:bookmarkStart w:id="1568" w:name="_Toc387066239"/>
      <w:bookmarkStart w:id="1569" w:name="_Toc387069475"/>
      <w:bookmarkStart w:id="1570" w:name="_Toc387069662"/>
      <w:bookmarkStart w:id="1571" w:name="_Toc387069871"/>
      <w:bookmarkStart w:id="1572" w:name="_Toc387070070"/>
      <w:bookmarkStart w:id="1573" w:name="_Toc387072335"/>
      <w:bookmarkStart w:id="1574" w:name="_Toc387072546"/>
      <w:bookmarkStart w:id="1575" w:name="_Toc387392574"/>
      <w:bookmarkStart w:id="1576" w:name="_Toc456361040"/>
      <w:bookmarkStart w:id="1577" w:name="_Toc456364756"/>
      <w:bookmarkStart w:id="1578" w:name="_Toc456365975"/>
      <w:bookmarkStart w:id="1579" w:name="_Toc456366603"/>
      <w:bookmarkStart w:id="1580" w:name="_Toc456367230"/>
      <w:bookmarkStart w:id="1581" w:name="_Toc456367862"/>
      <w:bookmarkStart w:id="1582" w:name="_Toc456368492"/>
      <w:bookmarkStart w:id="1583" w:name="_Toc456369175"/>
      <w:bookmarkStart w:id="1584" w:name="_Toc456369856"/>
      <w:bookmarkStart w:id="1585" w:name="_Toc456370533"/>
      <w:bookmarkStart w:id="1586" w:name="_Toc456371210"/>
      <w:bookmarkStart w:id="1587" w:name="_Toc456517224"/>
      <w:bookmarkStart w:id="1588" w:name="_Toc456361044"/>
      <w:bookmarkStart w:id="1589" w:name="_Toc456364760"/>
      <w:bookmarkStart w:id="1590" w:name="_Toc456365979"/>
      <w:bookmarkStart w:id="1591" w:name="_Toc456366607"/>
      <w:bookmarkStart w:id="1592" w:name="_Toc456367234"/>
      <w:bookmarkStart w:id="1593" w:name="_Toc456367866"/>
      <w:bookmarkStart w:id="1594" w:name="_Toc456368496"/>
      <w:bookmarkStart w:id="1595" w:name="_Toc456369179"/>
      <w:bookmarkStart w:id="1596" w:name="_Toc456369860"/>
      <w:bookmarkStart w:id="1597" w:name="_Toc456370537"/>
      <w:bookmarkStart w:id="1598" w:name="_Toc456371214"/>
      <w:bookmarkStart w:id="1599" w:name="_Toc456517228"/>
      <w:bookmarkStart w:id="1600" w:name="_Toc456361045"/>
      <w:bookmarkStart w:id="1601" w:name="_Toc456364761"/>
      <w:bookmarkStart w:id="1602" w:name="_Toc456365980"/>
      <w:bookmarkStart w:id="1603" w:name="_Toc456366608"/>
      <w:bookmarkStart w:id="1604" w:name="_Toc456367235"/>
      <w:bookmarkStart w:id="1605" w:name="_Toc456367867"/>
      <w:bookmarkStart w:id="1606" w:name="_Toc456368497"/>
      <w:bookmarkStart w:id="1607" w:name="_Toc456369180"/>
      <w:bookmarkStart w:id="1608" w:name="_Toc456369861"/>
      <w:bookmarkStart w:id="1609" w:name="_Toc456370538"/>
      <w:bookmarkStart w:id="1610" w:name="_Toc456371215"/>
      <w:bookmarkStart w:id="1611" w:name="_Toc456517229"/>
      <w:bookmarkStart w:id="1612" w:name="_Toc456361046"/>
      <w:bookmarkStart w:id="1613" w:name="_Toc456364762"/>
      <w:bookmarkStart w:id="1614" w:name="_Toc456365981"/>
      <w:bookmarkStart w:id="1615" w:name="_Toc456366609"/>
      <w:bookmarkStart w:id="1616" w:name="_Toc456367236"/>
      <w:bookmarkStart w:id="1617" w:name="_Toc456367868"/>
      <w:bookmarkStart w:id="1618" w:name="_Toc456368498"/>
      <w:bookmarkStart w:id="1619" w:name="_Toc456369181"/>
      <w:bookmarkStart w:id="1620" w:name="_Toc456369862"/>
      <w:bookmarkStart w:id="1621" w:name="_Toc456370539"/>
      <w:bookmarkStart w:id="1622" w:name="_Toc456371216"/>
      <w:bookmarkStart w:id="1623" w:name="_Toc456517230"/>
      <w:bookmarkStart w:id="1624" w:name="_Toc456361047"/>
      <w:bookmarkStart w:id="1625" w:name="_Toc456364763"/>
      <w:bookmarkStart w:id="1626" w:name="_Toc456365982"/>
      <w:bookmarkStart w:id="1627" w:name="_Toc456366610"/>
      <w:bookmarkStart w:id="1628" w:name="_Toc456367237"/>
      <w:bookmarkStart w:id="1629" w:name="_Toc456367869"/>
      <w:bookmarkStart w:id="1630" w:name="_Toc456368499"/>
      <w:bookmarkStart w:id="1631" w:name="_Toc456369182"/>
      <w:bookmarkStart w:id="1632" w:name="_Toc456369863"/>
      <w:bookmarkStart w:id="1633" w:name="_Toc456370540"/>
      <w:bookmarkStart w:id="1634" w:name="_Toc456371217"/>
      <w:bookmarkStart w:id="1635" w:name="_Toc456517231"/>
      <w:bookmarkStart w:id="1636" w:name="_Toc456361048"/>
      <w:bookmarkStart w:id="1637" w:name="_Toc456364764"/>
      <w:bookmarkStart w:id="1638" w:name="_Toc456365983"/>
      <w:bookmarkStart w:id="1639" w:name="_Toc456366611"/>
      <w:bookmarkStart w:id="1640" w:name="_Toc456367238"/>
      <w:bookmarkStart w:id="1641" w:name="_Toc456367870"/>
      <w:bookmarkStart w:id="1642" w:name="_Toc456368500"/>
      <w:bookmarkStart w:id="1643" w:name="_Toc456369183"/>
      <w:bookmarkStart w:id="1644" w:name="_Toc456369864"/>
      <w:bookmarkStart w:id="1645" w:name="_Toc456370541"/>
      <w:bookmarkStart w:id="1646" w:name="_Toc456371218"/>
      <w:bookmarkStart w:id="1647" w:name="_Toc456517232"/>
      <w:bookmarkStart w:id="1648" w:name="_Toc456361049"/>
      <w:bookmarkStart w:id="1649" w:name="_Toc456364765"/>
      <w:bookmarkStart w:id="1650" w:name="_Toc456365984"/>
      <w:bookmarkStart w:id="1651" w:name="_Toc456366612"/>
      <w:bookmarkStart w:id="1652" w:name="_Toc456367239"/>
      <w:bookmarkStart w:id="1653" w:name="_Toc456367871"/>
      <w:bookmarkStart w:id="1654" w:name="_Toc456368501"/>
      <w:bookmarkStart w:id="1655" w:name="_Toc456369184"/>
      <w:bookmarkStart w:id="1656" w:name="_Toc456369865"/>
      <w:bookmarkStart w:id="1657" w:name="_Toc456370542"/>
      <w:bookmarkStart w:id="1658" w:name="_Toc456371219"/>
      <w:bookmarkStart w:id="1659" w:name="_Toc456517233"/>
      <w:bookmarkStart w:id="1660" w:name="_Toc456361050"/>
      <w:bookmarkStart w:id="1661" w:name="_Toc456364766"/>
      <w:bookmarkStart w:id="1662" w:name="_Toc456365985"/>
      <w:bookmarkStart w:id="1663" w:name="_Toc456366613"/>
      <w:bookmarkStart w:id="1664" w:name="_Toc456367240"/>
      <w:bookmarkStart w:id="1665" w:name="_Toc456367872"/>
      <w:bookmarkStart w:id="1666" w:name="_Toc456368502"/>
      <w:bookmarkStart w:id="1667" w:name="_Toc456369185"/>
      <w:bookmarkStart w:id="1668" w:name="_Toc456369866"/>
      <w:bookmarkStart w:id="1669" w:name="_Toc456370543"/>
      <w:bookmarkStart w:id="1670" w:name="_Toc456371220"/>
      <w:bookmarkStart w:id="1671" w:name="_Toc456517234"/>
      <w:bookmarkStart w:id="1672" w:name="_Toc456361051"/>
      <w:bookmarkStart w:id="1673" w:name="_Toc456364767"/>
      <w:bookmarkStart w:id="1674" w:name="_Toc456365986"/>
      <w:bookmarkStart w:id="1675" w:name="_Toc456366614"/>
      <w:bookmarkStart w:id="1676" w:name="_Toc456367241"/>
      <w:bookmarkStart w:id="1677" w:name="_Toc456367873"/>
      <w:bookmarkStart w:id="1678" w:name="_Toc456368503"/>
      <w:bookmarkStart w:id="1679" w:name="_Toc456369186"/>
      <w:bookmarkStart w:id="1680" w:name="_Toc456369867"/>
      <w:bookmarkStart w:id="1681" w:name="_Toc456370544"/>
      <w:bookmarkStart w:id="1682" w:name="_Toc456371221"/>
      <w:bookmarkStart w:id="1683" w:name="_Toc456517235"/>
      <w:bookmarkStart w:id="1684" w:name="_Toc456361052"/>
      <w:bookmarkStart w:id="1685" w:name="_Toc456364768"/>
      <w:bookmarkStart w:id="1686" w:name="_Toc456365987"/>
      <w:bookmarkStart w:id="1687" w:name="_Toc456366615"/>
      <w:bookmarkStart w:id="1688" w:name="_Toc456367242"/>
      <w:bookmarkStart w:id="1689" w:name="_Toc456367874"/>
      <w:bookmarkStart w:id="1690" w:name="_Toc456368504"/>
      <w:bookmarkStart w:id="1691" w:name="_Toc456369187"/>
      <w:bookmarkStart w:id="1692" w:name="_Toc456369868"/>
      <w:bookmarkStart w:id="1693" w:name="_Toc456370545"/>
      <w:bookmarkStart w:id="1694" w:name="_Toc456371222"/>
      <w:bookmarkStart w:id="1695" w:name="_Toc456517236"/>
      <w:bookmarkStart w:id="1696" w:name="_Toc456361053"/>
      <w:bookmarkStart w:id="1697" w:name="_Toc456364769"/>
      <w:bookmarkStart w:id="1698" w:name="_Toc456365988"/>
      <w:bookmarkStart w:id="1699" w:name="_Toc456366616"/>
      <w:bookmarkStart w:id="1700" w:name="_Toc456367243"/>
      <w:bookmarkStart w:id="1701" w:name="_Toc456367875"/>
      <w:bookmarkStart w:id="1702" w:name="_Toc456368505"/>
      <w:bookmarkStart w:id="1703" w:name="_Toc456369188"/>
      <w:bookmarkStart w:id="1704" w:name="_Toc456369869"/>
      <w:bookmarkStart w:id="1705" w:name="_Toc456370546"/>
      <w:bookmarkStart w:id="1706" w:name="_Toc456371223"/>
      <w:bookmarkStart w:id="1707" w:name="_Toc456517237"/>
      <w:bookmarkStart w:id="1708" w:name="_Toc456361054"/>
      <w:bookmarkStart w:id="1709" w:name="_Toc456364770"/>
      <w:bookmarkStart w:id="1710" w:name="_Toc456365989"/>
      <w:bookmarkStart w:id="1711" w:name="_Toc456366617"/>
      <w:bookmarkStart w:id="1712" w:name="_Toc456367244"/>
      <w:bookmarkStart w:id="1713" w:name="_Toc456367876"/>
      <w:bookmarkStart w:id="1714" w:name="_Toc456368506"/>
      <w:bookmarkStart w:id="1715" w:name="_Toc456369189"/>
      <w:bookmarkStart w:id="1716" w:name="_Toc456369870"/>
      <w:bookmarkStart w:id="1717" w:name="_Toc456370547"/>
      <w:bookmarkStart w:id="1718" w:name="_Toc456371224"/>
      <w:bookmarkStart w:id="1719" w:name="_Toc456517238"/>
      <w:bookmarkStart w:id="1720" w:name="_Toc456361055"/>
      <w:bookmarkStart w:id="1721" w:name="_Toc456364771"/>
      <w:bookmarkStart w:id="1722" w:name="_Toc456365990"/>
      <w:bookmarkStart w:id="1723" w:name="_Toc456366618"/>
      <w:bookmarkStart w:id="1724" w:name="_Toc456367245"/>
      <w:bookmarkStart w:id="1725" w:name="_Toc456367877"/>
      <w:bookmarkStart w:id="1726" w:name="_Toc456368507"/>
      <w:bookmarkStart w:id="1727" w:name="_Toc456369190"/>
      <w:bookmarkStart w:id="1728" w:name="_Toc456369871"/>
      <w:bookmarkStart w:id="1729" w:name="_Toc456370548"/>
      <w:bookmarkStart w:id="1730" w:name="_Toc456371225"/>
      <w:bookmarkStart w:id="1731" w:name="_Toc456517239"/>
      <w:bookmarkStart w:id="1732" w:name="_Toc456361067"/>
      <w:bookmarkStart w:id="1733" w:name="_Toc456364783"/>
      <w:bookmarkStart w:id="1734" w:name="_Toc456366002"/>
      <w:bookmarkStart w:id="1735" w:name="_Toc456366630"/>
      <w:bookmarkStart w:id="1736" w:name="_Toc456367257"/>
      <w:bookmarkStart w:id="1737" w:name="_Toc456367889"/>
      <w:bookmarkStart w:id="1738" w:name="_Toc456368519"/>
      <w:bookmarkStart w:id="1739" w:name="_Toc343850275"/>
      <w:bookmarkStart w:id="1740" w:name="_Toc344895158"/>
      <w:bookmarkStart w:id="1741" w:name="_Ref344903589"/>
      <w:bookmarkStart w:id="1742" w:name="_Ref344903592"/>
      <w:bookmarkStart w:id="1743" w:name="_Ref344903660"/>
      <w:bookmarkStart w:id="1744" w:name="_Ref344903663"/>
      <w:bookmarkStart w:id="1745" w:name="_Toc346285333"/>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br w:type="page"/>
      </w:r>
    </w:p>
    <w:p w:rsidR="001A641D" w:rsidRPr="00053115" w:rsidRDefault="007E5C0A" w:rsidP="001A641D">
      <w:pPr>
        <w:pStyle w:val="Heading3"/>
        <w:ind w:left="0" w:firstLine="0"/>
      </w:pPr>
      <w:bookmarkStart w:id="1746" w:name="_Toc256000356"/>
      <w:bookmarkStart w:id="1747" w:name="_Toc256000248"/>
      <w:bookmarkStart w:id="1748" w:name="_Toc256000140"/>
      <w:bookmarkStart w:id="1749" w:name="_Toc256000032"/>
      <w:bookmarkStart w:id="1750" w:name="_Toc458170536"/>
      <w:r>
        <w:t>Summary of fees for each assessment method</w:t>
      </w:r>
      <w:bookmarkEnd w:id="1746"/>
      <w:bookmarkEnd w:id="1747"/>
      <w:bookmarkEnd w:id="1748"/>
      <w:bookmarkEnd w:id="1749"/>
      <w:bookmarkEnd w:id="1750"/>
    </w:p>
    <w:p w:rsidR="001A641D" w:rsidRPr="0087787F" w:rsidRDefault="007E5C0A" w:rsidP="001A641D">
      <w:pPr>
        <w:pStyle w:val="Heading4"/>
        <w:rPr>
          <w:lang w:val="en-US"/>
        </w:rPr>
      </w:pPr>
      <w:r>
        <w:rPr>
          <w:lang w:val="en-US"/>
        </w:rPr>
        <w:t xml:space="preserve">Fees for </w:t>
      </w:r>
      <w:r w:rsidRPr="0087787F">
        <w:rPr>
          <w:lang w:val="en-US"/>
        </w:rPr>
        <w:t>Assessment</w:t>
      </w:r>
      <w:r>
        <w:rPr>
          <w:lang w:val="en-US"/>
        </w:rPr>
        <w:t>s</w:t>
      </w:r>
      <w:r w:rsidRPr="0087787F">
        <w:rPr>
          <w:lang w:val="en-US"/>
        </w:rPr>
        <w:t xml:space="preserve"> on referral information</w:t>
      </w:r>
      <w:bookmarkEnd w:id="1739"/>
      <w:bookmarkEnd w:id="1740"/>
      <w:bookmarkEnd w:id="1741"/>
      <w:bookmarkEnd w:id="1742"/>
      <w:bookmarkEnd w:id="1743"/>
      <w:bookmarkEnd w:id="1744"/>
      <w:bookmarkEnd w:id="1745"/>
      <w:r w:rsidRPr="0087787F">
        <w:rPr>
          <w:lang w:val="en-US"/>
        </w:rPr>
        <w:t xml:space="preserve"> </w:t>
      </w:r>
    </w:p>
    <w:p w:rsidR="001A641D" w:rsidRPr="00DE15FF" w:rsidRDefault="007E5C0A" w:rsidP="001A641D">
      <w:pPr>
        <w:rPr>
          <w:lang w:val="en-US"/>
        </w:rPr>
      </w:pPr>
      <w:r w:rsidRPr="00DE15FF">
        <w:rPr>
          <w:lang w:val="en-US"/>
        </w:rPr>
        <w:t xml:space="preserve">The total fee for an assessment on referral information includes the base </w:t>
      </w:r>
      <w:r>
        <w:rPr>
          <w:lang w:val="en-US"/>
        </w:rPr>
        <w:t>fee</w:t>
      </w:r>
      <w:r w:rsidRPr="00DE15FF">
        <w:rPr>
          <w:lang w:val="en-US"/>
        </w:rPr>
        <w:t xml:space="preserve"> for an assessment on referral information and the relevant complexity </w:t>
      </w:r>
      <w:r w:rsidRPr="000523CF">
        <w:rPr>
          <w:lang w:val="en-US"/>
        </w:rPr>
        <w:t>fees (</w:t>
      </w:r>
      <w:r w:rsidR="00FF3730">
        <w:fldChar w:fldCharType="begin"/>
      </w:r>
      <w:r w:rsidR="00FF3730">
        <w:instrText xml:space="preserve"> REF _Re</w:instrText>
      </w:r>
      <w:r w:rsidR="00FF3730">
        <w:instrText xml:space="preserve">f457985891 \h  \* MERGEFORMAT </w:instrText>
      </w:r>
      <w:r w:rsidR="00FF3730">
        <w:fldChar w:fldCharType="separate"/>
      </w:r>
      <w:r w:rsidR="00FF3730">
        <w:t xml:space="preserve">Table </w:t>
      </w:r>
      <w:r w:rsidR="00FF3730">
        <w:rPr>
          <w:noProof/>
        </w:rPr>
        <w:t>11</w:t>
      </w:r>
      <w:r w:rsidR="00FF3730">
        <w:fldChar w:fldCharType="end"/>
      </w:r>
      <w:r w:rsidRPr="000523CF">
        <w:rPr>
          <w:lang w:val="en-US"/>
        </w:rPr>
        <w:t>).</w:t>
      </w:r>
      <w:r w:rsidRPr="00DE15FF">
        <w:rPr>
          <w:lang w:val="en-US"/>
        </w:rPr>
        <w:t xml:space="preserve"> </w:t>
      </w:r>
    </w:p>
    <w:p w:rsidR="001A641D" w:rsidRDefault="007E5C0A" w:rsidP="001A641D">
      <w:pPr>
        <w:pStyle w:val="Caption"/>
        <w:keepNext/>
      </w:pPr>
      <w:bookmarkStart w:id="1751" w:name="_Ref457985891"/>
      <w:bookmarkStart w:id="1752" w:name="_Toc256000420"/>
      <w:bookmarkStart w:id="1753" w:name="_Toc256000312"/>
      <w:bookmarkStart w:id="1754" w:name="_Toc256000204"/>
      <w:bookmarkStart w:id="1755" w:name="_Toc256000096"/>
      <w:bookmarkStart w:id="1756" w:name="_Toc458170599"/>
      <w:r>
        <w:t xml:space="preserve">Table </w:t>
      </w:r>
      <w:r w:rsidR="003366B4">
        <w:fldChar w:fldCharType="begin"/>
      </w:r>
      <w:r>
        <w:instrText xml:space="preserve"> SEQ Table \* ARABIC </w:instrText>
      </w:r>
      <w:r w:rsidR="003366B4">
        <w:fldChar w:fldCharType="separate"/>
      </w:r>
      <w:r w:rsidR="00FF3730">
        <w:rPr>
          <w:noProof/>
        </w:rPr>
        <w:t>11</w:t>
      </w:r>
      <w:r w:rsidR="003366B4">
        <w:rPr>
          <w:noProof/>
        </w:rPr>
        <w:fldChar w:fldCharType="end"/>
      </w:r>
      <w:bookmarkEnd w:id="1751"/>
      <w:r>
        <w:t xml:space="preserve">. </w:t>
      </w:r>
      <w:r w:rsidRPr="006C2B02">
        <w:t>Summary of assessment on referral information fees.</w:t>
      </w:r>
      <w:bookmarkEnd w:id="1752"/>
      <w:bookmarkEnd w:id="1753"/>
      <w:bookmarkEnd w:id="1754"/>
      <w:bookmarkEnd w:id="1755"/>
      <w:bookmarkEnd w:id="1756"/>
    </w:p>
    <w:tbl>
      <w:tblPr>
        <w:tblW w:w="9644" w:type="dxa"/>
        <w:tblInd w:w="103" w:type="dxa"/>
        <w:tblCellMar>
          <w:left w:w="0" w:type="dxa"/>
          <w:right w:w="0" w:type="dxa"/>
        </w:tblCellMar>
        <w:tblLook w:val="04A0" w:firstRow="1" w:lastRow="0" w:firstColumn="1" w:lastColumn="0" w:noHBand="0" w:noVBand="1"/>
      </w:tblPr>
      <w:tblGrid>
        <w:gridCol w:w="3691"/>
        <w:gridCol w:w="1533"/>
        <w:gridCol w:w="2152"/>
        <w:gridCol w:w="2268"/>
      </w:tblGrid>
      <w:tr w:rsidR="00397365" w:rsidTr="001A641D">
        <w:trPr>
          <w:trHeight w:val="768"/>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Activity</w:t>
            </w:r>
          </w:p>
        </w:tc>
        <w:tc>
          <w:tcPr>
            <w:tcW w:w="1533"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Base fee</w:t>
            </w:r>
          </w:p>
        </w:tc>
        <w:tc>
          <w:tcPr>
            <w:tcW w:w="2152" w:type="dxa"/>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 xml:space="preserve">Complexity fees </w:t>
            </w:r>
          </w:p>
        </w:tc>
        <w:tc>
          <w:tcPr>
            <w:tcW w:w="2268" w:type="dxa"/>
            <w:tcBorders>
              <w:top w:val="single" w:sz="8" w:space="0" w:color="548DD4" w:themeColor="text2" w:themeTint="99"/>
              <w:left w:val="single" w:sz="8" w:space="0" w:color="8DB3E2" w:themeColor="text2" w:themeTint="66"/>
              <w:bottom w:val="single" w:sz="8" w:space="0" w:color="548DD4" w:themeColor="text2" w:themeTint="99"/>
              <w:right w:val="single" w:sz="8" w:space="0" w:color="548DD4" w:themeColor="text2" w:themeTint="99"/>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Total fee</w:t>
            </w:r>
            <w:r w:rsidRPr="00DE15FF">
              <w:rPr>
                <w:b/>
                <w:bCs/>
                <w:sz w:val="20"/>
                <w:szCs w:val="20"/>
              </w:rPr>
              <w:br/>
              <w:t xml:space="preserve">Base + Complexity </w:t>
            </w:r>
          </w:p>
        </w:tc>
      </w:tr>
      <w:tr w:rsidR="00397365" w:rsidTr="001A641D">
        <w:trPr>
          <w:trHeight w:val="600"/>
        </w:trPr>
        <w:tc>
          <w:tcPr>
            <w:tcW w:w="3691"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rFonts w:ascii="Calibri" w:eastAsiaTheme="minorHAnsi" w:hAnsi="Calibri"/>
                <w:sz w:val="20"/>
                <w:szCs w:val="20"/>
              </w:rPr>
            </w:pPr>
            <w:r w:rsidRPr="00DE15FF">
              <w:rPr>
                <w:sz w:val="20"/>
                <w:szCs w:val="20"/>
                <w:lang w:val="en-US"/>
              </w:rPr>
              <w:t>Assessment on referral information</w:t>
            </w:r>
          </w:p>
        </w:tc>
        <w:tc>
          <w:tcPr>
            <w:tcW w:w="1533"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sz w:val="20"/>
                <w:szCs w:val="20"/>
              </w:rPr>
            </w:pPr>
            <w:r w:rsidRPr="00DE15FF">
              <w:rPr>
                <w:sz w:val="20"/>
                <w:szCs w:val="20"/>
              </w:rPr>
              <w:t>$8,964</w:t>
            </w:r>
          </w:p>
        </w:tc>
        <w:tc>
          <w:tcPr>
            <w:tcW w:w="2152"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rFonts w:ascii="Times New Roman" w:eastAsia="Times New Roman" w:hAnsi="Times New Roman"/>
                <w:sz w:val="20"/>
                <w:szCs w:val="20"/>
              </w:rPr>
            </w:pPr>
            <w:r w:rsidRPr="00DE15FF">
              <w:rPr>
                <w:sz w:val="20"/>
                <w:szCs w:val="20"/>
              </w:rPr>
              <w:t>Determined on a case by case basis</w:t>
            </w:r>
          </w:p>
        </w:tc>
        <w:tc>
          <w:tcPr>
            <w:tcW w:w="2268"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sz w:val="20"/>
                <w:szCs w:val="20"/>
              </w:rPr>
            </w:pPr>
            <w:r w:rsidRPr="00DE15FF">
              <w:rPr>
                <w:sz w:val="20"/>
                <w:szCs w:val="20"/>
              </w:rPr>
              <w:t>$8,964 + Complexity fees</w:t>
            </w:r>
          </w:p>
        </w:tc>
      </w:tr>
    </w:tbl>
    <w:p w:rsidR="001A641D" w:rsidRPr="00DE15FF" w:rsidRDefault="001A641D" w:rsidP="001A641D">
      <w:pPr>
        <w:rPr>
          <w:lang w:val="en-US"/>
        </w:rPr>
      </w:pPr>
    </w:p>
    <w:p w:rsidR="001A641D" w:rsidRPr="00DE15FF" w:rsidRDefault="007E5C0A" w:rsidP="001A641D">
      <w:pPr>
        <w:rPr>
          <w:lang w:val="en-US"/>
        </w:rPr>
      </w:pPr>
      <w:r w:rsidRPr="00DE15FF">
        <w:rPr>
          <w:lang w:val="en-US"/>
        </w:rPr>
        <w:t xml:space="preserve">These fees are payable across three stages of the assessment process, as </w:t>
      </w:r>
      <w:r w:rsidRPr="000523CF">
        <w:rPr>
          <w:lang w:val="en-US"/>
        </w:rPr>
        <w:t xml:space="preserve">outlined in </w:t>
      </w:r>
      <w:r w:rsidR="00FF3730">
        <w:fldChar w:fldCharType="begin"/>
      </w:r>
      <w:r w:rsidR="00FF3730">
        <w:instrText xml:space="preserve"> REF _Ref457985481 \h  \* MERGEFORMAT </w:instrText>
      </w:r>
      <w:r w:rsidR="00FF3730">
        <w:fldChar w:fldCharType="separate"/>
      </w:r>
      <w:r w:rsidR="00FF3730">
        <w:t xml:space="preserve">Table </w:t>
      </w:r>
      <w:r w:rsidR="00FF3730">
        <w:rPr>
          <w:noProof/>
        </w:rPr>
        <w:t>12</w:t>
      </w:r>
      <w:r w:rsidR="00FF3730">
        <w:fldChar w:fldCharType="end"/>
      </w:r>
      <w:r w:rsidRPr="000523CF">
        <w:rPr>
          <w:lang w:val="en-US"/>
        </w:rPr>
        <w:t xml:space="preserve"> below.</w:t>
      </w:r>
      <w:r w:rsidRPr="00DE15FF">
        <w:rPr>
          <w:lang w:val="en-US"/>
        </w:rPr>
        <w:t xml:space="preserve"> </w:t>
      </w:r>
    </w:p>
    <w:p w:rsidR="001A641D" w:rsidRDefault="007E5C0A" w:rsidP="001A641D">
      <w:pPr>
        <w:pStyle w:val="Caption"/>
        <w:keepNext/>
      </w:pPr>
      <w:bookmarkStart w:id="1757" w:name="_Ref457985481"/>
      <w:bookmarkStart w:id="1758" w:name="_Toc256000421"/>
      <w:bookmarkStart w:id="1759" w:name="_Toc256000313"/>
      <w:bookmarkStart w:id="1760" w:name="_Toc256000205"/>
      <w:bookmarkStart w:id="1761" w:name="_Toc256000097"/>
      <w:bookmarkStart w:id="1762" w:name="_Toc458170600"/>
      <w:r>
        <w:t xml:space="preserve">Table </w:t>
      </w:r>
      <w:r w:rsidR="003366B4">
        <w:fldChar w:fldCharType="begin"/>
      </w:r>
      <w:r>
        <w:instrText xml:space="preserve"> SEQ Table \* ARABIC </w:instrText>
      </w:r>
      <w:r w:rsidR="003366B4">
        <w:fldChar w:fldCharType="separate"/>
      </w:r>
      <w:r w:rsidR="00FF3730">
        <w:rPr>
          <w:noProof/>
        </w:rPr>
        <w:t>12</w:t>
      </w:r>
      <w:r w:rsidR="003366B4">
        <w:rPr>
          <w:noProof/>
        </w:rPr>
        <w:fldChar w:fldCharType="end"/>
      </w:r>
      <w:bookmarkEnd w:id="1757"/>
      <w:r>
        <w:t xml:space="preserve">. Proportion of </w:t>
      </w:r>
      <w:r w:rsidRPr="00F90105">
        <w:t xml:space="preserve">fees payable at each assessment stage for </w:t>
      </w:r>
      <w:r>
        <w:t xml:space="preserve">an </w:t>
      </w:r>
      <w:r w:rsidRPr="00F90105">
        <w:t>assessment on referral information</w:t>
      </w:r>
      <w:bookmarkEnd w:id="1758"/>
      <w:bookmarkEnd w:id="1759"/>
      <w:bookmarkEnd w:id="1760"/>
      <w:bookmarkEnd w:id="1761"/>
      <w:bookmarkEnd w:id="1762"/>
    </w:p>
    <w:tbl>
      <w:tblPr>
        <w:tblW w:w="5000" w:type="pct"/>
        <w:tblCellMar>
          <w:left w:w="0" w:type="dxa"/>
          <w:right w:w="0" w:type="dxa"/>
        </w:tblCellMar>
        <w:tblLook w:val="04A0" w:firstRow="1" w:lastRow="0" w:firstColumn="1" w:lastColumn="0" w:noHBand="0" w:noVBand="1"/>
      </w:tblPr>
      <w:tblGrid>
        <w:gridCol w:w="6767"/>
        <w:gridCol w:w="1545"/>
        <w:gridCol w:w="1543"/>
      </w:tblGrid>
      <w:tr w:rsidR="00397365" w:rsidTr="001A641D">
        <w:trPr>
          <w:trHeight w:val="768"/>
        </w:trPr>
        <w:tc>
          <w:tcPr>
            <w:tcW w:w="3433" w:type="pct"/>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Activity</w:t>
            </w:r>
          </w:p>
        </w:tc>
        <w:tc>
          <w:tcPr>
            <w:tcW w:w="784"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Base fee</w:t>
            </w:r>
          </w:p>
        </w:tc>
        <w:tc>
          <w:tcPr>
            <w:tcW w:w="783"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b/>
                <w:bCs/>
                <w:sz w:val="20"/>
                <w:szCs w:val="20"/>
              </w:rPr>
            </w:pPr>
            <w:r w:rsidRPr="00DE15FF">
              <w:rPr>
                <w:b/>
                <w:bCs/>
                <w:sz w:val="20"/>
                <w:szCs w:val="20"/>
              </w:rPr>
              <w:t xml:space="preserve">Complexity fees </w:t>
            </w:r>
          </w:p>
        </w:tc>
      </w:tr>
      <w:tr w:rsidR="00397365" w:rsidTr="001A641D">
        <w:trPr>
          <w:trHeight w:val="600"/>
        </w:trPr>
        <w:tc>
          <w:tcPr>
            <w:tcW w:w="343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DE15FF">
              <w:rPr>
                <w:sz w:val="20"/>
                <w:szCs w:val="20"/>
                <w:lang w:val="en-US"/>
              </w:rPr>
              <w:t>Stage 1: Prepare and publish draft recommendation report</w:t>
            </w:r>
          </w:p>
        </w:tc>
        <w:tc>
          <w:tcPr>
            <w:tcW w:w="78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51%</w:t>
            </w:r>
          </w:p>
        </w:tc>
        <w:tc>
          <w:tcPr>
            <w:tcW w:w="78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BF43EF">
              <w:rPr>
                <w:sz w:val="20"/>
                <w:szCs w:val="20"/>
                <w:lang w:val="en-US"/>
              </w:rPr>
              <w:t>51%</w:t>
            </w:r>
          </w:p>
        </w:tc>
      </w:tr>
      <w:tr w:rsidR="00397365" w:rsidTr="001A641D">
        <w:trPr>
          <w:trHeight w:val="600"/>
        </w:trPr>
        <w:tc>
          <w:tcPr>
            <w:tcW w:w="343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DE15FF">
              <w:rPr>
                <w:sz w:val="20"/>
                <w:szCs w:val="20"/>
                <w:lang w:val="en-US"/>
              </w:rPr>
              <w:t>Stage 2: Review comments and finalise recommendation report</w:t>
            </w:r>
          </w:p>
        </w:tc>
        <w:tc>
          <w:tcPr>
            <w:tcW w:w="78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30%</w:t>
            </w:r>
          </w:p>
        </w:tc>
        <w:tc>
          <w:tcPr>
            <w:tcW w:w="78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BF43EF">
              <w:rPr>
                <w:sz w:val="20"/>
                <w:szCs w:val="20"/>
                <w:lang w:val="en-US"/>
              </w:rPr>
              <w:t>30%</w:t>
            </w:r>
          </w:p>
        </w:tc>
      </w:tr>
      <w:tr w:rsidR="00397365" w:rsidTr="001A641D">
        <w:trPr>
          <w:trHeight w:val="600"/>
        </w:trPr>
        <w:tc>
          <w:tcPr>
            <w:tcW w:w="343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DE15FF">
              <w:rPr>
                <w:sz w:val="20"/>
                <w:szCs w:val="20"/>
                <w:lang w:val="en-US"/>
              </w:rPr>
              <w:t xml:space="preserve">Stage 3: </w:t>
            </w:r>
            <w:r>
              <w:rPr>
                <w:sz w:val="20"/>
                <w:szCs w:val="20"/>
                <w:lang w:val="en-US"/>
              </w:rPr>
              <w:t>Proposed and final decision</w:t>
            </w:r>
          </w:p>
        </w:tc>
        <w:tc>
          <w:tcPr>
            <w:tcW w:w="78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19%</w:t>
            </w:r>
          </w:p>
        </w:tc>
        <w:tc>
          <w:tcPr>
            <w:tcW w:w="78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BF43EF">
              <w:rPr>
                <w:sz w:val="20"/>
                <w:szCs w:val="20"/>
                <w:lang w:val="en-US"/>
              </w:rPr>
              <w:t>19%</w:t>
            </w:r>
          </w:p>
        </w:tc>
      </w:tr>
      <w:tr w:rsidR="00397365" w:rsidTr="001A641D">
        <w:trPr>
          <w:trHeight w:val="600"/>
        </w:trPr>
        <w:tc>
          <w:tcPr>
            <w:tcW w:w="343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b/>
                <w:sz w:val="20"/>
                <w:szCs w:val="20"/>
                <w:lang w:val="en-US"/>
              </w:rPr>
            </w:pPr>
            <w:r w:rsidRPr="00DE15FF">
              <w:rPr>
                <w:b/>
                <w:sz w:val="20"/>
                <w:szCs w:val="20"/>
                <w:lang w:val="en-US"/>
              </w:rPr>
              <w:t>Total</w:t>
            </w:r>
          </w:p>
        </w:tc>
        <w:tc>
          <w:tcPr>
            <w:tcW w:w="78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DE15FF">
              <w:rPr>
                <w:b/>
                <w:sz w:val="20"/>
                <w:szCs w:val="20"/>
                <w:lang w:val="en-US"/>
              </w:rPr>
              <w:t>100%</w:t>
            </w:r>
          </w:p>
        </w:tc>
        <w:tc>
          <w:tcPr>
            <w:tcW w:w="783"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BF43EF">
              <w:rPr>
                <w:b/>
                <w:sz w:val="20"/>
                <w:szCs w:val="20"/>
                <w:lang w:val="en-US"/>
              </w:rPr>
              <w:t>100%</w:t>
            </w:r>
          </w:p>
        </w:tc>
      </w:tr>
    </w:tbl>
    <w:p w:rsidR="004F2400" w:rsidRPr="004F2400" w:rsidRDefault="004F2400" w:rsidP="004F2400">
      <w:pPr>
        <w:spacing w:after="120"/>
        <w:rPr>
          <w:rFonts w:ascii="Helvetica" w:hAnsi="Helvetica" w:cs="Helvetica"/>
          <w:color w:val="333333"/>
          <w:sz w:val="2"/>
          <w:szCs w:val="2"/>
        </w:rPr>
      </w:pPr>
    </w:p>
    <w:p w:rsidR="004F2400" w:rsidRDefault="004F2400" w:rsidP="004F2400">
      <w:pPr>
        <w:spacing w:after="120"/>
        <w:rPr>
          <w:rFonts w:ascii="Helvetica" w:hAnsi="Helvetica" w:cs="Helvetica"/>
          <w:color w:val="333333"/>
          <w:sz w:val="18"/>
          <w:szCs w:val="18"/>
        </w:rPr>
      </w:pPr>
      <w:r w:rsidRPr="006E52DA">
        <w:rPr>
          <w:rFonts w:ascii="Helvetica" w:hAnsi="Helvetica" w:cs="Helvetica"/>
          <w:color w:val="333333"/>
          <w:sz w:val="18"/>
          <w:szCs w:val="18"/>
        </w:rPr>
        <w:t>*</w:t>
      </w:r>
      <w:r w:rsidR="001A641D" w:rsidRPr="006E52DA">
        <w:rPr>
          <w:rFonts w:ascii="Helvetica" w:hAnsi="Helvetica" w:cs="Helvetica"/>
          <w:color w:val="333333"/>
          <w:sz w:val="18"/>
          <w:szCs w:val="18"/>
        </w:rPr>
        <w:t>There may be min</w:t>
      </w:r>
      <w:r w:rsidR="009F6965" w:rsidRPr="006E52DA">
        <w:rPr>
          <w:rFonts w:ascii="Helvetica" w:hAnsi="Helvetica" w:cs="Helvetica"/>
          <w:color w:val="333333"/>
          <w:sz w:val="18"/>
          <w:szCs w:val="18"/>
        </w:rPr>
        <w:t>or discrepancies between</w:t>
      </w:r>
      <w:r w:rsidR="001A641D" w:rsidRPr="006E52DA">
        <w:rPr>
          <w:rFonts w:ascii="Helvetica" w:hAnsi="Helvetica" w:cs="Helvetica"/>
          <w:color w:val="333333"/>
          <w:sz w:val="18"/>
          <w:szCs w:val="18"/>
        </w:rPr>
        <w:t xml:space="preserve"> the percentages within this table and the corresponding fees stated within this Statement</w:t>
      </w:r>
      <w:r w:rsidR="006B7D63" w:rsidRPr="006E52DA">
        <w:rPr>
          <w:rFonts w:ascii="Helvetica" w:hAnsi="Helvetica" w:cs="Helvetica"/>
          <w:color w:val="333333"/>
          <w:sz w:val="18"/>
          <w:szCs w:val="18"/>
        </w:rPr>
        <w:t>. This is because</w:t>
      </w:r>
      <w:r w:rsidR="001A641D" w:rsidRPr="006E52DA">
        <w:rPr>
          <w:rFonts w:ascii="Helvetica" w:hAnsi="Helvetica" w:cs="Helvetica"/>
          <w:color w:val="333333"/>
          <w:sz w:val="18"/>
          <w:szCs w:val="18"/>
        </w:rPr>
        <w:t xml:space="preserve"> </w:t>
      </w:r>
      <w:r w:rsidR="00E97AF8" w:rsidRPr="006E52DA">
        <w:rPr>
          <w:rFonts w:ascii="Helvetica" w:hAnsi="Helvetica" w:cs="Helvetica"/>
          <w:color w:val="333333"/>
          <w:sz w:val="18"/>
          <w:szCs w:val="18"/>
        </w:rPr>
        <w:t xml:space="preserve">the </w:t>
      </w:r>
      <w:r w:rsidR="001A641D" w:rsidRPr="006E52DA">
        <w:rPr>
          <w:rFonts w:ascii="Helvetica" w:hAnsi="Helvetica" w:cs="Helvetica"/>
          <w:color w:val="333333"/>
          <w:sz w:val="18"/>
          <w:szCs w:val="18"/>
        </w:rPr>
        <w:t>percentages</w:t>
      </w:r>
      <w:r w:rsidR="006B7D63" w:rsidRPr="006E52DA">
        <w:rPr>
          <w:rFonts w:ascii="Helvetica" w:hAnsi="Helvetica" w:cs="Helvetica"/>
          <w:color w:val="333333"/>
          <w:sz w:val="18"/>
          <w:szCs w:val="18"/>
        </w:rPr>
        <w:t xml:space="preserve"> </w:t>
      </w:r>
      <w:r w:rsidR="00E97AF8" w:rsidRPr="006E52DA">
        <w:rPr>
          <w:rFonts w:ascii="Helvetica" w:hAnsi="Helvetica" w:cs="Helvetica"/>
          <w:color w:val="333333"/>
          <w:sz w:val="18"/>
          <w:szCs w:val="18"/>
        </w:rPr>
        <w:t xml:space="preserve">above </w:t>
      </w:r>
      <w:r w:rsidR="006B7D63" w:rsidRPr="006E52DA">
        <w:rPr>
          <w:rFonts w:ascii="Helvetica" w:hAnsi="Helvetica" w:cs="Helvetica"/>
          <w:color w:val="333333"/>
          <w:sz w:val="18"/>
          <w:szCs w:val="18"/>
        </w:rPr>
        <w:t>have been rounded to whole numbers</w:t>
      </w:r>
      <w:r w:rsidR="001A641D" w:rsidRPr="006E52DA">
        <w:rPr>
          <w:rFonts w:ascii="Helvetica" w:hAnsi="Helvetica" w:cs="Helvetica"/>
          <w:color w:val="333333"/>
          <w:sz w:val="18"/>
          <w:szCs w:val="18"/>
        </w:rPr>
        <w:t>.</w:t>
      </w:r>
      <w:r w:rsidR="001A641D" w:rsidRPr="001A641D">
        <w:rPr>
          <w:rFonts w:ascii="Helvetica" w:hAnsi="Helvetica" w:cs="Helvetica"/>
          <w:color w:val="333333"/>
          <w:sz w:val="18"/>
          <w:szCs w:val="18"/>
        </w:rPr>
        <w:t xml:space="preserve"> </w:t>
      </w:r>
    </w:p>
    <w:p w:rsidR="001A641D" w:rsidRPr="00DE15FF" w:rsidRDefault="007E5C0A" w:rsidP="001A641D">
      <w:pPr>
        <w:rPr>
          <w:lang w:val="en-US"/>
        </w:rPr>
      </w:pPr>
      <w:r w:rsidRPr="00DE15FF">
        <w:rPr>
          <w:lang w:val="en-US"/>
        </w:rPr>
        <w:t xml:space="preserve">More information on the fees that may be applicable at each stage of the assessment on referral information process is outlined in the flowchart </w:t>
      </w:r>
      <w:r w:rsidRPr="000523CF">
        <w:rPr>
          <w:lang w:val="en-US"/>
        </w:rPr>
        <w:t xml:space="preserve">at </w:t>
      </w:r>
      <w:r w:rsidR="00FF3730">
        <w:fldChar w:fldCharType="begin"/>
      </w:r>
      <w:r w:rsidR="00FF3730">
        <w:instrText xml:space="preserve"> REF _Ref457913076 \h  \* MERGEFORMAT </w:instrText>
      </w:r>
      <w:r w:rsidR="00FF3730">
        <w:fldChar w:fldCharType="separate"/>
      </w:r>
      <w:r w:rsidR="00FF3730">
        <w:t>Figure 6</w:t>
      </w:r>
      <w:r w:rsidR="00FF3730">
        <w:fldChar w:fldCharType="end"/>
      </w:r>
      <w:r w:rsidRPr="000523CF">
        <w:rPr>
          <w:lang w:val="en-US"/>
        </w:rPr>
        <w:t xml:space="preserve"> below. Refer to Example 1 on page </w:t>
      </w:r>
      <w:r w:rsidR="003366B4" w:rsidRPr="000523CF">
        <w:rPr>
          <w:lang w:val="en-US"/>
        </w:rPr>
        <w:fldChar w:fldCharType="begin"/>
      </w:r>
      <w:r w:rsidRPr="000523CF">
        <w:rPr>
          <w:lang w:val="en-US"/>
        </w:rPr>
        <w:instrText xml:space="preserve"> PAGEREF _Ref457985926 \h </w:instrText>
      </w:r>
      <w:r w:rsidR="003366B4" w:rsidRPr="000523CF">
        <w:rPr>
          <w:lang w:val="en-US"/>
        </w:rPr>
      </w:r>
      <w:r w:rsidR="003366B4" w:rsidRPr="000523CF">
        <w:rPr>
          <w:lang w:val="en-US"/>
        </w:rPr>
        <w:fldChar w:fldCharType="separate"/>
      </w:r>
      <w:r w:rsidR="00FF3730">
        <w:rPr>
          <w:noProof/>
          <w:lang w:val="en-US"/>
        </w:rPr>
        <w:t>42</w:t>
      </w:r>
      <w:r w:rsidR="003366B4" w:rsidRPr="000523CF">
        <w:rPr>
          <w:lang w:val="en-US"/>
        </w:rPr>
        <w:fldChar w:fldCharType="end"/>
      </w:r>
      <w:r w:rsidRPr="00DE15FF">
        <w:rPr>
          <w:lang w:val="en-US"/>
        </w:rPr>
        <w:t xml:space="preserve"> to see how complexity fees could be applied to a project assessed on referral information. </w:t>
      </w:r>
    </w:p>
    <w:p w:rsidR="001A641D" w:rsidRPr="00DE15FF" w:rsidRDefault="007E5C0A" w:rsidP="001A641D">
      <w:r w:rsidRPr="00DE15FF">
        <w:t xml:space="preserve">The fees for contingent activities and for evaluation of post-approval action management plans may be applicable during the assessment or for an approval granted following an assessment on referral information </w:t>
      </w:r>
      <w:r w:rsidRPr="000523CF">
        <w:t xml:space="preserve">(see sections </w:t>
      </w:r>
      <w:r w:rsidR="00FF3730">
        <w:fldChar w:fldCharType="begin"/>
      </w:r>
      <w:r w:rsidR="00FF3730">
        <w:instrText xml:space="preserve"> REF _Ref457992829 \r \h  \* MERGEFORMAT </w:instrText>
      </w:r>
      <w:r w:rsidR="00FF3730">
        <w:fldChar w:fldCharType="separate"/>
      </w:r>
      <w:r w:rsidR="00FF3730">
        <w:t>3.3.1.2</w:t>
      </w:r>
      <w:r w:rsidR="00FF3730">
        <w:fldChar w:fldCharType="end"/>
      </w:r>
      <w:r w:rsidRPr="000523CF">
        <w:t xml:space="preserve"> and </w:t>
      </w:r>
      <w:r w:rsidR="00FF3730">
        <w:fldChar w:fldCharType="begin"/>
      </w:r>
      <w:r w:rsidR="00FF3730">
        <w:instrText xml:space="preserve"> REF _Ref457992822 \r \h  \* MERGEFORMAT </w:instrText>
      </w:r>
      <w:r w:rsidR="00FF3730">
        <w:fldChar w:fldCharType="separate"/>
      </w:r>
      <w:r w:rsidR="00FF3730">
        <w:t>3.3.1.3</w:t>
      </w:r>
      <w:r w:rsidR="00FF3730">
        <w:fldChar w:fldCharType="end"/>
      </w:r>
      <w:r w:rsidRPr="000523CF">
        <w:t xml:space="preserve"> for further</w:t>
      </w:r>
      <w:r w:rsidRPr="00DE15FF">
        <w:t xml:space="preserve"> information).</w:t>
      </w:r>
    </w:p>
    <w:p w:rsidR="001A641D" w:rsidRDefault="007E5C0A" w:rsidP="001A641D">
      <w:pPr>
        <w:keepNext/>
      </w:pPr>
      <w:r>
        <w:rPr>
          <w:rFonts w:ascii="Calibri" w:hAnsi="Calibri"/>
          <w:noProof/>
          <w:lang w:eastAsia="en-AU"/>
        </w:rPr>
        <w:drawing>
          <wp:inline distT="0" distB="0" distL="0" distR="0">
            <wp:extent cx="6120765" cy="7867156"/>
            <wp:effectExtent l="1905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tretch>
                      <a:fillRect/>
                    </a:stretch>
                  </pic:blipFill>
                  <pic:spPr bwMode="auto">
                    <a:xfrm>
                      <a:off x="0" y="0"/>
                      <a:ext cx="6120765" cy="7867156"/>
                    </a:xfrm>
                    <a:prstGeom prst="rect">
                      <a:avLst/>
                    </a:prstGeom>
                    <a:noFill/>
                    <a:ln w="9525">
                      <a:noFill/>
                      <a:miter lim="800000"/>
                      <a:headEnd/>
                      <a:tailEnd/>
                    </a:ln>
                  </pic:spPr>
                </pic:pic>
              </a:graphicData>
            </a:graphic>
          </wp:inline>
        </w:drawing>
      </w:r>
    </w:p>
    <w:p w:rsidR="001A641D" w:rsidRDefault="007E5C0A" w:rsidP="001A641D">
      <w:pPr>
        <w:pStyle w:val="Caption"/>
        <w:jc w:val="left"/>
        <w:rPr>
          <w:rFonts w:ascii="Calibri" w:hAnsi="Calibri"/>
          <w:lang w:val="en-US"/>
        </w:rPr>
      </w:pPr>
      <w:bookmarkStart w:id="1763" w:name="_Ref457913076"/>
      <w:bookmarkStart w:id="1764" w:name="_Toc256000290"/>
      <w:bookmarkStart w:id="1765" w:name="_Toc256000182"/>
      <w:bookmarkStart w:id="1766" w:name="_Toc256000074"/>
      <w:bookmarkStart w:id="1767" w:name="_Toc458170577"/>
      <w:bookmarkStart w:id="1768" w:name="_Toc459108590"/>
      <w:r>
        <w:t xml:space="preserve">Figure </w:t>
      </w:r>
      <w:r w:rsidR="003366B4">
        <w:fldChar w:fldCharType="begin"/>
      </w:r>
      <w:r>
        <w:instrText xml:space="preserve"> SEQ Figure \* ARABIC </w:instrText>
      </w:r>
      <w:r w:rsidR="003366B4">
        <w:fldChar w:fldCharType="separate"/>
      </w:r>
      <w:r w:rsidR="00FF3730">
        <w:rPr>
          <w:noProof/>
        </w:rPr>
        <w:t>6</w:t>
      </w:r>
      <w:r w:rsidR="003366B4">
        <w:fldChar w:fldCharType="end"/>
      </w:r>
      <w:bookmarkEnd w:id="1763"/>
      <w:r>
        <w:t xml:space="preserve">. </w:t>
      </w:r>
      <w:r w:rsidRPr="008616CD">
        <w:t>Fee stages flow chart for assessment on referral information.</w:t>
      </w:r>
      <w:bookmarkEnd w:id="1764"/>
      <w:bookmarkEnd w:id="1765"/>
      <w:bookmarkEnd w:id="1766"/>
      <w:bookmarkEnd w:id="1767"/>
      <w:bookmarkEnd w:id="1768"/>
    </w:p>
    <w:p w:rsidR="001A641D" w:rsidRDefault="007E5C0A">
      <w:pPr>
        <w:spacing w:after="0" w:line="240" w:lineRule="auto"/>
        <w:rPr>
          <w:b/>
          <w:color w:val="1F497D" w:themeColor="text2"/>
          <w:sz w:val="18"/>
          <w:szCs w:val="18"/>
          <w:highlight w:val="yellow"/>
        </w:rPr>
      </w:pPr>
      <w:r>
        <w:rPr>
          <w:b/>
          <w:color w:val="1F497D" w:themeColor="text2"/>
          <w:sz w:val="18"/>
          <w:szCs w:val="18"/>
          <w:highlight w:val="yellow"/>
        </w:rPr>
        <w:br w:type="page"/>
      </w:r>
    </w:p>
    <w:p w:rsidR="001A641D" w:rsidRDefault="007E5C0A" w:rsidP="001A641D">
      <w:pPr>
        <w:pStyle w:val="Caption"/>
        <w:keepNext/>
      </w:pPr>
      <w:bookmarkStart w:id="1769" w:name="_Ref457985734"/>
      <w:bookmarkStart w:id="1770" w:name="_Toc256000404"/>
      <w:bookmarkStart w:id="1771" w:name="_Toc256000296"/>
      <w:bookmarkStart w:id="1772" w:name="_Toc256000188"/>
      <w:bookmarkStart w:id="1773" w:name="_Toc256000080"/>
      <w:bookmarkStart w:id="1774" w:name="_Ref457985748"/>
      <w:bookmarkStart w:id="1775" w:name="_Ref457985926"/>
      <w:bookmarkStart w:id="1776" w:name="_Toc458170583"/>
      <w:r>
        <w:t xml:space="preserve">Example </w:t>
      </w:r>
      <w:r w:rsidR="003366B4">
        <w:fldChar w:fldCharType="begin"/>
      </w:r>
      <w:r>
        <w:instrText xml:space="preserve"> SEQ Example \* ARABIC </w:instrText>
      </w:r>
      <w:r w:rsidR="003366B4">
        <w:fldChar w:fldCharType="separate"/>
      </w:r>
      <w:r w:rsidR="00FF3730">
        <w:rPr>
          <w:noProof/>
        </w:rPr>
        <w:t>1</w:t>
      </w:r>
      <w:r w:rsidR="003366B4">
        <w:rPr>
          <w:noProof/>
        </w:rPr>
        <w:fldChar w:fldCharType="end"/>
      </w:r>
      <w:bookmarkEnd w:id="1769"/>
      <w:r>
        <w:t xml:space="preserve">. </w:t>
      </w:r>
      <w:r w:rsidRPr="003345C9">
        <w:t>Highway upgrade (Assessment on referral information)</w:t>
      </w:r>
      <w:bookmarkEnd w:id="1770"/>
      <w:bookmarkEnd w:id="1771"/>
      <w:bookmarkEnd w:id="1772"/>
      <w:bookmarkEnd w:id="1773"/>
      <w:bookmarkEnd w:id="1774"/>
      <w:bookmarkEnd w:id="1775"/>
      <w:bookmarkEnd w:id="1776"/>
    </w:p>
    <w:tbl>
      <w:tblPr>
        <w:tblStyle w:val="TableGrid"/>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1124"/>
        <w:gridCol w:w="643"/>
        <w:gridCol w:w="3232"/>
        <w:gridCol w:w="3309"/>
        <w:gridCol w:w="1547"/>
      </w:tblGrid>
      <w:tr w:rsidR="00397365" w:rsidTr="001A641D">
        <w:trPr>
          <w:cnfStyle w:val="100000000000" w:firstRow="1" w:lastRow="0" w:firstColumn="0" w:lastColumn="0" w:oddVBand="0" w:evenVBand="0" w:oddHBand="0" w:evenHBand="0" w:firstRowFirstColumn="0" w:firstRowLastColumn="0" w:lastRowFirstColumn="0" w:lastRowLastColumn="0"/>
          <w:trHeight w:val="662"/>
        </w:trPr>
        <w:tc>
          <w:tcPr>
            <w:tcW w:w="5000" w:type="pct"/>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tcPr>
          <w:p w:rsidR="001A641D" w:rsidRPr="002803CE" w:rsidRDefault="007E5C0A" w:rsidP="001A641D">
            <w:pPr>
              <w:tabs>
                <w:tab w:val="num" w:pos="360"/>
              </w:tabs>
              <w:rPr>
                <w:b/>
                <w:sz w:val="18"/>
                <w:szCs w:val="18"/>
              </w:rPr>
            </w:pPr>
            <w:r w:rsidRPr="002803CE">
              <w:rPr>
                <w:b/>
                <w:sz w:val="18"/>
                <w:szCs w:val="18"/>
              </w:rPr>
              <w:t xml:space="preserve">Project description: </w:t>
            </w:r>
            <w:r w:rsidRPr="002803CE">
              <w:rPr>
                <w:sz w:val="18"/>
                <w:szCs w:val="18"/>
              </w:rPr>
              <w:t>The Department of Roads and Transport is proposing to upgrade a section of highway, which requires clearing of up to 50ha of vegetation, located in an important regional habitat corridor for wildlife.</w:t>
            </w:r>
          </w:p>
        </w:tc>
      </w:tr>
      <w:tr w:rsidR="00397365" w:rsidTr="001A641D">
        <w:trPr>
          <w:cnfStyle w:val="000000100000" w:firstRow="0" w:lastRow="0" w:firstColumn="0" w:lastColumn="0" w:oddVBand="0" w:evenVBand="0" w:oddHBand="1" w:evenHBand="0" w:firstRowFirstColumn="0" w:firstRowLastColumn="0" w:lastRowFirstColumn="0" w:lastRowLastColumn="0"/>
          <w:trHeight w:val="662"/>
        </w:trPr>
        <w:tc>
          <w:tcPr>
            <w:tcW w:w="896"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vAlign w:val="center"/>
          </w:tcPr>
          <w:p w:rsidR="001A641D" w:rsidRPr="002803CE" w:rsidRDefault="007E5C0A" w:rsidP="001A641D">
            <w:pPr>
              <w:jc w:val="center"/>
              <w:rPr>
                <w:b/>
                <w:sz w:val="18"/>
                <w:szCs w:val="18"/>
              </w:rPr>
            </w:pPr>
            <w:r w:rsidRPr="002803CE">
              <w:rPr>
                <w:b/>
                <w:sz w:val="18"/>
                <w:szCs w:val="18"/>
              </w:rPr>
              <w:t>Fee Ref.*</w:t>
            </w:r>
          </w:p>
        </w:tc>
        <w:tc>
          <w:tcPr>
            <w:tcW w:w="1640"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2803CE" w:rsidRDefault="007E5C0A" w:rsidP="001A641D">
            <w:pPr>
              <w:jc w:val="center"/>
              <w:rPr>
                <w:b/>
                <w:sz w:val="18"/>
                <w:szCs w:val="18"/>
              </w:rPr>
            </w:pPr>
            <w:r w:rsidRPr="002803CE">
              <w:rPr>
                <w:b/>
                <w:sz w:val="18"/>
                <w:szCs w:val="18"/>
              </w:rPr>
              <w:t>Project characteristics</w:t>
            </w:r>
          </w:p>
        </w:tc>
        <w:tc>
          <w:tcPr>
            <w:tcW w:w="1679"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2803CE" w:rsidRDefault="007E5C0A" w:rsidP="001A641D">
            <w:pPr>
              <w:jc w:val="center"/>
              <w:rPr>
                <w:b/>
                <w:sz w:val="18"/>
                <w:szCs w:val="18"/>
              </w:rPr>
            </w:pPr>
            <w:r w:rsidRPr="002803CE">
              <w:rPr>
                <w:b/>
                <w:sz w:val="18"/>
                <w:szCs w:val="18"/>
              </w:rPr>
              <w:t>Additional resources required during the assessment process</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2803CE" w:rsidRDefault="007E5C0A" w:rsidP="001A641D">
            <w:pPr>
              <w:jc w:val="center"/>
              <w:rPr>
                <w:b/>
                <w:sz w:val="18"/>
                <w:szCs w:val="18"/>
              </w:rPr>
            </w:pPr>
            <w:r>
              <w:rPr>
                <w:b/>
                <w:sz w:val="18"/>
                <w:szCs w:val="18"/>
              </w:rPr>
              <w:t>F</w:t>
            </w:r>
            <w:r w:rsidRPr="002803CE">
              <w:rPr>
                <w:b/>
                <w:sz w:val="18"/>
                <w:szCs w:val="18"/>
              </w:rPr>
              <w:t>ee</w:t>
            </w:r>
          </w:p>
        </w:tc>
      </w:tr>
      <w:tr w:rsidR="00397365" w:rsidTr="001A641D">
        <w:trPr>
          <w:cnfStyle w:val="000000010000" w:firstRow="0" w:lastRow="0" w:firstColumn="0" w:lastColumn="0" w:oddVBand="0" w:evenVBand="0" w:oddHBand="0" w:evenHBand="1" w:firstRowFirstColumn="0" w:firstRowLastColumn="0" w:lastRowFirstColumn="0" w:lastRowLastColumn="0"/>
          <w:trHeight w:val="524"/>
        </w:trPr>
        <w:tc>
          <w:tcPr>
            <w:tcW w:w="570" w:type="pct"/>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C6D9F1" w:themeFill="text2" w:themeFillTint="33"/>
          </w:tcPr>
          <w:p w:rsidR="001A641D" w:rsidRPr="002803CE" w:rsidRDefault="007E5C0A" w:rsidP="001A641D">
            <w:pPr>
              <w:rPr>
                <w:sz w:val="18"/>
                <w:szCs w:val="18"/>
              </w:rPr>
            </w:pPr>
            <w:r>
              <w:rPr>
                <w:sz w:val="18"/>
                <w:szCs w:val="18"/>
              </w:rPr>
              <w:t>Part A Complexity Fees</w:t>
            </w: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2803CE" w:rsidRDefault="007E5C0A" w:rsidP="001A641D">
            <w:pPr>
              <w:rPr>
                <w:sz w:val="18"/>
                <w:szCs w:val="18"/>
              </w:rPr>
            </w:pPr>
            <w:r w:rsidRPr="002803CE">
              <w:rPr>
                <w:sz w:val="18"/>
                <w:szCs w:val="18"/>
              </w:rPr>
              <w:t>Controlling provisions triggered</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Pr="002117D1"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2117D1" w:rsidRDefault="007E5C0A" w:rsidP="001A641D">
            <w:pPr>
              <w:spacing w:after="0"/>
              <w:jc w:val="center"/>
              <w:rPr>
                <w:sz w:val="18"/>
                <w:szCs w:val="18"/>
              </w:rPr>
            </w:pPr>
            <w:r w:rsidRPr="002117D1">
              <w:rPr>
                <w:sz w:val="18"/>
                <w:szCs w:val="18"/>
              </w:rPr>
              <w:t>A</w:t>
            </w:r>
          </w:p>
        </w:tc>
        <w:tc>
          <w:tcPr>
            <w:tcW w:w="1640" w:type="pct"/>
            <w:tcBorders>
              <w:top w:val="single" w:sz="4" w:space="0" w:color="548DD4" w:themeColor="text2" w:themeTint="99"/>
              <w:left w:val="nil"/>
              <w:bottom w:val="single" w:sz="4" w:space="0" w:color="548DD4" w:themeColor="text2" w:themeTint="99"/>
              <w:right w:val="nil"/>
            </w:tcBorders>
          </w:tcPr>
          <w:p w:rsidR="001A641D" w:rsidRPr="002117D1" w:rsidRDefault="007E5C0A" w:rsidP="001A641D">
            <w:pPr>
              <w:pStyle w:val="ListBullet"/>
              <w:numPr>
                <w:ilvl w:val="0"/>
                <w:numId w:val="0"/>
              </w:numPr>
              <w:spacing w:after="0"/>
              <w:ind w:left="76"/>
              <w:rPr>
                <w:sz w:val="18"/>
                <w:szCs w:val="18"/>
              </w:rPr>
            </w:pPr>
            <w:r w:rsidRPr="002117D1">
              <w:rPr>
                <w:sz w:val="18"/>
                <w:szCs w:val="18"/>
              </w:rPr>
              <w:t>3 threatened species require assessment; impacts to all species are well defined and understood; and all management options are well defined and understood.</w:t>
            </w:r>
          </w:p>
        </w:tc>
        <w:tc>
          <w:tcPr>
            <w:tcW w:w="1679" w:type="pct"/>
            <w:tcBorders>
              <w:top w:val="single" w:sz="4" w:space="0" w:color="548DD4" w:themeColor="text2" w:themeTint="99"/>
              <w:left w:val="nil"/>
              <w:bottom w:val="single" w:sz="4" w:space="0" w:color="548DD4" w:themeColor="text2" w:themeTint="99"/>
              <w:right w:val="nil"/>
            </w:tcBorders>
          </w:tcPr>
          <w:p w:rsidR="001A641D" w:rsidRPr="002117D1" w:rsidRDefault="007E5C0A" w:rsidP="001A641D">
            <w:pPr>
              <w:pStyle w:val="ListBullet"/>
              <w:numPr>
                <w:ilvl w:val="0"/>
                <w:numId w:val="0"/>
              </w:numPr>
              <w:spacing w:after="0"/>
              <w:rPr>
                <w:sz w:val="18"/>
                <w:szCs w:val="18"/>
              </w:rPr>
            </w:pPr>
            <w:r w:rsidRPr="002117D1">
              <w:rPr>
                <w:sz w:val="18"/>
                <w:szCs w:val="18"/>
              </w:rPr>
              <w:t>Threatened species (moderate complexity):</w:t>
            </w:r>
          </w:p>
          <w:p w:rsidR="001A641D" w:rsidRPr="002117D1" w:rsidRDefault="007E5C0A" w:rsidP="001A641D">
            <w:pPr>
              <w:pStyle w:val="ListBullet"/>
              <w:spacing w:after="0"/>
              <w:rPr>
                <w:sz w:val="18"/>
                <w:szCs w:val="18"/>
              </w:rPr>
            </w:pPr>
            <w:r w:rsidRPr="002117D1">
              <w:rPr>
                <w:sz w:val="18"/>
                <w:szCs w:val="18"/>
              </w:rPr>
              <w:t>Assessment Officer – 7.93 days</w:t>
            </w:r>
          </w:p>
          <w:p w:rsidR="001A641D" w:rsidRPr="002117D1" w:rsidRDefault="007E5C0A" w:rsidP="001A641D">
            <w:pPr>
              <w:pStyle w:val="ListBullet"/>
              <w:spacing w:after="0"/>
              <w:rPr>
                <w:sz w:val="18"/>
                <w:szCs w:val="18"/>
              </w:rPr>
            </w:pPr>
            <w:r w:rsidRPr="002117D1">
              <w:rPr>
                <w:sz w:val="18"/>
                <w:szCs w:val="18"/>
              </w:rPr>
              <w:t>Assistant Director – 2.94 days</w:t>
            </w:r>
          </w:p>
          <w:p w:rsidR="001A641D" w:rsidRPr="002117D1" w:rsidRDefault="007E5C0A" w:rsidP="001A641D">
            <w:pPr>
              <w:pStyle w:val="ListBullet"/>
              <w:spacing w:after="0"/>
              <w:rPr>
                <w:sz w:val="18"/>
                <w:szCs w:val="18"/>
              </w:rPr>
            </w:pPr>
            <w:r w:rsidRPr="002117D1">
              <w:rPr>
                <w:sz w:val="18"/>
                <w:szCs w:val="18"/>
              </w:rPr>
              <w:t>Director – 1.25 days</w:t>
            </w:r>
          </w:p>
          <w:p w:rsidR="001A641D" w:rsidRPr="002117D1" w:rsidRDefault="007E5C0A" w:rsidP="001A641D">
            <w:pPr>
              <w:pStyle w:val="ListBullet"/>
              <w:spacing w:after="0"/>
              <w:rPr>
                <w:sz w:val="18"/>
                <w:szCs w:val="18"/>
              </w:rPr>
            </w:pPr>
            <w:r>
              <w:rPr>
                <w:sz w:val="18"/>
                <w:szCs w:val="18"/>
              </w:rPr>
              <w:t>SES</w:t>
            </w:r>
            <w:r w:rsidRPr="002117D1">
              <w:rPr>
                <w:sz w:val="18"/>
                <w:szCs w:val="18"/>
              </w:rPr>
              <w:t xml:space="preserve"> – 0.11 days</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2117D1" w:rsidRDefault="007E5C0A" w:rsidP="001A641D">
            <w:pPr>
              <w:spacing w:after="0"/>
              <w:jc w:val="center"/>
              <w:rPr>
                <w:sz w:val="18"/>
                <w:szCs w:val="18"/>
              </w:rPr>
            </w:pPr>
            <w:r w:rsidRPr="002117D1">
              <w:rPr>
                <w:sz w:val="18"/>
                <w:szCs w:val="18"/>
              </w:rPr>
              <w:t>$6,742</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Pr="002117D1"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2117D1" w:rsidRDefault="007E5C0A" w:rsidP="001A641D">
            <w:pPr>
              <w:spacing w:after="0"/>
              <w:jc w:val="center"/>
              <w:rPr>
                <w:sz w:val="18"/>
                <w:szCs w:val="18"/>
              </w:rPr>
            </w:pPr>
            <w:r w:rsidRPr="002117D1">
              <w:rPr>
                <w:sz w:val="18"/>
                <w:szCs w:val="18"/>
              </w:rPr>
              <w:t>B</w:t>
            </w:r>
          </w:p>
        </w:tc>
        <w:tc>
          <w:tcPr>
            <w:tcW w:w="1640" w:type="pct"/>
            <w:tcBorders>
              <w:top w:val="single" w:sz="4" w:space="0" w:color="548DD4" w:themeColor="text2" w:themeTint="99"/>
              <w:left w:val="nil"/>
              <w:bottom w:val="single" w:sz="4" w:space="0" w:color="548DD4" w:themeColor="text2" w:themeTint="99"/>
              <w:right w:val="nil"/>
            </w:tcBorders>
          </w:tcPr>
          <w:p w:rsidR="001A641D" w:rsidRPr="002117D1" w:rsidRDefault="007E5C0A" w:rsidP="001A641D">
            <w:pPr>
              <w:pStyle w:val="ListBullet"/>
              <w:numPr>
                <w:ilvl w:val="0"/>
                <w:numId w:val="0"/>
              </w:numPr>
              <w:spacing w:after="0"/>
              <w:ind w:left="76"/>
              <w:rPr>
                <w:sz w:val="18"/>
                <w:szCs w:val="18"/>
              </w:rPr>
            </w:pPr>
            <w:r w:rsidRPr="002117D1">
              <w:rPr>
                <w:sz w:val="18"/>
                <w:szCs w:val="18"/>
              </w:rPr>
              <w:t>6 migratory species require assessment, 2 of which are also threatened species considered above; impacts to all migratory species are well defined and understood; and all management options are well defined and understood .</w:t>
            </w:r>
          </w:p>
        </w:tc>
        <w:tc>
          <w:tcPr>
            <w:tcW w:w="1679" w:type="pct"/>
            <w:tcBorders>
              <w:top w:val="single" w:sz="4" w:space="0" w:color="548DD4" w:themeColor="text2" w:themeTint="99"/>
              <w:left w:val="nil"/>
              <w:bottom w:val="single" w:sz="4" w:space="0" w:color="548DD4" w:themeColor="text2" w:themeTint="99"/>
              <w:right w:val="nil"/>
            </w:tcBorders>
          </w:tcPr>
          <w:p w:rsidR="001A641D" w:rsidRPr="002117D1" w:rsidRDefault="007E5C0A" w:rsidP="001A641D">
            <w:pPr>
              <w:pStyle w:val="ListBullet"/>
              <w:numPr>
                <w:ilvl w:val="0"/>
                <w:numId w:val="0"/>
              </w:numPr>
              <w:spacing w:after="0"/>
              <w:rPr>
                <w:sz w:val="18"/>
                <w:szCs w:val="18"/>
              </w:rPr>
            </w:pPr>
            <w:r w:rsidRPr="002117D1">
              <w:rPr>
                <w:sz w:val="18"/>
                <w:szCs w:val="18"/>
              </w:rPr>
              <w:t>Migratory species (moderate complexity):</w:t>
            </w:r>
          </w:p>
          <w:p w:rsidR="001A641D" w:rsidRPr="002117D1" w:rsidRDefault="007E5C0A" w:rsidP="001A641D">
            <w:pPr>
              <w:pStyle w:val="ListBullet"/>
              <w:spacing w:after="0"/>
              <w:rPr>
                <w:sz w:val="18"/>
                <w:szCs w:val="18"/>
              </w:rPr>
            </w:pPr>
            <w:r w:rsidRPr="002117D1">
              <w:rPr>
                <w:sz w:val="18"/>
                <w:szCs w:val="18"/>
              </w:rPr>
              <w:t>Assessment Officer – 7.93 days</w:t>
            </w:r>
          </w:p>
          <w:p w:rsidR="001A641D" w:rsidRPr="002117D1" w:rsidRDefault="007E5C0A" w:rsidP="001A641D">
            <w:pPr>
              <w:pStyle w:val="ListBullet"/>
              <w:spacing w:after="0"/>
              <w:rPr>
                <w:sz w:val="18"/>
                <w:szCs w:val="18"/>
              </w:rPr>
            </w:pPr>
            <w:r w:rsidRPr="002117D1">
              <w:rPr>
                <w:sz w:val="18"/>
                <w:szCs w:val="18"/>
              </w:rPr>
              <w:t>Assistant Director – 2.94 days</w:t>
            </w:r>
          </w:p>
          <w:p w:rsidR="001A641D" w:rsidRPr="002117D1" w:rsidRDefault="007E5C0A" w:rsidP="001A641D">
            <w:pPr>
              <w:pStyle w:val="ListBullet"/>
              <w:spacing w:after="0"/>
              <w:rPr>
                <w:sz w:val="18"/>
                <w:szCs w:val="18"/>
              </w:rPr>
            </w:pPr>
            <w:r w:rsidRPr="002117D1">
              <w:rPr>
                <w:sz w:val="18"/>
                <w:szCs w:val="18"/>
              </w:rPr>
              <w:t>Director – 1.25 days</w:t>
            </w:r>
          </w:p>
          <w:p w:rsidR="001A641D" w:rsidRPr="002117D1" w:rsidRDefault="007E5C0A" w:rsidP="001A641D">
            <w:pPr>
              <w:pStyle w:val="ListBullet"/>
              <w:spacing w:after="0"/>
              <w:rPr>
                <w:sz w:val="18"/>
                <w:szCs w:val="18"/>
              </w:rPr>
            </w:pPr>
            <w:r>
              <w:rPr>
                <w:sz w:val="18"/>
                <w:szCs w:val="18"/>
              </w:rPr>
              <w:t>SES</w:t>
            </w:r>
            <w:r w:rsidRPr="002117D1">
              <w:rPr>
                <w:sz w:val="18"/>
                <w:szCs w:val="18"/>
              </w:rPr>
              <w:t xml:space="preserve"> – 0.11 days</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2117D1" w:rsidRDefault="007E5C0A" w:rsidP="001A641D">
            <w:pPr>
              <w:spacing w:after="0"/>
              <w:jc w:val="center"/>
              <w:rPr>
                <w:sz w:val="18"/>
                <w:szCs w:val="18"/>
              </w:rPr>
            </w:pPr>
            <w:r w:rsidRPr="002117D1">
              <w:rPr>
                <w:sz w:val="18"/>
                <w:szCs w:val="18"/>
              </w:rPr>
              <w:t>$6,742</w:t>
            </w:r>
          </w:p>
        </w:tc>
      </w:tr>
      <w:tr w:rsidR="00397365" w:rsidTr="001A641D">
        <w:trPr>
          <w:cnfStyle w:val="000000100000" w:firstRow="0" w:lastRow="0" w:firstColumn="0" w:lastColumn="0" w:oddVBand="0" w:evenVBand="0" w:oddHBand="1" w:evenHBand="0" w:firstRowFirstColumn="0" w:firstRowLastColumn="0" w:lastRowFirstColumn="0" w:lastRowLastColumn="0"/>
          <w:trHeight w:val="507"/>
        </w:trPr>
        <w:tc>
          <w:tcPr>
            <w:tcW w:w="570" w:type="pct"/>
            <w:vMerge/>
            <w:tcBorders>
              <w:left w:val="single" w:sz="4" w:space="0" w:color="548DD4" w:themeColor="text2" w:themeTint="99"/>
              <w:right w:val="single" w:sz="4" w:space="0" w:color="548DD4" w:themeColor="text2" w:themeTint="99"/>
            </w:tcBorders>
            <w:shd w:val="clear" w:color="auto" w:fill="C6D9F1" w:themeFill="text2" w:themeFillTint="33"/>
          </w:tcPr>
          <w:p w:rsidR="001A641D" w:rsidRDefault="001A641D" w:rsidP="001A641D">
            <w:pPr>
              <w:rPr>
                <w:sz w:val="18"/>
                <w:szCs w:val="18"/>
              </w:rPr>
            </w:pP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F339ED" w:rsidRDefault="007E5C0A" w:rsidP="001A641D">
            <w:pPr>
              <w:rPr>
                <w:sz w:val="18"/>
                <w:szCs w:val="18"/>
              </w:rPr>
            </w:pPr>
            <w:r>
              <w:rPr>
                <w:sz w:val="18"/>
                <w:szCs w:val="18"/>
              </w:rPr>
              <w:t>Project components</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2803CE" w:rsidRDefault="007E5C0A" w:rsidP="001A641D">
            <w:pPr>
              <w:spacing w:after="0"/>
              <w:jc w:val="center"/>
              <w:rPr>
                <w:sz w:val="18"/>
                <w:szCs w:val="18"/>
              </w:rPr>
            </w:pPr>
            <w:r>
              <w:rPr>
                <w:sz w:val="18"/>
                <w:szCs w:val="18"/>
              </w:rPr>
              <w:t>K</w:t>
            </w:r>
          </w:p>
        </w:tc>
        <w:tc>
          <w:tcPr>
            <w:tcW w:w="1640" w:type="pct"/>
            <w:tcBorders>
              <w:top w:val="single" w:sz="4" w:space="0" w:color="548DD4" w:themeColor="text2" w:themeTint="99"/>
              <w:left w:val="nil"/>
              <w:bottom w:val="single" w:sz="4" w:space="0" w:color="548DD4" w:themeColor="text2" w:themeTint="99"/>
              <w:right w:val="nil"/>
            </w:tcBorders>
          </w:tcPr>
          <w:p w:rsidR="001A641D" w:rsidRPr="00F339ED" w:rsidRDefault="007E5C0A" w:rsidP="001A641D">
            <w:pPr>
              <w:pStyle w:val="ListBullet"/>
              <w:numPr>
                <w:ilvl w:val="0"/>
                <w:numId w:val="0"/>
              </w:numPr>
              <w:spacing w:after="0"/>
              <w:ind w:left="76"/>
              <w:rPr>
                <w:sz w:val="18"/>
                <w:szCs w:val="18"/>
              </w:rPr>
            </w:pPr>
            <w:r>
              <w:rPr>
                <w:sz w:val="18"/>
                <w:szCs w:val="18"/>
              </w:rPr>
              <w:t>One component - Land clearing for highway upgrade</w:t>
            </w:r>
          </w:p>
        </w:tc>
        <w:tc>
          <w:tcPr>
            <w:tcW w:w="1679" w:type="pct"/>
            <w:tcBorders>
              <w:top w:val="single" w:sz="4" w:space="0" w:color="548DD4" w:themeColor="text2" w:themeTint="99"/>
              <w:left w:val="nil"/>
              <w:bottom w:val="single" w:sz="4" w:space="0" w:color="548DD4" w:themeColor="text2" w:themeTint="99"/>
              <w:right w:val="nil"/>
            </w:tcBorders>
            <w:vAlign w:val="center"/>
          </w:tcPr>
          <w:p w:rsidR="001A641D" w:rsidRPr="00F339ED" w:rsidRDefault="007E5C0A" w:rsidP="001A641D">
            <w:pPr>
              <w:pStyle w:val="ListBullet"/>
              <w:spacing w:after="0"/>
              <w:rPr>
                <w:sz w:val="18"/>
                <w:szCs w:val="18"/>
              </w:rPr>
            </w:pPr>
            <w:r w:rsidRPr="00CA3ABF">
              <w:rPr>
                <w:sz w:val="18"/>
                <w:szCs w:val="18"/>
              </w:rPr>
              <w:t xml:space="preserve">No additional </w:t>
            </w:r>
            <w:r>
              <w:rPr>
                <w:sz w:val="18"/>
                <w:szCs w:val="18"/>
              </w:rPr>
              <w:t>fee</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F339ED" w:rsidRDefault="007E5C0A" w:rsidP="001A641D">
            <w:pPr>
              <w:spacing w:after="0"/>
              <w:jc w:val="center"/>
              <w:rPr>
                <w:sz w:val="18"/>
                <w:szCs w:val="18"/>
              </w:rPr>
            </w:pPr>
            <w:r>
              <w:rPr>
                <w:sz w:val="18"/>
                <w:szCs w:val="18"/>
              </w:rPr>
              <w:t>N/A</w:t>
            </w:r>
          </w:p>
        </w:tc>
      </w:tr>
      <w:tr w:rsidR="00397365" w:rsidTr="001A641D">
        <w:trPr>
          <w:cnfStyle w:val="000000100000" w:firstRow="0" w:lastRow="0" w:firstColumn="0" w:lastColumn="0" w:oddVBand="0" w:evenVBand="0" w:oddHBand="1" w:evenHBand="0" w:firstRowFirstColumn="0" w:firstRowLastColumn="0" w:lastRowFirstColumn="0" w:lastRowLastColumn="0"/>
          <w:trHeight w:val="524"/>
        </w:trPr>
        <w:tc>
          <w:tcPr>
            <w:tcW w:w="570" w:type="pct"/>
            <w:vMerge/>
            <w:tcBorders>
              <w:left w:val="single" w:sz="4" w:space="0" w:color="548DD4" w:themeColor="text2" w:themeTint="99"/>
              <w:right w:val="single" w:sz="4" w:space="0" w:color="548DD4" w:themeColor="text2" w:themeTint="99"/>
            </w:tcBorders>
            <w:shd w:val="clear" w:color="auto" w:fill="C6D9F1" w:themeFill="text2" w:themeFillTint="33"/>
          </w:tcPr>
          <w:p w:rsidR="001A641D" w:rsidRDefault="001A641D" w:rsidP="001A641D">
            <w:pPr>
              <w:rPr>
                <w:sz w:val="18"/>
                <w:szCs w:val="18"/>
              </w:rPr>
            </w:pP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F339ED" w:rsidRDefault="007E5C0A" w:rsidP="001A641D">
            <w:pPr>
              <w:rPr>
                <w:sz w:val="18"/>
                <w:szCs w:val="18"/>
              </w:rPr>
            </w:pPr>
            <w:r>
              <w:rPr>
                <w:sz w:val="18"/>
                <w:szCs w:val="18"/>
              </w:rPr>
              <w:t>Other legislation</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2803CE" w:rsidRDefault="007E5C0A" w:rsidP="001A641D">
            <w:pPr>
              <w:spacing w:after="0"/>
              <w:jc w:val="center"/>
              <w:rPr>
                <w:sz w:val="18"/>
                <w:szCs w:val="18"/>
              </w:rPr>
            </w:pPr>
            <w:r>
              <w:rPr>
                <w:sz w:val="18"/>
                <w:szCs w:val="18"/>
              </w:rPr>
              <w:t>L</w:t>
            </w:r>
          </w:p>
        </w:tc>
        <w:tc>
          <w:tcPr>
            <w:tcW w:w="1640" w:type="pct"/>
            <w:tcBorders>
              <w:top w:val="single" w:sz="4" w:space="0" w:color="548DD4" w:themeColor="text2" w:themeTint="99"/>
              <w:left w:val="nil"/>
              <w:bottom w:val="single" w:sz="4" w:space="0" w:color="548DD4" w:themeColor="text2" w:themeTint="99"/>
              <w:right w:val="nil"/>
            </w:tcBorders>
          </w:tcPr>
          <w:p w:rsidR="001A641D" w:rsidRPr="00F75183" w:rsidRDefault="007E5C0A" w:rsidP="001A641D">
            <w:pPr>
              <w:pStyle w:val="ListBullet"/>
              <w:numPr>
                <w:ilvl w:val="0"/>
                <w:numId w:val="0"/>
              </w:numPr>
              <w:spacing w:after="0"/>
              <w:ind w:left="76"/>
              <w:rPr>
                <w:sz w:val="18"/>
                <w:szCs w:val="18"/>
              </w:rPr>
            </w:pPr>
            <w:r>
              <w:rPr>
                <w:sz w:val="18"/>
                <w:szCs w:val="18"/>
              </w:rPr>
              <w:t>Low complexity - no coordination with other legislative processes required</w:t>
            </w:r>
          </w:p>
        </w:tc>
        <w:tc>
          <w:tcPr>
            <w:tcW w:w="1679" w:type="pct"/>
            <w:tcBorders>
              <w:top w:val="single" w:sz="4" w:space="0" w:color="548DD4" w:themeColor="text2" w:themeTint="99"/>
              <w:left w:val="nil"/>
              <w:bottom w:val="single" w:sz="4" w:space="0" w:color="548DD4" w:themeColor="text2" w:themeTint="99"/>
              <w:right w:val="nil"/>
            </w:tcBorders>
          </w:tcPr>
          <w:p w:rsidR="001A641D" w:rsidRPr="00F75183" w:rsidRDefault="007E5C0A" w:rsidP="001A641D">
            <w:pPr>
              <w:pStyle w:val="ListParagraph"/>
              <w:numPr>
                <w:ilvl w:val="0"/>
                <w:numId w:val="6"/>
              </w:numPr>
              <w:spacing w:after="0" w:line="240" w:lineRule="auto"/>
              <w:ind w:left="360"/>
              <w:contextualSpacing/>
              <w:rPr>
                <w:sz w:val="18"/>
                <w:szCs w:val="18"/>
              </w:rPr>
            </w:pPr>
            <w:r>
              <w:rPr>
                <w:sz w:val="18"/>
                <w:szCs w:val="18"/>
              </w:rPr>
              <w:t>No additional fee</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5201DF" w:rsidRDefault="007E5C0A" w:rsidP="001A641D">
            <w:pPr>
              <w:spacing w:after="0"/>
              <w:jc w:val="center"/>
              <w:rPr>
                <w:sz w:val="18"/>
                <w:szCs w:val="18"/>
                <w:highlight w:val="yellow"/>
              </w:rPr>
            </w:pPr>
            <w:r>
              <w:rPr>
                <w:sz w:val="18"/>
                <w:szCs w:val="18"/>
              </w:rPr>
              <w:t>N/A</w:t>
            </w:r>
          </w:p>
        </w:tc>
      </w:tr>
      <w:tr w:rsidR="00397365" w:rsidTr="001A641D">
        <w:trPr>
          <w:cnfStyle w:val="000000100000" w:firstRow="0" w:lastRow="0" w:firstColumn="0" w:lastColumn="0" w:oddVBand="0" w:evenVBand="0" w:oddHBand="1" w:evenHBand="0" w:firstRowFirstColumn="0" w:firstRowLastColumn="0" w:lastRowFirstColumn="0" w:lastRowLastColumn="0"/>
          <w:trHeight w:val="164"/>
        </w:trPr>
        <w:tc>
          <w:tcPr>
            <w:tcW w:w="570" w:type="pct"/>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C6D9F1" w:themeFill="text2" w:themeFillTint="33"/>
          </w:tcPr>
          <w:p w:rsidR="001A641D" w:rsidRDefault="007E5C0A" w:rsidP="001A641D">
            <w:pPr>
              <w:rPr>
                <w:sz w:val="18"/>
                <w:szCs w:val="18"/>
              </w:rPr>
            </w:pPr>
            <w:r>
              <w:rPr>
                <w:sz w:val="18"/>
                <w:szCs w:val="18"/>
              </w:rPr>
              <w:t>Part B Complexity Fees</w:t>
            </w: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F339ED" w:rsidRDefault="007E5C0A" w:rsidP="001A641D">
            <w:pPr>
              <w:rPr>
                <w:sz w:val="18"/>
                <w:szCs w:val="18"/>
              </w:rPr>
            </w:pPr>
            <w:r>
              <w:rPr>
                <w:sz w:val="18"/>
                <w:szCs w:val="18"/>
              </w:rPr>
              <w:t>Adequacy of information and clarity of project scope</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2803CE" w:rsidRDefault="007E5C0A" w:rsidP="001A641D">
            <w:pPr>
              <w:spacing w:after="0"/>
              <w:jc w:val="center"/>
              <w:rPr>
                <w:sz w:val="18"/>
                <w:szCs w:val="18"/>
              </w:rPr>
            </w:pPr>
            <w:r>
              <w:rPr>
                <w:sz w:val="18"/>
                <w:szCs w:val="18"/>
              </w:rPr>
              <w:t>M</w:t>
            </w:r>
          </w:p>
        </w:tc>
        <w:tc>
          <w:tcPr>
            <w:tcW w:w="1640" w:type="pct"/>
            <w:tcBorders>
              <w:top w:val="single" w:sz="4" w:space="0" w:color="548DD4" w:themeColor="text2" w:themeTint="99"/>
              <w:left w:val="nil"/>
              <w:bottom w:val="single" w:sz="4" w:space="0" w:color="548DD4" w:themeColor="text2" w:themeTint="99"/>
              <w:right w:val="nil"/>
            </w:tcBorders>
          </w:tcPr>
          <w:p w:rsidR="001A641D" w:rsidRPr="00F339ED" w:rsidRDefault="007E5C0A" w:rsidP="001A641D">
            <w:pPr>
              <w:pStyle w:val="ListBullet"/>
              <w:numPr>
                <w:ilvl w:val="0"/>
                <w:numId w:val="0"/>
              </w:numPr>
              <w:spacing w:after="0"/>
              <w:ind w:left="76"/>
              <w:rPr>
                <w:sz w:val="18"/>
                <w:szCs w:val="18"/>
              </w:rPr>
            </w:pPr>
            <w:r w:rsidRPr="00CA3ABF">
              <w:rPr>
                <w:sz w:val="18"/>
                <w:szCs w:val="18"/>
              </w:rPr>
              <w:t>Information was deemed adequate at the referral stage</w:t>
            </w:r>
          </w:p>
        </w:tc>
        <w:tc>
          <w:tcPr>
            <w:tcW w:w="1679" w:type="pct"/>
            <w:tcBorders>
              <w:top w:val="single" w:sz="4" w:space="0" w:color="548DD4" w:themeColor="text2" w:themeTint="99"/>
              <w:left w:val="nil"/>
              <w:bottom w:val="single" w:sz="4" w:space="0" w:color="548DD4" w:themeColor="text2" w:themeTint="99"/>
              <w:right w:val="nil"/>
            </w:tcBorders>
          </w:tcPr>
          <w:p w:rsidR="001A641D" w:rsidRPr="00F339ED" w:rsidRDefault="007E5C0A" w:rsidP="001A641D">
            <w:pPr>
              <w:pStyle w:val="ListParagraph"/>
              <w:numPr>
                <w:ilvl w:val="0"/>
                <w:numId w:val="6"/>
              </w:numPr>
              <w:spacing w:after="0" w:line="240" w:lineRule="auto"/>
              <w:ind w:left="360"/>
              <w:contextualSpacing/>
              <w:rPr>
                <w:sz w:val="18"/>
                <w:szCs w:val="18"/>
              </w:rPr>
            </w:pPr>
            <w:r>
              <w:rPr>
                <w:sz w:val="18"/>
                <w:szCs w:val="18"/>
              </w:rPr>
              <w:t>No additional fee</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F339ED" w:rsidRDefault="007E5C0A" w:rsidP="001A641D">
            <w:pPr>
              <w:spacing w:after="0"/>
              <w:jc w:val="center"/>
              <w:rPr>
                <w:sz w:val="18"/>
                <w:szCs w:val="18"/>
              </w:rPr>
            </w:pPr>
            <w:r>
              <w:rPr>
                <w:sz w:val="18"/>
                <w:szCs w:val="18"/>
              </w:rPr>
              <w:t>N/A</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2803CE" w:rsidRDefault="007E5C0A" w:rsidP="001A641D">
            <w:pPr>
              <w:spacing w:after="0"/>
              <w:jc w:val="center"/>
              <w:rPr>
                <w:sz w:val="18"/>
                <w:szCs w:val="18"/>
              </w:rPr>
            </w:pPr>
            <w:r>
              <w:rPr>
                <w:sz w:val="18"/>
                <w:szCs w:val="18"/>
              </w:rPr>
              <w:t>N</w:t>
            </w:r>
          </w:p>
        </w:tc>
        <w:tc>
          <w:tcPr>
            <w:tcW w:w="1640" w:type="pct"/>
            <w:tcBorders>
              <w:top w:val="single" w:sz="4" w:space="0" w:color="548DD4" w:themeColor="text2" w:themeTint="99"/>
              <w:left w:val="nil"/>
              <w:bottom w:val="single" w:sz="4" w:space="0" w:color="548DD4" w:themeColor="text2" w:themeTint="99"/>
              <w:right w:val="nil"/>
            </w:tcBorders>
          </w:tcPr>
          <w:p w:rsidR="001A641D" w:rsidRPr="00F339ED" w:rsidRDefault="007E5C0A" w:rsidP="001A641D">
            <w:pPr>
              <w:pStyle w:val="ListBullet"/>
              <w:numPr>
                <w:ilvl w:val="0"/>
                <w:numId w:val="0"/>
              </w:numPr>
              <w:spacing w:after="0"/>
              <w:ind w:left="76"/>
              <w:rPr>
                <w:sz w:val="18"/>
                <w:szCs w:val="18"/>
              </w:rPr>
            </w:pPr>
            <w:r w:rsidRPr="00CA3ABF">
              <w:rPr>
                <w:sz w:val="18"/>
                <w:szCs w:val="18"/>
              </w:rPr>
              <w:t>Information was deemed adequate at the referral stage</w:t>
            </w:r>
          </w:p>
        </w:tc>
        <w:tc>
          <w:tcPr>
            <w:tcW w:w="1679" w:type="pct"/>
            <w:tcBorders>
              <w:top w:val="single" w:sz="4" w:space="0" w:color="548DD4" w:themeColor="text2" w:themeTint="99"/>
              <w:left w:val="nil"/>
              <w:bottom w:val="single" w:sz="4" w:space="0" w:color="548DD4" w:themeColor="text2" w:themeTint="99"/>
              <w:right w:val="nil"/>
            </w:tcBorders>
          </w:tcPr>
          <w:p w:rsidR="001A641D" w:rsidRPr="00F339ED" w:rsidRDefault="007E5C0A" w:rsidP="001A641D">
            <w:pPr>
              <w:pStyle w:val="ListParagraph"/>
              <w:numPr>
                <w:ilvl w:val="0"/>
                <w:numId w:val="6"/>
              </w:numPr>
              <w:spacing w:after="0" w:line="240" w:lineRule="auto"/>
              <w:ind w:left="360"/>
              <w:contextualSpacing/>
              <w:rPr>
                <w:sz w:val="18"/>
                <w:szCs w:val="18"/>
              </w:rPr>
            </w:pPr>
            <w:r>
              <w:rPr>
                <w:sz w:val="18"/>
                <w:szCs w:val="18"/>
              </w:rPr>
              <w:t>No additional fee</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F339ED" w:rsidRDefault="007E5C0A" w:rsidP="001A641D">
            <w:pPr>
              <w:spacing w:after="0"/>
              <w:jc w:val="center"/>
              <w:rPr>
                <w:sz w:val="18"/>
                <w:szCs w:val="18"/>
              </w:rPr>
            </w:pPr>
            <w:r>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326"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Default="007E5C0A" w:rsidP="001A641D">
            <w:pPr>
              <w:spacing w:after="0"/>
              <w:jc w:val="center"/>
              <w:rPr>
                <w:sz w:val="18"/>
                <w:szCs w:val="18"/>
              </w:rPr>
            </w:pPr>
            <w:r>
              <w:rPr>
                <w:sz w:val="18"/>
                <w:szCs w:val="18"/>
              </w:rPr>
              <w:t>O</w:t>
            </w:r>
          </w:p>
        </w:tc>
        <w:tc>
          <w:tcPr>
            <w:tcW w:w="1640" w:type="pct"/>
            <w:tcBorders>
              <w:top w:val="single" w:sz="4" w:space="0" w:color="548DD4" w:themeColor="text2" w:themeTint="99"/>
              <w:left w:val="nil"/>
              <w:bottom w:val="single" w:sz="4" w:space="0" w:color="548DD4" w:themeColor="text2" w:themeTint="99"/>
              <w:right w:val="nil"/>
            </w:tcBorders>
          </w:tcPr>
          <w:p w:rsidR="001A641D" w:rsidRPr="00CA3ABF" w:rsidRDefault="007E5C0A" w:rsidP="001A641D">
            <w:pPr>
              <w:pStyle w:val="ListBullet"/>
              <w:numPr>
                <w:ilvl w:val="0"/>
                <w:numId w:val="0"/>
              </w:numPr>
              <w:spacing w:after="0"/>
              <w:ind w:left="76"/>
              <w:rPr>
                <w:sz w:val="18"/>
                <w:szCs w:val="18"/>
              </w:rPr>
            </w:pPr>
            <w:r>
              <w:rPr>
                <w:sz w:val="18"/>
                <w:szCs w:val="18"/>
              </w:rPr>
              <w:t>Project scope clearly defined with no alternatives</w:t>
            </w:r>
          </w:p>
        </w:tc>
        <w:tc>
          <w:tcPr>
            <w:tcW w:w="1679" w:type="pct"/>
            <w:tcBorders>
              <w:top w:val="single" w:sz="4" w:space="0" w:color="548DD4" w:themeColor="text2" w:themeTint="99"/>
              <w:left w:val="nil"/>
              <w:bottom w:val="single" w:sz="4" w:space="0" w:color="548DD4" w:themeColor="text2" w:themeTint="99"/>
              <w:right w:val="nil"/>
            </w:tcBorders>
          </w:tcPr>
          <w:p w:rsidR="001A641D" w:rsidRDefault="007E5C0A" w:rsidP="001A641D">
            <w:pPr>
              <w:pStyle w:val="ListParagraph"/>
              <w:numPr>
                <w:ilvl w:val="0"/>
                <w:numId w:val="6"/>
              </w:numPr>
              <w:spacing w:after="0" w:line="240" w:lineRule="auto"/>
              <w:ind w:left="360"/>
              <w:contextualSpacing/>
              <w:rPr>
                <w:sz w:val="18"/>
                <w:szCs w:val="18"/>
              </w:rPr>
            </w:pPr>
            <w:r>
              <w:rPr>
                <w:sz w:val="18"/>
                <w:szCs w:val="18"/>
              </w:rPr>
              <w:t>No additional fee</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Default="007E5C0A" w:rsidP="001A641D">
            <w:pPr>
              <w:spacing w:after="0"/>
              <w:jc w:val="center"/>
              <w:rPr>
                <w:sz w:val="18"/>
                <w:szCs w:val="18"/>
              </w:rPr>
            </w:pPr>
            <w:r>
              <w:rPr>
                <w:sz w:val="18"/>
                <w:szCs w:val="18"/>
              </w:rPr>
              <w:t>N/A</w:t>
            </w:r>
          </w:p>
        </w:tc>
      </w:tr>
      <w:tr w:rsidR="00397365" w:rsidTr="001A641D">
        <w:trPr>
          <w:cnfStyle w:val="000000100000" w:firstRow="0" w:lastRow="0" w:firstColumn="0" w:lastColumn="0" w:oddVBand="0" w:evenVBand="0" w:oddHBand="1" w:evenHBand="0" w:firstRowFirstColumn="0" w:firstRowLastColumn="0" w:lastRowFirstColumn="0" w:lastRowLastColumn="0"/>
          <w:trHeight w:val="200"/>
        </w:trPr>
        <w:tc>
          <w:tcPr>
            <w:tcW w:w="4215"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2803CE" w:rsidRDefault="007E5C0A" w:rsidP="001A641D">
            <w:pPr>
              <w:jc w:val="right"/>
              <w:rPr>
                <w:caps/>
                <w:sz w:val="20"/>
                <w:szCs w:val="20"/>
              </w:rPr>
            </w:pPr>
            <w:r>
              <w:rPr>
                <w:caps/>
                <w:sz w:val="20"/>
                <w:szCs w:val="20"/>
              </w:rPr>
              <w:t>total</w:t>
            </w:r>
            <w:r w:rsidRPr="002803CE">
              <w:rPr>
                <w:caps/>
                <w:sz w:val="20"/>
                <w:szCs w:val="20"/>
              </w:rPr>
              <w:t xml:space="preserve"> complexity </w:t>
            </w:r>
            <w:r>
              <w:rPr>
                <w:caps/>
                <w:sz w:val="20"/>
                <w:szCs w:val="20"/>
              </w:rPr>
              <w:t>fees</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2803CE" w:rsidRDefault="007E5C0A" w:rsidP="001A641D">
            <w:pPr>
              <w:jc w:val="center"/>
              <w:rPr>
                <w:sz w:val="20"/>
                <w:szCs w:val="20"/>
              </w:rPr>
            </w:pPr>
            <w:r w:rsidRPr="00F15CB3">
              <w:rPr>
                <w:sz w:val="20"/>
                <w:szCs w:val="20"/>
              </w:rPr>
              <w:t>$</w:t>
            </w:r>
            <w:r>
              <w:rPr>
                <w:sz w:val="20"/>
                <w:szCs w:val="20"/>
              </w:rPr>
              <w:t>13,484</w:t>
            </w:r>
          </w:p>
        </w:tc>
      </w:tr>
      <w:tr w:rsidR="00397365" w:rsidTr="001A641D">
        <w:trPr>
          <w:cnfStyle w:val="000000010000" w:firstRow="0" w:lastRow="0" w:firstColumn="0" w:lastColumn="0" w:oddVBand="0" w:evenVBand="0" w:oddHBand="0" w:evenHBand="1" w:firstRowFirstColumn="0" w:firstRowLastColumn="0" w:lastRowFirstColumn="0" w:lastRowLastColumn="0"/>
          <w:trHeight w:val="200"/>
        </w:trPr>
        <w:tc>
          <w:tcPr>
            <w:tcW w:w="4215"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2803CE" w:rsidRDefault="007E5C0A" w:rsidP="001A641D">
            <w:pPr>
              <w:jc w:val="right"/>
              <w:rPr>
                <w:caps/>
                <w:sz w:val="20"/>
                <w:szCs w:val="20"/>
              </w:rPr>
            </w:pPr>
            <w:r>
              <w:rPr>
                <w:caps/>
                <w:sz w:val="20"/>
                <w:szCs w:val="20"/>
              </w:rPr>
              <w:t>BASE fee (Assessment on referral information)</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F15CB3" w:rsidRDefault="007E5C0A" w:rsidP="001A641D">
            <w:pPr>
              <w:jc w:val="center"/>
              <w:rPr>
                <w:sz w:val="20"/>
                <w:szCs w:val="20"/>
              </w:rPr>
            </w:pPr>
            <w:r>
              <w:rPr>
                <w:sz w:val="20"/>
                <w:szCs w:val="20"/>
              </w:rPr>
              <w:t>$8,964</w:t>
            </w:r>
          </w:p>
        </w:tc>
      </w:tr>
      <w:tr w:rsidR="00397365" w:rsidTr="001A641D">
        <w:trPr>
          <w:cnfStyle w:val="000000100000" w:firstRow="0" w:lastRow="0" w:firstColumn="0" w:lastColumn="0" w:oddVBand="0" w:evenVBand="0" w:oddHBand="1" w:evenHBand="0" w:firstRowFirstColumn="0" w:firstRowLastColumn="0" w:lastRowFirstColumn="0" w:lastRowLastColumn="0"/>
          <w:trHeight w:val="200"/>
        </w:trPr>
        <w:tc>
          <w:tcPr>
            <w:tcW w:w="4215"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Default="007E5C0A" w:rsidP="001A641D">
            <w:pPr>
              <w:jc w:val="right"/>
              <w:rPr>
                <w:caps/>
                <w:sz w:val="20"/>
                <w:szCs w:val="20"/>
              </w:rPr>
            </w:pPr>
            <w:r>
              <w:rPr>
                <w:caps/>
                <w:sz w:val="20"/>
                <w:szCs w:val="20"/>
              </w:rPr>
              <w:t>TOTAL fee</w:t>
            </w:r>
          </w:p>
        </w:tc>
        <w:tc>
          <w:tcPr>
            <w:tcW w:w="785"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Default="007E5C0A" w:rsidP="001A641D">
            <w:pPr>
              <w:jc w:val="center"/>
              <w:rPr>
                <w:sz w:val="20"/>
                <w:szCs w:val="20"/>
              </w:rPr>
            </w:pPr>
            <w:r>
              <w:rPr>
                <w:sz w:val="20"/>
                <w:szCs w:val="20"/>
              </w:rPr>
              <w:t>$22,448</w:t>
            </w:r>
          </w:p>
        </w:tc>
      </w:tr>
    </w:tbl>
    <w:p w:rsidR="001A641D" w:rsidRPr="002803CE" w:rsidRDefault="007E5C0A" w:rsidP="001A641D">
      <w:pPr>
        <w:rPr>
          <w:sz w:val="18"/>
          <w:szCs w:val="18"/>
        </w:rPr>
      </w:pPr>
      <w:r w:rsidRPr="002803CE">
        <w:rPr>
          <w:sz w:val="18"/>
          <w:szCs w:val="18"/>
        </w:rPr>
        <w:t xml:space="preserve">* Please refer to complexity </w:t>
      </w:r>
      <w:r>
        <w:rPr>
          <w:sz w:val="18"/>
          <w:szCs w:val="18"/>
        </w:rPr>
        <w:t xml:space="preserve">fee </w:t>
      </w:r>
      <w:r w:rsidRPr="000523CF">
        <w:rPr>
          <w:sz w:val="18"/>
          <w:szCs w:val="18"/>
        </w:rPr>
        <w:t>matrix at Appendix B</w:t>
      </w:r>
    </w:p>
    <w:p w:rsidR="001A641D" w:rsidRDefault="007E5C0A">
      <w:pPr>
        <w:spacing w:after="0" w:line="240" w:lineRule="auto"/>
      </w:pPr>
      <w:bookmarkStart w:id="1777" w:name="_Toc380065067"/>
      <w:bookmarkStart w:id="1778" w:name="_Toc380142277"/>
      <w:bookmarkStart w:id="1779" w:name="_Toc380737827"/>
      <w:bookmarkStart w:id="1780" w:name="_Toc381261043"/>
      <w:bookmarkEnd w:id="1777"/>
      <w:bookmarkEnd w:id="1778"/>
      <w:bookmarkEnd w:id="1779"/>
      <w:bookmarkEnd w:id="1780"/>
      <w:r>
        <w:br w:type="page"/>
      </w:r>
    </w:p>
    <w:p w:rsidR="001A641D" w:rsidRPr="0087787F" w:rsidRDefault="007E5C0A" w:rsidP="001A641D">
      <w:pPr>
        <w:pStyle w:val="Heading4"/>
        <w:rPr>
          <w:lang w:val="en-US"/>
        </w:rPr>
      </w:pPr>
      <w:bookmarkStart w:id="1781" w:name="_Toc380065068"/>
      <w:bookmarkStart w:id="1782" w:name="_Toc380142278"/>
      <w:bookmarkStart w:id="1783" w:name="_Toc380737828"/>
      <w:bookmarkStart w:id="1784" w:name="_Ref388534541"/>
      <w:bookmarkEnd w:id="1781"/>
      <w:bookmarkEnd w:id="1782"/>
      <w:bookmarkEnd w:id="1783"/>
      <w:r>
        <w:rPr>
          <w:lang w:val="en-US"/>
        </w:rPr>
        <w:t xml:space="preserve">Fees for </w:t>
      </w:r>
      <w:r w:rsidRPr="0087787F">
        <w:rPr>
          <w:lang w:val="en-US"/>
        </w:rPr>
        <w:t>Assessment on preliminary documentation</w:t>
      </w:r>
      <w:bookmarkEnd w:id="1784"/>
      <w:r w:rsidRPr="0087787F">
        <w:rPr>
          <w:lang w:val="en-US"/>
        </w:rPr>
        <w:t xml:space="preserve"> </w:t>
      </w:r>
    </w:p>
    <w:p w:rsidR="001A641D" w:rsidRPr="00DE15FF" w:rsidRDefault="007E5C0A" w:rsidP="001A641D">
      <w:pPr>
        <w:rPr>
          <w:lang w:val="en-US"/>
        </w:rPr>
      </w:pPr>
      <w:r w:rsidRPr="00DE15FF">
        <w:rPr>
          <w:lang w:val="en-US"/>
        </w:rPr>
        <w:t xml:space="preserve">The total fee for an assessment on </w:t>
      </w:r>
      <w:r>
        <w:rPr>
          <w:lang w:val="en-US"/>
        </w:rPr>
        <w:t>preliminary documentation</w:t>
      </w:r>
      <w:r w:rsidRPr="00DE15FF">
        <w:rPr>
          <w:lang w:val="en-US"/>
        </w:rPr>
        <w:t xml:space="preserve"> includes </w:t>
      </w:r>
      <w:r w:rsidRPr="000523CF">
        <w:rPr>
          <w:lang w:val="en-US"/>
        </w:rPr>
        <w:t>the base fee for an assessment on preliminary documentation and the relevant complexity fees (</w:t>
      </w:r>
      <w:r w:rsidR="00FF3730">
        <w:fldChar w:fldCharType="begin"/>
      </w:r>
      <w:r w:rsidR="00FF3730">
        <w:instrText xml:space="preserve"> REF _Ref457986000 \h  \* MERGEFORMAT </w:instrText>
      </w:r>
      <w:r w:rsidR="00FF3730">
        <w:fldChar w:fldCharType="separate"/>
      </w:r>
      <w:r w:rsidR="00FF3730">
        <w:t xml:space="preserve">Table </w:t>
      </w:r>
      <w:r w:rsidR="00FF3730">
        <w:rPr>
          <w:noProof/>
        </w:rPr>
        <w:t>13</w:t>
      </w:r>
      <w:r w:rsidR="00FF3730">
        <w:fldChar w:fldCharType="end"/>
      </w:r>
      <w:r w:rsidRPr="000523CF">
        <w:rPr>
          <w:lang w:val="en-US"/>
        </w:rPr>
        <w:t>).</w:t>
      </w:r>
      <w:r w:rsidRPr="00DE15FF">
        <w:rPr>
          <w:lang w:val="en-US"/>
        </w:rPr>
        <w:t xml:space="preserve"> </w:t>
      </w:r>
    </w:p>
    <w:p w:rsidR="001A641D" w:rsidRDefault="007E5C0A" w:rsidP="001A641D">
      <w:pPr>
        <w:pStyle w:val="Caption"/>
        <w:keepNext/>
      </w:pPr>
      <w:bookmarkStart w:id="1785" w:name="_Ref457986000"/>
      <w:bookmarkStart w:id="1786" w:name="_Toc256000422"/>
      <w:bookmarkStart w:id="1787" w:name="_Toc256000314"/>
      <w:bookmarkStart w:id="1788" w:name="_Toc256000206"/>
      <w:bookmarkStart w:id="1789" w:name="_Toc256000098"/>
      <w:bookmarkStart w:id="1790" w:name="_Toc458170601"/>
      <w:r>
        <w:t xml:space="preserve">Table </w:t>
      </w:r>
      <w:r w:rsidR="003366B4">
        <w:fldChar w:fldCharType="begin"/>
      </w:r>
      <w:r>
        <w:instrText xml:space="preserve"> SEQ Table \* ARABIC </w:instrText>
      </w:r>
      <w:r w:rsidR="003366B4">
        <w:fldChar w:fldCharType="separate"/>
      </w:r>
      <w:r w:rsidR="00FF3730">
        <w:rPr>
          <w:noProof/>
        </w:rPr>
        <w:t>13</w:t>
      </w:r>
      <w:r w:rsidR="003366B4">
        <w:rPr>
          <w:noProof/>
        </w:rPr>
        <w:fldChar w:fldCharType="end"/>
      </w:r>
      <w:bookmarkEnd w:id="1785"/>
      <w:r>
        <w:t xml:space="preserve">. </w:t>
      </w:r>
      <w:r w:rsidRPr="005C3A7C">
        <w:t>Summary of preliminary documentation fees.</w:t>
      </w:r>
      <w:bookmarkEnd w:id="1786"/>
      <w:bookmarkEnd w:id="1787"/>
      <w:bookmarkEnd w:id="1788"/>
      <w:bookmarkEnd w:id="1789"/>
      <w:bookmarkEnd w:id="1790"/>
    </w:p>
    <w:tbl>
      <w:tblPr>
        <w:tblW w:w="9644" w:type="dxa"/>
        <w:tblInd w:w="103"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3691"/>
        <w:gridCol w:w="1417"/>
        <w:gridCol w:w="1985"/>
        <w:gridCol w:w="2551"/>
      </w:tblGrid>
      <w:tr w:rsidR="00397365" w:rsidTr="001A641D">
        <w:trPr>
          <w:trHeight w:val="768"/>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cs="Arial"/>
                <w:b/>
                <w:i/>
                <w:sz w:val="20"/>
                <w:szCs w:val="20"/>
                <w:lang w:eastAsia="en-AU"/>
              </w:rPr>
            </w:pPr>
            <w:r w:rsidRPr="00DE15FF">
              <w:rPr>
                <w:b/>
                <w:sz w:val="20"/>
                <w:szCs w:val="20"/>
                <w:lang w:eastAsia="en-AU"/>
              </w:rPr>
              <w:t>Activity</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cs="Arial"/>
                <w:b/>
                <w:i/>
                <w:sz w:val="20"/>
                <w:szCs w:val="20"/>
                <w:lang w:eastAsia="en-AU"/>
              </w:rPr>
            </w:pPr>
            <w:r w:rsidRPr="00DE15FF">
              <w:rPr>
                <w:b/>
                <w:sz w:val="20"/>
                <w:szCs w:val="20"/>
                <w:lang w:eastAsia="en-AU"/>
              </w:rPr>
              <w:t>Base fee</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cs="Arial"/>
                <w:b/>
                <w:i/>
                <w:sz w:val="20"/>
                <w:szCs w:val="20"/>
                <w:lang w:eastAsia="en-AU"/>
              </w:rPr>
            </w:pPr>
            <w:r w:rsidRPr="00DE15FF">
              <w:rPr>
                <w:b/>
                <w:sz w:val="20"/>
                <w:szCs w:val="20"/>
                <w:lang w:eastAsia="en-AU"/>
              </w:rPr>
              <w:t>Complexity fees</w:t>
            </w:r>
          </w:p>
        </w:tc>
        <w:tc>
          <w:tcPr>
            <w:tcW w:w="25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cs="Arial"/>
                <w:b/>
                <w:i/>
                <w:sz w:val="20"/>
                <w:szCs w:val="20"/>
                <w:lang w:eastAsia="en-AU"/>
              </w:rPr>
            </w:pPr>
            <w:r w:rsidRPr="00DE15FF">
              <w:rPr>
                <w:b/>
                <w:sz w:val="20"/>
                <w:szCs w:val="20"/>
                <w:lang w:eastAsia="en-AU"/>
              </w:rPr>
              <w:t>Total fee</w:t>
            </w:r>
            <w:r w:rsidRPr="00DE15FF">
              <w:rPr>
                <w:b/>
                <w:sz w:val="20"/>
                <w:szCs w:val="20"/>
                <w:lang w:eastAsia="en-AU"/>
              </w:rPr>
              <w:br/>
              <w:t>Base + Complexity</w:t>
            </w:r>
          </w:p>
        </w:tc>
      </w:tr>
      <w:tr w:rsidR="00397365" w:rsidTr="001A641D">
        <w:trPr>
          <w:trHeight w:val="600"/>
        </w:trPr>
        <w:tc>
          <w:tcPr>
            <w:tcW w:w="369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rFonts w:cs="Arial"/>
                <w:b/>
                <w:i/>
                <w:sz w:val="20"/>
                <w:szCs w:val="20"/>
                <w:lang w:eastAsia="en-AU"/>
              </w:rPr>
            </w:pPr>
            <w:r w:rsidRPr="00DE15FF">
              <w:rPr>
                <w:sz w:val="20"/>
                <w:szCs w:val="20"/>
                <w:lang w:eastAsia="en-AU"/>
              </w:rPr>
              <w:t>Assessment on preliminary documentation</w:t>
            </w:r>
          </w:p>
        </w:tc>
        <w:tc>
          <w:tcPr>
            <w:tcW w:w="1417"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rFonts w:cs="Arial"/>
                <w:b/>
                <w:i/>
                <w:lang w:eastAsia="en-AU"/>
              </w:rPr>
            </w:pPr>
            <w:r w:rsidRPr="00DE15FF">
              <w:rPr>
                <w:sz w:val="20"/>
                <w:szCs w:val="20"/>
                <w:lang w:eastAsia="en-AU"/>
              </w:rPr>
              <w:t>$8,010</w:t>
            </w:r>
          </w:p>
        </w:tc>
        <w:tc>
          <w:tcPr>
            <w:tcW w:w="19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rFonts w:cs="Arial"/>
                <w:b/>
                <w:i/>
                <w:sz w:val="20"/>
                <w:szCs w:val="20"/>
                <w:lang w:eastAsia="en-AU"/>
              </w:rPr>
            </w:pPr>
            <w:r w:rsidRPr="00DE15FF">
              <w:rPr>
                <w:sz w:val="20"/>
                <w:szCs w:val="20"/>
                <w:lang w:eastAsia="en-AU"/>
              </w:rPr>
              <w:t>Determined on a case by case basis</w:t>
            </w:r>
          </w:p>
        </w:tc>
        <w:tc>
          <w:tcPr>
            <w:tcW w:w="2551"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rPr>
                <w:rFonts w:cs="Arial"/>
                <w:b/>
                <w:i/>
                <w:sz w:val="20"/>
                <w:szCs w:val="20"/>
                <w:lang w:eastAsia="en-AU"/>
              </w:rPr>
            </w:pPr>
            <w:r w:rsidRPr="00DE15FF">
              <w:rPr>
                <w:sz w:val="20"/>
                <w:szCs w:val="20"/>
                <w:lang w:eastAsia="en-AU"/>
              </w:rPr>
              <w:t>$8,010 +</w:t>
            </w:r>
            <w:r>
              <w:rPr>
                <w:sz w:val="20"/>
                <w:szCs w:val="20"/>
                <w:lang w:eastAsia="en-AU"/>
              </w:rPr>
              <w:t xml:space="preserve"> </w:t>
            </w:r>
            <w:r w:rsidRPr="00DE15FF">
              <w:rPr>
                <w:sz w:val="20"/>
                <w:szCs w:val="20"/>
                <w:lang w:eastAsia="en-AU"/>
              </w:rPr>
              <w:t>Complexity fees</w:t>
            </w:r>
          </w:p>
        </w:tc>
      </w:tr>
    </w:tbl>
    <w:p w:rsidR="001A641D" w:rsidRPr="00DE15FF" w:rsidRDefault="007E5C0A" w:rsidP="001A641D">
      <w:pPr>
        <w:rPr>
          <w:lang w:val="en-US"/>
        </w:rPr>
      </w:pPr>
      <w:r w:rsidRPr="00DE15FF">
        <w:rPr>
          <w:lang w:val="en-US"/>
        </w:rPr>
        <w:t xml:space="preserve">These fees are payable across four stages of the assessment process, as </w:t>
      </w:r>
      <w:r w:rsidRPr="000523CF">
        <w:rPr>
          <w:lang w:val="en-US"/>
        </w:rPr>
        <w:t xml:space="preserve">outlined in </w:t>
      </w:r>
      <w:r w:rsidR="00FF3730">
        <w:fldChar w:fldCharType="begin"/>
      </w:r>
      <w:r w:rsidR="00FF3730">
        <w:instrText xml:space="preserve"> REF _Ref457985486 \h  \* MERGEFORMAT </w:instrText>
      </w:r>
      <w:r w:rsidR="00FF3730">
        <w:fldChar w:fldCharType="separate"/>
      </w:r>
      <w:r w:rsidR="00FF3730">
        <w:t xml:space="preserve">Table </w:t>
      </w:r>
      <w:r w:rsidR="00FF3730">
        <w:rPr>
          <w:noProof/>
        </w:rPr>
        <w:t>14</w:t>
      </w:r>
      <w:r w:rsidR="00FF3730">
        <w:fldChar w:fldCharType="end"/>
      </w:r>
      <w:r w:rsidRPr="000523CF">
        <w:rPr>
          <w:lang w:val="en-US"/>
        </w:rPr>
        <w:t xml:space="preserve"> below.</w:t>
      </w:r>
      <w:r w:rsidRPr="00DE15FF">
        <w:rPr>
          <w:lang w:val="en-US"/>
        </w:rPr>
        <w:t xml:space="preserve"> </w:t>
      </w:r>
    </w:p>
    <w:p w:rsidR="001A641D" w:rsidRDefault="007E5C0A" w:rsidP="001A641D">
      <w:pPr>
        <w:pStyle w:val="Caption"/>
        <w:keepNext/>
      </w:pPr>
      <w:bookmarkStart w:id="1791" w:name="_Ref457985486"/>
      <w:bookmarkStart w:id="1792" w:name="_Toc256000423"/>
      <w:bookmarkStart w:id="1793" w:name="_Toc256000315"/>
      <w:bookmarkStart w:id="1794" w:name="_Toc256000207"/>
      <w:bookmarkStart w:id="1795" w:name="_Toc256000099"/>
      <w:bookmarkStart w:id="1796" w:name="_Toc458170602"/>
      <w:r>
        <w:t xml:space="preserve">Table </w:t>
      </w:r>
      <w:r w:rsidR="003366B4">
        <w:fldChar w:fldCharType="begin"/>
      </w:r>
      <w:r>
        <w:instrText xml:space="preserve"> SEQ Table \* ARABIC </w:instrText>
      </w:r>
      <w:r w:rsidR="003366B4">
        <w:fldChar w:fldCharType="separate"/>
      </w:r>
      <w:r w:rsidR="00FF3730">
        <w:rPr>
          <w:noProof/>
        </w:rPr>
        <w:t>14</w:t>
      </w:r>
      <w:r w:rsidR="003366B4">
        <w:rPr>
          <w:noProof/>
        </w:rPr>
        <w:fldChar w:fldCharType="end"/>
      </w:r>
      <w:bookmarkEnd w:id="1791"/>
      <w:r>
        <w:t>. Proportion</w:t>
      </w:r>
      <w:r w:rsidRPr="005C1743">
        <w:t xml:space="preserve"> of fees payable at each assessment stage for </w:t>
      </w:r>
      <w:r>
        <w:t xml:space="preserve">an </w:t>
      </w:r>
      <w:r w:rsidRPr="005C1743">
        <w:t>assessment on preliminary documentation</w:t>
      </w:r>
      <w:bookmarkEnd w:id="1792"/>
      <w:bookmarkEnd w:id="1793"/>
      <w:bookmarkEnd w:id="1794"/>
      <w:bookmarkEnd w:id="1795"/>
      <w:bookmarkEnd w:id="1796"/>
    </w:p>
    <w:tbl>
      <w:tblPr>
        <w:tblW w:w="5000" w:type="pct"/>
        <w:tblLayout w:type="fixed"/>
        <w:tblCellMar>
          <w:left w:w="0" w:type="dxa"/>
          <w:right w:w="0" w:type="dxa"/>
        </w:tblCellMar>
        <w:tblLook w:val="04A0" w:firstRow="1" w:lastRow="0" w:firstColumn="1" w:lastColumn="0" w:noHBand="0" w:noVBand="1"/>
      </w:tblPr>
      <w:tblGrid>
        <w:gridCol w:w="5869"/>
        <w:gridCol w:w="1330"/>
        <w:gridCol w:w="1330"/>
        <w:gridCol w:w="1326"/>
      </w:tblGrid>
      <w:tr w:rsidR="00397365" w:rsidTr="00E97AF8">
        <w:trPr>
          <w:trHeight w:val="768"/>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Arial"/>
                <w:b/>
                <w:bCs/>
                <w:i/>
                <w:sz w:val="20"/>
                <w:szCs w:val="20"/>
              </w:rPr>
            </w:pPr>
            <w:r w:rsidRPr="00DE15FF">
              <w:rPr>
                <w:b/>
                <w:bCs/>
                <w:sz w:val="20"/>
                <w:szCs w:val="20"/>
              </w:rPr>
              <w:t>Activity</w:t>
            </w:r>
          </w:p>
        </w:tc>
        <w:tc>
          <w:tcPr>
            <w:tcW w:w="675"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Arial"/>
                <w:b/>
                <w:bCs/>
                <w:i/>
                <w:sz w:val="20"/>
                <w:szCs w:val="20"/>
              </w:rPr>
            </w:pPr>
            <w:r w:rsidRPr="00DE15FF">
              <w:rPr>
                <w:b/>
                <w:bCs/>
                <w:sz w:val="20"/>
                <w:szCs w:val="20"/>
              </w:rPr>
              <w:t>Base fee</w:t>
            </w:r>
          </w:p>
        </w:tc>
        <w:tc>
          <w:tcPr>
            <w:tcW w:w="675"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Pr>
          <w:p w:rsidR="001A641D" w:rsidRDefault="007E5C0A" w:rsidP="001A641D">
            <w:pPr>
              <w:spacing w:before="120" w:after="120"/>
              <w:jc w:val="center"/>
              <w:rPr>
                <w:rFonts w:cs="Arial"/>
                <w:b/>
                <w:bCs/>
                <w:i/>
                <w:sz w:val="20"/>
                <w:szCs w:val="20"/>
              </w:rPr>
            </w:pPr>
            <w:r>
              <w:rPr>
                <w:b/>
                <w:bCs/>
                <w:sz w:val="20"/>
                <w:szCs w:val="20"/>
              </w:rPr>
              <w:t>Part A complexity fees</w:t>
            </w:r>
          </w:p>
        </w:tc>
        <w:tc>
          <w:tcPr>
            <w:tcW w:w="674"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Arial"/>
                <w:b/>
                <w:bCs/>
                <w:i/>
                <w:sz w:val="20"/>
                <w:szCs w:val="20"/>
              </w:rPr>
            </w:pPr>
            <w:r>
              <w:rPr>
                <w:b/>
                <w:bCs/>
                <w:sz w:val="20"/>
                <w:szCs w:val="20"/>
              </w:rPr>
              <w:t>Part B c</w:t>
            </w:r>
            <w:r w:rsidRPr="00DE15FF">
              <w:rPr>
                <w:b/>
                <w:bCs/>
                <w:sz w:val="20"/>
                <w:szCs w:val="20"/>
              </w:rPr>
              <w:t xml:space="preserve">omplexity fees </w:t>
            </w: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rFonts w:cs="Arial"/>
                <w:b/>
                <w:i/>
                <w:sz w:val="20"/>
                <w:szCs w:val="20"/>
                <w:lang w:val="en-US"/>
              </w:rPr>
            </w:pPr>
            <w:r w:rsidRPr="00DE15FF">
              <w:rPr>
                <w:sz w:val="20"/>
                <w:szCs w:val="20"/>
                <w:lang w:val="en-US"/>
              </w:rPr>
              <w:t>Stage 1: Determine information requirements</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rFonts w:cs="Arial"/>
                <w:b/>
                <w:i/>
                <w:sz w:val="20"/>
                <w:szCs w:val="20"/>
                <w:lang w:val="en-US"/>
              </w:rPr>
            </w:pPr>
            <w:r w:rsidRPr="00DE15FF">
              <w:rPr>
                <w:sz w:val="20"/>
                <w:szCs w:val="20"/>
                <w:lang w:val="en-US"/>
              </w:rPr>
              <w:t>26%</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rFonts w:cs="Arial"/>
                <w:b/>
                <w:i/>
                <w:sz w:val="20"/>
                <w:szCs w:val="20"/>
                <w:lang w:val="en-US"/>
              </w:rPr>
            </w:pPr>
            <w:r w:rsidRPr="007C6A48">
              <w:rPr>
                <w:sz w:val="20"/>
                <w:szCs w:val="20"/>
                <w:lang w:val="en-US"/>
              </w:rPr>
              <w:t>12%</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1A641D" w:rsidP="001A641D">
            <w:pPr>
              <w:spacing w:before="120" w:after="120"/>
              <w:jc w:val="center"/>
              <w:rPr>
                <w:color w:val="00B050"/>
                <w:sz w:val="20"/>
                <w:szCs w:val="20"/>
                <w:highlight w:val="yellow"/>
                <w:lang w:val="en-US"/>
              </w:rPr>
            </w:pP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DE15FF">
              <w:rPr>
                <w:sz w:val="20"/>
                <w:szCs w:val="20"/>
                <w:lang w:val="en-US"/>
              </w:rPr>
              <w:t xml:space="preserve">Stage 2:  </w:t>
            </w:r>
            <w:r>
              <w:rPr>
                <w:sz w:val="20"/>
                <w:szCs w:val="20"/>
                <w:lang w:val="en-US"/>
              </w:rPr>
              <w:t>Review draft assessment documentation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28%</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7C6A48">
              <w:rPr>
                <w:sz w:val="20"/>
                <w:szCs w:val="20"/>
                <w:lang w:val="en-US"/>
              </w:rPr>
              <w:t>19%</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1A641D" w:rsidP="001A641D">
            <w:pPr>
              <w:spacing w:before="120" w:after="120"/>
              <w:jc w:val="center"/>
              <w:rPr>
                <w:color w:val="00B050"/>
                <w:sz w:val="20"/>
                <w:szCs w:val="20"/>
                <w:highlight w:val="yellow"/>
                <w:lang w:val="en-US"/>
              </w:rPr>
            </w:pP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DE15FF">
              <w:rPr>
                <w:sz w:val="20"/>
                <w:szCs w:val="20"/>
                <w:lang w:val="en-US"/>
              </w:rPr>
              <w:t xml:space="preserve">Stage 3: Review </w:t>
            </w:r>
            <w:r>
              <w:rPr>
                <w:sz w:val="20"/>
                <w:szCs w:val="20"/>
                <w:lang w:val="en-US"/>
              </w:rPr>
              <w:t>final assessment documentation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11%</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7C6A48">
              <w:rPr>
                <w:sz w:val="20"/>
                <w:szCs w:val="20"/>
                <w:lang w:val="en-US"/>
              </w:rPr>
              <w:t>20%</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50%</w:t>
            </w: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DE15FF">
              <w:rPr>
                <w:sz w:val="20"/>
                <w:szCs w:val="20"/>
                <w:lang w:val="en-US"/>
              </w:rPr>
              <w:t>Stage 4: Prepare recommendation report, proposed and final decision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35%</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7C6A48">
              <w:rPr>
                <w:sz w:val="20"/>
                <w:szCs w:val="20"/>
                <w:lang w:val="en-US"/>
              </w:rPr>
              <w:t>49%</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DE15FF">
              <w:rPr>
                <w:sz w:val="20"/>
                <w:szCs w:val="20"/>
                <w:lang w:val="en-US"/>
              </w:rPr>
              <w:t>50%</w:t>
            </w: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b/>
                <w:sz w:val="20"/>
                <w:szCs w:val="20"/>
                <w:lang w:val="en-US"/>
              </w:rPr>
            </w:pPr>
            <w:r w:rsidRPr="00DE15FF">
              <w:rPr>
                <w:b/>
                <w:sz w:val="20"/>
                <w:szCs w:val="20"/>
                <w:lang w:val="en-US"/>
              </w:rPr>
              <w:t>Total</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DE15FF">
              <w:rPr>
                <w:b/>
                <w:sz w:val="20"/>
                <w:szCs w:val="20"/>
                <w:lang w:val="en-US"/>
              </w:rPr>
              <w:t>100%</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b/>
                <w:sz w:val="20"/>
                <w:szCs w:val="20"/>
                <w:lang w:val="en-US"/>
              </w:rPr>
            </w:pPr>
            <w:r w:rsidRPr="00DE15FF">
              <w:rPr>
                <w:b/>
                <w:sz w:val="20"/>
                <w:szCs w:val="20"/>
                <w:lang w:val="en-US"/>
              </w:rPr>
              <w:t>100%</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DE15FF">
              <w:rPr>
                <w:b/>
                <w:sz w:val="20"/>
                <w:szCs w:val="20"/>
                <w:lang w:val="en-US"/>
              </w:rPr>
              <w:t>100%</w:t>
            </w:r>
          </w:p>
        </w:tc>
      </w:tr>
    </w:tbl>
    <w:p w:rsidR="00E97AF8" w:rsidRPr="00E97AF8" w:rsidRDefault="00E97AF8" w:rsidP="00E97AF8">
      <w:pPr>
        <w:spacing w:after="120"/>
        <w:rPr>
          <w:rFonts w:ascii="Helvetica" w:hAnsi="Helvetica" w:cs="Helvetica"/>
          <w:color w:val="333333"/>
          <w:sz w:val="2"/>
          <w:szCs w:val="2"/>
        </w:rPr>
      </w:pPr>
    </w:p>
    <w:p w:rsidR="00E97AF8" w:rsidRDefault="00E97AF8" w:rsidP="00E97AF8">
      <w:pPr>
        <w:spacing w:after="120"/>
        <w:rPr>
          <w:rFonts w:ascii="Helvetica" w:hAnsi="Helvetica" w:cs="Helvetica"/>
          <w:color w:val="333333"/>
          <w:sz w:val="18"/>
          <w:szCs w:val="18"/>
        </w:rPr>
      </w:pPr>
      <w:r>
        <w:rPr>
          <w:rFonts w:ascii="Helvetica" w:hAnsi="Helvetica" w:cs="Helvetica"/>
          <w:color w:val="333333"/>
          <w:sz w:val="18"/>
          <w:szCs w:val="18"/>
        </w:rPr>
        <w:t>*</w:t>
      </w:r>
      <w:r w:rsidRPr="001A641D">
        <w:rPr>
          <w:rFonts w:ascii="Helvetica" w:hAnsi="Helvetica" w:cs="Helvetica"/>
          <w:color w:val="333333"/>
          <w:sz w:val="18"/>
          <w:szCs w:val="18"/>
        </w:rPr>
        <w:t>There may be min</w:t>
      </w:r>
      <w:r w:rsidR="00823019">
        <w:rPr>
          <w:rFonts w:ascii="Helvetica" w:hAnsi="Helvetica" w:cs="Helvetica"/>
          <w:color w:val="333333"/>
          <w:sz w:val="18"/>
          <w:szCs w:val="18"/>
        </w:rPr>
        <w:t>or discrepancies between</w:t>
      </w:r>
      <w:r>
        <w:rPr>
          <w:rFonts w:ascii="Helvetica" w:hAnsi="Helvetica" w:cs="Helvetica"/>
          <w:color w:val="333333"/>
          <w:sz w:val="18"/>
          <w:szCs w:val="18"/>
        </w:rPr>
        <w:t xml:space="preserve"> the percentages within this table and the corresponding</w:t>
      </w:r>
      <w:r w:rsidRPr="001A641D">
        <w:rPr>
          <w:rFonts w:ascii="Helvetica" w:hAnsi="Helvetica" w:cs="Helvetica"/>
          <w:color w:val="333333"/>
          <w:sz w:val="18"/>
          <w:szCs w:val="18"/>
        </w:rPr>
        <w:t xml:space="preserve"> fee</w:t>
      </w:r>
      <w:r>
        <w:rPr>
          <w:rFonts w:ascii="Helvetica" w:hAnsi="Helvetica" w:cs="Helvetica"/>
          <w:color w:val="333333"/>
          <w:sz w:val="18"/>
          <w:szCs w:val="18"/>
        </w:rPr>
        <w:t>s stated within this Statement. This is because</w:t>
      </w:r>
      <w:r w:rsidRPr="001A641D">
        <w:rPr>
          <w:rFonts w:ascii="Helvetica" w:hAnsi="Helvetica" w:cs="Helvetica"/>
          <w:color w:val="333333"/>
          <w:sz w:val="18"/>
          <w:szCs w:val="18"/>
        </w:rPr>
        <w:t xml:space="preserve"> </w:t>
      </w:r>
      <w:r>
        <w:rPr>
          <w:rFonts w:ascii="Helvetica" w:hAnsi="Helvetica" w:cs="Helvetica"/>
          <w:color w:val="333333"/>
          <w:sz w:val="18"/>
          <w:szCs w:val="18"/>
        </w:rPr>
        <w:t>the percentages above have been rounded to whole numbers</w:t>
      </w:r>
      <w:r w:rsidRPr="001A641D">
        <w:rPr>
          <w:rFonts w:ascii="Helvetica" w:hAnsi="Helvetica" w:cs="Helvetica"/>
          <w:color w:val="333333"/>
          <w:sz w:val="18"/>
          <w:szCs w:val="18"/>
        </w:rPr>
        <w:t xml:space="preserve">. </w:t>
      </w:r>
    </w:p>
    <w:p w:rsidR="001A641D" w:rsidRDefault="007E5C0A" w:rsidP="001A641D">
      <w:pPr>
        <w:rPr>
          <w:lang w:val="en-US"/>
        </w:rPr>
      </w:pPr>
      <w:r>
        <w:t>In circumstances where</w:t>
      </w:r>
      <w:r w:rsidRPr="00B054AF">
        <w:t xml:space="preserve"> no further information is required</w:t>
      </w:r>
      <w:r>
        <w:t xml:space="preserve"> to undertake the assessment by preliminary documentation under section 95(1) of the EPBC Act</w:t>
      </w:r>
      <w:r w:rsidRPr="00B054AF">
        <w:t>, the Stage 1</w:t>
      </w:r>
      <w:r>
        <w:t xml:space="preserve"> and Stage 2</w:t>
      </w:r>
      <w:r w:rsidRPr="00B054AF">
        <w:t xml:space="preserve"> base </w:t>
      </w:r>
      <w:r>
        <w:t xml:space="preserve">and complexity </w:t>
      </w:r>
      <w:r w:rsidRPr="00B054AF">
        <w:t>fee</w:t>
      </w:r>
      <w:r>
        <w:t>s will not be applicable and this will reduce the total fees payable</w:t>
      </w:r>
      <w:r w:rsidRPr="00B054AF">
        <w:t>.</w:t>
      </w:r>
    </w:p>
    <w:p w:rsidR="001A641D" w:rsidRPr="000523CF" w:rsidRDefault="007E5C0A" w:rsidP="001A641D">
      <w:pPr>
        <w:rPr>
          <w:lang w:val="en-US"/>
        </w:rPr>
      </w:pPr>
      <w:r>
        <w:rPr>
          <w:lang w:val="en-US"/>
        </w:rPr>
        <w:t>More information on the f</w:t>
      </w:r>
      <w:r w:rsidRPr="00FC12C4">
        <w:rPr>
          <w:lang w:val="en-US"/>
        </w:rPr>
        <w:t xml:space="preserve">ees </w:t>
      </w:r>
      <w:r>
        <w:rPr>
          <w:lang w:val="en-US"/>
        </w:rPr>
        <w:t xml:space="preserve">that may be </w:t>
      </w:r>
      <w:r w:rsidRPr="00FC12C4">
        <w:rPr>
          <w:lang w:val="en-US"/>
        </w:rPr>
        <w:t>applicable at each stage of the preliminary documentation assessment process</w:t>
      </w:r>
      <w:r>
        <w:rPr>
          <w:lang w:val="en-US"/>
        </w:rPr>
        <w:t xml:space="preserve"> is outlined in the </w:t>
      </w:r>
      <w:r w:rsidRPr="000523CF">
        <w:rPr>
          <w:lang w:val="en-US"/>
        </w:rPr>
        <w:t xml:space="preserve">flowchart at </w:t>
      </w:r>
      <w:r w:rsidR="00FF3730">
        <w:fldChar w:fldCharType="begin"/>
      </w:r>
      <w:r w:rsidR="00FF3730">
        <w:instrText xml:space="preserve"> REF _Ref457913097 \h  \* MERGEFORMAT </w:instrText>
      </w:r>
      <w:r w:rsidR="00FF3730">
        <w:fldChar w:fldCharType="separate"/>
      </w:r>
      <w:r w:rsidR="00FF3730">
        <w:t>Figure 7</w:t>
      </w:r>
      <w:r w:rsidR="00FF3730">
        <w:fldChar w:fldCharType="end"/>
      </w:r>
      <w:r w:rsidRPr="000523CF">
        <w:t xml:space="preserve"> below.</w:t>
      </w:r>
      <w:r w:rsidRPr="000523CF">
        <w:rPr>
          <w:lang w:val="en-US"/>
        </w:rPr>
        <w:t xml:space="preserve"> Refer to Examples 2 and 3 on pages </w:t>
      </w:r>
      <w:r w:rsidR="003366B4" w:rsidRPr="000523CF">
        <w:rPr>
          <w:lang w:val="en-US"/>
        </w:rPr>
        <w:fldChar w:fldCharType="begin"/>
      </w:r>
      <w:r w:rsidRPr="000523CF">
        <w:rPr>
          <w:lang w:val="en-US"/>
        </w:rPr>
        <w:instrText xml:space="preserve"> PAGEREF _Ref457986037 \h </w:instrText>
      </w:r>
      <w:r w:rsidR="003366B4" w:rsidRPr="000523CF">
        <w:rPr>
          <w:lang w:val="en-US"/>
        </w:rPr>
      </w:r>
      <w:r w:rsidR="003366B4" w:rsidRPr="000523CF">
        <w:rPr>
          <w:lang w:val="en-US"/>
        </w:rPr>
        <w:fldChar w:fldCharType="separate"/>
      </w:r>
      <w:r w:rsidR="00FF3730">
        <w:rPr>
          <w:noProof/>
          <w:lang w:val="en-US"/>
        </w:rPr>
        <w:t>45</w:t>
      </w:r>
      <w:r w:rsidR="003366B4" w:rsidRPr="000523CF">
        <w:rPr>
          <w:lang w:val="en-US"/>
        </w:rPr>
        <w:fldChar w:fldCharType="end"/>
      </w:r>
      <w:r w:rsidRPr="000523CF">
        <w:rPr>
          <w:lang w:val="en-US"/>
        </w:rPr>
        <w:t xml:space="preserve"> and </w:t>
      </w:r>
      <w:r w:rsidR="003366B4" w:rsidRPr="000523CF">
        <w:rPr>
          <w:lang w:val="en-US"/>
        </w:rPr>
        <w:fldChar w:fldCharType="begin"/>
      </w:r>
      <w:r w:rsidRPr="000523CF">
        <w:rPr>
          <w:lang w:val="en-US"/>
        </w:rPr>
        <w:instrText xml:space="preserve"> PAGEREF _Ref457986043 \h </w:instrText>
      </w:r>
      <w:r w:rsidR="003366B4" w:rsidRPr="000523CF">
        <w:rPr>
          <w:lang w:val="en-US"/>
        </w:rPr>
      </w:r>
      <w:r w:rsidR="003366B4" w:rsidRPr="000523CF">
        <w:rPr>
          <w:lang w:val="en-US"/>
        </w:rPr>
        <w:fldChar w:fldCharType="separate"/>
      </w:r>
      <w:r w:rsidR="00FF3730">
        <w:rPr>
          <w:noProof/>
          <w:lang w:val="en-US"/>
        </w:rPr>
        <w:t>46</w:t>
      </w:r>
      <w:r w:rsidR="003366B4" w:rsidRPr="000523CF">
        <w:rPr>
          <w:lang w:val="en-US"/>
        </w:rPr>
        <w:fldChar w:fldCharType="end"/>
      </w:r>
      <w:r w:rsidRPr="000523CF">
        <w:rPr>
          <w:lang w:val="en-US"/>
        </w:rPr>
        <w:t xml:space="preserve"> to see how complexity fees could be applied to a proposed action assessed by preliminary documentation. Refer to section </w:t>
      </w:r>
      <w:r w:rsidR="00FF3730">
        <w:fldChar w:fldCharType="begin"/>
      </w:r>
      <w:r w:rsidR="00FF3730">
        <w:instrText xml:space="preserve"> REF _Ref457993827 \r \h  \* MERGEFORMAT </w:instrText>
      </w:r>
      <w:r w:rsidR="00FF3730">
        <w:fldChar w:fldCharType="separate"/>
      </w:r>
      <w:r w:rsidR="00FF3730" w:rsidRPr="00FF3730">
        <w:rPr>
          <w:lang w:val="en-US"/>
        </w:rPr>
        <w:t>3.3.3.2</w:t>
      </w:r>
      <w:r w:rsidR="00FF3730">
        <w:fldChar w:fldCharType="end"/>
      </w:r>
      <w:r w:rsidRPr="000523CF">
        <w:t xml:space="preserve"> </w:t>
      </w:r>
      <w:r w:rsidRPr="000523CF">
        <w:rPr>
          <w:lang w:val="en-US"/>
        </w:rPr>
        <w:t xml:space="preserve">for more information on reducing complexity fees. </w:t>
      </w:r>
    </w:p>
    <w:p w:rsidR="001A641D" w:rsidRDefault="007E5C0A" w:rsidP="001A641D">
      <w:r w:rsidRPr="000523CF">
        <w:t xml:space="preserve">The fees for contingent activities and for evaluation of post-approval action management plans may be applicable during the assessment or for an approval granted following an assessment on preliminary documentation (see sections </w:t>
      </w:r>
      <w:r w:rsidR="00FF3730">
        <w:fldChar w:fldCharType="begin"/>
      </w:r>
      <w:r w:rsidR="00FF3730">
        <w:instrText xml:space="preserve"> REF _Ref457992829 \r \h  \* MERGEFORMAT </w:instrText>
      </w:r>
      <w:r w:rsidR="00FF3730">
        <w:fldChar w:fldCharType="separate"/>
      </w:r>
      <w:r w:rsidR="00FF3730">
        <w:t>3.3.1.2</w:t>
      </w:r>
      <w:r w:rsidR="00FF3730">
        <w:fldChar w:fldCharType="end"/>
      </w:r>
      <w:r w:rsidRPr="000523CF">
        <w:t xml:space="preserve"> and </w:t>
      </w:r>
      <w:r w:rsidR="00FF3730">
        <w:fldChar w:fldCharType="begin"/>
      </w:r>
      <w:r w:rsidR="00FF3730">
        <w:instrText xml:space="preserve"> REF _Ref457992822 \r \h  \* MERGEFORMAT </w:instrText>
      </w:r>
      <w:r w:rsidR="00FF3730">
        <w:fldChar w:fldCharType="separate"/>
      </w:r>
      <w:r w:rsidR="00FF3730">
        <w:t>3.3.1.3</w:t>
      </w:r>
      <w:r w:rsidR="00FF3730">
        <w:fldChar w:fldCharType="end"/>
      </w:r>
      <w:r w:rsidRPr="000523CF">
        <w:t xml:space="preserve"> for further</w:t>
      </w:r>
      <w:r w:rsidRPr="00DE15FF">
        <w:t xml:space="preserve"> information</w:t>
      </w:r>
      <w:r>
        <w:t>).</w:t>
      </w:r>
    </w:p>
    <w:p w:rsidR="001A641D" w:rsidRDefault="007E5C0A" w:rsidP="001A641D">
      <w:pPr>
        <w:pStyle w:val="Caption"/>
        <w:keepNext/>
      </w:pPr>
      <w:r>
        <w:rPr>
          <w:noProof/>
          <w:lang w:eastAsia="en-AU"/>
        </w:rPr>
        <w:drawing>
          <wp:inline distT="0" distB="0" distL="0" distR="0">
            <wp:extent cx="6120765" cy="8355188"/>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tretch>
                      <a:fillRect/>
                    </a:stretch>
                  </pic:blipFill>
                  <pic:spPr bwMode="auto">
                    <a:xfrm>
                      <a:off x="0" y="0"/>
                      <a:ext cx="6120765" cy="8355188"/>
                    </a:xfrm>
                    <a:prstGeom prst="rect">
                      <a:avLst/>
                    </a:prstGeom>
                    <a:noFill/>
                    <a:ln w="9525">
                      <a:noFill/>
                      <a:miter lim="800000"/>
                      <a:headEnd/>
                      <a:tailEnd/>
                    </a:ln>
                  </pic:spPr>
                </pic:pic>
              </a:graphicData>
            </a:graphic>
          </wp:inline>
        </w:drawing>
      </w:r>
    </w:p>
    <w:p w:rsidR="001A641D" w:rsidRDefault="007E5C0A" w:rsidP="001A641D">
      <w:pPr>
        <w:pStyle w:val="Caption"/>
      </w:pPr>
      <w:bookmarkStart w:id="1797" w:name="_Ref457913097"/>
      <w:bookmarkStart w:id="1798" w:name="_Toc256000291"/>
      <w:bookmarkStart w:id="1799" w:name="_Toc256000183"/>
      <w:bookmarkStart w:id="1800" w:name="_Toc256000075"/>
      <w:bookmarkStart w:id="1801" w:name="_Toc458170578"/>
      <w:bookmarkStart w:id="1802" w:name="_Toc459108591"/>
      <w:r>
        <w:t xml:space="preserve">Figure </w:t>
      </w:r>
      <w:r w:rsidR="003366B4">
        <w:fldChar w:fldCharType="begin"/>
      </w:r>
      <w:r>
        <w:instrText xml:space="preserve"> SEQ Figure \* ARABIC </w:instrText>
      </w:r>
      <w:r w:rsidR="003366B4">
        <w:fldChar w:fldCharType="separate"/>
      </w:r>
      <w:r w:rsidR="00FF3730">
        <w:rPr>
          <w:noProof/>
        </w:rPr>
        <w:t>7</w:t>
      </w:r>
      <w:r w:rsidR="003366B4">
        <w:fldChar w:fldCharType="end"/>
      </w:r>
      <w:bookmarkEnd w:id="1797"/>
      <w:r>
        <w:t xml:space="preserve">. </w:t>
      </w:r>
      <w:r w:rsidRPr="00A540D1">
        <w:t>Fee stages flow chart for preliminary documentation.</w:t>
      </w:r>
      <w:bookmarkEnd w:id="1798"/>
      <w:bookmarkEnd w:id="1799"/>
      <w:bookmarkEnd w:id="1800"/>
      <w:bookmarkEnd w:id="1801"/>
      <w:bookmarkEnd w:id="1802"/>
    </w:p>
    <w:p w:rsidR="001A641D" w:rsidRDefault="001A641D" w:rsidP="001A641D"/>
    <w:p w:rsidR="001A641D" w:rsidRDefault="007E5C0A" w:rsidP="001A641D">
      <w:pPr>
        <w:pStyle w:val="Caption"/>
        <w:keepNext/>
      </w:pPr>
      <w:bookmarkStart w:id="1803" w:name="_Toc256000405"/>
      <w:bookmarkStart w:id="1804" w:name="_Toc256000297"/>
      <w:bookmarkStart w:id="1805" w:name="_Toc256000189"/>
      <w:bookmarkStart w:id="1806" w:name="_Toc256000081"/>
      <w:bookmarkStart w:id="1807" w:name="_Ref457985824"/>
      <w:bookmarkStart w:id="1808" w:name="_Ref457985868"/>
      <w:bookmarkStart w:id="1809" w:name="_Ref457986037"/>
      <w:bookmarkStart w:id="1810" w:name="_Toc458170584"/>
      <w:r>
        <w:t xml:space="preserve">Example </w:t>
      </w:r>
      <w:r w:rsidR="003366B4">
        <w:fldChar w:fldCharType="begin"/>
      </w:r>
      <w:r>
        <w:instrText xml:space="preserve"> SEQ Example \* ARABIC </w:instrText>
      </w:r>
      <w:r w:rsidR="003366B4">
        <w:fldChar w:fldCharType="separate"/>
      </w:r>
      <w:r w:rsidR="00FF3730">
        <w:rPr>
          <w:noProof/>
        </w:rPr>
        <w:t>2</w:t>
      </w:r>
      <w:r w:rsidR="003366B4">
        <w:rPr>
          <w:noProof/>
        </w:rPr>
        <w:fldChar w:fldCharType="end"/>
      </w:r>
      <w:r>
        <w:t xml:space="preserve">. </w:t>
      </w:r>
      <w:r w:rsidRPr="000D4E93">
        <w:t>Residential development (preliminary documentation)</w:t>
      </w:r>
      <w:bookmarkEnd w:id="1803"/>
      <w:bookmarkEnd w:id="1804"/>
      <w:bookmarkEnd w:id="1805"/>
      <w:bookmarkEnd w:id="1806"/>
      <w:bookmarkEnd w:id="1807"/>
      <w:bookmarkEnd w:id="1808"/>
      <w:bookmarkEnd w:id="1809"/>
      <w:bookmarkEnd w:id="1810"/>
    </w:p>
    <w:tbl>
      <w:tblPr>
        <w:tblStyle w:val="TableGrid"/>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1124"/>
        <w:gridCol w:w="459"/>
        <w:gridCol w:w="3704"/>
        <w:gridCol w:w="3309"/>
        <w:gridCol w:w="1259"/>
      </w:tblGrid>
      <w:tr w:rsidR="00397365" w:rsidTr="001A641D">
        <w:trPr>
          <w:cnfStyle w:val="100000000000" w:firstRow="1" w:lastRow="0" w:firstColumn="0" w:lastColumn="0" w:oddVBand="0" w:evenVBand="0" w:oddHBand="0" w:evenHBand="0" w:firstRowFirstColumn="0" w:firstRowLastColumn="0" w:lastRowFirstColumn="0" w:lastRowLastColumn="0"/>
          <w:trHeight w:val="539"/>
        </w:trPr>
        <w:tc>
          <w:tcPr>
            <w:tcW w:w="5000" w:type="pct"/>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6542AA" w:rsidRDefault="007E5C0A" w:rsidP="001A641D">
            <w:pPr>
              <w:rPr>
                <w:b/>
                <w:sz w:val="18"/>
                <w:szCs w:val="18"/>
              </w:rPr>
            </w:pPr>
            <w:r w:rsidRPr="006542AA">
              <w:rPr>
                <w:b/>
                <w:sz w:val="18"/>
                <w:szCs w:val="18"/>
              </w:rPr>
              <w:t xml:space="preserve">Project description: </w:t>
            </w:r>
            <w:r w:rsidRPr="006542AA">
              <w:rPr>
                <w:sz w:val="18"/>
                <w:szCs w:val="18"/>
              </w:rPr>
              <w:t xml:space="preserve">Building Homes Pty Ltd is proposing a residential development, which requires clearing and </w:t>
            </w:r>
            <w:r>
              <w:rPr>
                <w:sz w:val="18"/>
                <w:szCs w:val="18"/>
              </w:rPr>
              <w:t xml:space="preserve">the </w:t>
            </w:r>
            <w:r w:rsidRPr="006542AA">
              <w:rPr>
                <w:sz w:val="18"/>
                <w:szCs w:val="18"/>
              </w:rPr>
              <w:t xml:space="preserve">alteration of water courses in an area that provides important high quality habitat for a threatened species and ecological communities. </w:t>
            </w:r>
          </w:p>
        </w:tc>
      </w:tr>
      <w:tr w:rsidR="00397365" w:rsidTr="001A641D">
        <w:trPr>
          <w:cnfStyle w:val="000000100000" w:firstRow="0" w:lastRow="0" w:firstColumn="0" w:lastColumn="0" w:oddVBand="0" w:evenVBand="0" w:oddHBand="1" w:evenHBand="0" w:firstRowFirstColumn="0" w:firstRowLastColumn="0" w:lastRowFirstColumn="0" w:lastRowLastColumn="0"/>
          <w:trHeight w:val="539"/>
        </w:trPr>
        <w:tc>
          <w:tcPr>
            <w:tcW w:w="803"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tcPr>
          <w:p w:rsidR="001A641D" w:rsidRPr="006542AA" w:rsidRDefault="007E5C0A" w:rsidP="001A641D">
            <w:pPr>
              <w:jc w:val="center"/>
              <w:rPr>
                <w:b/>
                <w:sz w:val="18"/>
                <w:szCs w:val="18"/>
              </w:rPr>
            </w:pPr>
            <w:r w:rsidRPr="006542AA">
              <w:rPr>
                <w:b/>
                <w:sz w:val="18"/>
                <w:szCs w:val="18"/>
              </w:rPr>
              <w:t>Fee Ref.*</w:t>
            </w:r>
          </w:p>
        </w:tc>
        <w:tc>
          <w:tcPr>
            <w:tcW w:w="1879"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6542AA" w:rsidRDefault="007E5C0A" w:rsidP="001A641D">
            <w:pPr>
              <w:jc w:val="center"/>
              <w:rPr>
                <w:b/>
                <w:sz w:val="18"/>
                <w:szCs w:val="18"/>
              </w:rPr>
            </w:pPr>
            <w:r w:rsidRPr="006542AA">
              <w:rPr>
                <w:b/>
                <w:sz w:val="18"/>
                <w:szCs w:val="18"/>
              </w:rPr>
              <w:t>Project characteristics</w:t>
            </w:r>
          </w:p>
        </w:tc>
        <w:tc>
          <w:tcPr>
            <w:tcW w:w="1679"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6542AA" w:rsidRDefault="007E5C0A" w:rsidP="001A641D">
            <w:pPr>
              <w:jc w:val="center"/>
              <w:rPr>
                <w:b/>
                <w:sz w:val="18"/>
                <w:szCs w:val="18"/>
              </w:rPr>
            </w:pPr>
            <w:r w:rsidRPr="006542AA">
              <w:rPr>
                <w:b/>
                <w:sz w:val="18"/>
                <w:szCs w:val="18"/>
              </w:rPr>
              <w:t>Additional resources required during the assessment process</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6542AA" w:rsidRDefault="007E5C0A" w:rsidP="001A641D">
            <w:pPr>
              <w:jc w:val="center"/>
              <w:rPr>
                <w:b/>
                <w:sz w:val="18"/>
                <w:szCs w:val="18"/>
              </w:rPr>
            </w:pPr>
            <w:r>
              <w:rPr>
                <w:b/>
                <w:sz w:val="18"/>
                <w:szCs w:val="18"/>
              </w:rPr>
              <w:t>F</w:t>
            </w:r>
            <w:r w:rsidRPr="006542AA">
              <w:rPr>
                <w:b/>
                <w:sz w:val="18"/>
                <w:szCs w:val="18"/>
              </w:rPr>
              <w:t>ee</w:t>
            </w:r>
          </w:p>
        </w:tc>
      </w:tr>
      <w:tr w:rsidR="00397365" w:rsidTr="001A641D">
        <w:trPr>
          <w:cnfStyle w:val="000000010000" w:firstRow="0" w:lastRow="0" w:firstColumn="0" w:lastColumn="0" w:oddVBand="0" w:evenVBand="0" w:oddHBand="0" w:evenHBand="1" w:firstRowFirstColumn="0" w:firstRowLastColumn="0" w:lastRowFirstColumn="0" w:lastRowLastColumn="0"/>
          <w:trHeight w:val="524"/>
        </w:trPr>
        <w:tc>
          <w:tcPr>
            <w:tcW w:w="570" w:type="pct"/>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C6D9F1" w:themeFill="text2" w:themeFillTint="33"/>
          </w:tcPr>
          <w:p w:rsidR="001A641D" w:rsidRPr="006542AA" w:rsidRDefault="007E5C0A" w:rsidP="001A641D">
            <w:pPr>
              <w:rPr>
                <w:sz w:val="18"/>
                <w:szCs w:val="18"/>
              </w:rPr>
            </w:pPr>
            <w:r>
              <w:rPr>
                <w:sz w:val="18"/>
                <w:szCs w:val="18"/>
              </w:rPr>
              <w:t>Part A Complexity Fees</w:t>
            </w: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6542AA" w:rsidRDefault="007E5C0A" w:rsidP="001A641D">
            <w:pPr>
              <w:rPr>
                <w:sz w:val="18"/>
                <w:szCs w:val="18"/>
              </w:rPr>
            </w:pPr>
            <w:r w:rsidRPr="006542AA">
              <w:rPr>
                <w:sz w:val="18"/>
                <w:szCs w:val="18"/>
              </w:rPr>
              <w:t>Controlling provisions triggered</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Pr="006542AA" w:rsidRDefault="001A641D" w:rsidP="001A641D">
            <w:pPr>
              <w:spacing w:after="0"/>
              <w:jc w:val="center"/>
              <w:rPr>
                <w:sz w:val="18"/>
                <w:szCs w:val="18"/>
              </w:rPr>
            </w:pPr>
          </w:p>
        </w:tc>
        <w:tc>
          <w:tcPr>
            <w:tcW w:w="233"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6542AA" w:rsidRDefault="007E5C0A" w:rsidP="001A641D">
            <w:pPr>
              <w:spacing w:after="0"/>
              <w:jc w:val="center"/>
              <w:rPr>
                <w:sz w:val="18"/>
                <w:szCs w:val="18"/>
              </w:rPr>
            </w:pPr>
            <w:r w:rsidRPr="006542AA">
              <w:rPr>
                <w:sz w:val="18"/>
                <w:szCs w:val="18"/>
              </w:rPr>
              <w:t>A</w:t>
            </w:r>
          </w:p>
        </w:tc>
        <w:tc>
          <w:tcPr>
            <w:tcW w:w="1879" w:type="pct"/>
            <w:tcBorders>
              <w:top w:val="single" w:sz="4" w:space="0" w:color="548DD4" w:themeColor="text2" w:themeTint="99"/>
              <w:left w:val="nil"/>
              <w:bottom w:val="single" w:sz="4" w:space="0" w:color="548DD4" w:themeColor="text2" w:themeTint="99"/>
              <w:right w:val="nil"/>
            </w:tcBorders>
          </w:tcPr>
          <w:p w:rsidR="001A641D" w:rsidRPr="00CC534D" w:rsidRDefault="007E5C0A" w:rsidP="001A641D">
            <w:pPr>
              <w:pStyle w:val="ListBullet"/>
              <w:numPr>
                <w:ilvl w:val="0"/>
                <w:numId w:val="0"/>
              </w:numPr>
              <w:spacing w:after="0"/>
              <w:ind w:left="118"/>
              <w:rPr>
                <w:sz w:val="18"/>
                <w:szCs w:val="18"/>
              </w:rPr>
            </w:pPr>
            <w:r>
              <w:rPr>
                <w:sz w:val="18"/>
                <w:szCs w:val="18"/>
              </w:rPr>
              <w:t>7 threatened species and 1 ecological community require assessment; impacts to the 7 species are well defined and understood; impacts to the ecological community are not well understood; management options are all well defined and understood.</w:t>
            </w:r>
          </w:p>
        </w:tc>
        <w:tc>
          <w:tcPr>
            <w:tcW w:w="16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spacing w:after="0"/>
              <w:rPr>
                <w:sz w:val="18"/>
                <w:szCs w:val="18"/>
              </w:rPr>
            </w:pPr>
            <w:r w:rsidRPr="005F264E">
              <w:rPr>
                <w:sz w:val="18"/>
                <w:szCs w:val="18"/>
              </w:rPr>
              <w:t>Threatened species (high complexity):</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Assessment Officer—20.59 days</w:t>
            </w:r>
          </w:p>
          <w:p w:rsidR="001A641D" w:rsidRPr="005F264E" w:rsidRDefault="007E5C0A" w:rsidP="001A641D">
            <w:pPr>
              <w:pStyle w:val="ListParagraph"/>
              <w:numPr>
                <w:ilvl w:val="0"/>
                <w:numId w:val="6"/>
              </w:numPr>
              <w:spacing w:after="0" w:line="240" w:lineRule="auto"/>
              <w:ind w:left="360"/>
              <w:contextualSpacing/>
              <w:rPr>
                <w:sz w:val="18"/>
                <w:szCs w:val="18"/>
              </w:rPr>
            </w:pPr>
            <w:r>
              <w:rPr>
                <w:sz w:val="18"/>
                <w:szCs w:val="18"/>
              </w:rPr>
              <w:t>Assistant Director—6.98</w:t>
            </w:r>
            <w:r w:rsidRPr="005F264E">
              <w:rPr>
                <w:sz w:val="18"/>
                <w:szCs w:val="18"/>
              </w:rPr>
              <w:t xml:space="preserve"> days</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Director—2.25 days</w:t>
            </w:r>
          </w:p>
          <w:p w:rsidR="001A641D" w:rsidRDefault="007E5C0A" w:rsidP="001A641D">
            <w:pPr>
              <w:pStyle w:val="ListParagraph"/>
              <w:numPr>
                <w:ilvl w:val="0"/>
                <w:numId w:val="6"/>
              </w:numPr>
              <w:spacing w:after="0" w:line="240" w:lineRule="auto"/>
              <w:ind w:left="360"/>
              <w:contextualSpacing/>
              <w:rPr>
                <w:sz w:val="18"/>
                <w:szCs w:val="18"/>
              </w:rPr>
            </w:pPr>
            <w:r>
              <w:rPr>
                <w:sz w:val="18"/>
                <w:szCs w:val="18"/>
              </w:rPr>
              <w:t>SES</w:t>
            </w:r>
            <w:r w:rsidRPr="005F264E">
              <w:rPr>
                <w:sz w:val="18"/>
                <w:szCs w:val="18"/>
              </w:rPr>
              <w:t xml:space="preserve"> – 0.4 days</w:t>
            </w:r>
          </w:p>
          <w:p w:rsidR="001A641D" w:rsidRPr="005F264E" w:rsidRDefault="007E5C0A" w:rsidP="001A641D">
            <w:pPr>
              <w:pStyle w:val="ListParagraph"/>
              <w:numPr>
                <w:ilvl w:val="0"/>
                <w:numId w:val="6"/>
              </w:numPr>
              <w:spacing w:after="0" w:line="240" w:lineRule="auto"/>
              <w:ind w:left="360"/>
              <w:contextualSpacing/>
              <w:rPr>
                <w:sz w:val="18"/>
                <w:szCs w:val="18"/>
              </w:rPr>
            </w:pPr>
            <w:r>
              <w:rPr>
                <w:sz w:val="18"/>
                <w:szCs w:val="18"/>
              </w:rPr>
              <w:t>Line area advice - $8,827</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706DF" w:rsidRDefault="007E5C0A" w:rsidP="001A641D">
            <w:pPr>
              <w:spacing w:after="0"/>
              <w:jc w:val="center"/>
              <w:rPr>
                <w:sz w:val="18"/>
                <w:szCs w:val="18"/>
                <w:highlight w:val="yellow"/>
              </w:rPr>
            </w:pPr>
            <w:r w:rsidRPr="002C45DF">
              <w:rPr>
                <w:sz w:val="18"/>
                <w:szCs w:val="18"/>
              </w:rPr>
              <w:t>$25,615</w:t>
            </w:r>
          </w:p>
        </w:tc>
      </w:tr>
      <w:tr w:rsidR="00397365" w:rsidTr="001A641D">
        <w:trPr>
          <w:cnfStyle w:val="000000010000" w:firstRow="0" w:lastRow="0" w:firstColumn="0" w:lastColumn="0" w:oddVBand="0" w:evenVBand="0" w:oddHBand="0" w:evenHBand="1" w:firstRowFirstColumn="0" w:firstRowLastColumn="0" w:lastRowFirstColumn="0" w:lastRowLastColumn="0"/>
          <w:trHeight w:val="507"/>
        </w:trPr>
        <w:tc>
          <w:tcPr>
            <w:tcW w:w="570" w:type="pct"/>
            <w:vMerge/>
            <w:tcBorders>
              <w:left w:val="single" w:sz="4" w:space="0" w:color="548DD4" w:themeColor="text2" w:themeTint="99"/>
              <w:right w:val="single" w:sz="4" w:space="0" w:color="548DD4" w:themeColor="text2" w:themeTint="99"/>
            </w:tcBorders>
            <w:shd w:val="clear" w:color="auto" w:fill="C6D9F1" w:themeFill="text2" w:themeFillTint="33"/>
          </w:tcPr>
          <w:p w:rsidR="001A641D" w:rsidRPr="006C335A" w:rsidRDefault="001A641D" w:rsidP="001A641D">
            <w:pPr>
              <w:rPr>
                <w:sz w:val="18"/>
                <w:szCs w:val="18"/>
              </w:rPr>
            </w:pP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6C335A" w:rsidRDefault="007E5C0A" w:rsidP="001A641D">
            <w:pPr>
              <w:rPr>
                <w:sz w:val="18"/>
                <w:szCs w:val="18"/>
              </w:rPr>
            </w:pPr>
            <w:r w:rsidRPr="006C335A">
              <w:rPr>
                <w:sz w:val="18"/>
                <w:szCs w:val="18"/>
              </w:rPr>
              <w:t>Project components</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33"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6542AA" w:rsidRDefault="007E5C0A" w:rsidP="001A641D">
            <w:pPr>
              <w:spacing w:after="0"/>
              <w:jc w:val="center"/>
              <w:rPr>
                <w:sz w:val="18"/>
                <w:szCs w:val="18"/>
              </w:rPr>
            </w:pPr>
            <w:r>
              <w:rPr>
                <w:sz w:val="18"/>
                <w:szCs w:val="18"/>
              </w:rPr>
              <w:t>K</w:t>
            </w:r>
          </w:p>
        </w:tc>
        <w:tc>
          <w:tcPr>
            <w:tcW w:w="1879" w:type="pct"/>
            <w:tcBorders>
              <w:top w:val="single" w:sz="4" w:space="0" w:color="548DD4" w:themeColor="text2" w:themeTint="99"/>
              <w:left w:val="nil"/>
              <w:bottom w:val="single" w:sz="4" w:space="0" w:color="548DD4" w:themeColor="text2" w:themeTint="99"/>
              <w:right w:val="nil"/>
            </w:tcBorders>
          </w:tcPr>
          <w:p w:rsidR="001A641D" w:rsidRPr="009D63F5" w:rsidRDefault="007E5C0A" w:rsidP="001A641D">
            <w:pPr>
              <w:pStyle w:val="ListBullet"/>
              <w:numPr>
                <w:ilvl w:val="0"/>
                <w:numId w:val="0"/>
              </w:numPr>
              <w:spacing w:after="0"/>
              <w:ind w:left="118"/>
              <w:rPr>
                <w:sz w:val="18"/>
                <w:szCs w:val="18"/>
              </w:rPr>
            </w:pPr>
            <w:r>
              <w:rPr>
                <w:sz w:val="18"/>
                <w:szCs w:val="18"/>
              </w:rPr>
              <w:t>One component - Land clearing for residential development</w:t>
            </w:r>
          </w:p>
        </w:tc>
        <w:tc>
          <w:tcPr>
            <w:tcW w:w="1679" w:type="pct"/>
            <w:tcBorders>
              <w:top w:val="single" w:sz="4" w:space="0" w:color="548DD4" w:themeColor="text2" w:themeTint="99"/>
              <w:left w:val="nil"/>
              <w:bottom w:val="single" w:sz="4" w:space="0" w:color="548DD4" w:themeColor="text2" w:themeTint="99"/>
              <w:right w:val="nil"/>
            </w:tcBorders>
            <w:vAlign w:val="center"/>
          </w:tcPr>
          <w:p w:rsidR="001A641D" w:rsidRPr="009D63F5" w:rsidRDefault="007E5C0A" w:rsidP="001A641D">
            <w:pPr>
              <w:pStyle w:val="ListBullet"/>
              <w:spacing w:after="0"/>
              <w:rPr>
                <w:sz w:val="18"/>
                <w:szCs w:val="18"/>
              </w:rPr>
            </w:pPr>
            <w:r w:rsidRPr="00CA3ABF">
              <w:rPr>
                <w:sz w:val="18"/>
                <w:szCs w:val="18"/>
              </w:rPr>
              <w:t xml:space="preserve">No additional </w:t>
            </w:r>
            <w:r>
              <w:rPr>
                <w:sz w:val="18"/>
                <w:szCs w:val="18"/>
              </w:rPr>
              <w:t>fee</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6C335A" w:rsidRDefault="007E5C0A" w:rsidP="001A641D">
            <w:pPr>
              <w:spacing w:after="0"/>
              <w:jc w:val="center"/>
              <w:rPr>
                <w:sz w:val="18"/>
                <w:szCs w:val="18"/>
              </w:rPr>
            </w:pPr>
            <w:r w:rsidRPr="006C335A">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Height w:val="524"/>
        </w:trPr>
        <w:tc>
          <w:tcPr>
            <w:tcW w:w="570" w:type="pct"/>
            <w:vMerge/>
            <w:tcBorders>
              <w:left w:val="single" w:sz="4" w:space="0" w:color="548DD4" w:themeColor="text2" w:themeTint="99"/>
              <w:right w:val="single" w:sz="4" w:space="0" w:color="548DD4" w:themeColor="text2" w:themeTint="99"/>
            </w:tcBorders>
            <w:shd w:val="clear" w:color="auto" w:fill="C6D9F1" w:themeFill="text2" w:themeFillTint="33"/>
          </w:tcPr>
          <w:p w:rsidR="001A641D" w:rsidRPr="006C335A" w:rsidRDefault="001A641D" w:rsidP="001A641D">
            <w:pPr>
              <w:rPr>
                <w:sz w:val="18"/>
                <w:szCs w:val="18"/>
              </w:rPr>
            </w:pP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6C335A" w:rsidRDefault="007E5C0A" w:rsidP="001A641D">
            <w:pPr>
              <w:rPr>
                <w:sz w:val="18"/>
                <w:szCs w:val="18"/>
              </w:rPr>
            </w:pPr>
            <w:r w:rsidRPr="006C335A">
              <w:rPr>
                <w:sz w:val="18"/>
                <w:szCs w:val="18"/>
              </w:rPr>
              <w:t>Other legislation</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33"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6542AA" w:rsidRDefault="007E5C0A" w:rsidP="001A641D">
            <w:pPr>
              <w:spacing w:after="0"/>
              <w:jc w:val="center"/>
              <w:rPr>
                <w:sz w:val="18"/>
                <w:szCs w:val="18"/>
              </w:rPr>
            </w:pPr>
            <w:r>
              <w:rPr>
                <w:sz w:val="18"/>
                <w:szCs w:val="18"/>
              </w:rPr>
              <w:t>L</w:t>
            </w:r>
          </w:p>
        </w:tc>
        <w:tc>
          <w:tcPr>
            <w:tcW w:w="1879" w:type="pct"/>
            <w:tcBorders>
              <w:top w:val="single" w:sz="4" w:space="0" w:color="548DD4" w:themeColor="text2" w:themeTint="99"/>
              <w:left w:val="nil"/>
              <w:bottom w:val="single" w:sz="4" w:space="0" w:color="548DD4" w:themeColor="text2" w:themeTint="99"/>
              <w:right w:val="nil"/>
            </w:tcBorders>
          </w:tcPr>
          <w:p w:rsidR="001A641D" w:rsidRPr="00CC534D" w:rsidRDefault="007E5C0A" w:rsidP="001A641D">
            <w:pPr>
              <w:pStyle w:val="ListBullet"/>
              <w:numPr>
                <w:ilvl w:val="0"/>
                <w:numId w:val="0"/>
              </w:numPr>
              <w:spacing w:after="0"/>
              <w:ind w:left="118"/>
              <w:rPr>
                <w:sz w:val="18"/>
                <w:szCs w:val="18"/>
              </w:rPr>
            </w:pPr>
            <w:r>
              <w:rPr>
                <w:sz w:val="18"/>
                <w:szCs w:val="18"/>
              </w:rPr>
              <w:t>Low complexity - no coordination with other legislative processes required</w:t>
            </w:r>
          </w:p>
        </w:tc>
        <w:tc>
          <w:tcPr>
            <w:tcW w:w="1679" w:type="pct"/>
            <w:tcBorders>
              <w:top w:val="single" w:sz="4" w:space="0" w:color="548DD4" w:themeColor="text2" w:themeTint="99"/>
              <w:left w:val="nil"/>
              <w:bottom w:val="single" w:sz="4" w:space="0" w:color="548DD4" w:themeColor="text2" w:themeTint="99"/>
              <w:right w:val="nil"/>
            </w:tcBorders>
            <w:vAlign w:val="center"/>
          </w:tcPr>
          <w:p w:rsidR="001A641D" w:rsidRPr="00CC534D" w:rsidRDefault="007E5C0A" w:rsidP="001A641D">
            <w:pPr>
              <w:pStyle w:val="ListParagraph"/>
              <w:numPr>
                <w:ilvl w:val="0"/>
                <w:numId w:val="6"/>
              </w:numPr>
              <w:spacing w:after="0" w:line="240" w:lineRule="auto"/>
              <w:ind w:left="360"/>
              <w:contextualSpacing/>
              <w:rPr>
                <w:sz w:val="18"/>
                <w:szCs w:val="18"/>
              </w:rPr>
            </w:pPr>
            <w:r w:rsidRPr="00CA3ABF">
              <w:rPr>
                <w:sz w:val="18"/>
                <w:szCs w:val="18"/>
              </w:rPr>
              <w:t xml:space="preserve">No additional </w:t>
            </w:r>
            <w:r>
              <w:rPr>
                <w:sz w:val="18"/>
                <w:szCs w:val="18"/>
              </w:rPr>
              <w:t>fee</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706DF" w:rsidRDefault="007E5C0A" w:rsidP="001A641D">
            <w:pPr>
              <w:spacing w:after="0"/>
              <w:jc w:val="center"/>
              <w:rPr>
                <w:sz w:val="18"/>
                <w:szCs w:val="18"/>
                <w:highlight w:val="yellow"/>
              </w:rPr>
            </w:pPr>
            <w:r>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Height w:val="164"/>
        </w:trPr>
        <w:tc>
          <w:tcPr>
            <w:tcW w:w="570" w:type="pct"/>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C6D9F1" w:themeFill="text2" w:themeFillTint="33"/>
          </w:tcPr>
          <w:p w:rsidR="001A641D" w:rsidRDefault="007E5C0A" w:rsidP="001A641D">
            <w:pPr>
              <w:rPr>
                <w:sz w:val="18"/>
                <w:szCs w:val="18"/>
              </w:rPr>
            </w:pPr>
            <w:r>
              <w:rPr>
                <w:sz w:val="18"/>
                <w:szCs w:val="18"/>
              </w:rPr>
              <w:t>Part B Complexity Fees</w:t>
            </w: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9D63F5" w:rsidRDefault="007E5C0A" w:rsidP="001A641D">
            <w:pPr>
              <w:rPr>
                <w:sz w:val="18"/>
                <w:szCs w:val="18"/>
              </w:rPr>
            </w:pPr>
            <w:r>
              <w:rPr>
                <w:sz w:val="18"/>
                <w:szCs w:val="18"/>
              </w:rPr>
              <w:t>Adequacy of information and clarity of project scope</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33"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6542AA" w:rsidRDefault="007E5C0A" w:rsidP="001A641D">
            <w:pPr>
              <w:spacing w:after="0"/>
              <w:jc w:val="center"/>
              <w:rPr>
                <w:sz w:val="18"/>
                <w:szCs w:val="18"/>
              </w:rPr>
            </w:pPr>
            <w:r>
              <w:rPr>
                <w:sz w:val="18"/>
                <w:szCs w:val="18"/>
              </w:rPr>
              <w:t>M</w:t>
            </w:r>
          </w:p>
        </w:tc>
        <w:tc>
          <w:tcPr>
            <w:tcW w:w="18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pStyle w:val="ListBullet"/>
              <w:numPr>
                <w:ilvl w:val="0"/>
                <w:numId w:val="0"/>
              </w:numPr>
              <w:spacing w:after="0"/>
              <w:ind w:left="118"/>
              <w:rPr>
                <w:sz w:val="18"/>
                <w:szCs w:val="18"/>
              </w:rPr>
            </w:pPr>
            <w:r w:rsidRPr="005F264E">
              <w:rPr>
                <w:sz w:val="18"/>
                <w:szCs w:val="18"/>
              </w:rPr>
              <w:t>Site surveys for threatened species are partially complete.  Additional dry season surveys are required.</w:t>
            </w:r>
          </w:p>
        </w:tc>
        <w:tc>
          <w:tcPr>
            <w:tcW w:w="16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spacing w:after="0"/>
              <w:rPr>
                <w:sz w:val="18"/>
                <w:szCs w:val="18"/>
              </w:rPr>
            </w:pPr>
            <w:r w:rsidRPr="005F264E">
              <w:rPr>
                <w:sz w:val="18"/>
                <w:szCs w:val="18"/>
              </w:rPr>
              <w:t>Site surveys (moderate complexity):</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Assessment Officer—</w:t>
            </w:r>
            <w:r>
              <w:rPr>
                <w:sz w:val="18"/>
                <w:szCs w:val="18"/>
              </w:rPr>
              <w:t>10</w:t>
            </w:r>
            <w:r w:rsidRPr="005F264E">
              <w:rPr>
                <w:sz w:val="18"/>
                <w:szCs w:val="18"/>
              </w:rPr>
              <w:t xml:space="preserve"> days</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Assistant Director—6.5 days</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Director—2.5 days</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706DF" w:rsidRDefault="007E5C0A" w:rsidP="001A641D">
            <w:pPr>
              <w:spacing w:after="0"/>
              <w:jc w:val="center"/>
              <w:rPr>
                <w:sz w:val="18"/>
                <w:szCs w:val="18"/>
                <w:highlight w:val="yellow"/>
              </w:rPr>
            </w:pPr>
            <w:r w:rsidRPr="002C45DF">
              <w:rPr>
                <w:sz w:val="18"/>
                <w:szCs w:val="18"/>
              </w:rPr>
              <w:t>$10,982</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33"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6542AA" w:rsidRDefault="007E5C0A" w:rsidP="001A641D">
            <w:pPr>
              <w:spacing w:after="0"/>
              <w:jc w:val="center"/>
              <w:rPr>
                <w:sz w:val="18"/>
                <w:szCs w:val="18"/>
              </w:rPr>
            </w:pPr>
            <w:r>
              <w:rPr>
                <w:sz w:val="18"/>
                <w:szCs w:val="18"/>
              </w:rPr>
              <w:t>N</w:t>
            </w:r>
          </w:p>
        </w:tc>
        <w:tc>
          <w:tcPr>
            <w:tcW w:w="18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pStyle w:val="ListBullet"/>
              <w:numPr>
                <w:ilvl w:val="0"/>
                <w:numId w:val="0"/>
              </w:numPr>
              <w:spacing w:after="0"/>
              <w:ind w:left="118"/>
              <w:rPr>
                <w:sz w:val="18"/>
                <w:szCs w:val="18"/>
              </w:rPr>
            </w:pPr>
            <w:r w:rsidRPr="005F264E">
              <w:rPr>
                <w:sz w:val="18"/>
                <w:szCs w:val="18"/>
              </w:rPr>
              <w:t xml:space="preserve">Clarification is required regarding the proposed </w:t>
            </w:r>
            <w:r>
              <w:rPr>
                <w:sz w:val="18"/>
                <w:szCs w:val="18"/>
              </w:rPr>
              <w:t xml:space="preserve">measures for the </w:t>
            </w:r>
            <w:r w:rsidRPr="005F264E">
              <w:rPr>
                <w:sz w:val="18"/>
                <w:szCs w:val="18"/>
              </w:rPr>
              <w:t xml:space="preserve">management, avoidance and mitigation of </w:t>
            </w:r>
            <w:r>
              <w:rPr>
                <w:sz w:val="18"/>
                <w:szCs w:val="18"/>
              </w:rPr>
              <w:t xml:space="preserve">damage to </w:t>
            </w:r>
            <w:r w:rsidRPr="005F264E">
              <w:rPr>
                <w:sz w:val="18"/>
                <w:szCs w:val="18"/>
              </w:rPr>
              <w:t>important habitat.</w:t>
            </w:r>
          </w:p>
        </w:tc>
        <w:tc>
          <w:tcPr>
            <w:tcW w:w="16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pStyle w:val="ListParagraph"/>
              <w:spacing w:after="0"/>
              <w:ind w:left="0"/>
              <w:rPr>
                <w:sz w:val="18"/>
                <w:szCs w:val="18"/>
              </w:rPr>
            </w:pPr>
            <w:r w:rsidRPr="005F264E">
              <w:rPr>
                <w:sz w:val="18"/>
                <w:szCs w:val="18"/>
              </w:rPr>
              <w:t>Management strategies (moderate complexity):</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Assessment Officer—</w:t>
            </w:r>
            <w:r>
              <w:rPr>
                <w:sz w:val="18"/>
                <w:szCs w:val="18"/>
              </w:rPr>
              <w:t>10</w:t>
            </w:r>
            <w:r w:rsidRPr="005F264E">
              <w:rPr>
                <w:sz w:val="18"/>
                <w:szCs w:val="18"/>
              </w:rPr>
              <w:t xml:space="preserve"> days</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Assistant Director—6.5 days</w:t>
            </w:r>
          </w:p>
          <w:p w:rsidR="001A641D" w:rsidRPr="005F264E" w:rsidRDefault="007E5C0A" w:rsidP="001A641D">
            <w:pPr>
              <w:pStyle w:val="ListParagraph"/>
              <w:numPr>
                <w:ilvl w:val="0"/>
                <w:numId w:val="6"/>
              </w:numPr>
              <w:spacing w:after="0" w:line="240" w:lineRule="auto"/>
              <w:ind w:left="360"/>
              <w:contextualSpacing/>
              <w:rPr>
                <w:sz w:val="18"/>
                <w:szCs w:val="18"/>
              </w:rPr>
            </w:pPr>
            <w:r w:rsidRPr="005F264E">
              <w:rPr>
                <w:sz w:val="18"/>
                <w:szCs w:val="18"/>
              </w:rPr>
              <w:t>Director—2.5 days</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706DF" w:rsidRDefault="007E5C0A" w:rsidP="001A641D">
            <w:pPr>
              <w:spacing w:after="0"/>
              <w:jc w:val="center"/>
              <w:rPr>
                <w:sz w:val="18"/>
                <w:szCs w:val="18"/>
                <w:highlight w:val="yellow"/>
              </w:rPr>
            </w:pPr>
            <w:r w:rsidRPr="002C45DF">
              <w:rPr>
                <w:sz w:val="18"/>
                <w:szCs w:val="18"/>
              </w:rPr>
              <w:t>$10,982</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33"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Default="007E5C0A" w:rsidP="001A641D">
            <w:pPr>
              <w:spacing w:after="0"/>
              <w:jc w:val="center"/>
              <w:rPr>
                <w:sz w:val="18"/>
                <w:szCs w:val="18"/>
              </w:rPr>
            </w:pPr>
            <w:r>
              <w:rPr>
                <w:sz w:val="18"/>
                <w:szCs w:val="18"/>
              </w:rPr>
              <w:t>O</w:t>
            </w:r>
          </w:p>
        </w:tc>
        <w:tc>
          <w:tcPr>
            <w:tcW w:w="18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pStyle w:val="ListBullet"/>
              <w:numPr>
                <w:ilvl w:val="0"/>
                <w:numId w:val="0"/>
              </w:numPr>
              <w:spacing w:after="0"/>
              <w:ind w:left="118"/>
              <w:rPr>
                <w:sz w:val="18"/>
                <w:szCs w:val="18"/>
              </w:rPr>
            </w:pPr>
            <w:r>
              <w:rPr>
                <w:sz w:val="18"/>
                <w:szCs w:val="18"/>
              </w:rPr>
              <w:t>Project scope clearly defined with no alternatives</w:t>
            </w:r>
          </w:p>
        </w:tc>
        <w:tc>
          <w:tcPr>
            <w:tcW w:w="1679" w:type="pct"/>
            <w:tcBorders>
              <w:top w:val="single" w:sz="4" w:space="0" w:color="548DD4" w:themeColor="text2" w:themeTint="99"/>
              <w:left w:val="nil"/>
              <w:bottom w:val="single" w:sz="4" w:space="0" w:color="548DD4" w:themeColor="text2" w:themeTint="99"/>
              <w:right w:val="nil"/>
            </w:tcBorders>
          </w:tcPr>
          <w:p w:rsidR="001A641D" w:rsidRPr="005F264E" w:rsidRDefault="007E5C0A" w:rsidP="001A641D">
            <w:pPr>
              <w:pStyle w:val="ListBullet"/>
              <w:spacing w:after="0"/>
              <w:rPr>
                <w:sz w:val="18"/>
                <w:szCs w:val="18"/>
              </w:rPr>
            </w:pPr>
            <w:r>
              <w:rPr>
                <w:sz w:val="18"/>
                <w:szCs w:val="18"/>
              </w:rPr>
              <w:t>No additional fee</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2C45DF" w:rsidRDefault="007E5C0A" w:rsidP="001A641D">
            <w:pPr>
              <w:spacing w:after="0"/>
              <w:jc w:val="center"/>
              <w:rPr>
                <w:sz w:val="18"/>
                <w:szCs w:val="18"/>
              </w:rPr>
            </w:pPr>
            <w:r>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Height w:val="265"/>
        </w:trPr>
        <w:tc>
          <w:tcPr>
            <w:tcW w:w="4361"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6C335A" w:rsidRDefault="007E5C0A" w:rsidP="001A641D">
            <w:pPr>
              <w:jc w:val="right"/>
              <w:rPr>
                <w:caps/>
                <w:sz w:val="20"/>
                <w:szCs w:val="20"/>
              </w:rPr>
            </w:pPr>
            <w:r>
              <w:rPr>
                <w:caps/>
                <w:sz w:val="20"/>
                <w:szCs w:val="20"/>
              </w:rPr>
              <w:t>total</w:t>
            </w:r>
            <w:r w:rsidRPr="006C335A">
              <w:rPr>
                <w:caps/>
                <w:sz w:val="20"/>
                <w:szCs w:val="20"/>
              </w:rPr>
              <w:t xml:space="preserve"> complexity </w:t>
            </w:r>
            <w:r>
              <w:rPr>
                <w:caps/>
                <w:sz w:val="20"/>
                <w:szCs w:val="20"/>
              </w:rPr>
              <w:t>fees</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6C335A" w:rsidRDefault="007E5C0A" w:rsidP="001A641D">
            <w:pPr>
              <w:jc w:val="center"/>
              <w:rPr>
                <w:sz w:val="20"/>
                <w:szCs w:val="20"/>
              </w:rPr>
            </w:pPr>
            <w:r w:rsidRPr="002C45DF">
              <w:rPr>
                <w:sz w:val="20"/>
                <w:szCs w:val="20"/>
              </w:rPr>
              <w:t>$</w:t>
            </w:r>
            <w:r>
              <w:rPr>
                <w:sz w:val="20"/>
                <w:szCs w:val="20"/>
              </w:rPr>
              <w:t>47,579</w:t>
            </w:r>
          </w:p>
        </w:tc>
      </w:tr>
      <w:tr w:rsidR="00397365" w:rsidTr="001A641D">
        <w:trPr>
          <w:cnfStyle w:val="000000100000" w:firstRow="0" w:lastRow="0" w:firstColumn="0" w:lastColumn="0" w:oddVBand="0" w:evenVBand="0" w:oddHBand="1" w:evenHBand="0" w:firstRowFirstColumn="0" w:firstRowLastColumn="0" w:lastRowFirstColumn="0" w:lastRowLastColumn="0"/>
          <w:trHeight w:val="265"/>
        </w:trPr>
        <w:tc>
          <w:tcPr>
            <w:tcW w:w="4361"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820799" w:rsidRDefault="007E5C0A" w:rsidP="001A641D">
            <w:pPr>
              <w:jc w:val="right"/>
              <w:rPr>
                <w:caps/>
                <w:sz w:val="20"/>
                <w:szCs w:val="20"/>
              </w:rPr>
            </w:pPr>
            <w:r w:rsidRPr="00820799">
              <w:rPr>
                <w:caps/>
                <w:sz w:val="20"/>
                <w:szCs w:val="20"/>
              </w:rPr>
              <w:t>base fee (assessment on preliminary documentation)</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820799" w:rsidRDefault="007E5C0A" w:rsidP="001A641D">
            <w:pPr>
              <w:jc w:val="center"/>
              <w:rPr>
                <w:sz w:val="20"/>
                <w:szCs w:val="20"/>
              </w:rPr>
            </w:pPr>
            <w:r w:rsidRPr="00820799">
              <w:rPr>
                <w:sz w:val="20"/>
                <w:szCs w:val="20"/>
              </w:rPr>
              <w:t>$8,010</w:t>
            </w:r>
          </w:p>
        </w:tc>
      </w:tr>
      <w:tr w:rsidR="00397365" w:rsidTr="001A641D">
        <w:trPr>
          <w:cnfStyle w:val="000000010000" w:firstRow="0" w:lastRow="0" w:firstColumn="0" w:lastColumn="0" w:oddVBand="0" w:evenVBand="0" w:oddHBand="0" w:evenHBand="1" w:firstRowFirstColumn="0" w:firstRowLastColumn="0" w:lastRowFirstColumn="0" w:lastRowLastColumn="0"/>
          <w:trHeight w:val="265"/>
        </w:trPr>
        <w:tc>
          <w:tcPr>
            <w:tcW w:w="4361"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820799" w:rsidRDefault="007E5C0A" w:rsidP="001A641D">
            <w:pPr>
              <w:jc w:val="right"/>
              <w:rPr>
                <w:caps/>
                <w:sz w:val="20"/>
                <w:szCs w:val="20"/>
              </w:rPr>
            </w:pPr>
            <w:r w:rsidRPr="00820799">
              <w:rPr>
                <w:caps/>
                <w:sz w:val="20"/>
                <w:szCs w:val="20"/>
              </w:rPr>
              <w:t>Total fee</w:t>
            </w:r>
          </w:p>
        </w:tc>
        <w:tc>
          <w:tcPr>
            <w:tcW w:w="639"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820799" w:rsidRDefault="007E5C0A" w:rsidP="001A641D">
            <w:pPr>
              <w:jc w:val="center"/>
              <w:rPr>
                <w:sz w:val="20"/>
                <w:szCs w:val="20"/>
              </w:rPr>
            </w:pPr>
            <w:r w:rsidRPr="00820799">
              <w:rPr>
                <w:sz w:val="20"/>
                <w:szCs w:val="20"/>
              </w:rPr>
              <w:t>$55,589</w:t>
            </w:r>
          </w:p>
        </w:tc>
      </w:tr>
    </w:tbl>
    <w:p w:rsidR="001A641D" w:rsidRPr="00C64B42" w:rsidRDefault="007E5C0A" w:rsidP="001A641D">
      <w:pPr>
        <w:rPr>
          <w:sz w:val="18"/>
          <w:szCs w:val="18"/>
        </w:rPr>
      </w:pPr>
      <w:r w:rsidRPr="00C64B42">
        <w:rPr>
          <w:sz w:val="18"/>
          <w:szCs w:val="18"/>
        </w:rPr>
        <w:t xml:space="preserve">* Please refer to complexity </w:t>
      </w:r>
      <w:r>
        <w:rPr>
          <w:sz w:val="18"/>
          <w:szCs w:val="18"/>
        </w:rPr>
        <w:t xml:space="preserve">fee </w:t>
      </w:r>
      <w:r w:rsidRPr="00C64B42">
        <w:rPr>
          <w:sz w:val="18"/>
          <w:szCs w:val="18"/>
        </w:rPr>
        <w:t>matrix</w:t>
      </w:r>
      <w:r>
        <w:rPr>
          <w:sz w:val="18"/>
          <w:szCs w:val="18"/>
        </w:rPr>
        <w:t xml:space="preserve"> </w:t>
      </w:r>
      <w:r w:rsidRPr="000523CF">
        <w:rPr>
          <w:sz w:val="18"/>
          <w:szCs w:val="18"/>
        </w:rPr>
        <w:t>at Appendix B</w:t>
      </w:r>
    </w:p>
    <w:p w:rsidR="001A641D" w:rsidRPr="009E0FBE" w:rsidRDefault="007E5C0A" w:rsidP="001A641D">
      <w:pPr>
        <w:spacing w:after="120"/>
        <w:rPr>
          <w:b/>
          <w:sz w:val="18"/>
          <w:szCs w:val="18"/>
          <w:lang w:val="en-US"/>
        </w:rPr>
      </w:pPr>
      <w:r w:rsidRPr="009E0FBE">
        <w:rPr>
          <w:b/>
          <w:sz w:val="18"/>
          <w:szCs w:val="18"/>
          <w:lang w:val="en-US"/>
        </w:rPr>
        <w:t>Reduci</w:t>
      </w:r>
      <w:r>
        <w:rPr>
          <w:b/>
          <w:sz w:val="18"/>
          <w:szCs w:val="18"/>
          <w:lang w:val="en-US"/>
        </w:rPr>
        <w:t>ng Part B complexity fees for Example 2</w:t>
      </w:r>
    </w:p>
    <w:p w:rsidR="001A641D" w:rsidRPr="00F661F6" w:rsidRDefault="007E5C0A" w:rsidP="001A641D">
      <w:pPr>
        <w:rPr>
          <w:sz w:val="18"/>
          <w:szCs w:val="18"/>
        </w:rPr>
      </w:pPr>
      <w:r>
        <w:rPr>
          <w:sz w:val="18"/>
          <w:szCs w:val="18"/>
          <w:lang w:val="en-US"/>
        </w:rPr>
        <w:t>The proponent in this example</w:t>
      </w:r>
      <w:r w:rsidRPr="00F661F6">
        <w:rPr>
          <w:sz w:val="18"/>
          <w:szCs w:val="18"/>
          <w:lang w:val="en-US"/>
        </w:rPr>
        <w:t xml:space="preserve"> would have been advised of their maximum liability for com</w:t>
      </w:r>
      <w:r>
        <w:rPr>
          <w:sz w:val="18"/>
          <w:szCs w:val="18"/>
          <w:lang w:val="en-US"/>
        </w:rPr>
        <w:t xml:space="preserve">plexity fees at the time of the </w:t>
      </w:r>
      <w:r w:rsidRPr="00F661F6">
        <w:rPr>
          <w:sz w:val="18"/>
          <w:szCs w:val="18"/>
          <w:lang w:val="en-US"/>
        </w:rPr>
        <w:t xml:space="preserve">assessment approach decision, based on the information provided in their referral documentation. The proponent </w:t>
      </w:r>
      <w:r>
        <w:rPr>
          <w:sz w:val="18"/>
          <w:szCs w:val="18"/>
          <w:lang w:val="en-US"/>
        </w:rPr>
        <w:t>then h</w:t>
      </w:r>
      <w:r w:rsidRPr="00F661F6">
        <w:rPr>
          <w:sz w:val="18"/>
          <w:szCs w:val="18"/>
          <w:lang w:val="en-US"/>
        </w:rPr>
        <w:t xml:space="preserve">as the opportunity to reduce their </w:t>
      </w:r>
      <w:r>
        <w:rPr>
          <w:sz w:val="18"/>
          <w:szCs w:val="18"/>
          <w:lang w:val="en-US"/>
        </w:rPr>
        <w:t>Part B</w:t>
      </w:r>
      <w:r w:rsidRPr="00F661F6">
        <w:rPr>
          <w:sz w:val="18"/>
          <w:szCs w:val="18"/>
          <w:lang w:val="en-US"/>
        </w:rPr>
        <w:t xml:space="preserve"> complexity fees by providing comprehensive information in their preliminary documentation (</w:t>
      </w:r>
      <w:r w:rsidRPr="000523CF">
        <w:rPr>
          <w:sz w:val="18"/>
          <w:szCs w:val="18"/>
          <w:lang w:val="en-US"/>
        </w:rPr>
        <w:t xml:space="preserve">during stage 2, refer </w:t>
      </w:r>
      <w:r w:rsidR="00FF3730">
        <w:fldChar w:fldCharType="begin"/>
      </w:r>
      <w:r w:rsidR="00FF3730">
        <w:instrText xml:space="preserve"> REF _Ref457913097 \h  \* MERGEFORMAT </w:instrText>
      </w:r>
      <w:r w:rsidR="00FF3730">
        <w:fldChar w:fldCharType="separate"/>
      </w:r>
      <w:r w:rsidR="00FF3730" w:rsidRPr="00FF3730">
        <w:rPr>
          <w:sz w:val="18"/>
          <w:szCs w:val="18"/>
        </w:rPr>
        <w:t>Figure 7</w:t>
      </w:r>
      <w:r w:rsidR="00FF3730">
        <w:fldChar w:fldCharType="end"/>
      </w:r>
      <w:r w:rsidRPr="000523CF">
        <w:rPr>
          <w:sz w:val="18"/>
          <w:szCs w:val="18"/>
          <w:lang w:val="en-US"/>
        </w:rPr>
        <w:t>) provided</w:t>
      </w:r>
      <w:r w:rsidRPr="00F661F6">
        <w:rPr>
          <w:sz w:val="18"/>
          <w:szCs w:val="18"/>
          <w:lang w:val="en-US"/>
        </w:rPr>
        <w:t xml:space="preserve"> to the </w:t>
      </w:r>
      <w:r>
        <w:rPr>
          <w:sz w:val="18"/>
          <w:szCs w:val="18"/>
          <w:lang w:val="en-US"/>
        </w:rPr>
        <w:t>D</w:t>
      </w:r>
      <w:r w:rsidRPr="00F661F6">
        <w:rPr>
          <w:sz w:val="18"/>
          <w:szCs w:val="18"/>
          <w:lang w:val="en-US"/>
        </w:rPr>
        <w:t>epartment. F</w:t>
      </w:r>
      <w:r>
        <w:rPr>
          <w:sz w:val="18"/>
          <w:szCs w:val="18"/>
          <w:lang w:val="en-US"/>
        </w:rPr>
        <w:t xml:space="preserve">or example if the </w:t>
      </w:r>
      <w:r w:rsidRPr="00131867">
        <w:rPr>
          <w:sz w:val="18"/>
          <w:szCs w:val="18"/>
          <w:lang w:val="en-US"/>
        </w:rPr>
        <w:t xml:space="preserve">proponent in </w:t>
      </w:r>
      <w:r>
        <w:rPr>
          <w:sz w:val="18"/>
          <w:szCs w:val="18"/>
          <w:lang w:val="en-US"/>
        </w:rPr>
        <w:t>this e</w:t>
      </w:r>
      <w:r w:rsidRPr="00131867">
        <w:rPr>
          <w:sz w:val="18"/>
          <w:szCs w:val="18"/>
          <w:lang w:val="en-US"/>
        </w:rPr>
        <w:t>xample</w:t>
      </w:r>
      <w:r>
        <w:rPr>
          <w:sz w:val="18"/>
          <w:szCs w:val="18"/>
          <w:lang w:val="en-US"/>
        </w:rPr>
        <w:t xml:space="preserve"> </w:t>
      </w:r>
      <w:r w:rsidRPr="00F661F6">
        <w:rPr>
          <w:sz w:val="18"/>
          <w:szCs w:val="18"/>
          <w:lang w:val="en-US"/>
        </w:rPr>
        <w:t xml:space="preserve">provides a higher quality of information in relation to site surveys and management </w:t>
      </w:r>
      <w:r w:rsidRPr="00AE107F">
        <w:rPr>
          <w:sz w:val="18"/>
          <w:szCs w:val="18"/>
          <w:lang w:val="en-US"/>
        </w:rPr>
        <w:t xml:space="preserve">measures in their preliminary documentation </w:t>
      </w:r>
      <w:r>
        <w:rPr>
          <w:sz w:val="18"/>
          <w:szCs w:val="18"/>
          <w:lang w:val="en-US"/>
        </w:rPr>
        <w:t>during</w:t>
      </w:r>
      <w:r w:rsidRPr="00AE107F">
        <w:rPr>
          <w:sz w:val="18"/>
          <w:szCs w:val="18"/>
          <w:lang w:val="en-US"/>
        </w:rPr>
        <w:t xml:space="preserve"> stage 2, then their complexity fees </w:t>
      </w:r>
      <w:r>
        <w:rPr>
          <w:sz w:val="18"/>
          <w:szCs w:val="18"/>
          <w:lang w:val="en-US"/>
        </w:rPr>
        <w:t>for M and N could</w:t>
      </w:r>
      <w:r w:rsidRPr="00AE107F">
        <w:rPr>
          <w:sz w:val="18"/>
          <w:szCs w:val="18"/>
          <w:lang w:val="en-US"/>
        </w:rPr>
        <w:t xml:space="preserve"> be reduced by up to $</w:t>
      </w:r>
      <w:r>
        <w:rPr>
          <w:sz w:val="18"/>
          <w:szCs w:val="18"/>
          <w:lang w:val="en-US"/>
        </w:rPr>
        <w:t>21,964</w:t>
      </w:r>
      <w:r w:rsidRPr="00AE107F">
        <w:rPr>
          <w:sz w:val="18"/>
          <w:szCs w:val="18"/>
          <w:lang w:val="en-US"/>
        </w:rPr>
        <w:t>.</w:t>
      </w:r>
    </w:p>
    <w:p w:rsidR="001A641D" w:rsidRDefault="007E5C0A">
      <w:pPr>
        <w:spacing w:after="0" w:line="240" w:lineRule="auto"/>
      </w:pPr>
      <w:r>
        <w:br w:type="page"/>
      </w:r>
    </w:p>
    <w:p w:rsidR="001A641D" w:rsidRDefault="007E5C0A" w:rsidP="001A641D">
      <w:pPr>
        <w:pStyle w:val="Caption"/>
        <w:keepNext/>
      </w:pPr>
      <w:bookmarkStart w:id="1811" w:name="_Toc256000406"/>
      <w:bookmarkStart w:id="1812" w:name="_Toc256000298"/>
      <w:bookmarkStart w:id="1813" w:name="_Toc256000190"/>
      <w:bookmarkStart w:id="1814" w:name="_Toc256000082"/>
      <w:bookmarkStart w:id="1815" w:name="_Ref457985829"/>
      <w:bookmarkStart w:id="1816" w:name="_Ref457985873"/>
      <w:bookmarkStart w:id="1817" w:name="_Ref457986043"/>
      <w:bookmarkStart w:id="1818" w:name="_Toc458170585"/>
      <w:r>
        <w:t xml:space="preserve">Example </w:t>
      </w:r>
      <w:r w:rsidR="003366B4">
        <w:fldChar w:fldCharType="begin"/>
      </w:r>
      <w:r>
        <w:instrText xml:space="preserve"> SEQ Example \* ARABIC </w:instrText>
      </w:r>
      <w:r w:rsidR="003366B4">
        <w:fldChar w:fldCharType="separate"/>
      </w:r>
      <w:r w:rsidR="00FF3730">
        <w:rPr>
          <w:noProof/>
        </w:rPr>
        <w:t>3</w:t>
      </w:r>
      <w:r w:rsidR="003366B4">
        <w:rPr>
          <w:noProof/>
        </w:rPr>
        <w:fldChar w:fldCharType="end"/>
      </w:r>
      <w:r>
        <w:t xml:space="preserve">. </w:t>
      </w:r>
      <w:r w:rsidRPr="008675B7">
        <w:t>Residential development (preliminary documentation)</w:t>
      </w:r>
      <w:bookmarkEnd w:id="1811"/>
      <w:bookmarkEnd w:id="1812"/>
      <w:bookmarkEnd w:id="1813"/>
      <w:bookmarkEnd w:id="1814"/>
      <w:bookmarkEnd w:id="1815"/>
      <w:bookmarkEnd w:id="1816"/>
      <w:bookmarkEnd w:id="1817"/>
      <w:bookmarkEnd w:id="1818"/>
    </w:p>
    <w:tbl>
      <w:tblPr>
        <w:tblStyle w:val="TableGrid"/>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ayout w:type="fixed"/>
        <w:tblLook w:val="04A0" w:firstRow="1" w:lastRow="0" w:firstColumn="1" w:lastColumn="0" w:noHBand="0" w:noVBand="1"/>
      </w:tblPr>
      <w:tblGrid>
        <w:gridCol w:w="1124"/>
        <w:gridCol w:w="570"/>
        <w:gridCol w:w="3593"/>
        <w:gridCol w:w="3311"/>
        <w:gridCol w:w="1257"/>
      </w:tblGrid>
      <w:tr w:rsidR="00397365" w:rsidTr="001A641D">
        <w:trPr>
          <w:cnfStyle w:val="100000000000" w:firstRow="1" w:lastRow="0" w:firstColumn="0" w:lastColumn="0" w:oddVBand="0" w:evenVBand="0" w:oddHBand="0" w:evenHBand="0" w:firstRowFirstColumn="0" w:firstRowLastColumn="0" w:lastRowFirstColumn="0" w:lastRowLastColumn="0"/>
        </w:trPr>
        <w:tc>
          <w:tcPr>
            <w:tcW w:w="5000" w:type="pct"/>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7B1AFC" w:rsidRDefault="007E5C0A" w:rsidP="001A641D">
            <w:pPr>
              <w:rPr>
                <w:b/>
                <w:sz w:val="18"/>
                <w:szCs w:val="18"/>
              </w:rPr>
            </w:pPr>
            <w:r w:rsidRPr="007B1AFC">
              <w:rPr>
                <w:b/>
                <w:sz w:val="18"/>
                <w:szCs w:val="18"/>
              </w:rPr>
              <w:t xml:space="preserve">Project description: </w:t>
            </w:r>
            <w:r w:rsidRPr="007B1AFC">
              <w:rPr>
                <w:sz w:val="18"/>
                <w:szCs w:val="18"/>
              </w:rPr>
              <w:t xml:space="preserve">Building Homes Pty Ltd is proposing a residential development, which requires clearing and </w:t>
            </w:r>
            <w:r>
              <w:rPr>
                <w:sz w:val="18"/>
                <w:szCs w:val="18"/>
              </w:rPr>
              <w:t xml:space="preserve">the </w:t>
            </w:r>
            <w:r w:rsidRPr="007B1AFC">
              <w:rPr>
                <w:sz w:val="18"/>
                <w:szCs w:val="18"/>
              </w:rPr>
              <w:t xml:space="preserve">alteration of water courses in an area that provides important high quality habitat for a threatened species and ecological communities. </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859"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tcPr>
          <w:p w:rsidR="001A641D" w:rsidRPr="007B1AFC" w:rsidRDefault="007E5C0A" w:rsidP="001A641D">
            <w:pPr>
              <w:jc w:val="center"/>
              <w:rPr>
                <w:b/>
                <w:sz w:val="18"/>
                <w:szCs w:val="18"/>
              </w:rPr>
            </w:pPr>
            <w:r w:rsidRPr="007B1AFC">
              <w:rPr>
                <w:b/>
                <w:sz w:val="18"/>
                <w:szCs w:val="18"/>
              </w:rPr>
              <w:t>Fee Ref.*</w:t>
            </w:r>
          </w:p>
        </w:tc>
        <w:tc>
          <w:tcPr>
            <w:tcW w:w="1823"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7B1AFC" w:rsidRDefault="007E5C0A" w:rsidP="001A641D">
            <w:pPr>
              <w:jc w:val="center"/>
              <w:rPr>
                <w:b/>
                <w:sz w:val="18"/>
                <w:szCs w:val="18"/>
              </w:rPr>
            </w:pPr>
            <w:r w:rsidRPr="007B1AFC">
              <w:rPr>
                <w:b/>
                <w:sz w:val="18"/>
                <w:szCs w:val="18"/>
              </w:rPr>
              <w:t>Project characteristics</w:t>
            </w:r>
          </w:p>
        </w:tc>
        <w:tc>
          <w:tcPr>
            <w:tcW w:w="1680"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7B1AFC" w:rsidRDefault="007E5C0A" w:rsidP="001A641D">
            <w:pPr>
              <w:jc w:val="center"/>
              <w:rPr>
                <w:b/>
                <w:sz w:val="18"/>
                <w:szCs w:val="18"/>
              </w:rPr>
            </w:pPr>
            <w:r w:rsidRPr="007B1AFC">
              <w:rPr>
                <w:b/>
                <w:sz w:val="18"/>
                <w:szCs w:val="18"/>
              </w:rPr>
              <w:t>Additional resources required during the assessment process</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7B1AFC" w:rsidRDefault="007E5C0A" w:rsidP="001A641D">
            <w:pPr>
              <w:jc w:val="center"/>
              <w:rPr>
                <w:b/>
                <w:sz w:val="18"/>
                <w:szCs w:val="18"/>
              </w:rPr>
            </w:pPr>
            <w:r>
              <w:rPr>
                <w:b/>
                <w:sz w:val="18"/>
                <w:szCs w:val="18"/>
              </w:rPr>
              <w:t>Fee</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C6D9F1" w:themeFill="text2" w:themeFillTint="33"/>
          </w:tcPr>
          <w:p w:rsidR="001A641D" w:rsidRPr="007B1AFC" w:rsidRDefault="007E5C0A" w:rsidP="001A641D">
            <w:pPr>
              <w:rPr>
                <w:sz w:val="18"/>
                <w:szCs w:val="18"/>
              </w:rPr>
            </w:pPr>
            <w:r>
              <w:rPr>
                <w:sz w:val="18"/>
                <w:szCs w:val="18"/>
              </w:rPr>
              <w:t>Part A Complexity Fees</w:t>
            </w: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7B1AFC" w:rsidRDefault="007E5C0A" w:rsidP="001A641D">
            <w:pPr>
              <w:rPr>
                <w:sz w:val="18"/>
                <w:szCs w:val="18"/>
              </w:rPr>
            </w:pPr>
            <w:r w:rsidRPr="007B1AFC">
              <w:rPr>
                <w:sz w:val="18"/>
                <w:szCs w:val="18"/>
              </w:rPr>
              <w:t>Controlling provisions triggered</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Pr="007B1AFC" w:rsidRDefault="001A641D" w:rsidP="001A641D">
            <w:pPr>
              <w:spacing w:after="0"/>
              <w:jc w:val="center"/>
              <w:rPr>
                <w:sz w:val="18"/>
                <w:szCs w:val="18"/>
              </w:rPr>
            </w:pPr>
          </w:p>
        </w:tc>
        <w:tc>
          <w:tcPr>
            <w:tcW w:w="289"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7B1AFC" w:rsidRDefault="007E5C0A" w:rsidP="001A641D">
            <w:pPr>
              <w:spacing w:after="0"/>
              <w:jc w:val="center"/>
              <w:rPr>
                <w:sz w:val="18"/>
                <w:szCs w:val="18"/>
              </w:rPr>
            </w:pPr>
            <w:r w:rsidRPr="007B1AFC">
              <w:rPr>
                <w:sz w:val="18"/>
                <w:szCs w:val="18"/>
              </w:rPr>
              <w:t>A</w:t>
            </w:r>
          </w:p>
        </w:tc>
        <w:tc>
          <w:tcPr>
            <w:tcW w:w="1823"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Bullet"/>
              <w:numPr>
                <w:ilvl w:val="0"/>
                <w:numId w:val="0"/>
              </w:numPr>
              <w:spacing w:after="0"/>
              <w:ind w:left="149"/>
              <w:rPr>
                <w:sz w:val="18"/>
                <w:szCs w:val="18"/>
              </w:rPr>
            </w:pPr>
            <w:r>
              <w:rPr>
                <w:sz w:val="18"/>
                <w:szCs w:val="18"/>
              </w:rPr>
              <w:t>7</w:t>
            </w:r>
            <w:r w:rsidRPr="004E2EDC">
              <w:rPr>
                <w:sz w:val="18"/>
                <w:szCs w:val="18"/>
              </w:rPr>
              <w:t xml:space="preserve"> threatened species</w:t>
            </w:r>
            <w:r>
              <w:rPr>
                <w:sz w:val="18"/>
                <w:szCs w:val="18"/>
              </w:rPr>
              <w:t xml:space="preserve"> and 1 ecological community</w:t>
            </w:r>
            <w:r w:rsidRPr="004E2EDC">
              <w:rPr>
                <w:sz w:val="18"/>
                <w:szCs w:val="18"/>
              </w:rPr>
              <w:t xml:space="preserve"> require assessment; impacts to </w:t>
            </w:r>
            <w:r>
              <w:rPr>
                <w:sz w:val="18"/>
                <w:szCs w:val="18"/>
              </w:rPr>
              <w:t xml:space="preserve">the 7 </w:t>
            </w:r>
            <w:r w:rsidRPr="004E2EDC">
              <w:rPr>
                <w:sz w:val="18"/>
                <w:szCs w:val="18"/>
              </w:rPr>
              <w:t xml:space="preserve">species are well defined and understood; </w:t>
            </w:r>
            <w:r>
              <w:rPr>
                <w:sz w:val="18"/>
                <w:szCs w:val="18"/>
              </w:rPr>
              <w:t xml:space="preserve">impacts to the ecological community are not well understood; </w:t>
            </w:r>
            <w:r w:rsidRPr="004E2EDC">
              <w:rPr>
                <w:sz w:val="18"/>
                <w:szCs w:val="18"/>
              </w:rPr>
              <w:t>management options are all well defined and understood.</w:t>
            </w:r>
          </w:p>
        </w:tc>
        <w:tc>
          <w:tcPr>
            <w:tcW w:w="1680"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spacing w:after="0"/>
              <w:rPr>
                <w:sz w:val="18"/>
                <w:szCs w:val="18"/>
              </w:rPr>
            </w:pPr>
            <w:r w:rsidRPr="004E2EDC">
              <w:rPr>
                <w:sz w:val="18"/>
                <w:szCs w:val="18"/>
              </w:rPr>
              <w:t>Threatened species (high</w:t>
            </w:r>
            <w:r>
              <w:rPr>
                <w:sz w:val="18"/>
                <w:szCs w:val="18"/>
              </w:rPr>
              <w:t xml:space="preserve"> </w:t>
            </w:r>
            <w:r w:rsidRPr="004E2EDC">
              <w:rPr>
                <w:sz w:val="18"/>
                <w:szCs w:val="18"/>
              </w:rPr>
              <w:t>complexity):</w:t>
            </w:r>
          </w:p>
          <w:p w:rsidR="001A641D" w:rsidRPr="004E2EDC" w:rsidRDefault="007E5C0A" w:rsidP="001A641D">
            <w:pPr>
              <w:pStyle w:val="ListParagraph"/>
              <w:numPr>
                <w:ilvl w:val="0"/>
                <w:numId w:val="6"/>
              </w:numPr>
              <w:spacing w:after="0" w:line="240" w:lineRule="auto"/>
              <w:ind w:left="360"/>
              <w:contextualSpacing/>
              <w:rPr>
                <w:sz w:val="18"/>
                <w:szCs w:val="18"/>
              </w:rPr>
            </w:pPr>
            <w:r w:rsidRPr="004E2EDC">
              <w:rPr>
                <w:sz w:val="18"/>
                <w:szCs w:val="18"/>
              </w:rPr>
              <w:t>Assessment Officer—</w:t>
            </w:r>
            <w:r>
              <w:rPr>
                <w:sz w:val="18"/>
                <w:szCs w:val="18"/>
              </w:rPr>
              <w:t xml:space="preserve">20.59 </w:t>
            </w:r>
            <w:r w:rsidRPr="004E2EDC">
              <w:rPr>
                <w:sz w:val="18"/>
                <w:szCs w:val="18"/>
              </w:rPr>
              <w:t>days</w:t>
            </w:r>
          </w:p>
          <w:p w:rsidR="001A641D" w:rsidRPr="004E2EDC" w:rsidRDefault="007E5C0A" w:rsidP="001A641D">
            <w:pPr>
              <w:pStyle w:val="ListParagraph"/>
              <w:numPr>
                <w:ilvl w:val="0"/>
                <w:numId w:val="6"/>
              </w:numPr>
              <w:spacing w:after="0" w:line="240" w:lineRule="auto"/>
              <w:ind w:left="360"/>
              <w:contextualSpacing/>
              <w:rPr>
                <w:sz w:val="18"/>
                <w:szCs w:val="18"/>
              </w:rPr>
            </w:pPr>
            <w:r w:rsidRPr="004E2EDC">
              <w:rPr>
                <w:sz w:val="18"/>
                <w:szCs w:val="18"/>
              </w:rPr>
              <w:t>Assistant Director—</w:t>
            </w:r>
            <w:r>
              <w:rPr>
                <w:sz w:val="18"/>
                <w:szCs w:val="18"/>
              </w:rPr>
              <w:t>6.98</w:t>
            </w:r>
            <w:r w:rsidRPr="004E2EDC">
              <w:rPr>
                <w:sz w:val="18"/>
                <w:szCs w:val="18"/>
              </w:rPr>
              <w:t xml:space="preserve"> days</w:t>
            </w:r>
          </w:p>
          <w:p w:rsidR="001A641D" w:rsidRPr="004E2EDC" w:rsidRDefault="007E5C0A" w:rsidP="001A641D">
            <w:pPr>
              <w:pStyle w:val="ListParagraph"/>
              <w:numPr>
                <w:ilvl w:val="0"/>
                <w:numId w:val="6"/>
              </w:numPr>
              <w:spacing w:after="0" w:line="240" w:lineRule="auto"/>
              <w:ind w:left="360"/>
              <w:contextualSpacing/>
              <w:rPr>
                <w:sz w:val="18"/>
                <w:szCs w:val="18"/>
              </w:rPr>
            </w:pPr>
            <w:r w:rsidRPr="004E2EDC">
              <w:rPr>
                <w:sz w:val="18"/>
                <w:szCs w:val="18"/>
              </w:rPr>
              <w:t>Director—</w:t>
            </w:r>
            <w:r>
              <w:rPr>
                <w:sz w:val="18"/>
                <w:szCs w:val="18"/>
              </w:rPr>
              <w:t>2</w:t>
            </w:r>
            <w:r w:rsidRPr="004E2EDC">
              <w:rPr>
                <w:sz w:val="18"/>
                <w:szCs w:val="18"/>
              </w:rPr>
              <w:t>.25 days</w:t>
            </w:r>
          </w:p>
          <w:p w:rsidR="001A641D" w:rsidRDefault="007E5C0A" w:rsidP="001A641D">
            <w:pPr>
              <w:pStyle w:val="ListParagraph"/>
              <w:numPr>
                <w:ilvl w:val="0"/>
                <w:numId w:val="6"/>
              </w:numPr>
              <w:spacing w:after="0" w:line="240" w:lineRule="auto"/>
              <w:ind w:left="360"/>
              <w:contextualSpacing/>
              <w:rPr>
                <w:sz w:val="18"/>
                <w:szCs w:val="18"/>
              </w:rPr>
            </w:pPr>
            <w:r>
              <w:rPr>
                <w:sz w:val="18"/>
                <w:szCs w:val="18"/>
              </w:rPr>
              <w:t>SES</w:t>
            </w:r>
            <w:r w:rsidRPr="004E2EDC">
              <w:rPr>
                <w:sz w:val="18"/>
                <w:szCs w:val="18"/>
              </w:rPr>
              <w:t xml:space="preserve"> </w:t>
            </w:r>
            <w:r>
              <w:rPr>
                <w:sz w:val="18"/>
                <w:szCs w:val="18"/>
              </w:rPr>
              <w:t xml:space="preserve">- </w:t>
            </w:r>
            <w:r w:rsidRPr="004E2EDC">
              <w:rPr>
                <w:sz w:val="18"/>
                <w:szCs w:val="18"/>
              </w:rPr>
              <w:t>0.</w:t>
            </w:r>
            <w:r>
              <w:rPr>
                <w:sz w:val="18"/>
                <w:szCs w:val="18"/>
              </w:rPr>
              <w:t>4</w:t>
            </w:r>
            <w:r w:rsidRPr="004E2EDC">
              <w:rPr>
                <w:sz w:val="18"/>
                <w:szCs w:val="18"/>
              </w:rPr>
              <w:t xml:space="preserve"> days</w:t>
            </w:r>
          </w:p>
          <w:p w:rsidR="001A641D" w:rsidRPr="004E2EDC" w:rsidRDefault="007E5C0A" w:rsidP="001A641D">
            <w:pPr>
              <w:pStyle w:val="ListParagraph"/>
              <w:numPr>
                <w:ilvl w:val="0"/>
                <w:numId w:val="6"/>
              </w:numPr>
              <w:spacing w:after="0" w:line="240" w:lineRule="auto"/>
              <w:ind w:left="360"/>
              <w:contextualSpacing/>
              <w:rPr>
                <w:sz w:val="18"/>
                <w:szCs w:val="18"/>
              </w:rPr>
            </w:pPr>
            <w:r>
              <w:rPr>
                <w:sz w:val="18"/>
                <w:szCs w:val="18"/>
              </w:rPr>
              <w:t>Line area advice - $8,827</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DF19A9" w:rsidRDefault="007E5C0A" w:rsidP="001A641D">
            <w:pPr>
              <w:spacing w:after="0"/>
              <w:jc w:val="center"/>
              <w:rPr>
                <w:sz w:val="18"/>
                <w:szCs w:val="18"/>
                <w:highlight w:val="yellow"/>
              </w:rPr>
            </w:pPr>
            <w:r w:rsidRPr="00131867">
              <w:rPr>
                <w:sz w:val="18"/>
                <w:szCs w:val="18"/>
              </w:rPr>
              <w:t>$</w:t>
            </w:r>
            <w:r>
              <w:rPr>
                <w:sz w:val="18"/>
                <w:szCs w:val="18"/>
              </w:rPr>
              <w:t>25,615</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shd w:val="clear" w:color="auto" w:fill="C6D9F1" w:themeFill="text2" w:themeFillTint="33"/>
          </w:tcPr>
          <w:p w:rsidR="001A641D" w:rsidRDefault="001A641D" w:rsidP="001A641D">
            <w:pPr>
              <w:rPr>
                <w:sz w:val="18"/>
                <w:szCs w:val="18"/>
              </w:rPr>
            </w:pP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BA6714" w:rsidRDefault="007E5C0A" w:rsidP="001A641D">
            <w:pPr>
              <w:rPr>
                <w:sz w:val="18"/>
                <w:szCs w:val="18"/>
              </w:rPr>
            </w:pPr>
            <w:r>
              <w:rPr>
                <w:sz w:val="18"/>
                <w:szCs w:val="18"/>
              </w:rPr>
              <w:t>Project components</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89"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7B1AFC" w:rsidRDefault="007E5C0A" w:rsidP="001A641D">
            <w:pPr>
              <w:spacing w:after="0"/>
              <w:jc w:val="center"/>
              <w:rPr>
                <w:sz w:val="18"/>
                <w:szCs w:val="18"/>
              </w:rPr>
            </w:pPr>
            <w:r>
              <w:rPr>
                <w:sz w:val="18"/>
                <w:szCs w:val="18"/>
              </w:rPr>
              <w:t>K</w:t>
            </w:r>
          </w:p>
        </w:tc>
        <w:tc>
          <w:tcPr>
            <w:tcW w:w="1823" w:type="pct"/>
            <w:tcBorders>
              <w:top w:val="single" w:sz="4" w:space="0" w:color="548DD4" w:themeColor="text2" w:themeTint="99"/>
              <w:left w:val="nil"/>
              <w:bottom w:val="single" w:sz="4" w:space="0" w:color="548DD4" w:themeColor="text2" w:themeTint="99"/>
              <w:right w:val="nil"/>
            </w:tcBorders>
          </w:tcPr>
          <w:p w:rsidR="001A641D" w:rsidRPr="00BA6714" w:rsidRDefault="007E5C0A" w:rsidP="001A641D">
            <w:pPr>
              <w:pStyle w:val="ListBullet"/>
              <w:numPr>
                <w:ilvl w:val="0"/>
                <w:numId w:val="0"/>
              </w:numPr>
              <w:spacing w:after="0"/>
              <w:ind w:left="149"/>
              <w:rPr>
                <w:sz w:val="18"/>
                <w:szCs w:val="18"/>
              </w:rPr>
            </w:pPr>
            <w:r>
              <w:rPr>
                <w:sz w:val="18"/>
                <w:szCs w:val="18"/>
              </w:rPr>
              <w:t>One component - Land clearing for residential development</w:t>
            </w:r>
          </w:p>
        </w:tc>
        <w:tc>
          <w:tcPr>
            <w:tcW w:w="1680" w:type="pct"/>
            <w:tcBorders>
              <w:top w:val="single" w:sz="4" w:space="0" w:color="548DD4" w:themeColor="text2" w:themeTint="99"/>
              <w:left w:val="nil"/>
              <w:bottom w:val="single" w:sz="4" w:space="0" w:color="548DD4" w:themeColor="text2" w:themeTint="99"/>
              <w:right w:val="nil"/>
            </w:tcBorders>
            <w:vAlign w:val="center"/>
          </w:tcPr>
          <w:p w:rsidR="001A641D" w:rsidRPr="00BA6714" w:rsidRDefault="007E5C0A" w:rsidP="001A641D">
            <w:pPr>
              <w:pStyle w:val="ListBullet"/>
              <w:spacing w:after="0"/>
              <w:rPr>
                <w:sz w:val="18"/>
                <w:szCs w:val="18"/>
              </w:rPr>
            </w:pPr>
            <w:r w:rsidRPr="00CA3ABF">
              <w:rPr>
                <w:sz w:val="18"/>
                <w:szCs w:val="18"/>
              </w:rPr>
              <w:t xml:space="preserve">No additional </w:t>
            </w:r>
            <w:r>
              <w:rPr>
                <w:sz w:val="18"/>
                <w:szCs w:val="18"/>
              </w:rPr>
              <w:t>fee</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B1AFC" w:rsidRDefault="007E5C0A" w:rsidP="001A641D">
            <w:pPr>
              <w:spacing w:after="0"/>
              <w:jc w:val="center"/>
              <w:rPr>
                <w:sz w:val="18"/>
                <w:szCs w:val="18"/>
              </w:rPr>
            </w:pPr>
            <w:r w:rsidRPr="007B1AFC">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570" w:type="pct"/>
            <w:vMerge/>
            <w:tcBorders>
              <w:left w:val="single" w:sz="4" w:space="0" w:color="548DD4" w:themeColor="text2" w:themeTint="99"/>
              <w:right w:val="single" w:sz="4" w:space="0" w:color="548DD4" w:themeColor="text2" w:themeTint="99"/>
            </w:tcBorders>
            <w:shd w:val="clear" w:color="auto" w:fill="C6D9F1" w:themeFill="text2" w:themeFillTint="33"/>
          </w:tcPr>
          <w:p w:rsidR="001A641D" w:rsidRDefault="001A641D" w:rsidP="001A641D">
            <w:pPr>
              <w:rPr>
                <w:sz w:val="18"/>
                <w:szCs w:val="18"/>
              </w:rPr>
            </w:pP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BA6714" w:rsidRDefault="007E5C0A" w:rsidP="001A641D">
            <w:pPr>
              <w:rPr>
                <w:sz w:val="18"/>
                <w:szCs w:val="18"/>
              </w:rPr>
            </w:pPr>
            <w:r>
              <w:rPr>
                <w:sz w:val="18"/>
                <w:szCs w:val="18"/>
              </w:rPr>
              <w:t>Other legislation</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570"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89"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7B1AFC" w:rsidRDefault="007E5C0A" w:rsidP="001A641D">
            <w:pPr>
              <w:spacing w:after="0"/>
              <w:jc w:val="center"/>
              <w:rPr>
                <w:sz w:val="18"/>
                <w:szCs w:val="18"/>
              </w:rPr>
            </w:pPr>
            <w:r>
              <w:rPr>
                <w:sz w:val="18"/>
                <w:szCs w:val="18"/>
              </w:rPr>
              <w:t>L</w:t>
            </w:r>
          </w:p>
        </w:tc>
        <w:tc>
          <w:tcPr>
            <w:tcW w:w="1823"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Bullet"/>
              <w:numPr>
                <w:ilvl w:val="0"/>
                <w:numId w:val="0"/>
              </w:numPr>
              <w:spacing w:after="0"/>
              <w:ind w:left="149"/>
              <w:rPr>
                <w:sz w:val="18"/>
                <w:szCs w:val="18"/>
              </w:rPr>
            </w:pPr>
            <w:r>
              <w:rPr>
                <w:sz w:val="18"/>
                <w:szCs w:val="18"/>
              </w:rPr>
              <w:t>Low complexity - no coordination with other legislative processes required</w:t>
            </w:r>
          </w:p>
        </w:tc>
        <w:tc>
          <w:tcPr>
            <w:tcW w:w="1680"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Paragraph"/>
              <w:numPr>
                <w:ilvl w:val="0"/>
                <w:numId w:val="6"/>
              </w:numPr>
              <w:spacing w:after="0" w:line="240" w:lineRule="auto"/>
              <w:ind w:left="360"/>
              <w:contextualSpacing/>
              <w:rPr>
                <w:sz w:val="18"/>
                <w:szCs w:val="18"/>
              </w:rPr>
            </w:pPr>
            <w:r w:rsidRPr="004E2EDC">
              <w:rPr>
                <w:sz w:val="18"/>
                <w:szCs w:val="18"/>
              </w:rPr>
              <w:t xml:space="preserve">No additional </w:t>
            </w:r>
            <w:r>
              <w:rPr>
                <w:sz w:val="18"/>
                <w:szCs w:val="18"/>
              </w:rPr>
              <w:t>fee</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DF19A9" w:rsidRDefault="007E5C0A" w:rsidP="001A641D">
            <w:pPr>
              <w:spacing w:after="0"/>
              <w:jc w:val="center"/>
              <w:rPr>
                <w:sz w:val="18"/>
                <w:szCs w:val="18"/>
                <w:highlight w:val="yellow"/>
              </w:rPr>
            </w:pPr>
            <w:r>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Height w:val="164"/>
        </w:trPr>
        <w:tc>
          <w:tcPr>
            <w:tcW w:w="570" w:type="pct"/>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C6D9F1" w:themeFill="text2" w:themeFillTint="33"/>
          </w:tcPr>
          <w:p w:rsidR="001A641D" w:rsidRDefault="007E5C0A" w:rsidP="001A641D">
            <w:pPr>
              <w:rPr>
                <w:sz w:val="18"/>
                <w:szCs w:val="18"/>
              </w:rPr>
            </w:pPr>
            <w:r>
              <w:rPr>
                <w:sz w:val="18"/>
                <w:szCs w:val="18"/>
              </w:rPr>
              <w:t>Part B Complexity Fees</w:t>
            </w:r>
          </w:p>
        </w:tc>
        <w:tc>
          <w:tcPr>
            <w:tcW w:w="4430" w:type="pct"/>
            <w:gridSpan w:val="4"/>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tcPr>
          <w:p w:rsidR="001A641D" w:rsidRPr="00BA6714" w:rsidRDefault="007E5C0A" w:rsidP="001A641D">
            <w:pPr>
              <w:rPr>
                <w:sz w:val="18"/>
                <w:szCs w:val="18"/>
              </w:rPr>
            </w:pPr>
            <w:r>
              <w:rPr>
                <w:sz w:val="18"/>
                <w:szCs w:val="18"/>
              </w:rPr>
              <w:t>Adequacy of information and clarity of project scope</w:t>
            </w:r>
          </w:p>
        </w:tc>
      </w:tr>
      <w:tr w:rsidR="00397365" w:rsidTr="001A641D">
        <w:trPr>
          <w:cnfStyle w:val="000000100000" w:firstRow="0" w:lastRow="0" w:firstColumn="0" w:lastColumn="0" w:oddVBand="0" w:evenVBand="0" w:oddHBand="1" w:evenHBand="0" w:firstRowFirstColumn="0" w:firstRowLastColumn="0" w:lastRowFirstColumn="0" w:lastRowLastColumn="0"/>
          <w:trHeight w:val="85"/>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89"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7B1AFC" w:rsidRDefault="007E5C0A" w:rsidP="001A641D">
            <w:pPr>
              <w:spacing w:after="0"/>
              <w:jc w:val="center"/>
              <w:rPr>
                <w:sz w:val="18"/>
                <w:szCs w:val="18"/>
              </w:rPr>
            </w:pPr>
            <w:r>
              <w:rPr>
                <w:sz w:val="18"/>
                <w:szCs w:val="18"/>
              </w:rPr>
              <w:t>M</w:t>
            </w:r>
          </w:p>
        </w:tc>
        <w:tc>
          <w:tcPr>
            <w:tcW w:w="1823"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Bullet"/>
              <w:numPr>
                <w:ilvl w:val="0"/>
                <w:numId w:val="0"/>
              </w:numPr>
              <w:spacing w:after="0"/>
              <w:ind w:left="149"/>
              <w:rPr>
                <w:sz w:val="18"/>
                <w:szCs w:val="18"/>
              </w:rPr>
            </w:pPr>
            <w:r w:rsidRPr="004E2EDC">
              <w:rPr>
                <w:sz w:val="18"/>
                <w:szCs w:val="18"/>
              </w:rPr>
              <w:t xml:space="preserve">Site surveys complete and adequate  </w:t>
            </w:r>
          </w:p>
        </w:tc>
        <w:tc>
          <w:tcPr>
            <w:tcW w:w="1680" w:type="pct"/>
            <w:tcBorders>
              <w:top w:val="single" w:sz="4" w:space="0" w:color="548DD4" w:themeColor="text2" w:themeTint="99"/>
              <w:left w:val="nil"/>
              <w:bottom w:val="single" w:sz="4" w:space="0" w:color="548DD4" w:themeColor="text2" w:themeTint="99"/>
              <w:right w:val="nil"/>
            </w:tcBorders>
            <w:vAlign w:val="center"/>
          </w:tcPr>
          <w:p w:rsidR="001A641D" w:rsidRPr="004E2EDC" w:rsidRDefault="007E5C0A" w:rsidP="001A641D">
            <w:pPr>
              <w:pStyle w:val="ListBullet"/>
              <w:spacing w:after="0"/>
              <w:rPr>
                <w:sz w:val="18"/>
                <w:szCs w:val="18"/>
              </w:rPr>
            </w:pPr>
            <w:r w:rsidRPr="004E2EDC">
              <w:rPr>
                <w:sz w:val="18"/>
                <w:szCs w:val="18"/>
              </w:rPr>
              <w:t xml:space="preserve">No additional </w:t>
            </w:r>
            <w:r>
              <w:rPr>
                <w:sz w:val="18"/>
                <w:szCs w:val="18"/>
              </w:rPr>
              <w:t>fee</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4E2EDC" w:rsidRDefault="007E5C0A" w:rsidP="001A641D">
            <w:pPr>
              <w:spacing w:after="0"/>
              <w:jc w:val="center"/>
              <w:rPr>
                <w:sz w:val="18"/>
                <w:szCs w:val="18"/>
              </w:rPr>
            </w:pPr>
            <w:r w:rsidRPr="004E2EDC">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Height w:val="341"/>
        </w:trPr>
        <w:tc>
          <w:tcPr>
            <w:tcW w:w="570" w:type="pct"/>
            <w:vMerge/>
            <w:tcBorders>
              <w:left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89"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7B1AFC" w:rsidRDefault="007E5C0A" w:rsidP="001A641D">
            <w:pPr>
              <w:spacing w:after="0"/>
              <w:jc w:val="center"/>
              <w:rPr>
                <w:sz w:val="18"/>
                <w:szCs w:val="18"/>
              </w:rPr>
            </w:pPr>
            <w:r>
              <w:rPr>
                <w:sz w:val="18"/>
                <w:szCs w:val="18"/>
              </w:rPr>
              <w:t>N</w:t>
            </w:r>
          </w:p>
        </w:tc>
        <w:tc>
          <w:tcPr>
            <w:tcW w:w="1823"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Bullet"/>
              <w:numPr>
                <w:ilvl w:val="0"/>
                <w:numId w:val="0"/>
              </w:numPr>
              <w:spacing w:after="0"/>
              <w:ind w:left="149"/>
              <w:rPr>
                <w:sz w:val="18"/>
                <w:szCs w:val="18"/>
              </w:rPr>
            </w:pPr>
            <w:r w:rsidRPr="004E2EDC">
              <w:rPr>
                <w:sz w:val="18"/>
                <w:szCs w:val="18"/>
              </w:rPr>
              <w:t>Management measures are clearly defined and proven</w:t>
            </w:r>
          </w:p>
        </w:tc>
        <w:tc>
          <w:tcPr>
            <w:tcW w:w="1680" w:type="pct"/>
            <w:tcBorders>
              <w:top w:val="single" w:sz="4" w:space="0" w:color="548DD4" w:themeColor="text2" w:themeTint="99"/>
              <w:left w:val="nil"/>
              <w:bottom w:val="single" w:sz="4" w:space="0" w:color="548DD4" w:themeColor="text2" w:themeTint="99"/>
              <w:right w:val="nil"/>
            </w:tcBorders>
            <w:vAlign w:val="center"/>
          </w:tcPr>
          <w:p w:rsidR="001A641D" w:rsidRPr="004E2EDC" w:rsidRDefault="007E5C0A" w:rsidP="001A641D">
            <w:pPr>
              <w:pStyle w:val="ListBullet"/>
              <w:spacing w:after="0"/>
              <w:rPr>
                <w:sz w:val="18"/>
                <w:szCs w:val="18"/>
              </w:rPr>
            </w:pPr>
            <w:r w:rsidRPr="004E2EDC">
              <w:rPr>
                <w:sz w:val="18"/>
                <w:szCs w:val="18"/>
              </w:rPr>
              <w:t xml:space="preserve">No additional </w:t>
            </w:r>
            <w:r>
              <w:rPr>
                <w:sz w:val="18"/>
                <w:szCs w:val="18"/>
              </w:rPr>
              <w:t>fee</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4E2EDC" w:rsidRDefault="007E5C0A" w:rsidP="001A641D">
            <w:pPr>
              <w:spacing w:after="0"/>
              <w:jc w:val="center"/>
              <w:rPr>
                <w:sz w:val="18"/>
                <w:szCs w:val="18"/>
              </w:rPr>
            </w:pPr>
            <w:r w:rsidRPr="004E2EDC">
              <w:rPr>
                <w:sz w:val="18"/>
                <w:szCs w:val="18"/>
              </w:rPr>
              <w:t>N/A</w:t>
            </w:r>
          </w:p>
        </w:tc>
      </w:tr>
      <w:tr w:rsidR="00397365" w:rsidTr="001A641D">
        <w:trPr>
          <w:cnfStyle w:val="000000100000" w:firstRow="0" w:lastRow="0" w:firstColumn="0" w:lastColumn="0" w:oddVBand="0" w:evenVBand="0" w:oddHBand="1" w:evenHBand="0" w:firstRowFirstColumn="0" w:firstRowLastColumn="0" w:lastRowFirstColumn="0" w:lastRowLastColumn="0"/>
          <w:trHeight w:val="341"/>
        </w:trPr>
        <w:tc>
          <w:tcPr>
            <w:tcW w:w="570"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spacing w:after="0"/>
              <w:jc w:val="center"/>
              <w:rPr>
                <w:sz w:val="18"/>
                <w:szCs w:val="18"/>
              </w:rPr>
            </w:pPr>
          </w:p>
        </w:tc>
        <w:tc>
          <w:tcPr>
            <w:tcW w:w="289"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Default="007E5C0A" w:rsidP="001A641D">
            <w:pPr>
              <w:spacing w:after="0"/>
              <w:jc w:val="center"/>
              <w:rPr>
                <w:sz w:val="18"/>
                <w:szCs w:val="18"/>
              </w:rPr>
            </w:pPr>
            <w:r>
              <w:rPr>
                <w:sz w:val="18"/>
                <w:szCs w:val="18"/>
              </w:rPr>
              <w:t>O</w:t>
            </w:r>
          </w:p>
        </w:tc>
        <w:tc>
          <w:tcPr>
            <w:tcW w:w="1823"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Bullet"/>
              <w:numPr>
                <w:ilvl w:val="0"/>
                <w:numId w:val="0"/>
              </w:numPr>
              <w:spacing w:after="0"/>
              <w:ind w:left="149"/>
              <w:rPr>
                <w:sz w:val="18"/>
                <w:szCs w:val="18"/>
              </w:rPr>
            </w:pPr>
            <w:r>
              <w:rPr>
                <w:sz w:val="18"/>
                <w:szCs w:val="18"/>
              </w:rPr>
              <w:t>Project scope clearly defined with no alternatives</w:t>
            </w:r>
          </w:p>
        </w:tc>
        <w:tc>
          <w:tcPr>
            <w:tcW w:w="1680" w:type="pct"/>
            <w:tcBorders>
              <w:top w:val="single" w:sz="4" w:space="0" w:color="548DD4" w:themeColor="text2" w:themeTint="99"/>
              <w:left w:val="nil"/>
              <w:bottom w:val="single" w:sz="4" w:space="0" w:color="548DD4" w:themeColor="text2" w:themeTint="99"/>
              <w:right w:val="nil"/>
            </w:tcBorders>
          </w:tcPr>
          <w:p w:rsidR="001A641D" w:rsidRPr="004E2EDC" w:rsidRDefault="007E5C0A" w:rsidP="001A641D">
            <w:pPr>
              <w:pStyle w:val="ListBullet"/>
              <w:spacing w:after="0"/>
              <w:rPr>
                <w:sz w:val="18"/>
                <w:szCs w:val="18"/>
              </w:rPr>
            </w:pPr>
            <w:r>
              <w:rPr>
                <w:sz w:val="18"/>
                <w:szCs w:val="18"/>
              </w:rPr>
              <w:t>No additional fee</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4E2EDC" w:rsidRDefault="007E5C0A" w:rsidP="001A641D">
            <w:pPr>
              <w:spacing w:after="0"/>
              <w:jc w:val="center"/>
              <w:rPr>
                <w:sz w:val="18"/>
                <w:szCs w:val="18"/>
              </w:rPr>
            </w:pPr>
            <w:r>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trHeight w:val="501"/>
        </w:trPr>
        <w:tc>
          <w:tcPr>
            <w:tcW w:w="4362"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7B1AFC" w:rsidRDefault="007E5C0A" w:rsidP="001A641D">
            <w:pPr>
              <w:jc w:val="right"/>
              <w:rPr>
                <w:caps/>
                <w:sz w:val="18"/>
                <w:szCs w:val="18"/>
              </w:rPr>
            </w:pPr>
            <w:r>
              <w:rPr>
                <w:caps/>
                <w:sz w:val="18"/>
                <w:szCs w:val="18"/>
              </w:rPr>
              <w:t>total</w:t>
            </w:r>
            <w:r w:rsidRPr="007B1AFC">
              <w:rPr>
                <w:caps/>
                <w:sz w:val="18"/>
                <w:szCs w:val="18"/>
              </w:rPr>
              <w:t xml:space="preserve"> complexity </w:t>
            </w:r>
            <w:r>
              <w:rPr>
                <w:caps/>
                <w:sz w:val="18"/>
                <w:szCs w:val="18"/>
              </w:rPr>
              <w:t>fees</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7B1AFC" w:rsidRDefault="007E5C0A" w:rsidP="001A641D">
            <w:pPr>
              <w:jc w:val="center"/>
              <w:rPr>
                <w:sz w:val="18"/>
                <w:szCs w:val="18"/>
              </w:rPr>
            </w:pPr>
            <w:r w:rsidRPr="00041864">
              <w:rPr>
                <w:sz w:val="18"/>
                <w:szCs w:val="18"/>
              </w:rPr>
              <w:t>$</w:t>
            </w:r>
            <w:r>
              <w:rPr>
                <w:sz w:val="18"/>
                <w:szCs w:val="18"/>
              </w:rPr>
              <w:t>25,615</w:t>
            </w:r>
          </w:p>
        </w:tc>
      </w:tr>
      <w:tr w:rsidR="00397365" w:rsidTr="001A641D">
        <w:trPr>
          <w:cnfStyle w:val="000000100000" w:firstRow="0" w:lastRow="0" w:firstColumn="0" w:lastColumn="0" w:oddVBand="0" w:evenVBand="0" w:oddHBand="1" w:evenHBand="0" w:firstRowFirstColumn="0" w:firstRowLastColumn="0" w:lastRowFirstColumn="0" w:lastRowLastColumn="0"/>
          <w:trHeight w:val="501"/>
        </w:trPr>
        <w:tc>
          <w:tcPr>
            <w:tcW w:w="4362"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820799" w:rsidRDefault="007E5C0A" w:rsidP="001A641D">
            <w:pPr>
              <w:jc w:val="right"/>
              <w:rPr>
                <w:caps/>
                <w:sz w:val="20"/>
                <w:szCs w:val="20"/>
              </w:rPr>
            </w:pPr>
            <w:r w:rsidRPr="00820799">
              <w:rPr>
                <w:caps/>
                <w:sz w:val="20"/>
                <w:szCs w:val="20"/>
              </w:rPr>
              <w:t>base fee (assessment on preliminary documentation)</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820799" w:rsidRDefault="007E5C0A" w:rsidP="001A641D">
            <w:pPr>
              <w:jc w:val="center"/>
              <w:rPr>
                <w:sz w:val="20"/>
                <w:szCs w:val="20"/>
              </w:rPr>
            </w:pPr>
            <w:r w:rsidRPr="00820799">
              <w:rPr>
                <w:sz w:val="20"/>
                <w:szCs w:val="20"/>
              </w:rPr>
              <w:t>$8,010</w:t>
            </w:r>
          </w:p>
        </w:tc>
      </w:tr>
      <w:tr w:rsidR="00397365" w:rsidTr="001A641D">
        <w:trPr>
          <w:cnfStyle w:val="000000010000" w:firstRow="0" w:lastRow="0" w:firstColumn="0" w:lastColumn="0" w:oddVBand="0" w:evenVBand="0" w:oddHBand="0" w:evenHBand="1" w:firstRowFirstColumn="0" w:firstRowLastColumn="0" w:lastRowFirstColumn="0" w:lastRowLastColumn="0"/>
          <w:trHeight w:val="501"/>
        </w:trPr>
        <w:tc>
          <w:tcPr>
            <w:tcW w:w="4362"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7B1AFC" w:rsidRDefault="007E5C0A" w:rsidP="001A641D">
            <w:pPr>
              <w:jc w:val="right"/>
              <w:rPr>
                <w:caps/>
                <w:sz w:val="18"/>
                <w:szCs w:val="18"/>
              </w:rPr>
            </w:pPr>
            <w:r>
              <w:rPr>
                <w:caps/>
                <w:sz w:val="18"/>
                <w:szCs w:val="18"/>
              </w:rPr>
              <w:t>total fee</w:t>
            </w:r>
          </w:p>
        </w:tc>
        <w:tc>
          <w:tcPr>
            <w:tcW w:w="638"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041864" w:rsidRDefault="007E5C0A" w:rsidP="001A641D">
            <w:pPr>
              <w:jc w:val="center"/>
              <w:rPr>
                <w:sz w:val="18"/>
                <w:szCs w:val="18"/>
              </w:rPr>
            </w:pPr>
            <w:r>
              <w:rPr>
                <w:sz w:val="18"/>
                <w:szCs w:val="18"/>
              </w:rPr>
              <w:t>$33,625</w:t>
            </w:r>
          </w:p>
        </w:tc>
      </w:tr>
    </w:tbl>
    <w:p w:rsidR="001A641D" w:rsidRPr="007B1AFC" w:rsidRDefault="007E5C0A" w:rsidP="001A641D">
      <w:pPr>
        <w:rPr>
          <w:sz w:val="18"/>
          <w:szCs w:val="18"/>
        </w:rPr>
      </w:pPr>
      <w:r w:rsidRPr="007B1AFC">
        <w:rPr>
          <w:sz w:val="18"/>
          <w:szCs w:val="18"/>
        </w:rPr>
        <w:t xml:space="preserve">* Please refer to complexity </w:t>
      </w:r>
      <w:r>
        <w:rPr>
          <w:sz w:val="18"/>
          <w:szCs w:val="18"/>
        </w:rPr>
        <w:t xml:space="preserve">fee </w:t>
      </w:r>
      <w:r w:rsidRPr="007B1AFC">
        <w:rPr>
          <w:sz w:val="18"/>
          <w:szCs w:val="18"/>
        </w:rPr>
        <w:t>matrix</w:t>
      </w:r>
      <w:r>
        <w:rPr>
          <w:sz w:val="18"/>
          <w:szCs w:val="18"/>
        </w:rPr>
        <w:t xml:space="preserve"> </w:t>
      </w:r>
      <w:r w:rsidRPr="000523CF">
        <w:rPr>
          <w:sz w:val="18"/>
          <w:szCs w:val="18"/>
        </w:rPr>
        <w:t>at Appendix B</w:t>
      </w:r>
    </w:p>
    <w:p w:rsidR="001A641D" w:rsidRPr="00414EA1" w:rsidRDefault="007E5C0A" w:rsidP="001A641D">
      <w:pPr>
        <w:rPr>
          <w:b/>
          <w:sz w:val="18"/>
          <w:szCs w:val="18"/>
          <w:lang w:val="en-US"/>
        </w:rPr>
      </w:pPr>
      <w:r>
        <w:rPr>
          <w:b/>
          <w:sz w:val="18"/>
          <w:szCs w:val="18"/>
          <w:lang w:val="en-US"/>
        </w:rPr>
        <w:t>Part B complexity fees for Example 3</w:t>
      </w:r>
    </w:p>
    <w:p w:rsidR="001A641D" w:rsidRPr="00414EA1" w:rsidRDefault="007E5C0A" w:rsidP="001A641D">
      <w:pPr>
        <w:rPr>
          <w:sz w:val="18"/>
          <w:szCs w:val="18"/>
        </w:rPr>
      </w:pPr>
      <w:r>
        <w:rPr>
          <w:sz w:val="18"/>
          <w:szCs w:val="18"/>
          <w:lang w:val="en-US"/>
        </w:rPr>
        <w:t>This example</w:t>
      </w:r>
      <w:r w:rsidRPr="00414EA1">
        <w:rPr>
          <w:sz w:val="18"/>
          <w:szCs w:val="18"/>
          <w:lang w:val="en-US"/>
        </w:rPr>
        <w:t xml:space="preserve"> demonstrates how the proponent was able to reduce their overall complexity fee </w:t>
      </w:r>
      <w:r w:rsidRPr="008F0592">
        <w:rPr>
          <w:sz w:val="18"/>
          <w:szCs w:val="18"/>
          <w:lang w:val="en-US"/>
        </w:rPr>
        <w:t>by $21,9</w:t>
      </w:r>
      <w:r>
        <w:rPr>
          <w:sz w:val="18"/>
          <w:szCs w:val="18"/>
          <w:lang w:val="en-US"/>
        </w:rPr>
        <w:t>6</w:t>
      </w:r>
      <w:r w:rsidRPr="008F0592">
        <w:rPr>
          <w:sz w:val="18"/>
          <w:szCs w:val="18"/>
          <w:lang w:val="en-US"/>
        </w:rPr>
        <w:t>4</w:t>
      </w:r>
      <w:r w:rsidRPr="00414EA1">
        <w:rPr>
          <w:sz w:val="18"/>
          <w:szCs w:val="18"/>
          <w:lang w:val="en-US"/>
        </w:rPr>
        <w:t xml:space="preserve"> in comparison to the scenario in</w:t>
      </w:r>
      <w:r>
        <w:rPr>
          <w:sz w:val="18"/>
          <w:szCs w:val="18"/>
          <w:lang w:val="en-US"/>
        </w:rPr>
        <w:t xml:space="preserve"> Example 2.</w:t>
      </w:r>
      <w:r w:rsidRPr="00414EA1">
        <w:rPr>
          <w:sz w:val="18"/>
          <w:szCs w:val="18"/>
          <w:lang w:val="en-US"/>
        </w:rPr>
        <w:t xml:space="preserve"> The proponent in Example </w:t>
      </w:r>
      <w:r>
        <w:rPr>
          <w:sz w:val="18"/>
          <w:szCs w:val="18"/>
          <w:lang w:val="en-US"/>
        </w:rPr>
        <w:t>3</w:t>
      </w:r>
      <w:r w:rsidRPr="00414EA1">
        <w:rPr>
          <w:sz w:val="18"/>
          <w:szCs w:val="18"/>
          <w:lang w:val="en-US"/>
        </w:rPr>
        <w:t xml:space="preserve"> did not have </w:t>
      </w:r>
      <w:r>
        <w:rPr>
          <w:sz w:val="18"/>
          <w:szCs w:val="18"/>
          <w:lang w:val="en-US"/>
        </w:rPr>
        <w:t xml:space="preserve">additional complexity </w:t>
      </w:r>
      <w:r w:rsidRPr="00414EA1">
        <w:rPr>
          <w:sz w:val="18"/>
          <w:szCs w:val="18"/>
          <w:lang w:val="en-US"/>
        </w:rPr>
        <w:t xml:space="preserve">fees for adequacy of information and clarity of project scope fees (shown in rows </w:t>
      </w:r>
      <w:r>
        <w:rPr>
          <w:sz w:val="18"/>
          <w:szCs w:val="18"/>
          <w:lang w:val="en-US"/>
        </w:rPr>
        <w:t>M</w:t>
      </w:r>
      <w:r w:rsidRPr="00414EA1">
        <w:rPr>
          <w:sz w:val="18"/>
          <w:szCs w:val="18"/>
          <w:lang w:val="en-US"/>
        </w:rPr>
        <w:t xml:space="preserve"> and </w:t>
      </w:r>
      <w:r>
        <w:rPr>
          <w:sz w:val="18"/>
          <w:szCs w:val="18"/>
          <w:lang w:val="en-US"/>
        </w:rPr>
        <w:t>N</w:t>
      </w:r>
      <w:r w:rsidRPr="00414EA1">
        <w:rPr>
          <w:sz w:val="18"/>
          <w:szCs w:val="18"/>
          <w:lang w:val="en-US"/>
        </w:rPr>
        <w:t xml:space="preserve"> in complexity</w:t>
      </w:r>
      <w:r>
        <w:rPr>
          <w:sz w:val="18"/>
          <w:szCs w:val="18"/>
          <w:lang w:val="en-US"/>
        </w:rPr>
        <w:t xml:space="preserve"> fee</w:t>
      </w:r>
      <w:r w:rsidRPr="00414EA1">
        <w:rPr>
          <w:sz w:val="18"/>
          <w:szCs w:val="18"/>
          <w:lang w:val="en-US"/>
        </w:rPr>
        <w:t xml:space="preserve"> matrix). The proponent achieved this by providing sufficient information in relation to site surveys and management measures in the referral documentation to enable the </w:t>
      </w:r>
      <w:r>
        <w:rPr>
          <w:sz w:val="18"/>
          <w:szCs w:val="18"/>
          <w:lang w:val="en-US"/>
        </w:rPr>
        <w:t>Department</w:t>
      </w:r>
      <w:r w:rsidRPr="00414EA1">
        <w:rPr>
          <w:sz w:val="18"/>
          <w:szCs w:val="18"/>
          <w:lang w:val="en-US"/>
        </w:rPr>
        <w:t xml:space="preserve"> to meaningfully inform the </w:t>
      </w:r>
      <w:r>
        <w:rPr>
          <w:sz w:val="18"/>
          <w:szCs w:val="18"/>
          <w:lang w:val="en-US"/>
        </w:rPr>
        <w:t>Minister</w:t>
      </w:r>
      <w:r w:rsidRPr="00414EA1">
        <w:rPr>
          <w:sz w:val="18"/>
          <w:szCs w:val="18"/>
          <w:lang w:val="en-US"/>
        </w:rPr>
        <w:t xml:space="preserve"> of the nature of the proposal.</w:t>
      </w:r>
    </w:p>
    <w:p w:rsidR="001A641D" w:rsidRDefault="007E5C0A">
      <w:pPr>
        <w:spacing w:after="0" w:line="240" w:lineRule="auto"/>
      </w:pPr>
      <w:r>
        <w:br w:type="page"/>
      </w:r>
    </w:p>
    <w:p w:rsidR="001A641D" w:rsidRPr="0087787F" w:rsidRDefault="007E5C0A" w:rsidP="001A641D">
      <w:pPr>
        <w:pStyle w:val="Heading4"/>
        <w:rPr>
          <w:lang w:val="en-US"/>
        </w:rPr>
      </w:pPr>
      <w:bookmarkStart w:id="1819" w:name="_Ref388534613"/>
      <w:r>
        <w:rPr>
          <w:lang w:val="en-US"/>
        </w:rPr>
        <w:t xml:space="preserve">Fees for assessment by </w:t>
      </w:r>
      <w:r w:rsidRPr="0087787F">
        <w:rPr>
          <w:lang w:val="en-US"/>
        </w:rPr>
        <w:t>Public Environmen</w:t>
      </w:r>
      <w:r>
        <w:rPr>
          <w:lang w:val="en-US"/>
        </w:rPr>
        <w:t>t</w:t>
      </w:r>
      <w:r w:rsidRPr="0087787F">
        <w:rPr>
          <w:lang w:val="en-US"/>
        </w:rPr>
        <w:t xml:space="preserve"> Report / Environmental Impact Statement</w:t>
      </w:r>
      <w:bookmarkEnd w:id="1819"/>
    </w:p>
    <w:p w:rsidR="001A641D" w:rsidRPr="00C13A97" w:rsidRDefault="007E5C0A" w:rsidP="001A641D">
      <w:pPr>
        <w:rPr>
          <w:lang w:val="en-US"/>
        </w:rPr>
      </w:pPr>
      <w:r w:rsidRPr="00C13A97">
        <w:rPr>
          <w:lang w:val="en-US"/>
        </w:rPr>
        <w:t>The total fee for an as</w:t>
      </w:r>
      <w:r>
        <w:rPr>
          <w:lang w:val="en-US"/>
        </w:rPr>
        <w:t>sessment by Public Environment</w:t>
      </w:r>
      <w:r w:rsidRPr="00C13A97">
        <w:rPr>
          <w:lang w:val="en-US"/>
        </w:rPr>
        <w:t xml:space="preserve"> Report or Environmental Impact Statement includes the base </w:t>
      </w:r>
      <w:r>
        <w:rPr>
          <w:lang w:val="en-US"/>
        </w:rPr>
        <w:t>fee</w:t>
      </w:r>
      <w:r w:rsidRPr="00C13A97">
        <w:rPr>
          <w:lang w:val="en-US"/>
        </w:rPr>
        <w:t xml:space="preserve"> for an as</w:t>
      </w:r>
      <w:r>
        <w:rPr>
          <w:lang w:val="en-US"/>
        </w:rPr>
        <w:t>sessment by Public Environment</w:t>
      </w:r>
      <w:r w:rsidRPr="00C13A97">
        <w:rPr>
          <w:lang w:val="en-US"/>
        </w:rPr>
        <w:t xml:space="preserve"> Report or Environmental Impact Statement and the relevant complexity </w:t>
      </w:r>
      <w:r w:rsidRPr="000523CF">
        <w:rPr>
          <w:lang w:val="en-US"/>
        </w:rPr>
        <w:t>fees (</w:t>
      </w:r>
      <w:r w:rsidR="00FF3730">
        <w:fldChar w:fldCharType="begin"/>
      </w:r>
      <w:r w:rsidR="00FF3730">
        <w:instrText xml:space="preserve"> REF _Ref457986075 \h  \* MERGEFORMAT </w:instrText>
      </w:r>
      <w:r w:rsidR="00FF3730">
        <w:fldChar w:fldCharType="separate"/>
      </w:r>
      <w:r w:rsidR="00FF3730">
        <w:t xml:space="preserve">Table </w:t>
      </w:r>
      <w:r w:rsidR="00FF3730">
        <w:rPr>
          <w:noProof/>
        </w:rPr>
        <w:t>15</w:t>
      </w:r>
      <w:r w:rsidR="00FF3730">
        <w:fldChar w:fldCharType="end"/>
      </w:r>
      <w:r w:rsidRPr="000523CF">
        <w:rPr>
          <w:lang w:val="en-US"/>
        </w:rPr>
        <w:t>).</w:t>
      </w:r>
      <w:r w:rsidRPr="00C13A97">
        <w:rPr>
          <w:lang w:val="en-US"/>
        </w:rPr>
        <w:t xml:space="preserve"> </w:t>
      </w:r>
    </w:p>
    <w:p w:rsidR="001A641D" w:rsidRDefault="007E5C0A" w:rsidP="001A641D">
      <w:pPr>
        <w:pStyle w:val="Caption"/>
        <w:keepNext/>
      </w:pPr>
      <w:bookmarkStart w:id="1820" w:name="_Ref457986075"/>
      <w:bookmarkStart w:id="1821" w:name="_Toc256000424"/>
      <w:bookmarkStart w:id="1822" w:name="_Toc256000316"/>
      <w:bookmarkStart w:id="1823" w:name="_Toc256000208"/>
      <w:bookmarkStart w:id="1824" w:name="_Toc256000100"/>
      <w:bookmarkStart w:id="1825" w:name="_Toc458170603"/>
      <w:r>
        <w:t xml:space="preserve">Table </w:t>
      </w:r>
      <w:r w:rsidR="003366B4">
        <w:fldChar w:fldCharType="begin"/>
      </w:r>
      <w:r>
        <w:instrText xml:space="preserve"> SEQ Table \* ARABIC </w:instrText>
      </w:r>
      <w:r w:rsidR="003366B4">
        <w:fldChar w:fldCharType="separate"/>
      </w:r>
      <w:r w:rsidR="00FF3730">
        <w:rPr>
          <w:noProof/>
        </w:rPr>
        <w:t>15</w:t>
      </w:r>
      <w:r w:rsidR="003366B4">
        <w:rPr>
          <w:noProof/>
        </w:rPr>
        <w:fldChar w:fldCharType="end"/>
      </w:r>
      <w:bookmarkEnd w:id="1820"/>
      <w:r>
        <w:t>. Summary of public environment</w:t>
      </w:r>
      <w:r w:rsidRPr="00CE4389">
        <w:t xml:space="preserve"> report and environmental impact statement </w:t>
      </w:r>
      <w:r>
        <w:t>fees</w:t>
      </w:r>
      <w:r w:rsidRPr="00CE4389">
        <w:t>.</w:t>
      </w:r>
      <w:bookmarkEnd w:id="1821"/>
      <w:bookmarkEnd w:id="1822"/>
      <w:bookmarkEnd w:id="1823"/>
      <w:bookmarkEnd w:id="1824"/>
      <w:bookmarkEnd w:id="1825"/>
    </w:p>
    <w:tbl>
      <w:tblPr>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2833"/>
        <w:gridCol w:w="2099"/>
        <w:gridCol w:w="2225"/>
        <w:gridCol w:w="2698"/>
      </w:tblGrid>
      <w:tr w:rsidR="00397365" w:rsidTr="001A641D">
        <w:trPr>
          <w:trHeight w:val="810"/>
        </w:trPr>
        <w:tc>
          <w:tcPr>
            <w:tcW w:w="143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sidRPr="0087386A">
              <w:rPr>
                <w:b/>
                <w:sz w:val="20"/>
                <w:szCs w:val="20"/>
                <w:lang w:eastAsia="en-AU"/>
              </w:rPr>
              <w:t>Activity</w:t>
            </w:r>
          </w:p>
        </w:tc>
        <w:tc>
          <w:tcPr>
            <w:tcW w:w="106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sidRPr="0087386A">
              <w:rPr>
                <w:b/>
                <w:sz w:val="20"/>
                <w:szCs w:val="20"/>
                <w:lang w:eastAsia="en-AU"/>
              </w:rPr>
              <w:t xml:space="preserve">Base </w:t>
            </w:r>
            <w:r>
              <w:rPr>
                <w:b/>
                <w:sz w:val="20"/>
                <w:szCs w:val="20"/>
                <w:lang w:eastAsia="en-AU"/>
              </w:rPr>
              <w:t>fee</w:t>
            </w:r>
          </w:p>
        </w:tc>
        <w:tc>
          <w:tcPr>
            <w:tcW w:w="1129"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sidRPr="0087386A">
              <w:rPr>
                <w:b/>
                <w:sz w:val="20"/>
                <w:szCs w:val="20"/>
                <w:lang w:eastAsia="en-AU"/>
              </w:rPr>
              <w:t xml:space="preserve">Complexity </w:t>
            </w:r>
            <w:r>
              <w:rPr>
                <w:b/>
                <w:sz w:val="20"/>
                <w:szCs w:val="20"/>
                <w:lang w:eastAsia="en-AU"/>
              </w:rPr>
              <w:t>fees</w:t>
            </w:r>
          </w:p>
        </w:tc>
        <w:tc>
          <w:tcPr>
            <w:tcW w:w="1369"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Pr>
                <w:b/>
                <w:sz w:val="20"/>
                <w:szCs w:val="20"/>
                <w:lang w:eastAsia="en-AU"/>
              </w:rPr>
              <w:t>Total fee</w:t>
            </w:r>
          </w:p>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Pr>
                <w:b/>
                <w:sz w:val="20"/>
                <w:szCs w:val="20"/>
                <w:lang w:eastAsia="en-AU"/>
              </w:rPr>
              <w:t>Base + Complexity</w:t>
            </w:r>
          </w:p>
        </w:tc>
      </w:tr>
      <w:tr w:rsidR="00397365" w:rsidTr="001A641D">
        <w:trPr>
          <w:trHeight w:val="630"/>
        </w:trPr>
        <w:tc>
          <w:tcPr>
            <w:tcW w:w="1437"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auto"/>
            <w:vAlign w:val="center"/>
            <w:hideMark/>
          </w:tcPr>
          <w:p w:rsidR="001A641D" w:rsidRDefault="007E5C0A" w:rsidP="001A641D">
            <w:pPr>
              <w:spacing w:before="120" w:after="120"/>
              <w:rPr>
                <w:rFonts w:asciiTheme="minorHAnsi" w:eastAsia="SimSun" w:hAnsiTheme="minorHAnsi" w:cstheme="minorHAnsi"/>
                <w:b/>
                <w:bCs/>
                <w:i/>
                <w:iCs/>
                <w:color w:val="0070C0"/>
                <w:sz w:val="20"/>
                <w:szCs w:val="20"/>
                <w:lang w:val="en-US" w:eastAsia="en-AU"/>
              </w:rPr>
            </w:pPr>
            <w:r>
              <w:rPr>
                <w:sz w:val="20"/>
                <w:szCs w:val="20"/>
                <w:lang w:eastAsia="en-AU"/>
              </w:rPr>
              <w:t xml:space="preserve">Public environment report / </w:t>
            </w:r>
            <w:r w:rsidRPr="0087386A">
              <w:rPr>
                <w:sz w:val="20"/>
                <w:szCs w:val="20"/>
                <w:lang w:eastAsia="en-AU"/>
              </w:rPr>
              <w:t>Environmental impact statement</w:t>
            </w:r>
          </w:p>
        </w:tc>
        <w:tc>
          <w:tcPr>
            <w:tcW w:w="1065"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jc w:val="center"/>
              <w:rPr>
                <w:rFonts w:asciiTheme="minorHAnsi" w:eastAsia="Times New Roman" w:hAnsiTheme="minorHAnsi" w:cs="Arial"/>
                <w:b/>
                <w:bCs/>
                <w:i/>
                <w:iCs/>
                <w:lang w:eastAsia="en-AU"/>
              </w:rPr>
            </w:pPr>
            <w:r w:rsidRPr="003B07CD">
              <w:rPr>
                <w:sz w:val="20"/>
                <w:szCs w:val="20"/>
                <w:lang w:eastAsia="en-AU"/>
              </w:rPr>
              <w:t>$25,583</w:t>
            </w:r>
          </w:p>
        </w:tc>
        <w:tc>
          <w:tcPr>
            <w:tcW w:w="1129"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sidRPr="00C17C01">
              <w:rPr>
                <w:sz w:val="20"/>
                <w:szCs w:val="20"/>
                <w:lang w:eastAsia="en-AU"/>
              </w:rPr>
              <w:t>Determined on a case by case basis</w:t>
            </w:r>
          </w:p>
        </w:tc>
        <w:tc>
          <w:tcPr>
            <w:tcW w:w="1369"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eastAsia="en-AU"/>
              </w:rPr>
            </w:pPr>
            <w:r w:rsidRPr="00C17C01">
              <w:rPr>
                <w:sz w:val="20"/>
                <w:szCs w:val="20"/>
                <w:lang w:eastAsia="en-AU"/>
              </w:rPr>
              <w:t>$</w:t>
            </w:r>
            <w:r>
              <w:rPr>
                <w:sz w:val="20"/>
                <w:szCs w:val="20"/>
                <w:lang w:eastAsia="en-AU"/>
              </w:rPr>
              <w:t>25,583</w:t>
            </w:r>
            <w:r w:rsidRPr="00C17C01">
              <w:rPr>
                <w:sz w:val="20"/>
                <w:szCs w:val="20"/>
                <w:lang w:eastAsia="en-AU"/>
              </w:rPr>
              <w:t xml:space="preserve"> + </w:t>
            </w:r>
            <w:r>
              <w:rPr>
                <w:sz w:val="20"/>
                <w:szCs w:val="20"/>
                <w:lang w:eastAsia="en-AU"/>
              </w:rPr>
              <w:t>Complexity fees</w:t>
            </w:r>
          </w:p>
        </w:tc>
      </w:tr>
    </w:tbl>
    <w:p w:rsidR="001A641D" w:rsidRPr="00B6162A" w:rsidRDefault="007E5C0A" w:rsidP="001A641D">
      <w:pPr>
        <w:rPr>
          <w:lang w:val="en-US"/>
        </w:rPr>
      </w:pPr>
      <w:r w:rsidRPr="00B6162A">
        <w:rPr>
          <w:lang w:val="en-US"/>
        </w:rPr>
        <w:t xml:space="preserve">These fees are payable across four stages of the assessment process, as </w:t>
      </w:r>
      <w:r w:rsidRPr="000523CF">
        <w:rPr>
          <w:lang w:val="en-US"/>
        </w:rPr>
        <w:t xml:space="preserve">outlined in </w:t>
      </w:r>
      <w:r w:rsidR="00FF3730">
        <w:fldChar w:fldCharType="begin"/>
      </w:r>
      <w:r w:rsidR="00FF3730">
        <w:instrText xml:space="preserve"> REF _Ref457985492 \h  \* MERGEFORMAT </w:instrText>
      </w:r>
      <w:r w:rsidR="00FF3730">
        <w:fldChar w:fldCharType="separate"/>
      </w:r>
      <w:r w:rsidR="00FF3730">
        <w:t xml:space="preserve">Table </w:t>
      </w:r>
      <w:r w:rsidR="00FF3730">
        <w:rPr>
          <w:noProof/>
        </w:rPr>
        <w:t>16</w:t>
      </w:r>
      <w:r w:rsidR="00FF3730">
        <w:fldChar w:fldCharType="end"/>
      </w:r>
      <w:r w:rsidRPr="000523CF">
        <w:rPr>
          <w:lang w:val="en-US"/>
        </w:rPr>
        <w:t xml:space="preserve"> below.</w:t>
      </w:r>
      <w:r w:rsidRPr="00B6162A">
        <w:rPr>
          <w:lang w:val="en-US"/>
        </w:rPr>
        <w:t xml:space="preserve"> </w:t>
      </w:r>
    </w:p>
    <w:p w:rsidR="001A641D" w:rsidRDefault="007E5C0A" w:rsidP="001A641D">
      <w:pPr>
        <w:pStyle w:val="Caption"/>
        <w:keepNext/>
      </w:pPr>
      <w:bookmarkStart w:id="1826" w:name="_Ref457985492"/>
      <w:bookmarkStart w:id="1827" w:name="_Toc256000425"/>
      <w:bookmarkStart w:id="1828" w:name="_Toc256000317"/>
      <w:bookmarkStart w:id="1829" w:name="_Toc256000209"/>
      <w:bookmarkStart w:id="1830" w:name="_Toc256000101"/>
      <w:bookmarkStart w:id="1831" w:name="_Toc458170604"/>
      <w:r>
        <w:t xml:space="preserve">Table </w:t>
      </w:r>
      <w:r w:rsidR="003366B4">
        <w:fldChar w:fldCharType="begin"/>
      </w:r>
      <w:r>
        <w:instrText xml:space="preserve"> SEQ Table \* ARABIC </w:instrText>
      </w:r>
      <w:r w:rsidR="003366B4">
        <w:fldChar w:fldCharType="separate"/>
      </w:r>
      <w:r w:rsidR="00FF3730">
        <w:rPr>
          <w:noProof/>
        </w:rPr>
        <w:t>16</w:t>
      </w:r>
      <w:r w:rsidR="003366B4">
        <w:rPr>
          <w:noProof/>
        </w:rPr>
        <w:fldChar w:fldCharType="end"/>
      </w:r>
      <w:bookmarkEnd w:id="1826"/>
      <w:r>
        <w:t>. Proportion</w:t>
      </w:r>
      <w:r w:rsidRPr="00957C04">
        <w:t xml:space="preserve"> of fees payable at each assessment stage for </w:t>
      </w:r>
      <w:r>
        <w:t xml:space="preserve">an </w:t>
      </w:r>
      <w:r w:rsidRPr="00957C04">
        <w:t>as</w:t>
      </w:r>
      <w:r>
        <w:t>sessment by public environment</w:t>
      </w:r>
      <w:r w:rsidRPr="00957C04">
        <w:t xml:space="preserve"> report or environmental impact statement</w:t>
      </w:r>
      <w:bookmarkEnd w:id="1827"/>
      <w:bookmarkEnd w:id="1828"/>
      <w:bookmarkEnd w:id="1829"/>
      <w:bookmarkEnd w:id="1830"/>
      <w:bookmarkEnd w:id="1831"/>
    </w:p>
    <w:tbl>
      <w:tblPr>
        <w:tblW w:w="5000" w:type="pct"/>
        <w:tblLayout w:type="fixed"/>
        <w:tblCellMar>
          <w:left w:w="0" w:type="dxa"/>
          <w:right w:w="0" w:type="dxa"/>
        </w:tblCellMar>
        <w:tblLook w:val="04A0" w:firstRow="1" w:lastRow="0" w:firstColumn="1" w:lastColumn="0" w:noHBand="0" w:noVBand="1"/>
      </w:tblPr>
      <w:tblGrid>
        <w:gridCol w:w="5869"/>
        <w:gridCol w:w="1330"/>
        <w:gridCol w:w="1330"/>
        <w:gridCol w:w="1326"/>
      </w:tblGrid>
      <w:tr w:rsidR="00397365" w:rsidTr="00E97AF8">
        <w:trPr>
          <w:trHeight w:val="768"/>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theme="minorHAnsi"/>
                <w:b/>
                <w:bCs/>
                <w:i/>
                <w:iCs/>
                <w:sz w:val="20"/>
                <w:szCs w:val="20"/>
              </w:rPr>
            </w:pPr>
            <w:r w:rsidRPr="00B6162A">
              <w:rPr>
                <w:b/>
                <w:bCs/>
                <w:sz w:val="20"/>
                <w:szCs w:val="20"/>
              </w:rPr>
              <w:t>Activity</w:t>
            </w:r>
          </w:p>
        </w:tc>
        <w:tc>
          <w:tcPr>
            <w:tcW w:w="675"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theme="minorHAnsi"/>
                <w:b/>
                <w:bCs/>
                <w:i/>
                <w:iCs/>
                <w:sz w:val="20"/>
                <w:szCs w:val="20"/>
              </w:rPr>
            </w:pPr>
            <w:r w:rsidRPr="00B6162A">
              <w:rPr>
                <w:b/>
                <w:bCs/>
                <w:sz w:val="20"/>
                <w:szCs w:val="20"/>
              </w:rPr>
              <w:t>Base fee</w:t>
            </w:r>
          </w:p>
        </w:tc>
        <w:tc>
          <w:tcPr>
            <w:tcW w:w="675"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Pr>
          <w:p w:rsidR="001A641D" w:rsidRDefault="007E5C0A" w:rsidP="001A641D">
            <w:pPr>
              <w:spacing w:before="120" w:after="120"/>
              <w:jc w:val="center"/>
              <w:rPr>
                <w:rFonts w:asciiTheme="minorHAnsi" w:eastAsia="Times New Roman" w:hAnsiTheme="minorHAnsi" w:cstheme="minorHAnsi"/>
                <w:b/>
                <w:bCs/>
                <w:i/>
                <w:iCs/>
                <w:sz w:val="20"/>
                <w:szCs w:val="20"/>
              </w:rPr>
            </w:pPr>
            <w:r w:rsidRPr="00B6162A">
              <w:rPr>
                <w:b/>
                <w:bCs/>
                <w:sz w:val="20"/>
                <w:szCs w:val="20"/>
              </w:rPr>
              <w:t>Part A complexity fees</w:t>
            </w:r>
          </w:p>
        </w:tc>
        <w:tc>
          <w:tcPr>
            <w:tcW w:w="674"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theme="minorHAnsi"/>
                <w:b/>
                <w:bCs/>
                <w:i/>
                <w:iCs/>
                <w:sz w:val="20"/>
                <w:szCs w:val="20"/>
              </w:rPr>
            </w:pPr>
            <w:r w:rsidRPr="00B6162A">
              <w:rPr>
                <w:b/>
                <w:bCs/>
                <w:sz w:val="20"/>
                <w:szCs w:val="20"/>
              </w:rPr>
              <w:t xml:space="preserve">Part B complexity fees </w:t>
            </w: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rFonts w:asciiTheme="minorHAnsi" w:eastAsia="Times New Roman" w:hAnsiTheme="minorHAnsi" w:cstheme="minorHAnsi"/>
                <w:b/>
                <w:bCs/>
                <w:i/>
                <w:iCs/>
                <w:sz w:val="20"/>
                <w:szCs w:val="20"/>
                <w:lang w:val="en-US"/>
              </w:rPr>
            </w:pPr>
            <w:r w:rsidRPr="00B6162A">
              <w:rPr>
                <w:sz w:val="20"/>
                <w:szCs w:val="20"/>
                <w:lang w:val="en-US"/>
              </w:rPr>
              <w:t>Stage 1: Determine information requirements</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rFonts w:asciiTheme="minorHAnsi" w:eastAsia="Times New Roman" w:hAnsiTheme="minorHAnsi" w:cstheme="minorHAnsi"/>
                <w:b/>
                <w:bCs/>
                <w:i/>
                <w:iCs/>
                <w:sz w:val="20"/>
                <w:szCs w:val="20"/>
                <w:lang w:val="en-US"/>
              </w:rPr>
            </w:pPr>
            <w:r>
              <w:rPr>
                <w:sz w:val="20"/>
                <w:szCs w:val="20"/>
                <w:lang w:val="en-US"/>
              </w:rPr>
              <w:t>18%</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rFonts w:asciiTheme="minorHAnsi" w:eastAsia="Times New Roman" w:hAnsiTheme="minorHAnsi" w:cstheme="minorHAnsi"/>
                <w:b/>
                <w:bCs/>
                <w:i/>
                <w:iCs/>
                <w:sz w:val="20"/>
                <w:szCs w:val="20"/>
                <w:lang w:val="en-US"/>
              </w:rPr>
            </w:pPr>
            <w:r w:rsidRPr="00B6162A">
              <w:rPr>
                <w:sz w:val="20"/>
                <w:szCs w:val="20"/>
                <w:lang w:val="en-US"/>
              </w:rPr>
              <w:t>12%</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1A641D" w:rsidP="001A641D">
            <w:pPr>
              <w:spacing w:before="120" w:after="120"/>
              <w:jc w:val="center"/>
              <w:rPr>
                <w:sz w:val="20"/>
                <w:szCs w:val="20"/>
                <w:highlight w:val="yellow"/>
                <w:lang w:val="en-US"/>
              </w:rPr>
            </w:pP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Pr>
                <w:sz w:val="20"/>
                <w:szCs w:val="20"/>
                <w:lang w:val="en-US"/>
              </w:rPr>
              <w:t>Stage 2: Review draft assessment documentation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Pr>
                <w:sz w:val="20"/>
                <w:szCs w:val="20"/>
                <w:lang w:val="en-US"/>
              </w:rPr>
              <w:t>21%</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B6162A">
              <w:rPr>
                <w:sz w:val="20"/>
                <w:szCs w:val="20"/>
                <w:lang w:val="en-US"/>
              </w:rPr>
              <w:t>19%</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1A641D" w:rsidP="001A641D">
            <w:pPr>
              <w:spacing w:before="120" w:after="120"/>
              <w:jc w:val="center"/>
              <w:rPr>
                <w:sz w:val="20"/>
                <w:szCs w:val="20"/>
                <w:highlight w:val="yellow"/>
                <w:lang w:val="en-US"/>
              </w:rPr>
            </w:pP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B6162A">
              <w:rPr>
                <w:sz w:val="20"/>
                <w:szCs w:val="20"/>
                <w:lang w:val="en-US"/>
              </w:rPr>
              <w:t>Stage 3: Review</w:t>
            </w:r>
            <w:r>
              <w:rPr>
                <w:sz w:val="20"/>
                <w:szCs w:val="20"/>
                <w:lang w:val="en-US"/>
              </w:rPr>
              <w:t xml:space="preserve"> </w:t>
            </w:r>
            <w:r w:rsidRPr="00F64587">
              <w:rPr>
                <w:sz w:val="20"/>
                <w:szCs w:val="20"/>
              </w:rPr>
              <w:t xml:space="preserve">final </w:t>
            </w:r>
            <w:r>
              <w:rPr>
                <w:sz w:val="20"/>
                <w:szCs w:val="20"/>
              </w:rPr>
              <w:t>assessment documentation.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Pr>
                <w:sz w:val="20"/>
                <w:szCs w:val="20"/>
                <w:lang w:val="en-US"/>
              </w:rPr>
              <w:t>28%</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B6162A">
              <w:rPr>
                <w:sz w:val="20"/>
                <w:szCs w:val="20"/>
                <w:lang w:val="en-US"/>
              </w:rPr>
              <w:t>20%</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B6162A">
              <w:rPr>
                <w:sz w:val="20"/>
                <w:szCs w:val="20"/>
                <w:lang w:val="en-US"/>
              </w:rPr>
              <w:t>50%</w:t>
            </w: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B6162A">
              <w:rPr>
                <w:sz w:val="20"/>
                <w:szCs w:val="20"/>
                <w:lang w:val="en-US"/>
              </w:rPr>
              <w:t>Stage 4: Prepare recommendation report, proposed and final decision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Pr>
                <w:sz w:val="20"/>
                <w:szCs w:val="20"/>
                <w:lang w:val="en-US"/>
              </w:rPr>
              <w:t>33%</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B6162A">
              <w:rPr>
                <w:sz w:val="20"/>
                <w:szCs w:val="20"/>
                <w:lang w:val="en-US"/>
              </w:rPr>
              <w:t>49%</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B6162A">
              <w:rPr>
                <w:sz w:val="20"/>
                <w:szCs w:val="20"/>
                <w:lang w:val="en-US"/>
              </w:rPr>
              <w:t>50%</w:t>
            </w:r>
          </w:p>
        </w:tc>
      </w:tr>
      <w:tr w:rsidR="00397365" w:rsidTr="00E97AF8">
        <w:trPr>
          <w:trHeight w:val="600"/>
        </w:trPr>
        <w:tc>
          <w:tcPr>
            <w:tcW w:w="2977"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b/>
                <w:sz w:val="20"/>
                <w:szCs w:val="20"/>
                <w:lang w:val="en-US"/>
              </w:rPr>
            </w:pPr>
            <w:r w:rsidRPr="00B6162A">
              <w:rPr>
                <w:b/>
                <w:sz w:val="20"/>
                <w:szCs w:val="20"/>
                <w:lang w:val="en-US"/>
              </w:rPr>
              <w:t>Total</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B6162A">
              <w:rPr>
                <w:b/>
                <w:sz w:val="20"/>
                <w:szCs w:val="20"/>
                <w:lang w:val="en-US"/>
              </w:rPr>
              <w:t>100%</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b/>
                <w:sz w:val="20"/>
                <w:szCs w:val="20"/>
                <w:lang w:val="en-US"/>
              </w:rPr>
            </w:pPr>
            <w:r w:rsidRPr="00B6162A">
              <w:rPr>
                <w:b/>
                <w:sz w:val="20"/>
                <w:szCs w:val="20"/>
                <w:lang w:val="en-US"/>
              </w:rPr>
              <w:t>100%</w:t>
            </w:r>
          </w:p>
        </w:tc>
        <w:tc>
          <w:tcPr>
            <w:tcW w:w="674"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B6162A">
              <w:rPr>
                <w:b/>
                <w:sz w:val="20"/>
                <w:szCs w:val="20"/>
                <w:lang w:val="en-US"/>
              </w:rPr>
              <w:t>100%</w:t>
            </w:r>
          </w:p>
        </w:tc>
      </w:tr>
    </w:tbl>
    <w:p w:rsidR="00E97AF8" w:rsidRPr="00E97AF8" w:rsidRDefault="00E97AF8" w:rsidP="00E97AF8">
      <w:pPr>
        <w:spacing w:after="120"/>
        <w:rPr>
          <w:rFonts w:ascii="Helvetica" w:hAnsi="Helvetica" w:cs="Helvetica"/>
          <w:color w:val="333333"/>
          <w:sz w:val="2"/>
          <w:szCs w:val="2"/>
        </w:rPr>
      </w:pPr>
    </w:p>
    <w:p w:rsidR="00E97AF8" w:rsidRDefault="00E97AF8" w:rsidP="00E97AF8">
      <w:pPr>
        <w:spacing w:after="120"/>
        <w:rPr>
          <w:rFonts w:ascii="Helvetica" w:hAnsi="Helvetica" w:cs="Helvetica"/>
          <w:color w:val="333333"/>
          <w:sz w:val="18"/>
          <w:szCs w:val="18"/>
        </w:rPr>
      </w:pPr>
      <w:r>
        <w:rPr>
          <w:rFonts w:ascii="Helvetica" w:hAnsi="Helvetica" w:cs="Helvetica"/>
          <w:color w:val="333333"/>
          <w:sz w:val="18"/>
          <w:szCs w:val="18"/>
        </w:rPr>
        <w:t>*</w:t>
      </w:r>
      <w:r w:rsidRPr="001A641D">
        <w:rPr>
          <w:rFonts w:ascii="Helvetica" w:hAnsi="Helvetica" w:cs="Helvetica"/>
          <w:color w:val="333333"/>
          <w:sz w:val="18"/>
          <w:szCs w:val="18"/>
        </w:rPr>
        <w:t>There may be min</w:t>
      </w:r>
      <w:r w:rsidR="00823019">
        <w:rPr>
          <w:rFonts w:ascii="Helvetica" w:hAnsi="Helvetica" w:cs="Helvetica"/>
          <w:color w:val="333333"/>
          <w:sz w:val="18"/>
          <w:szCs w:val="18"/>
        </w:rPr>
        <w:t>or discrepancies betwee</w:t>
      </w:r>
      <w:r>
        <w:rPr>
          <w:rFonts w:ascii="Helvetica" w:hAnsi="Helvetica" w:cs="Helvetica"/>
          <w:color w:val="333333"/>
          <w:sz w:val="18"/>
          <w:szCs w:val="18"/>
        </w:rPr>
        <w:t>n the percentages within this table and the corresponding</w:t>
      </w:r>
      <w:r w:rsidRPr="001A641D">
        <w:rPr>
          <w:rFonts w:ascii="Helvetica" w:hAnsi="Helvetica" w:cs="Helvetica"/>
          <w:color w:val="333333"/>
          <w:sz w:val="18"/>
          <w:szCs w:val="18"/>
        </w:rPr>
        <w:t xml:space="preserve"> fee</w:t>
      </w:r>
      <w:r>
        <w:rPr>
          <w:rFonts w:ascii="Helvetica" w:hAnsi="Helvetica" w:cs="Helvetica"/>
          <w:color w:val="333333"/>
          <w:sz w:val="18"/>
          <w:szCs w:val="18"/>
        </w:rPr>
        <w:t>s stated within this Statement. This is because</w:t>
      </w:r>
      <w:r w:rsidRPr="001A641D">
        <w:rPr>
          <w:rFonts w:ascii="Helvetica" w:hAnsi="Helvetica" w:cs="Helvetica"/>
          <w:color w:val="333333"/>
          <w:sz w:val="18"/>
          <w:szCs w:val="18"/>
        </w:rPr>
        <w:t xml:space="preserve"> </w:t>
      </w:r>
      <w:r>
        <w:rPr>
          <w:rFonts w:ascii="Helvetica" w:hAnsi="Helvetica" w:cs="Helvetica"/>
          <w:color w:val="333333"/>
          <w:sz w:val="18"/>
          <w:szCs w:val="18"/>
        </w:rPr>
        <w:t>the percentages above have been rounded to whole numbers</w:t>
      </w:r>
      <w:r w:rsidRPr="001A641D">
        <w:rPr>
          <w:rFonts w:ascii="Helvetica" w:hAnsi="Helvetica" w:cs="Helvetica"/>
          <w:color w:val="333333"/>
          <w:sz w:val="18"/>
          <w:szCs w:val="18"/>
        </w:rPr>
        <w:t xml:space="preserve">. </w:t>
      </w:r>
    </w:p>
    <w:p w:rsidR="001A641D" w:rsidRDefault="007E5C0A" w:rsidP="001A641D">
      <w:r>
        <w:rPr>
          <w:lang w:val="en-US"/>
        </w:rPr>
        <w:t>In circumstances where</w:t>
      </w:r>
      <w:r w:rsidRPr="00473D71">
        <w:t xml:space="preserve"> standard guidelines are used under section 101A(2)(a) </w:t>
      </w:r>
      <w:r>
        <w:t xml:space="preserve">or 96A(2)(a) </w:t>
      </w:r>
      <w:r w:rsidRPr="00473D71">
        <w:t xml:space="preserve">of the EPBC Act, the Stage 1 base fee </w:t>
      </w:r>
      <w:r>
        <w:t>and</w:t>
      </w:r>
      <w:r w:rsidRPr="00431385">
        <w:t xml:space="preserve"> complexity </w:t>
      </w:r>
      <w:r>
        <w:t>fees</w:t>
      </w:r>
      <w:r w:rsidRPr="00473D71">
        <w:t xml:space="preserve"> will not be applicable</w:t>
      </w:r>
      <w:r>
        <w:t xml:space="preserve"> and this will reduce the total fees payable. </w:t>
      </w:r>
    </w:p>
    <w:p w:rsidR="001A641D" w:rsidRPr="000523CF" w:rsidRDefault="007E5C0A" w:rsidP="001A641D">
      <w:pPr>
        <w:rPr>
          <w:lang w:val="en-US"/>
        </w:rPr>
      </w:pPr>
      <w:r w:rsidRPr="00DF0B1D">
        <w:rPr>
          <w:lang w:val="en-US"/>
        </w:rPr>
        <w:t>More information on the fees that may be applicable at each s</w:t>
      </w:r>
      <w:r>
        <w:rPr>
          <w:lang w:val="en-US"/>
        </w:rPr>
        <w:t>tage of the public environment</w:t>
      </w:r>
      <w:r w:rsidRPr="00DF0B1D">
        <w:rPr>
          <w:lang w:val="en-US"/>
        </w:rPr>
        <w:t xml:space="preserve"> report/environmental impact statement assessment process is ou</w:t>
      </w:r>
      <w:r w:rsidRPr="000523CF">
        <w:rPr>
          <w:lang w:val="en-US"/>
        </w:rPr>
        <w:t xml:space="preserve">tlined in the flowchart at </w:t>
      </w:r>
      <w:r w:rsidR="00FF3730">
        <w:fldChar w:fldCharType="begin"/>
      </w:r>
      <w:r w:rsidR="00FF3730">
        <w:instrText xml:space="preserve"> REF _Ref457913145 \h  \* </w:instrText>
      </w:r>
      <w:r w:rsidR="00FF3730">
        <w:instrText xml:space="preserve">MERGEFORMAT </w:instrText>
      </w:r>
      <w:r w:rsidR="00FF3730">
        <w:fldChar w:fldCharType="separate"/>
      </w:r>
      <w:r w:rsidR="00FF3730">
        <w:t>Figure 8</w:t>
      </w:r>
      <w:r w:rsidR="00FF3730">
        <w:fldChar w:fldCharType="end"/>
      </w:r>
      <w:r w:rsidRPr="000523CF">
        <w:t xml:space="preserve"> below.</w:t>
      </w:r>
      <w:r w:rsidRPr="000523CF">
        <w:rPr>
          <w:lang w:val="en-US"/>
        </w:rPr>
        <w:t xml:space="preserve"> Refer to Example 4 on page </w:t>
      </w:r>
      <w:r w:rsidR="003366B4" w:rsidRPr="000523CF">
        <w:rPr>
          <w:lang w:val="en-US"/>
        </w:rPr>
        <w:fldChar w:fldCharType="begin"/>
      </w:r>
      <w:r w:rsidRPr="000523CF">
        <w:rPr>
          <w:lang w:val="en-US"/>
        </w:rPr>
        <w:instrText xml:space="preserve"> PAGEREF _Ref457986103 \h </w:instrText>
      </w:r>
      <w:r w:rsidR="003366B4" w:rsidRPr="000523CF">
        <w:rPr>
          <w:lang w:val="en-US"/>
        </w:rPr>
      </w:r>
      <w:r w:rsidR="003366B4" w:rsidRPr="000523CF">
        <w:rPr>
          <w:lang w:val="en-US"/>
        </w:rPr>
        <w:fldChar w:fldCharType="separate"/>
      </w:r>
      <w:r w:rsidR="00FF3730">
        <w:rPr>
          <w:noProof/>
          <w:lang w:val="en-US"/>
        </w:rPr>
        <w:t>49</w:t>
      </w:r>
      <w:r w:rsidR="003366B4" w:rsidRPr="000523CF">
        <w:rPr>
          <w:lang w:val="en-US"/>
        </w:rPr>
        <w:fldChar w:fldCharType="end"/>
      </w:r>
      <w:r w:rsidRPr="000523CF">
        <w:rPr>
          <w:lang w:val="en-US"/>
        </w:rPr>
        <w:t xml:space="preserve"> to see how complexity fees could be applied to a proposed action assessed by public environment report or environmental impact statement.</w:t>
      </w:r>
      <w:r w:rsidRPr="000523CF">
        <w:rPr>
          <w:color w:val="00B050"/>
          <w:lang w:val="en-US"/>
        </w:rPr>
        <w:t xml:space="preserve"> </w:t>
      </w:r>
      <w:r w:rsidRPr="000523CF">
        <w:rPr>
          <w:lang w:val="en-US"/>
        </w:rPr>
        <w:t xml:space="preserve">Refer to section </w:t>
      </w:r>
      <w:r w:rsidR="00FF3730">
        <w:fldChar w:fldCharType="begin"/>
      </w:r>
      <w:r w:rsidR="00FF3730">
        <w:instrText xml:space="preserve"> REF _Ref457993827 \r \h  \* MERGEFORMAT </w:instrText>
      </w:r>
      <w:r w:rsidR="00FF3730">
        <w:fldChar w:fldCharType="separate"/>
      </w:r>
      <w:r w:rsidR="00FF3730" w:rsidRPr="00FF3730">
        <w:rPr>
          <w:lang w:val="en-US"/>
        </w:rPr>
        <w:t>3.3.3.2</w:t>
      </w:r>
      <w:r w:rsidR="00FF3730">
        <w:fldChar w:fldCharType="end"/>
      </w:r>
      <w:r w:rsidRPr="000523CF">
        <w:t xml:space="preserve"> </w:t>
      </w:r>
      <w:r w:rsidRPr="000523CF">
        <w:rPr>
          <w:lang w:val="en-US"/>
        </w:rPr>
        <w:t xml:space="preserve">for more information on reducing complexity fees. </w:t>
      </w:r>
    </w:p>
    <w:p w:rsidR="001A641D" w:rsidRDefault="007E5C0A" w:rsidP="001A641D">
      <w:pPr>
        <w:rPr>
          <w:noProof/>
          <w:lang w:eastAsia="en-AU"/>
        </w:rPr>
      </w:pPr>
      <w:r w:rsidRPr="000523CF">
        <w:t xml:space="preserve">The fees for contingent activities and for evaluation of post-approval action management plans may be applicable during the assessment or for an approval granted following an assessment by public environment report or environmental impact statement (see sections </w:t>
      </w:r>
      <w:r w:rsidR="00FF3730">
        <w:fldChar w:fldCharType="begin"/>
      </w:r>
      <w:r w:rsidR="00FF3730">
        <w:instrText xml:space="preserve"> REF _Ref457992829 \r \h  \* MERGEFORMAT </w:instrText>
      </w:r>
      <w:r w:rsidR="00FF3730">
        <w:fldChar w:fldCharType="separate"/>
      </w:r>
      <w:r w:rsidR="00FF3730">
        <w:t>3.3.1.2</w:t>
      </w:r>
      <w:r w:rsidR="00FF3730">
        <w:fldChar w:fldCharType="end"/>
      </w:r>
      <w:r w:rsidRPr="000523CF">
        <w:t xml:space="preserve"> and </w:t>
      </w:r>
      <w:r w:rsidR="00FF3730">
        <w:fldChar w:fldCharType="begin"/>
      </w:r>
      <w:r w:rsidR="00FF3730">
        <w:instrText xml:space="preserve"> REF _Ref457992822 \r \h  \* MERGEFORMAT </w:instrText>
      </w:r>
      <w:r w:rsidR="00FF3730">
        <w:fldChar w:fldCharType="separate"/>
      </w:r>
      <w:r w:rsidR="00FF3730">
        <w:t>3.3.1.3</w:t>
      </w:r>
      <w:r w:rsidR="00FF3730">
        <w:fldChar w:fldCharType="end"/>
      </w:r>
      <w:r w:rsidRPr="000523CF">
        <w:t xml:space="preserve"> for further information).</w:t>
      </w:r>
      <w:r>
        <w:rPr>
          <w:noProof/>
          <w:lang w:eastAsia="en-AU"/>
        </w:rPr>
        <w:br w:type="page"/>
      </w:r>
    </w:p>
    <w:p w:rsidR="001A641D" w:rsidRDefault="007E5C0A" w:rsidP="001A641D">
      <w:pPr>
        <w:pStyle w:val="Caption"/>
        <w:keepNext/>
      </w:pPr>
      <w:bookmarkStart w:id="1832" w:name="_Ref387068124"/>
      <w:bookmarkStart w:id="1833" w:name="_Ref387068133"/>
      <w:bookmarkStart w:id="1834" w:name="_Toc387072716"/>
      <w:r>
        <w:rPr>
          <w:noProof/>
          <w:lang w:eastAsia="en-AU"/>
        </w:rPr>
        <w:drawing>
          <wp:inline distT="0" distB="0" distL="0" distR="0">
            <wp:extent cx="6120765" cy="8405142"/>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tretch>
                      <a:fillRect/>
                    </a:stretch>
                  </pic:blipFill>
                  <pic:spPr bwMode="auto">
                    <a:xfrm>
                      <a:off x="0" y="0"/>
                      <a:ext cx="6120765" cy="8405142"/>
                    </a:xfrm>
                    <a:prstGeom prst="rect">
                      <a:avLst/>
                    </a:prstGeom>
                    <a:noFill/>
                    <a:ln w="9525">
                      <a:noFill/>
                      <a:miter lim="800000"/>
                      <a:headEnd/>
                      <a:tailEnd/>
                    </a:ln>
                  </pic:spPr>
                </pic:pic>
              </a:graphicData>
            </a:graphic>
          </wp:inline>
        </w:drawing>
      </w:r>
    </w:p>
    <w:p w:rsidR="001A641D" w:rsidRDefault="007E5C0A" w:rsidP="001A641D">
      <w:pPr>
        <w:pStyle w:val="Caption"/>
      </w:pPr>
      <w:bookmarkStart w:id="1835" w:name="_Ref457913145"/>
      <w:bookmarkStart w:id="1836" w:name="_Toc256000292"/>
      <w:bookmarkStart w:id="1837" w:name="_Toc256000184"/>
      <w:bookmarkStart w:id="1838" w:name="_Toc256000076"/>
      <w:bookmarkStart w:id="1839" w:name="_Toc458170579"/>
      <w:bookmarkStart w:id="1840" w:name="_Toc459108592"/>
      <w:r>
        <w:t xml:space="preserve">Figure </w:t>
      </w:r>
      <w:r w:rsidR="003366B4">
        <w:fldChar w:fldCharType="begin"/>
      </w:r>
      <w:r>
        <w:instrText xml:space="preserve"> SEQ Figure \* ARABIC </w:instrText>
      </w:r>
      <w:r w:rsidR="003366B4">
        <w:fldChar w:fldCharType="separate"/>
      </w:r>
      <w:r w:rsidR="00FF3730">
        <w:rPr>
          <w:noProof/>
        </w:rPr>
        <w:t>8</w:t>
      </w:r>
      <w:r w:rsidR="003366B4">
        <w:fldChar w:fldCharType="end"/>
      </w:r>
      <w:bookmarkEnd w:id="1835"/>
      <w:r>
        <w:t xml:space="preserve">. </w:t>
      </w:r>
      <w:r w:rsidRPr="004D1850">
        <w:t>Fee stages f</w:t>
      </w:r>
      <w:r>
        <w:t>lowchart for public environment</w:t>
      </w:r>
      <w:r w:rsidRPr="004D1850">
        <w:t xml:space="preserve"> report and environmental impact statement process.</w:t>
      </w:r>
      <w:bookmarkEnd w:id="1836"/>
      <w:bookmarkEnd w:id="1837"/>
      <w:bookmarkEnd w:id="1838"/>
      <w:bookmarkEnd w:id="1839"/>
      <w:bookmarkEnd w:id="1840"/>
    </w:p>
    <w:bookmarkEnd w:id="1832"/>
    <w:bookmarkEnd w:id="1833"/>
    <w:bookmarkEnd w:id="1834"/>
    <w:p w:rsidR="001A641D" w:rsidRDefault="001A641D" w:rsidP="001A641D"/>
    <w:p w:rsidR="001A641D" w:rsidRDefault="007E5C0A" w:rsidP="001A641D">
      <w:pPr>
        <w:pStyle w:val="Caption"/>
        <w:keepNext/>
      </w:pPr>
      <w:bookmarkStart w:id="1841" w:name="_Toc256000407"/>
      <w:bookmarkStart w:id="1842" w:name="_Toc256000299"/>
      <w:bookmarkStart w:id="1843" w:name="_Toc256000191"/>
      <w:bookmarkStart w:id="1844" w:name="_Toc256000083"/>
      <w:bookmarkStart w:id="1845" w:name="_Ref457985835"/>
      <w:bookmarkStart w:id="1846" w:name="_Ref457986103"/>
      <w:bookmarkStart w:id="1847" w:name="_Toc458170586"/>
      <w:r>
        <w:t xml:space="preserve">Example </w:t>
      </w:r>
      <w:r w:rsidR="003366B4">
        <w:fldChar w:fldCharType="begin"/>
      </w:r>
      <w:r>
        <w:instrText xml:space="preserve"> SEQ Example \* ARABIC </w:instrText>
      </w:r>
      <w:r w:rsidR="003366B4">
        <w:fldChar w:fldCharType="separate"/>
      </w:r>
      <w:r w:rsidR="00FF3730">
        <w:rPr>
          <w:noProof/>
        </w:rPr>
        <w:t>4</w:t>
      </w:r>
      <w:r w:rsidR="003366B4">
        <w:rPr>
          <w:noProof/>
        </w:rPr>
        <w:fldChar w:fldCharType="end"/>
      </w:r>
      <w:r>
        <w:t xml:space="preserve">. </w:t>
      </w:r>
      <w:r w:rsidRPr="00BC693E">
        <w:t xml:space="preserve">Mine, rail </w:t>
      </w:r>
      <w:r>
        <w:t>&amp;</w:t>
      </w:r>
      <w:r w:rsidRPr="00BC693E">
        <w:t xml:space="preserve"> port development with associated offshore dredging (environmental impact statement)</w:t>
      </w:r>
      <w:bookmarkEnd w:id="1841"/>
      <w:bookmarkEnd w:id="1842"/>
      <w:bookmarkEnd w:id="1843"/>
      <w:bookmarkEnd w:id="1844"/>
      <w:bookmarkEnd w:id="1845"/>
      <w:bookmarkEnd w:id="1846"/>
      <w:bookmarkEnd w:id="1847"/>
    </w:p>
    <w:tbl>
      <w:tblPr>
        <w:tblStyle w:val="TableGrid"/>
        <w:tblW w:w="5000" w:type="pct"/>
        <w:tblLayout w:type="fixed"/>
        <w:tblLook w:val="04A0" w:firstRow="1" w:lastRow="0" w:firstColumn="1" w:lastColumn="0" w:noHBand="0" w:noVBand="1"/>
      </w:tblPr>
      <w:tblGrid>
        <w:gridCol w:w="1081"/>
        <w:gridCol w:w="438"/>
        <w:gridCol w:w="3976"/>
        <w:gridCol w:w="3118"/>
        <w:gridCol w:w="1242"/>
      </w:tblGrid>
      <w:tr w:rsidR="00397365" w:rsidTr="001A641D">
        <w:trPr>
          <w:cnfStyle w:val="100000000000" w:firstRow="1" w:lastRow="0" w:firstColumn="0" w:lastColumn="0" w:oddVBand="0" w:evenVBand="0" w:oddHBand="0" w:evenHBand="0" w:firstRowFirstColumn="0" w:firstRowLastColumn="0" w:lastRowFirstColumn="0" w:lastRowLastColumn="0"/>
          <w:cantSplit/>
          <w:trHeight w:val="643"/>
        </w:trPr>
        <w:tc>
          <w:tcPr>
            <w:tcW w:w="5000" w:type="pct"/>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tcPr>
          <w:p w:rsidR="001A641D" w:rsidRPr="00AF7F9B" w:rsidRDefault="007E5C0A" w:rsidP="001A641D">
            <w:pPr>
              <w:rPr>
                <w:sz w:val="18"/>
                <w:szCs w:val="18"/>
              </w:rPr>
            </w:pPr>
            <w:r w:rsidRPr="00AF7F9B">
              <w:rPr>
                <w:b/>
                <w:sz w:val="18"/>
                <w:szCs w:val="18"/>
              </w:rPr>
              <w:t>Project description</w:t>
            </w:r>
            <w:r w:rsidRPr="00AF7F9B">
              <w:rPr>
                <w:sz w:val="18"/>
                <w:szCs w:val="18"/>
              </w:rPr>
              <w:t xml:space="preserve">: </w:t>
            </w:r>
            <w:r>
              <w:rPr>
                <w:sz w:val="18"/>
                <w:szCs w:val="18"/>
              </w:rPr>
              <w:t>Mining</w:t>
            </w:r>
            <w:r w:rsidRPr="00AF7F9B">
              <w:rPr>
                <w:sz w:val="18"/>
                <w:szCs w:val="18"/>
              </w:rPr>
              <w:t xml:space="preserve"> Pty Ltd is proposing the expansion of an existing mine that includes a widening of the mine’s footprint and a new rail line to a new onshore port facility. The development of the port facility also involves offshore dredging for the shipping channel and construction of a jetty for docking of ships. </w:t>
            </w:r>
            <w:r>
              <w:rPr>
                <w:sz w:val="18"/>
                <w:szCs w:val="18"/>
              </w:rPr>
              <w:t>The dredging and the likely impacts of its plume extend into the Commonwealth marine environment. The port infrastructure is proposed to be constructed over a shoreline area that provides foraging habitat for threatened and migratory species.</w:t>
            </w:r>
          </w:p>
          <w:p w:rsidR="001A641D" w:rsidRPr="00AF7F9B" w:rsidRDefault="007E5C0A" w:rsidP="001A641D">
            <w:pPr>
              <w:rPr>
                <w:sz w:val="18"/>
                <w:szCs w:val="18"/>
              </w:rPr>
            </w:pPr>
            <w:r w:rsidRPr="00AF7F9B">
              <w:rPr>
                <w:sz w:val="18"/>
                <w:szCs w:val="18"/>
              </w:rPr>
              <w:t xml:space="preserve">Referral documentation does not provide alternative dredging footprints to reduce the impact on coral species within the Commonwealth marine area. Clarification is required as to whether the project timing can be altered to reduce impacts on migratory and threatened species. </w:t>
            </w:r>
          </w:p>
          <w:p w:rsidR="001A641D" w:rsidRPr="00AF7F9B" w:rsidRDefault="007E5C0A" w:rsidP="001A641D">
            <w:pPr>
              <w:rPr>
                <w:b/>
                <w:sz w:val="18"/>
                <w:szCs w:val="18"/>
              </w:rPr>
            </w:pPr>
            <w:r>
              <w:rPr>
                <w:sz w:val="18"/>
                <w:szCs w:val="18"/>
              </w:rPr>
              <w:t xml:space="preserve">The assessment needs to be coordinated with two other legislative processes: a state government assessment of the mine and rail line; and a Commonwealth process under the </w:t>
            </w:r>
            <w:r w:rsidRPr="00150046">
              <w:rPr>
                <w:i/>
                <w:sz w:val="18"/>
                <w:szCs w:val="18"/>
              </w:rPr>
              <w:t>Environment Protection (Sea Dumping) Act 1981</w:t>
            </w:r>
            <w:r>
              <w:rPr>
                <w:i/>
                <w:sz w:val="18"/>
                <w:szCs w:val="18"/>
              </w:rPr>
              <w:t xml:space="preserve"> </w:t>
            </w:r>
            <w:r>
              <w:rPr>
                <w:sz w:val="18"/>
                <w:szCs w:val="18"/>
              </w:rPr>
              <w:t xml:space="preserve">for the offshore dredging. The state process is one that is accredited under a bilateral agreement, but the bilateral cannot apply as the state assessment does not include the port facility or offshore dredging. </w:t>
            </w:r>
          </w:p>
        </w:tc>
      </w:tr>
      <w:tr w:rsidR="00397365" w:rsidTr="001A641D">
        <w:trPr>
          <w:cnfStyle w:val="000000100000" w:firstRow="0" w:lastRow="0" w:firstColumn="0" w:lastColumn="0" w:oddVBand="0" w:evenVBand="0" w:oddHBand="1" w:evenHBand="0" w:firstRowFirstColumn="0" w:firstRowLastColumn="0" w:lastRowFirstColumn="0" w:lastRowLastColumn="0"/>
          <w:cantSplit/>
          <w:trHeight w:val="643"/>
        </w:trPr>
        <w:tc>
          <w:tcPr>
            <w:tcW w:w="771"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8DB3E2" w:themeFill="text2" w:themeFillTint="66"/>
          </w:tcPr>
          <w:p w:rsidR="001A641D" w:rsidRPr="00AF7F9B" w:rsidRDefault="007E5C0A" w:rsidP="001A641D">
            <w:pPr>
              <w:jc w:val="center"/>
              <w:rPr>
                <w:b/>
                <w:sz w:val="18"/>
                <w:szCs w:val="18"/>
              </w:rPr>
            </w:pPr>
            <w:r w:rsidRPr="00AF7F9B">
              <w:rPr>
                <w:b/>
                <w:sz w:val="18"/>
                <w:szCs w:val="18"/>
              </w:rPr>
              <w:t>Fee Ref.*</w:t>
            </w:r>
          </w:p>
        </w:tc>
        <w:tc>
          <w:tcPr>
            <w:tcW w:w="2017"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AF7F9B" w:rsidRDefault="007E5C0A" w:rsidP="001A641D">
            <w:pPr>
              <w:jc w:val="center"/>
              <w:rPr>
                <w:b/>
                <w:sz w:val="18"/>
                <w:szCs w:val="18"/>
              </w:rPr>
            </w:pPr>
            <w:r w:rsidRPr="00AF7F9B">
              <w:rPr>
                <w:b/>
                <w:sz w:val="18"/>
                <w:szCs w:val="18"/>
              </w:rPr>
              <w:t>Project characteristics</w:t>
            </w:r>
          </w:p>
        </w:tc>
        <w:tc>
          <w:tcPr>
            <w:tcW w:w="1582" w:type="pct"/>
            <w:tcBorders>
              <w:top w:val="single" w:sz="4" w:space="0" w:color="548DD4" w:themeColor="text2" w:themeTint="99"/>
              <w:left w:val="nil"/>
              <w:bottom w:val="single" w:sz="4" w:space="0" w:color="548DD4" w:themeColor="text2" w:themeTint="99"/>
              <w:right w:val="nil"/>
            </w:tcBorders>
            <w:shd w:val="clear" w:color="auto" w:fill="8DB3E2" w:themeFill="text2" w:themeFillTint="66"/>
            <w:vAlign w:val="center"/>
          </w:tcPr>
          <w:p w:rsidR="001A641D" w:rsidRPr="00AF7F9B" w:rsidRDefault="007E5C0A" w:rsidP="001A641D">
            <w:pPr>
              <w:jc w:val="center"/>
              <w:rPr>
                <w:b/>
                <w:sz w:val="18"/>
                <w:szCs w:val="18"/>
              </w:rPr>
            </w:pPr>
            <w:r w:rsidRPr="00AF7F9B">
              <w:rPr>
                <w:b/>
                <w:sz w:val="18"/>
                <w:szCs w:val="18"/>
              </w:rPr>
              <w:t>Additional resources required during the assessment process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F7F9B" w:rsidRDefault="007E5C0A" w:rsidP="001A641D">
            <w:pPr>
              <w:jc w:val="center"/>
              <w:rPr>
                <w:b/>
                <w:sz w:val="18"/>
                <w:szCs w:val="18"/>
              </w:rPr>
            </w:pPr>
            <w:r>
              <w:rPr>
                <w:b/>
                <w:sz w:val="18"/>
                <w:szCs w:val="18"/>
              </w:rPr>
              <w:t>Fee</w:t>
            </w:r>
          </w:p>
        </w:tc>
      </w:tr>
      <w:tr w:rsidR="00397365" w:rsidTr="001A641D">
        <w:trPr>
          <w:cnfStyle w:val="000000010000" w:firstRow="0" w:lastRow="0" w:firstColumn="0" w:lastColumn="0" w:oddVBand="0" w:evenVBand="0" w:oddHBand="0" w:evenHBand="1" w:firstRowFirstColumn="0" w:firstRowLastColumn="0" w:lastRowFirstColumn="0" w:lastRowLastColumn="0"/>
          <w:cantSplit/>
          <w:trHeight w:val="254"/>
        </w:trPr>
        <w:tc>
          <w:tcPr>
            <w:tcW w:w="549" w:type="pct"/>
            <w:vMerge w:val="restart"/>
            <w:tcBorders>
              <w:top w:val="single" w:sz="4" w:space="0" w:color="548DD4" w:themeColor="text2" w:themeTint="99"/>
              <w:left w:val="single" w:sz="4" w:space="0" w:color="548DD4" w:themeColor="text2" w:themeTint="99"/>
              <w:right w:val="nil"/>
            </w:tcBorders>
            <w:shd w:val="clear" w:color="auto" w:fill="C6D9F1" w:themeFill="text2" w:themeFillTint="33"/>
          </w:tcPr>
          <w:p w:rsidR="001A641D" w:rsidRPr="00AF7F9B" w:rsidRDefault="007E5C0A" w:rsidP="001A641D">
            <w:pPr>
              <w:rPr>
                <w:sz w:val="18"/>
                <w:szCs w:val="18"/>
              </w:rPr>
            </w:pPr>
            <w:r>
              <w:rPr>
                <w:sz w:val="18"/>
                <w:szCs w:val="18"/>
              </w:rPr>
              <w:t>Part A complexity fees</w:t>
            </w:r>
          </w:p>
        </w:tc>
        <w:tc>
          <w:tcPr>
            <w:tcW w:w="2238"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1A641D" w:rsidRPr="00AF7F9B" w:rsidRDefault="007E5C0A" w:rsidP="001A641D">
            <w:pPr>
              <w:rPr>
                <w:sz w:val="18"/>
                <w:szCs w:val="18"/>
              </w:rPr>
            </w:pPr>
            <w:r w:rsidRPr="00AF7F9B">
              <w:rPr>
                <w:sz w:val="18"/>
                <w:szCs w:val="18"/>
              </w:rPr>
              <w:t>Controlling provisions triggered</w:t>
            </w:r>
          </w:p>
        </w:tc>
        <w:tc>
          <w:tcPr>
            <w:tcW w:w="1582"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1A641D" w:rsidRPr="00AF7F9B" w:rsidRDefault="001A641D" w:rsidP="001A641D">
            <w:pPr>
              <w:rPr>
                <w:sz w:val="18"/>
                <w:szCs w:val="18"/>
              </w:rPr>
            </w:pP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1A641D" w:rsidRPr="00AF7F9B" w:rsidRDefault="001A641D" w:rsidP="001A641D">
            <w:pPr>
              <w:rPr>
                <w:sz w:val="18"/>
                <w:szCs w:val="18"/>
              </w:rPr>
            </w:pP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49" w:type="pct"/>
            <w:vMerge/>
            <w:tcBorders>
              <w:left w:val="single" w:sz="4" w:space="0" w:color="548DD4" w:themeColor="text2" w:themeTint="99"/>
              <w:right w:val="nil"/>
            </w:tcBorders>
          </w:tcPr>
          <w:p w:rsidR="001A641D" w:rsidRPr="003B4B28" w:rsidRDefault="001A641D" w:rsidP="001A641D">
            <w:pPr>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3B4B28" w:rsidRDefault="007E5C0A" w:rsidP="001A641D">
            <w:pPr>
              <w:jc w:val="center"/>
              <w:rPr>
                <w:sz w:val="18"/>
                <w:szCs w:val="18"/>
              </w:rPr>
            </w:pPr>
            <w:r w:rsidRPr="003B4B28">
              <w:rPr>
                <w:sz w:val="18"/>
                <w:szCs w:val="18"/>
              </w:rPr>
              <w:t>A</w:t>
            </w:r>
          </w:p>
        </w:tc>
        <w:tc>
          <w:tcPr>
            <w:tcW w:w="2017" w:type="pct"/>
            <w:tcBorders>
              <w:top w:val="single" w:sz="4" w:space="0" w:color="548DD4" w:themeColor="text2" w:themeTint="99"/>
              <w:left w:val="nil"/>
              <w:bottom w:val="single" w:sz="4" w:space="0" w:color="548DD4" w:themeColor="text2" w:themeTint="99"/>
              <w:right w:val="nil"/>
            </w:tcBorders>
          </w:tcPr>
          <w:p w:rsidR="001A641D" w:rsidRPr="003B4B28" w:rsidRDefault="007E5C0A" w:rsidP="001A641D">
            <w:pPr>
              <w:pStyle w:val="ListBullet"/>
              <w:numPr>
                <w:ilvl w:val="0"/>
                <w:numId w:val="0"/>
              </w:numPr>
              <w:spacing w:after="0"/>
              <w:ind w:left="41"/>
              <w:rPr>
                <w:sz w:val="18"/>
                <w:szCs w:val="18"/>
              </w:rPr>
            </w:pPr>
            <w:r w:rsidRPr="003B4B28">
              <w:rPr>
                <w:sz w:val="18"/>
                <w:szCs w:val="18"/>
              </w:rPr>
              <w:t>8 threatened species and 1 ecological community require assessment; impacts to the 7 species are well defined and understood; impacts to 1 species and the ecological community are not well understood; management options are all well defined and understood.</w:t>
            </w:r>
          </w:p>
        </w:tc>
        <w:tc>
          <w:tcPr>
            <w:tcW w:w="1582" w:type="pct"/>
            <w:tcBorders>
              <w:top w:val="single" w:sz="4" w:space="0" w:color="548DD4" w:themeColor="text2" w:themeTint="99"/>
              <w:left w:val="nil"/>
              <w:bottom w:val="single" w:sz="4" w:space="0" w:color="548DD4" w:themeColor="text2" w:themeTint="99"/>
              <w:right w:val="nil"/>
            </w:tcBorders>
          </w:tcPr>
          <w:p w:rsidR="001A641D" w:rsidRPr="003B4B28" w:rsidRDefault="007E5C0A" w:rsidP="001A641D">
            <w:pPr>
              <w:spacing w:after="0"/>
              <w:rPr>
                <w:sz w:val="18"/>
                <w:szCs w:val="18"/>
              </w:rPr>
            </w:pPr>
            <w:r w:rsidRPr="003B4B28">
              <w:rPr>
                <w:sz w:val="18"/>
                <w:szCs w:val="18"/>
              </w:rPr>
              <w:t>Threatened species (high complexity):</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Officer—20.59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Director—6.98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Director—2.25 days</w:t>
            </w:r>
          </w:p>
          <w:p w:rsidR="001A641D" w:rsidRDefault="007E5C0A" w:rsidP="001A641D">
            <w:pPr>
              <w:pStyle w:val="ListParagraph"/>
              <w:numPr>
                <w:ilvl w:val="0"/>
                <w:numId w:val="6"/>
              </w:numPr>
              <w:spacing w:after="0" w:line="240" w:lineRule="auto"/>
              <w:ind w:left="360"/>
              <w:contextualSpacing/>
              <w:rPr>
                <w:sz w:val="18"/>
                <w:szCs w:val="18"/>
              </w:rPr>
            </w:pPr>
            <w:r>
              <w:rPr>
                <w:sz w:val="18"/>
                <w:szCs w:val="18"/>
              </w:rPr>
              <w:t>SES</w:t>
            </w:r>
            <w:r w:rsidRPr="003B4B28">
              <w:rPr>
                <w:sz w:val="18"/>
                <w:szCs w:val="18"/>
              </w:rPr>
              <w:t xml:space="preserve"> – 0.4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Line area advice - $8,827</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3B4B28" w:rsidRDefault="007E5C0A" w:rsidP="001A641D">
            <w:pPr>
              <w:spacing w:after="0"/>
              <w:jc w:val="center"/>
              <w:rPr>
                <w:sz w:val="18"/>
                <w:szCs w:val="18"/>
              </w:rPr>
            </w:pPr>
            <w:r w:rsidRPr="003B4B28">
              <w:rPr>
                <w:sz w:val="18"/>
                <w:szCs w:val="18"/>
              </w:rPr>
              <w:t>$25,615</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549" w:type="pct"/>
            <w:vMerge/>
            <w:tcBorders>
              <w:left w:val="single" w:sz="4" w:space="0" w:color="548DD4" w:themeColor="text2" w:themeTint="99"/>
              <w:right w:val="nil"/>
            </w:tcBorders>
          </w:tcPr>
          <w:p w:rsidR="001A641D" w:rsidRPr="003B4B28" w:rsidRDefault="001A641D" w:rsidP="001A641D">
            <w:pPr>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3B4B28" w:rsidRDefault="007E5C0A" w:rsidP="001A641D">
            <w:pPr>
              <w:jc w:val="center"/>
              <w:rPr>
                <w:sz w:val="18"/>
                <w:szCs w:val="18"/>
              </w:rPr>
            </w:pPr>
            <w:r w:rsidRPr="003B4B28">
              <w:rPr>
                <w:sz w:val="18"/>
                <w:szCs w:val="18"/>
              </w:rPr>
              <w:t>B</w:t>
            </w:r>
          </w:p>
        </w:tc>
        <w:tc>
          <w:tcPr>
            <w:tcW w:w="2017" w:type="pct"/>
            <w:tcBorders>
              <w:top w:val="single" w:sz="4" w:space="0" w:color="548DD4" w:themeColor="text2" w:themeTint="99"/>
              <w:left w:val="nil"/>
              <w:bottom w:val="single" w:sz="4" w:space="0" w:color="548DD4" w:themeColor="text2" w:themeTint="99"/>
              <w:right w:val="nil"/>
            </w:tcBorders>
          </w:tcPr>
          <w:p w:rsidR="001A641D" w:rsidRPr="003B4B28" w:rsidRDefault="007E5C0A" w:rsidP="001A641D">
            <w:pPr>
              <w:pStyle w:val="ListBullet"/>
              <w:numPr>
                <w:ilvl w:val="0"/>
                <w:numId w:val="0"/>
              </w:numPr>
              <w:spacing w:after="0"/>
              <w:ind w:left="41"/>
              <w:rPr>
                <w:sz w:val="18"/>
                <w:szCs w:val="18"/>
              </w:rPr>
            </w:pPr>
            <w:r w:rsidRPr="003B4B28">
              <w:rPr>
                <w:sz w:val="18"/>
                <w:szCs w:val="18"/>
              </w:rPr>
              <w:t>6 migratory species require assessment, 4 of which are also threatened species considered above; impacts to all migratory species are well defined and understood; and all management options are well defined and understood .</w:t>
            </w:r>
          </w:p>
        </w:tc>
        <w:tc>
          <w:tcPr>
            <w:tcW w:w="1582" w:type="pct"/>
            <w:tcBorders>
              <w:top w:val="single" w:sz="4" w:space="0" w:color="548DD4" w:themeColor="text2" w:themeTint="99"/>
              <w:left w:val="nil"/>
              <w:bottom w:val="single" w:sz="4" w:space="0" w:color="548DD4" w:themeColor="text2" w:themeTint="99"/>
              <w:right w:val="nil"/>
            </w:tcBorders>
          </w:tcPr>
          <w:p w:rsidR="001A641D" w:rsidRPr="003B4B28" w:rsidRDefault="007E5C0A" w:rsidP="001A641D">
            <w:pPr>
              <w:spacing w:after="0"/>
              <w:rPr>
                <w:sz w:val="18"/>
                <w:szCs w:val="18"/>
              </w:rPr>
            </w:pPr>
            <w:r w:rsidRPr="003B4B28">
              <w:rPr>
                <w:sz w:val="18"/>
                <w:szCs w:val="18"/>
              </w:rPr>
              <w:t>Migratory species (moderate complexity):</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Officer—7.93 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Assistant Director—2.94 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Director—1.25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SES</w:t>
            </w:r>
            <w:r w:rsidRPr="003B4B28">
              <w:rPr>
                <w:sz w:val="18"/>
                <w:szCs w:val="18"/>
              </w:rPr>
              <w:t xml:space="preserve"> – 0.11 days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3B4B28" w:rsidRDefault="007E5C0A" w:rsidP="001A641D">
            <w:pPr>
              <w:spacing w:after="0"/>
              <w:jc w:val="center"/>
              <w:rPr>
                <w:sz w:val="18"/>
                <w:szCs w:val="18"/>
              </w:rPr>
            </w:pPr>
            <w:r w:rsidRPr="003B4B28">
              <w:rPr>
                <w:sz w:val="18"/>
                <w:szCs w:val="18"/>
              </w:rPr>
              <w:t>$6,742</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49" w:type="pct"/>
            <w:vMerge/>
            <w:tcBorders>
              <w:left w:val="single" w:sz="4" w:space="0" w:color="548DD4" w:themeColor="text2" w:themeTint="99"/>
              <w:right w:val="nil"/>
            </w:tcBorders>
          </w:tcPr>
          <w:p w:rsidR="001A641D" w:rsidRPr="003B4B28" w:rsidRDefault="001A641D" w:rsidP="001A641D">
            <w:pPr>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3B4B28" w:rsidRDefault="007E5C0A" w:rsidP="001A641D">
            <w:pPr>
              <w:jc w:val="center"/>
              <w:rPr>
                <w:sz w:val="18"/>
                <w:szCs w:val="18"/>
              </w:rPr>
            </w:pPr>
            <w:r w:rsidRPr="003B4B28">
              <w:rPr>
                <w:sz w:val="18"/>
                <w:szCs w:val="18"/>
              </w:rPr>
              <w:t>D</w:t>
            </w:r>
          </w:p>
        </w:tc>
        <w:tc>
          <w:tcPr>
            <w:tcW w:w="2017" w:type="pct"/>
            <w:tcBorders>
              <w:top w:val="single" w:sz="4" w:space="0" w:color="548DD4" w:themeColor="text2" w:themeTint="99"/>
              <w:left w:val="nil"/>
              <w:bottom w:val="single" w:sz="4" w:space="0" w:color="548DD4" w:themeColor="text2" w:themeTint="99"/>
              <w:right w:val="nil"/>
            </w:tcBorders>
          </w:tcPr>
          <w:p w:rsidR="001A641D" w:rsidRPr="003B4B28" w:rsidRDefault="007E5C0A" w:rsidP="001A641D">
            <w:pPr>
              <w:pStyle w:val="ListBullet"/>
              <w:numPr>
                <w:ilvl w:val="0"/>
                <w:numId w:val="0"/>
              </w:numPr>
              <w:spacing w:after="0"/>
              <w:ind w:left="41"/>
              <w:rPr>
                <w:sz w:val="18"/>
                <w:szCs w:val="18"/>
              </w:rPr>
            </w:pPr>
            <w:r w:rsidRPr="003B4B28">
              <w:rPr>
                <w:sz w:val="18"/>
                <w:szCs w:val="18"/>
              </w:rPr>
              <w:t>The impacts to the marine environment are well defined and understood but the available options for managing these impacts are not well understood.</w:t>
            </w:r>
          </w:p>
        </w:tc>
        <w:tc>
          <w:tcPr>
            <w:tcW w:w="1582" w:type="pct"/>
            <w:tcBorders>
              <w:top w:val="single" w:sz="4" w:space="0" w:color="548DD4" w:themeColor="text2" w:themeTint="99"/>
              <w:left w:val="nil"/>
              <w:bottom w:val="single" w:sz="4" w:space="0" w:color="548DD4" w:themeColor="text2" w:themeTint="99"/>
              <w:right w:val="nil"/>
            </w:tcBorders>
          </w:tcPr>
          <w:p w:rsidR="001A641D" w:rsidRPr="003B4B28" w:rsidRDefault="007E5C0A" w:rsidP="001A641D">
            <w:pPr>
              <w:spacing w:after="0"/>
              <w:rPr>
                <w:sz w:val="18"/>
                <w:szCs w:val="18"/>
              </w:rPr>
            </w:pPr>
            <w:r w:rsidRPr="003B4B28">
              <w:rPr>
                <w:sz w:val="18"/>
                <w:szCs w:val="18"/>
              </w:rPr>
              <w:t>Commonwealth marine area (high complexity):</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Officer—20.59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Assistant Director—6.98</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Director—2.25 days</w:t>
            </w:r>
          </w:p>
          <w:p w:rsidR="001A641D" w:rsidRDefault="007E5C0A" w:rsidP="001A641D">
            <w:pPr>
              <w:pStyle w:val="ListParagraph"/>
              <w:numPr>
                <w:ilvl w:val="0"/>
                <w:numId w:val="6"/>
              </w:numPr>
              <w:spacing w:after="0" w:line="240" w:lineRule="auto"/>
              <w:ind w:left="360"/>
              <w:contextualSpacing/>
              <w:rPr>
                <w:sz w:val="18"/>
                <w:szCs w:val="18"/>
              </w:rPr>
            </w:pPr>
            <w:r>
              <w:rPr>
                <w:sz w:val="18"/>
                <w:szCs w:val="18"/>
              </w:rPr>
              <w:t>SES</w:t>
            </w:r>
            <w:r w:rsidRPr="003B4B28">
              <w:rPr>
                <w:sz w:val="18"/>
                <w:szCs w:val="18"/>
              </w:rPr>
              <w:t xml:space="preserve"> – 0.4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Line area advice - $8,827</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3B4B28" w:rsidRDefault="007E5C0A" w:rsidP="001A641D">
            <w:pPr>
              <w:spacing w:after="0"/>
              <w:jc w:val="center"/>
              <w:rPr>
                <w:sz w:val="18"/>
                <w:szCs w:val="18"/>
              </w:rPr>
            </w:pPr>
            <w:r w:rsidRPr="003B4B28">
              <w:rPr>
                <w:sz w:val="18"/>
                <w:szCs w:val="18"/>
              </w:rPr>
              <w:t>$25,615</w:t>
            </w:r>
          </w:p>
        </w:tc>
      </w:tr>
      <w:tr w:rsidR="00397365" w:rsidTr="001A641D">
        <w:trPr>
          <w:cnfStyle w:val="000000010000" w:firstRow="0" w:lastRow="0" w:firstColumn="0" w:lastColumn="0" w:oddVBand="0" w:evenVBand="0" w:oddHBand="0" w:evenHBand="1" w:firstRowFirstColumn="0" w:firstRowLastColumn="0" w:lastRowFirstColumn="0" w:lastRowLastColumn="0"/>
          <w:cantSplit/>
          <w:trHeight w:val="165"/>
        </w:trPr>
        <w:tc>
          <w:tcPr>
            <w:tcW w:w="549" w:type="pct"/>
            <w:vMerge/>
            <w:tcBorders>
              <w:left w:val="single" w:sz="4" w:space="0" w:color="548DD4" w:themeColor="text2" w:themeTint="99"/>
              <w:right w:val="nil"/>
            </w:tcBorders>
            <w:shd w:val="clear" w:color="auto" w:fill="C6D9F1" w:themeFill="text2" w:themeFillTint="33"/>
          </w:tcPr>
          <w:p w:rsidR="001A641D" w:rsidRPr="00AF7F9B" w:rsidRDefault="001A641D" w:rsidP="001A641D">
            <w:pPr>
              <w:rPr>
                <w:sz w:val="18"/>
                <w:szCs w:val="18"/>
              </w:rPr>
            </w:pPr>
          </w:p>
        </w:tc>
        <w:tc>
          <w:tcPr>
            <w:tcW w:w="2238"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1A641D" w:rsidRPr="00AF7F9B" w:rsidRDefault="007E5C0A" w:rsidP="001A641D">
            <w:pPr>
              <w:rPr>
                <w:sz w:val="18"/>
                <w:szCs w:val="18"/>
              </w:rPr>
            </w:pPr>
            <w:r w:rsidRPr="00AF7F9B">
              <w:rPr>
                <w:sz w:val="18"/>
                <w:szCs w:val="18"/>
              </w:rPr>
              <w:t>Project components</w:t>
            </w:r>
          </w:p>
        </w:tc>
        <w:tc>
          <w:tcPr>
            <w:tcW w:w="1582"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1A641D" w:rsidRPr="00AF7F9B" w:rsidRDefault="001A641D" w:rsidP="001A641D">
            <w:pPr>
              <w:rPr>
                <w:sz w:val="18"/>
                <w:szCs w:val="18"/>
              </w:rPr>
            </w:pP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1A641D" w:rsidRPr="00AF7F9B" w:rsidRDefault="001A641D" w:rsidP="001A641D">
            <w:pPr>
              <w:jc w:val="center"/>
              <w:rPr>
                <w:sz w:val="18"/>
                <w:szCs w:val="18"/>
              </w:rPr>
            </w:pP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49" w:type="pct"/>
            <w:vMerge/>
            <w:tcBorders>
              <w:left w:val="single" w:sz="4" w:space="0" w:color="548DD4" w:themeColor="text2" w:themeTint="99"/>
              <w:right w:val="nil"/>
            </w:tcBorders>
          </w:tcPr>
          <w:p w:rsidR="001A641D" w:rsidRDefault="001A641D" w:rsidP="001A641D">
            <w:pPr>
              <w:spacing w:after="0"/>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AF7F9B" w:rsidRDefault="007E5C0A" w:rsidP="001A641D">
            <w:pPr>
              <w:spacing w:after="0"/>
              <w:jc w:val="center"/>
              <w:rPr>
                <w:sz w:val="18"/>
                <w:szCs w:val="18"/>
              </w:rPr>
            </w:pPr>
            <w:r>
              <w:rPr>
                <w:sz w:val="18"/>
                <w:szCs w:val="18"/>
              </w:rPr>
              <w:t>K</w:t>
            </w:r>
          </w:p>
        </w:tc>
        <w:tc>
          <w:tcPr>
            <w:tcW w:w="2017" w:type="pct"/>
            <w:tcBorders>
              <w:top w:val="single" w:sz="4" w:space="0" w:color="548DD4" w:themeColor="text2" w:themeTint="99"/>
              <w:left w:val="nil"/>
              <w:bottom w:val="single" w:sz="4" w:space="0" w:color="548DD4" w:themeColor="text2" w:themeTint="99"/>
              <w:right w:val="nil"/>
            </w:tcBorders>
          </w:tcPr>
          <w:p w:rsidR="001A641D" w:rsidRPr="00AF7F9B" w:rsidRDefault="007E5C0A" w:rsidP="001A641D">
            <w:pPr>
              <w:spacing w:after="0"/>
              <w:rPr>
                <w:sz w:val="18"/>
                <w:szCs w:val="18"/>
              </w:rPr>
            </w:pPr>
            <w:r w:rsidRPr="00AF7F9B">
              <w:rPr>
                <w:sz w:val="18"/>
                <w:szCs w:val="18"/>
              </w:rPr>
              <w:t>Four</w:t>
            </w:r>
            <w:r>
              <w:rPr>
                <w:sz w:val="18"/>
                <w:szCs w:val="18"/>
              </w:rPr>
              <w:t xml:space="preserve"> </w:t>
            </w:r>
            <w:r w:rsidRPr="00E76469">
              <w:rPr>
                <w:sz w:val="18"/>
                <w:szCs w:val="18"/>
              </w:rPr>
              <w:t>components :</w:t>
            </w:r>
          </w:p>
          <w:p w:rsidR="001A641D" w:rsidRPr="00AF7F9B" w:rsidRDefault="007E5C0A" w:rsidP="001A641D">
            <w:pPr>
              <w:pStyle w:val="ListParagraph"/>
              <w:numPr>
                <w:ilvl w:val="0"/>
                <w:numId w:val="6"/>
              </w:numPr>
              <w:spacing w:after="0" w:line="240" w:lineRule="auto"/>
              <w:ind w:left="318" w:hanging="284"/>
              <w:contextualSpacing/>
              <w:rPr>
                <w:sz w:val="18"/>
                <w:szCs w:val="18"/>
              </w:rPr>
            </w:pPr>
            <w:r w:rsidRPr="00AF7F9B">
              <w:rPr>
                <w:sz w:val="18"/>
                <w:szCs w:val="18"/>
              </w:rPr>
              <w:t>mine</w:t>
            </w:r>
          </w:p>
          <w:p w:rsidR="001A641D" w:rsidRPr="00AF7F9B" w:rsidRDefault="007E5C0A" w:rsidP="001A641D">
            <w:pPr>
              <w:pStyle w:val="ListParagraph"/>
              <w:numPr>
                <w:ilvl w:val="0"/>
                <w:numId w:val="6"/>
              </w:numPr>
              <w:spacing w:after="0" w:line="240" w:lineRule="auto"/>
              <w:ind w:left="318" w:hanging="284"/>
              <w:contextualSpacing/>
              <w:rPr>
                <w:sz w:val="18"/>
                <w:szCs w:val="18"/>
              </w:rPr>
            </w:pPr>
            <w:r w:rsidRPr="00AF7F9B">
              <w:rPr>
                <w:sz w:val="18"/>
                <w:szCs w:val="18"/>
              </w:rPr>
              <w:t>rail line</w:t>
            </w:r>
          </w:p>
          <w:p w:rsidR="001A641D" w:rsidRPr="00AF7F9B" w:rsidRDefault="007E5C0A" w:rsidP="001A641D">
            <w:pPr>
              <w:pStyle w:val="ListParagraph"/>
              <w:numPr>
                <w:ilvl w:val="0"/>
                <w:numId w:val="6"/>
              </w:numPr>
              <w:spacing w:after="0" w:line="240" w:lineRule="auto"/>
              <w:ind w:left="318" w:hanging="284"/>
              <w:contextualSpacing/>
              <w:rPr>
                <w:sz w:val="18"/>
                <w:szCs w:val="18"/>
              </w:rPr>
            </w:pPr>
            <w:r w:rsidRPr="00AF7F9B">
              <w:rPr>
                <w:sz w:val="18"/>
                <w:szCs w:val="18"/>
              </w:rPr>
              <w:t>onshore infrastructure</w:t>
            </w:r>
          </w:p>
          <w:p w:rsidR="001A641D" w:rsidRPr="00AF7F9B" w:rsidRDefault="007E5C0A" w:rsidP="001A641D">
            <w:pPr>
              <w:pStyle w:val="ListParagraph"/>
              <w:numPr>
                <w:ilvl w:val="0"/>
                <w:numId w:val="6"/>
              </w:numPr>
              <w:spacing w:after="0" w:line="240" w:lineRule="auto"/>
              <w:ind w:left="318" w:hanging="284"/>
              <w:contextualSpacing/>
              <w:rPr>
                <w:sz w:val="18"/>
                <w:szCs w:val="18"/>
              </w:rPr>
            </w:pPr>
            <w:r w:rsidRPr="00AF7F9B">
              <w:rPr>
                <w:sz w:val="18"/>
                <w:szCs w:val="18"/>
              </w:rPr>
              <w:t>offshore dredging.</w:t>
            </w:r>
          </w:p>
        </w:tc>
        <w:tc>
          <w:tcPr>
            <w:tcW w:w="1582" w:type="pct"/>
            <w:tcBorders>
              <w:top w:val="single" w:sz="4" w:space="0" w:color="548DD4" w:themeColor="text2" w:themeTint="99"/>
              <w:left w:val="nil"/>
              <w:bottom w:val="single" w:sz="4" w:space="0" w:color="548DD4" w:themeColor="text2" w:themeTint="99"/>
              <w:right w:val="nil"/>
            </w:tcBorders>
          </w:tcPr>
          <w:p w:rsidR="001A641D" w:rsidRPr="00AF7F9B" w:rsidRDefault="007E5C0A" w:rsidP="001A641D">
            <w:pPr>
              <w:spacing w:after="0"/>
              <w:rPr>
                <w:sz w:val="18"/>
                <w:szCs w:val="18"/>
              </w:rPr>
            </w:pPr>
            <w:r>
              <w:rPr>
                <w:sz w:val="18"/>
                <w:szCs w:val="18"/>
              </w:rPr>
              <w:t>Very high complexity:</w:t>
            </w:r>
          </w:p>
          <w:p w:rsidR="001A641D" w:rsidRPr="00AF7F9B" w:rsidRDefault="007E5C0A" w:rsidP="001A641D">
            <w:pPr>
              <w:pStyle w:val="ListParagraph"/>
              <w:numPr>
                <w:ilvl w:val="0"/>
                <w:numId w:val="6"/>
              </w:numPr>
              <w:spacing w:after="0" w:line="240" w:lineRule="auto"/>
              <w:ind w:left="318" w:hanging="284"/>
              <w:contextualSpacing/>
              <w:rPr>
                <w:sz w:val="18"/>
                <w:szCs w:val="18"/>
              </w:rPr>
            </w:pPr>
            <w:r w:rsidRPr="00AF7F9B">
              <w:rPr>
                <w:sz w:val="18"/>
                <w:szCs w:val="18"/>
              </w:rPr>
              <w:t xml:space="preserve">Base </w:t>
            </w:r>
            <w:r>
              <w:rPr>
                <w:sz w:val="18"/>
                <w:szCs w:val="18"/>
              </w:rPr>
              <w:t>fee</w:t>
            </w:r>
            <w:r w:rsidRPr="00AF7F9B">
              <w:rPr>
                <w:sz w:val="18"/>
                <w:szCs w:val="18"/>
              </w:rPr>
              <w:t xml:space="preserve"> </w:t>
            </w:r>
            <w:r>
              <w:rPr>
                <w:sz w:val="18"/>
                <w:szCs w:val="18"/>
              </w:rPr>
              <w:t xml:space="preserve">($25,583) </w:t>
            </w:r>
            <w:r w:rsidRPr="00AF7F9B">
              <w:rPr>
                <w:sz w:val="18"/>
                <w:szCs w:val="18"/>
              </w:rPr>
              <w:t>of assessment x 3</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F7F9B" w:rsidRDefault="007E5C0A" w:rsidP="001A641D">
            <w:pPr>
              <w:spacing w:after="0"/>
              <w:jc w:val="center"/>
              <w:rPr>
                <w:sz w:val="18"/>
                <w:szCs w:val="18"/>
              </w:rPr>
            </w:pPr>
            <w:r w:rsidRPr="00746371">
              <w:rPr>
                <w:sz w:val="18"/>
                <w:szCs w:val="18"/>
              </w:rPr>
              <w:t>$76,749</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49" w:type="pct"/>
            <w:vMerge/>
            <w:tcBorders>
              <w:left w:val="single" w:sz="4" w:space="0" w:color="548DD4" w:themeColor="text2" w:themeTint="99"/>
              <w:right w:val="nil"/>
            </w:tcBorders>
            <w:shd w:val="clear" w:color="auto" w:fill="C6D9F1" w:themeFill="text2" w:themeFillTint="33"/>
          </w:tcPr>
          <w:p w:rsidR="001A641D" w:rsidRPr="00592E0A" w:rsidRDefault="001A641D" w:rsidP="001A641D">
            <w:pPr>
              <w:rPr>
                <w:sz w:val="18"/>
                <w:szCs w:val="18"/>
              </w:rPr>
            </w:pPr>
          </w:p>
        </w:tc>
        <w:tc>
          <w:tcPr>
            <w:tcW w:w="2238"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1A641D" w:rsidRPr="00592E0A" w:rsidRDefault="007E5C0A" w:rsidP="001A641D">
            <w:pPr>
              <w:rPr>
                <w:sz w:val="18"/>
                <w:szCs w:val="18"/>
              </w:rPr>
            </w:pPr>
            <w:r w:rsidRPr="00592E0A">
              <w:rPr>
                <w:sz w:val="18"/>
                <w:szCs w:val="18"/>
              </w:rPr>
              <w:t>Other legislation</w:t>
            </w:r>
          </w:p>
        </w:tc>
        <w:tc>
          <w:tcPr>
            <w:tcW w:w="1582"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1A641D" w:rsidRPr="00592E0A" w:rsidRDefault="001A641D" w:rsidP="001A641D">
            <w:pPr>
              <w:rPr>
                <w:sz w:val="18"/>
                <w:szCs w:val="18"/>
              </w:rPr>
            </w:pP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1A641D" w:rsidRPr="00592E0A" w:rsidRDefault="001A641D" w:rsidP="001A641D">
            <w:pPr>
              <w:jc w:val="center"/>
              <w:rPr>
                <w:sz w:val="18"/>
                <w:szCs w:val="18"/>
              </w:rPr>
            </w:pP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549" w:type="pct"/>
            <w:vMerge/>
            <w:tcBorders>
              <w:left w:val="single" w:sz="4" w:space="0" w:color="548DD4" w:themeColor="text2" w:themeTint="99"/>
              <w:bottom w:val="single" w:sz="4" w:space="0" w:color="548DD4" w:themeColor="text2" w:themeTint="99"/>
              <w:right w:val="nil"/>
            </w:tcBorders>
          </w:tcPr>
          <w:p w:rsidR="001A641D" w:rsidRDefault="001A641D" w:rsidP="001A641D">
            <w:pPr>
              <w:spacing w:after="0"/>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592E0A" w:rsidRDefault="007E5C0A" w:rsidP="001A641D">
            <w:pPr>
              <w:spacing w:after="0"/>
              <w:jc w:val="center"/>
              <w:rPr>
                <w:sz w:val="18"/>
                <w:szCs w:val="18"/>
              </w:rPr>
            </w:pPr>
            <w:r>
              <w:rPr>
                <w:sz w:val="18"/>
                <w:szCs w:val="18"/>
              </w:rPr>
              <w:t>L</w:t>
            </w:r>
          </w:p>
        </w:tc>
        <w:tc>
          <w:tcPr>
            <w:tcW w:w="2017" w:type="pct"/>
            <w:tcBorders>
              <w:top w:val="single" w:sz="4" w:space="0" w:color="548DD4" w:themeColor="text2" w:themeTint="99"/>
              <w:left w:val="nil"/>
              <w:bottom w:val="single" w:sz="4" w:space="0" w:color="548DD4" w:themeColor="text2" w:themeTint="99"/>
              <w:right w:val="nil"/>
            </w:tcBorders>
          </w:tcPr>
          <w:p w:rsidR="001A641D" w:rsidRPr="00592E0A" w:rsidRDefault="007E5C0A" w:rsidP="001A641D">
            <w:pPr>
              <w:pStyle w:val="ListBullet"/>
              <w:numPr>
                <w:ilvl w:val="0"/>
                <w:numId w:val="0"/>
              </w:numPr>
              <w:spacing w:after="0"/>
              <w:ind w:left="41"/>
              <w:rPr>
                <w:sz w:val="18"/>
                <w:szCs w:val="18"/>
              </w:rPr>
            </w:pPr>
            <w:r>
              <w:rPr>
                <w:sz w:val="18"/>
                <w:szCs w:val="18"/>
              </w:rPr>
              <w:t>Coordination required with two familiar processes: state assessment of mine and rail line and Commonwealth sea dumping permit.</w:t>
            </w:r>
          </w:p>
        </w:tc>
        <w:tc>
          <w:tcPr>
            <w:tcW w:w="1582" w:type="pct"/>
            <w:tcBorders>
              <w:top w:val="single" w:sz="4" w:space="0" w:color="548DD4" w:themeColor="text2" w:themeTint="99"/>
              <w:left w:val="nil"/>
              <w:bottom w:val="single" w:sz="4" w:space="0" w:color="548DD4" w:themeColor="text2" w:themeTint="99"/>
              <w:right w:val="nil"/>
            </w:tcBorders>
          </w:tcPr>
          <w:p w:rsidR="001A641D" w:rsidRPr="00D9305C" w:rsidRDefault="007E5C0A" w:rsidP="001A641D">
            <w:pPr>
              <w:spacing w:after="0"/>
              <w:rPr>
                <w:sz w:val="18"/>
                <w:szCs w:val="18"/>
              </w:rPr>
            </w:pPr>
            <w:r>
              <w:rPr>
                <w:sz w:val="18"/>
                <w:szCs w:val="18"/>
              </w:rPr>
              <w:t>High</w:t>
            </w:r>
            <w:r w:rsidRPr="00D9305C">
              <w:rPr>
                <w:sz w:val="18"/>
                <w:szCs w:val="18"/>
              </w:rPr>
              <w:t xml:space="preserve"> complexity:</w:t>
            </w:r>
          </w:p>
          <w:p w:rsidR="001A641D" w:rsidRPr="00D9305C" w:rsidRDefault="007E5C0A" w:rsidP="001A641D">
            <w:pPr>
              <w:pStyle w:val="ListParagraph"/>
              <w:numPr>
                <w:ilvl w:val="0"/>
                <w:numId w:val="6"/>
              </w:numPr>
              <w:spacing w:after="0" w:line="240" w:lineRule="auto"/>
              <w:ind w:left="318" w:hanging="284"/>
              <w:contextualSpacing/>
              <w:rPr>
                <w:sz w:val="18"/>
                <w:szCs w:val="18"/>
              </w:rPr>
            </w:pPr>
            <w:r w:rsidRPr="00D9305C">
              <w:rPr>
                <w:sz w:val="18"/>
                <w:szCs w:val="18"/>
              </w:rPr>
              <w:t>Assessment Officer—</w:t>
            </w:r>
            <w:r>
              <w:rPr>
                <w:sz w:val="18"/>
                <w:szCs w:val="18"/>
              </w:rPr>
              <w:t xml:space="preserve">16 </w:t>
            </w:r>
            <w:r w:rsidRPr="00D9305C">
              <w:rPr>
                <w:sz w:val="18"/>
                <w:szCs w:val="18"/>
              </w:rPr>
              <w:t>days</w:t>
            </w:r>
          </w:p>
          <w:p w:rsidR="001A641D" w:rsidRPr="00D9305C" w:rsidRDefault="007E5C0A" w:rsidP="001A641D">
            <w:pPr>
              <w:pStyle w:val="ListParagraph"/>
              <w:numPr>
                <w:ilvl w:val="0"/>
                <w:numId w:val="6"/>
              </w:numPr>
              <w:spacing w:after="0" w:line="240" w:lineRule="auto"/>
              <w:ind w:left="318" w:hanging="284"/>
              <w:contextualSpacing/>
              <w:rPr>
                <w:sz w:val="18"/>
                <w:szCs w:val="18"/>
              </w:rPr>
            </w:pPr>
            <w:r w:rsidRPr="00D9305C">
              <w:rPr>
                <w:sz w:val="18"/>
                <w:szCs w:val="18"/>
              </w:rPr>
              <w:t>Assistant Director—</w:t>
            </w:r>
            <w:r>
              <w:rPr>
                <w:sz w:val="18"/>
                <w:szCs w:val="18"/>
              </w:rPr>
              <w:t>8</w:t>
            </w:r>
            <w:r w:rsidRPr="00D9305C">
              <w:rPr>
                <w:sz w:val="18"/>
                <w:szCs w:val="18"/>
              </w:rPr>
              <w:t xml:space="preserve"> days</w:t>
            </w:r>
          </w:p>
          <w:p w:rsidR="001A641D" w:rsidRPr="002310BF" w:rsidRDefault="007E5C0A" w:rsidP="001A641D">
            <w:pPr>
              <w:pStyle w:val="ListParagraph"/>
              <w:numPr>
                <w:ilvl w:val="0"/>
                <w:numId w:val="6"/>
              </w:numPr>
              <w:spacing w:after="0" w:line="240" w:lineRule="auto"/>
              <w:ind w:left="318" w:hanging="284"/>
              <w:contextualSpacing/>
              <w:rPr>
                <w:sz w:val="18"/>
                <w:szCs w:val="18"/>
              </w:rPr>
            </w:pPr>
            <w:r w:rsidRPr="00D9305C">
              <w:rPr>
                <w:sz w:val="18"/>
                <w:szCs w:val="18"/>
              </w:rPr>
              <w:t>Director—</w:t>
            </w:r>
            <w:r>
              <w:rPr>
                <w:sz w:val="18"/>
                <w:szCs w:val="18"/>
              </w:rPr>
              <w:t>4</w:t>
            </w:r>
            <w:r w:rsidRPr="00D9305C">
              <w:rPr>
                <w:sz w:val="18"/>
                <w:szCs w:val="18"/>
              </w:rPr>
              <w:t xml:space="preserve"> days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46371" w:rsidRDefault="007E5C0A" w:rsidP="001A641D">
            <w:pPr>
              <w:spacing w:after="0"/>
              <w:jc w:val="center"/>
              <w:rPr>
                <w:sz w:val="18"/>
                <w:szCs w:val="18"/>
              </w:rPr>
            </w:pPr>
            <w:r w:rsidRPr="00746371">
              <w:rPr>
                <w:sz w:val="18"/>
                <w:szCs w:val="18"/>
              </w:rPr>
              <w:t>$</w:t>
            </w:r>
            <w:r>
              <w:rPr>
                <w:sz w:val="18"/>
                <w:szCs w:val="18"/>
              </w:rPr>
              <w:t>16,065</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49" w:type="pct"/>
            <w:vMerge w:val="restart"/>
            <w:tcBorders>
              <w:top w:val="single" w:sz="4" w:space="0" w:color="548DD4" w:themeColor="text2" w:themeTint="99"/>
              <w:left w:val="single" w:sz="4" w:space="0" w:color="548DD4" w:themeColor="text2" w:themeTint="99"/>
              <w:right w:val="nil"/>
            </w:tcBorders>
            <w:shd w:val="clear" w:color="auto" w:fill="C6D9F1" w:themeFill="text2" w:themeFillTint="33"/>
          </w:tcPr>
          <w:p w:rsidR="001A641D" w:rsidRDefault="007E5C0A" w:rsidP="001A641D">
            <w:pPr>
              <w:keepNext/>
              <w:spacing w:after="0"/>
              <w:jc w:val="center"/>
              <w:rPr>
                <w:sz w:val="18"/>
                <w:szCs w:val="18"/>
              </w:rPr>
            </w:pPr>
            <w:r>
              <w:rPr>
                <w:sz w:val="18"/>
                <w:szCs w:val="18"/>
              </w:rPr>
              <w:t>Part B complexity fees</w:t>
            </w:r>
          </w:p>
        </w:tc>
        <w:tc>
          <w:tcPr>
            <w:tcW w:w="3820"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455349" w:rsidRDefault="007E5C0A" w:rsidP="001A641D">
            <w:pPr>
              <w:keepNext/>
              <w:rPr>
                <w:sz w:val="18"/>
                <w:szCs w:val="18"/>
              </w:rPr>
            </w:pPr>
            <w:r w:rsidRPr="00AF7F9B">
              <w:rPr>
                <w:sz w:val="18"/>
                <w:szCs w:val="18"/>
              </w:rPr>
              <w:t>Adequacy of information and clarity of project scope</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746371" w:rsidRDefault="001A641D" w:rsidP="001A641D">
            <w:pPr>
              <w:keepNext/>
              <w:spacing w:after="0"/>
              <w:jc w:val="center"/>
              <w:rPr>
                <w:sz w:val="18"/>
                <w:szCs w:val="18"/>
              </w:rPr>
            </w:pP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549" w:type="pct"/>
            <w:vMerge/>
            <w:tcBorders>
              <w:top w:val="single" w:sz="4" w:space="0" w:color="548DD4" w:themeColor="text2" w:themeTint="99"/>
              <w:left w:val="single" w:sz="4" w:space="0" w:color="548DD4" w:themeColor="text2" w:themeTint="99"/>
              <w:right w:val="nil"/>
            </w:tcBorders>
            <w:shd w:val="clear" w:color="auto" w:fill="C6D9F1" w:themeFill="text2" w:themeFillTint="33"/>
          </w:tcPr>
          <w:p w:rsidR="001A641D" w:rsidRDefault="001A641D" w:rsidP="001A641D">
            <w:pPr>
              <w:spacing w:after="0"/>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AF7F9B" w:rsidRDefault="007E5C0A" w:rsidP="001A641D">
            <w:pPr>
              <w:spacing w:after="0"/>
              <w:jc w:val="center"/>
              <w:rPr>
                <w:sz w:val="18"/>
                <w:szCs w:val="18"/>
              </w:rPr>
            </w:pPr>
            <w:r>
              <w:rPr>
                <w:sz w:val="18"/>
                <w:szCs w:val="18"/>
              </w:rPr>
              <w:t>M</w:t>
            </w:r>
          </w:p>
        </w:tc>
        <w:tc>
          <w:tcPr>
            <w:tcW w:w="2017" w:type="pct"/>
            <w:tcBorders>
              <w:top w:val="single" w:sz="4" w:space="0" w:color="548DD4" w:themeColor="text2" w:themeTint="99"/>
              <w:left w:val="nil"/>
              <w:bottom w:val="single" w:sz="4" w:space="0" w:color="548DD4" w:themeColor="text2" w:themeTint="99"/>
              <w:right w:val="nil"/>
            </w:tcBorders>
          </w:tcPr>
          <w:p w:rsidR="001A641D" w:rsidRPr="00AF7F9B" w:rsidRDefault="007E5C0A" w:rsidP="001A641D">
            <w:pPr>
              <w:pStyle w:val="ListBullet"/>
              <w:numPr>
                <w:ilvl w:val="0"/>
                <w:numId w:val="0"/>
              </w:numPr>
              <w:spacing w:after="0"/>
              <w:ind w:left="41"/>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1582" w:type="pct"/>
            <w:tcBorders>
              <w:top w:val="single" w:sz="4" w:space="0" w:color="548DD4" w:themeColor="text2" w:themeTint="99"/>
              <w:left w:val="nil"/>
              <w:bottom w:val="single" w:sz="4" w:space="0" w:color="548DD4" w:themeColor="text2" w:themeTint="99"/>
              <w:right w:val="nil"/>
            </w:tcBorders>
          </w:tcPr>
          <w:p w:rsidR="001A641D" w:rsidRPr="00455349" w:rsidRDefault="007E5C0A" w:rsidP="001A641D">
            <w:pPr>
              <w:spacing w:after="0"/>
              <w:rPr>
                <w:sz w:val="18"/>
                <w:szCs w:val="18"/>
              </w:rPr>
            </w:pPr>
            <w:r w:rsidRPr="00455349">
              <w:rPr>
                <w:sz w:val="18"/>
                <w:szCs w:val="18"/>
              </w:rPr>
              <w:t>Site surveys (high complexity):</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Assessment Officer—40</w:t>
            </w:r>
            <w:r w:rsidRPr="00455349">
              <w:rPr>
                <w:sz w:val="18"/>
                <w:szCs w:val="18"/>
              </w:rPr>
              <w:t xml:space="preserve">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Assistant Director—15</w:t>
            </w:r>
            <w:r w:rsidRPr="00455349">
              <w:rPr>
                <w:sz w:val="18"/>
                <w:szCs w:val="18"/>
              </w:rPr>
              <w:t xml:space="preserve">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Director—5</w:t>
            </w:r>
            <w:r w:rsidRPr="00455349">
              <w:rPr>
                <w:sz w:val="18"/>
                <w:szCs w:val="18"/>
              </w:rPr>
              <w:t xml:space="preserve"> days</w:t>
            </w:r>
          </w:p>
          <w:p w:rsidR="001A641D" w:rsidRPr="00637E2D" w:rsidRDefault="007E5C0A" w:rsidP="001A641D">
            <w:pPr>
              <w:pStyle w:val="ListParagraph"/>
              <w:numPr>
                <w:ilvl w:val="0"/>
                <w:numId w:val="6"/>
              </w:numPr>
              <w:spacing w:after="0" w:line="240" w:lineRule="auto"/>
              <w:ind w:left="318" w:hanging="284"/>
              <w:contextualSpacing/>
              <w:rPr>
                <w:sz w:val="18"/>
                <w:szCs w:val="18"/>
              </w:rPr>
            </w:pPr>
            <w:r>
              <w:rPr>
                <w:sz w:val="18"/>
                <w:szCs w:val="18"/>
              </w:rPr>
              <w:t>SES</w:t>
            </w:r>
            <w:r w:rsidRPr="00455349">
              <w:rPr>
                <w:sz w:val="18"/>
                <w:szCs w:val="18"/>
              </w:rPr>
              <w:t>—1.7 days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46371" w:rsidRDefault="007E5C0A" w:rsidP="001A641D">
            <w:pPr>
              <w:spacing w:after="0"/>
              <w:jc w:val="center"/>
              <w:rPr>
                <w:sz w:val="18"/>
                <w:szCs w:val="18"/>
              </w:rPr>
            </w:pPr>
            <w:r w:rsidRPr="00746371">
              <w:rPr>
                <w:sz w:val="18"/>
                <w:szCs w:val="18"/>
              </w:rPr>
              <w:t>$</w:t>
            </w:r>
            <w:r>
              <w:rPr>
                <w:sz w:val="18"/>
                <w:szCs w:val="18"/>
              </w:rPr>
              <w:t>34,949</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49" w:type="pct"/>
            <w:vMerge/>
            <w:tcBorders>
              <w:left w:val="single" w:sz="4" w:space="0" w:color="548DD4" w:themeColor="text2" w:themeTint="99"/>
              <w:right w:val="nil"/>
            </w:tcBorders>
            <w:shd w:val="clear" w:color="auto" w:fill="C6D9F1" w:themeFill="text2" w:themeFillTint="33"/>
          </w:tcPr>
          <w:p w:rsidR="001A641D" w:rsidRDefault="001A641D" w:rsidP="001A641D">
            <w:pPr>
              <w:spacing w:after="0"/>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592E0A" w:rsidRDefault="007E5C0A" w:rsidP="001A641D">
            <w:pPr>
              <w:spacing w:after="0"/>
              <w:jc w:val="center"/>
              <w:rPr>
                <w:sz w:val="18"/>
                <w:szCs w:val="18"/>
              </w:rPr>
            </w:pPr>
            <w:r>
              <w:rPr>
                <w:sz w:val="18"/>
                <w:szCs w:val="18"/>
              </w:rPr>
              <w:t>N</w:t>
            </w:r>
          </w:p>
        </w:tc>
        <w:tc>
          <w:tcPr>
            <w:tcW w:w="2017" w:type="pct"/>
            <w:tcBorders>
              <w:top w:val="single" w:sz="4" w:space="0" w:color="548DD4" w:themeColor="text2" w:themeTint="99"/>
              <w:left w:val="nil"/>
              <w:bottom w:val="single" w:sz="4" w:space="0" w:color="548DD4" w:themeColor="text2" w:themeTint="99"/>
              <w:right w:val="nil"/>
            </w:tcBorders>
          </w:tcPr>
          <w:p w:rsidR="001A641D" w:rsidRPr="00592E0A" w:rsidRDefault="007E5C0A" w:rsidP="001A641D">
            <w:pPr>
              <w:pStyle w:val="ListBullet"/>
              <w:numPr>
                <w:ilvl w:val="0"/>
                <w:numId w:val="0"/>
              </w:numPr>
              <w:spacing w:after="0"/>
              <w:ind w:left="41"/>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1582" w:type="pct"/>
            <w:tcBorders>
              <w:top w:val="single" w:sz="4" w:space="0" w:color="548DD4" w:themeColor="text2" w:themeTint="99"/>
              <w:left w:val="nil"/>
              <w:bottom w:val="single" w:sz="4" w:space="0" w:color="548DD4" w:themeColor="text2" w:themeTint="99"/>
              <w:right w:val="nil"/>
            </w:tcBorders>
          </w:tcPr>
          <w:p w:rsidR="001A641D" w:rsidRPr="00455349" w:rsidRDefault="007E5C0A" w:rsidP="001A641D">
            <w:pPr>
              <w:spacing w:after="0"/>
              <w:rPr>
                <w:sz w:val="18"/>
                <w:szCs w:val="18"/>
              </w:rPr>
            </w:pPr>
            <w:r w:rsidRPr="00455349">
              <w:rPr>
                <w:sz w:val="18"/>
                <w:szCs w:val="18"/>
              </w:rPr>
              <w:t>Management strategies (high complexity):</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Assessment Officer—40</w:t>
            </w:r>
            <w:r w:rsidRPr="00455349">
              <w:rPr>
                <w:sz w:val="18"/>
                <w:szCs w:val="18"/>
              </w:rPr>
              <w:t xml:space="preserve">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Assistant Director—1</w:t>
            </w:r>
            <w:r w:rsidRPr="00455349">
              <w:rPr>
                <w:sz w:val="18"/>
                <w:szCs w:val="18"/>
              </w:rPr>
              <w:t>5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Director—</w:t>
            </w:r>
            <w:r w:rsidRPr="00455349">
              <w:rPr>
                <w:sz w:val="18"/>
                <w:szCs w:val="18"/>
              </w:rPr>
              <w:t>5 days</w:t>
            </w:r>
          </w:p>
          <w:p w:rsidR="001A641D" w:rsidRPr="00637E2D" w:rsidRDefault="007E5C0A" w:rsidP="001A641D">
            <w:pPr>
              <w:pStyle w:val="ListParagraph"/>
              <w:numPr>
                <w:ilvl w:val="0"/>
                <w:numId w:val="6"/>
              </w:numPr>
              <w:spacing w:after="0" w:line="240" w:lineRule="auto"/>
              <w:ind w:left="318" w:hanging="284"/>
              <w:contextualSpacing/>
              <w:rPr>
                <w:sz w:val="18"/>
                <w:szCs w:val="18"/>
              </w:rPr>
            </w:pPr>
            <w:r>
              <w:rPr>
                <w:sz w:val="18"/>
                <w:szCs w:val="18"/>
              </w:rPr>
              <w:t>SES</w:t>
            </w:r>
            <w:r w:rsidRPr="00455349">
              <w:rPr>
                <w:sz w:val="18"/>
                <w:szCs w:val="18"/>
              </w:rPr>
              <w:t>—1.7 days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46371" w:rsidRDefault="007E5C0A" w:rsidP="001A641D">
            <w:pPr>
              <w:spacing w:after="0"/>
              <w:jc w:val="center"/>
              <w:rPr>
                <w:sz w:val="18"/>
                <w:szCs w:val="18"/>
              </w:rPr>
            </w:pPr>
            <w:r w:rsidRPr="00746371">
              <w:rPr>
                <w:sz w:val="18"/>
                <w:szCs w:val="18"/>
              </w:rPr>
              <w:t>$34,949</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549" w:type="pct"/>
            <w:vMerge/>
            <w:tcBorders>
              <w:left w:val="single" w:sz="4" w:space="0" w:color="548DD4" w:themeColor="text2" w:themeTint="99"/>
              <w:bottom w:val="single" w:sz="4" w:space="0" w:color="548DD4" w:themeColor="text2" w:themeTint="99"/>
              <w:right w:val="nil"/>
            </w:tcBorders>
            <w:shd w:val="clear" w:color="auto" w:fill="C6D9F1" w:themeFill="text2" w:themeFillTint="33"/>
          </w:tcPr>
          <w:p w:rsidR="001A641D" w:rsidRDefault="001A641D" w:rsidP="001A641D">
            <w:pPr>
              <w:spacing w:after="0"/>
              <w:jc w:val="center"/>
              <w:rPr>
                <w:sz w:val="18"/>
                <w:szCs w:val="18"/>
              </w:rPr>
            </w:pPr>
          </w:p>
        </w:tc>
        <w:tc>
          <w:tcPr>
            <w:tcW w:w="221" w:type="pct"/>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592E0A" w:rsidRDefault="007E5C0A" w:rsidP="001A641D">
            <w:pPr>
              <w:spacing w:after="0"/>
              <w:jc w:val="center"/>
              <w:rPr>
                <w:sz w:val="18"/>
                <w:szCs w:val="18"/>
              </w:rPr>
            </w:pPr>
            <w:r>
              <w:rPr>
                <w:sz w:val="18"/>
                <w:szCs w:val="18"/>
              </w:rPr>
              <w:t>O</w:t>
            </w:r>
          </w:p>
        </w:tc>
        <w:tc>
          <w:tcPr>
            <w:tcW w:w="2017" w:type="pct"/>
            <w:tcBorders>
              <w:top w:val="single" w:sz="4" w:space="0" w:color="548DD4" w:themeColor="text2" w:themeTint="99"/>
              <w:left w:val="nil"/>
              <w:bottom w:val="single" w:sz="4" w:space="0" w:color="548DD4" w:themeColor="text2" w:themeTint="99"/>
              <w:right w:val="nil"/>
            </w:tcBorders>
          </w:tcPr>
          <w:p w:rsidR="001A641D" w:rsidRPr="00592E0A" w:rsidRDefault="007E5C0A" w:rsidP="001A641D">
            <w:pPr>
              <w:pStyle w:val="ListBullet"/>
              <w:numPr>
                <w:ilvl w:val="0"/>
                <w:numId w:val="0"/>
              </w:numPr>
              <w:spacing w:after="0"/>
              <w:ind w:left="41"/>
              <w:rPr>
                <w:sz w:val="18"/>
                <w:szCs w:val="18"/>
              </w:rPr>
            </w:pPr>
            <w:r w:rsidRPr="00592E0A">
              <w:rPr>
                <w:sz w:val="18"/>
                <w:szCs w:val="18"/>
              </w:rPr>
              <w:t>The project scope includes alternative dredging footprints, but these alternatives are clearly defined.</w:t>
            </w:r>
          </w:p>
        </w:tc>
        <w:tc>
          <w:tcPr>
            <w:tcW w:w="1582" w:type="pct"/>
            <w:tcBorders>
              <w:top w:val="single" w:sz="4" w:space="0" w:color="548DD4" w:themeColor="text2" w:themeTint="99"/>
              <w:left w:val="nil"/>
              <w:bottom w:val="single" w:sz="4" w:space="0" w:color="548DD4" w:themeColor="text2" w:themeTint="99"/>
              <w:right w:val="nil"/>
            </w:tcBorders>
          </w:tcPr>
          <w:p w:rsidR="001A641D" w:rsidRPr="00455349" w:rsidRDefault="007E5C0A" w:rsidP="001A641D">
            <w:pPr>
              <w:spacing w:after="0"/>
              <w:rPr>
                <w:sz w:val="18"/>
                <w:szCs w:val="18"/>
              </w:rPr>
            </w:pPr>
            <w:r w:rsidRPr="00455349">
              <w:rPr>
                <w:sz w:val="18"/>
                <w:szCs w:val="18"/>
              </w:rPr>
              <w:t>Project scope (moderate complexity):</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Assessment officer—10</w:t>
            </w:r>
            <w:r w:rsidRPr="00455349">
              <w:rPr>
                <w:sz w:val="18"/>
                <w:szCs w:val="18"/>
              </w:rPr>
              <w:t xml:space="preserve">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sidRPr="00455349">
              <w:rPr>
                <w:sz w:val="18"/>
                <w:szCs w:val="18"/>
              </w:rPr>
              <w:t>Assistant Director—6.5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sidRPr="00455349">
              <w:rPr>
                <w:sz w:val="18"/>
                <w:szCs w:val="18"/>
              </w:rPr>
              <w:t>Director—2.5 days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746371" w:rsidRDefault="007E5C0A" w:rsidP="001A641D">
            <w:pPr>
              <w:spacing w:after="0"/>
              <w:jc w:val="center"/>
              <w:rPr>
                <w:sz w:val="18"/>
                <w:szCs w:val="18"/>
              </w:rPr>
            </w:pPr>
            <w:r w:rsidRPr="00746371">
              <w:rPr>
                <w:sz w:val="18"/>
                <w:szCs w:val="18"/>
              </w:rPr>
              <w:t>$10,982</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Height w:val="501"/>
        </w:trPr>
        <w:tc>
          <w:tcPr>
            <w:tcW w:w="549"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F730E3" w:rsidRDefault="001A641D" w:rsidP="001A641D">
            <w:pPr>
              <w:jc w:val="right"/>
              <w:rPr>
                <w:caps/>
                <w:sz w:val="20"/>
                <w:szCs w:val="20"/>
              </w:rPr>
            </w:pPr>
          </w:p>
        </w:tc>
        <w:tc>
          <w:tcPr>
            <w:tcW w:w="3820"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total</w:t>
            </w:r>
            <w:r w:rsidRPr="00F730E3">
              <w:rPr>
                <w:caps/>
                <w:sz w:val="20"/>
                <w:szCs w:val="20"/>
              </w:rPr>
              <w:t xml:space="preserve"> complexity </w:t>
            </w:r>
            <w:r>
              <w:rPr>
                <w:caps/>
                <w:sz w:val="20"/>
                <w:szCs w:val="20"/>
              </w:rPr>
              <w:t>fees</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746371" w:rsidRDefault="007E5C0A" w:rsidP="001A641D">
            <w:pPr>
              <w:jc w:val="center"/>
              <w:rPr>
                <w:sz w:val="20"/>
                <w:szCs w:val="20"/>
              </w:rPr>
            </w:pPr>
            <w:r w:rsidRPr="00746371">
              <w:rPr>
                <w:sz w:val="20"/>
                <w:szCs w:val="20"/>
              </w:rPr>
              <w:t>$</w:t>
            </w:r>
            <w:r>
              <w:rPr>
                <w:sz w:val="20"/>
                <w:szCs w:val="20"/>
              </w:rPr>
              <w:t>231,666</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Height w:val="501"/>
        </w:trPr>
        <w:tc>
          <w:tcPr>
            <w:tcW w:w="549"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F730E3" w:rsidRDefault="001A641D" w:rsidP="001A641D">
            <w:pPr>
              <w:jc w:val="right"/>
              <w:rPr>
                <w:caps/>
                <w:sz w:val="20"/>
                <w:szCs w:val="20"/>
              </w:rPr>
            </w:pPr>
          </w:p>
        </w:tc>
        <w:tc>
          <w:tcPr>
            <w:tcW w:w="3820"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base fee (Assessment by environmental impact statement</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746371" w:rsidRDefault="007E5C0A" w:rsidP="001A641D">
            <w:pPr>
              <w:jc w:val="center"/>
              <w:rPr>
                <w:sz w:val="20"/>
                <w:szCs w:val="20"/>
              </w:rPr>
            </w:pPr>
            <w:r>
              <w:rPr>
                <w:sz w:val="20"/>
                <w:szCs w:val="20"/>
              </w:rPr>
              <w:t>$25,583</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Height w:val="501"/>
        </w:trPr>
        <w:tc>
          <w:tcPr>
            <w:tcW w:w="549"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F730E3" w:rsidRDefault="001A641D" w:rsidP="001A641D">
            <w:pPr>
              <w:jc w:val="right"/>
              <w:rPr>
                <w:caps/>
                <w:sz w:val="20"/>
                <w:szCs w:val="20"/>
              </w:rPr>
            </w:pPr>
          </w:p>
        </w:tc>
        <w:tc>
          <w:tcPr>
            <w:tcW w:w="3820"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total fee</w:t>
            </w:r>
          </w:p>
        </w:tc>
        <w:tc>
          <w:tcPr>
            <w:tcW w:w="63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746371" w:rsidRDefault="007E5C0A" w:rsidP="001A641D">
            <w:pPr>
              <w:jc w:val="center"/>
              <w:rPr>
                <w:sz w:val="20"/>
                <w:szCs w:val="20"/>
              </w:rPr>
            </w:pPr>
            <w:r>
              <w:rPr>
                <w:sz w:val="20"/>
                <w:szCs w:val="20"/>
              </w:rPr>
              <w:t>$257,249</w:t>
            </w:r>
          </w:p>
        </w:tc>
      </w:tr>
    </w:tbl>
    <w:p w:rsidR="001A641D" w:rsidRPr="00414EA1" w:rsidRDefault="007E5C0A" w:rsidP="001A641D">
      <w:pPr>
        <w:rPr>
          <w:sz w:val="18"/>
          <w:szCs w:val="18"/>
        </w:rPr>
      </w:pPr>
      <w:r w:rsidRPr="00414EA1">
        <w:rPr>
          <w:sz w:val="18"/>
          <w:szCs w:val="18"/>
        </w:rPr>
        <w:t xml:space="preserve">* Please refer to complexity </w:t>
      </w:r>
      <w:r w:rsidRPr="000523CF">
        <w:rPr>
          <w:sz w:val="18"/>
          <w:szCs w:val="18"/>
        </w:rPr>
        <w:t>matrix at Appendix B</w:t>
      </w:r>
    </w:p>
    <w:p w:rsidR="001A641D" w:rsidRDefault="007E5C0A">
      <w:pPr>
        <w:spacing w:after="0" w:line="240" w:lineRule="auto"/>
        <w:rPr>
          <w:rFonts w:cs="Arial"/>
          <w:b/>
          <w:i/>
        </w:rPr>
      </w:pPr>
      <w:r>
        <w:br w:type="page"/>
      </w:r>
    </w:p>
    <w:p w:rsidR="001A641D" w:rsidRPr="0087787F" w:rsidRDefault="007E5C0A" w:rsidP="001A641D">
      <w:pPr>
        <w:pStyle w:val="Heading4"/>
        <w:rPr>
          <w:lang w:val="en-US"/>
        </w:rPr>
      </w:pPr>
      <w:bookmarkStart w:id="1848" w:name="_Ref388515888"/>
      <w:bookmarkStart w:id="1849" w:name="_Ref457995129"/>
      <w:r>
        <w:rPr>
          <w:lang w:val="en-US"/>
        </w:rPr>
        <w:t xml:space="preserve">Fees for </w:t>
      </w:r>
      <w:r w:rsidRPr="0087787F">
        <w:rPr>
          <w:lang w:val="en-US"/>
        </w:rPr>
        <w:t xml:space="preserve">Assessment </w:t>
      </w:r>
      <w:r>
        <w:rPr>
          <w:lang w:val="en-US"/>
        </w:rPr>
        <w:t xml:space="preserve">by </w:t>
      </w:r>
      <w:r w:rsidRPr="0087787F">
        <w:rPr>
          <w:lang w:val="en-US"/>
        </w:rPr>
        <w:t xml:space="preserve">bilateral agreement/Accredited </w:t>
      </w:r>
      <w:bookmarkEnd w:id="1848"/>
      <w:r>
        <w:rPr>
          <w:lang w:val="en-US"/>
        </w:rPr>
        <w:t>process</w:t>
      </w:r>
      <w:bookmarkEnd w:id="1849"/>
    </w:p>
    <w:p w:rsidR="001A641D" w:rsidRPr="00324E34" w:rsidRDefault="007E5C0A" w:rsidP="001A641D">
      <w:pPr>
        <w:rPr>
          <w:lang w:val="en-US"/>
        </w:rPr>
      </w:pPr>
      <w:r w:rsidRPr="00324E34">
        <w:rPr>
          <w:lang w:val="en-US"/>
        </w:rPr>
        <w:t xml:space="preserve">The total fee for an assessment by bilateral agreement or accredited process includes the base </w:t>
      </w:r>
      <w:r>
        <w:rPr>
          <w:lang w:val="en-US"/>
        </w:rPr>
        <w:t>fee</w:t>
      </w:r>
      <w:r w:rsidRPr="00324E34">
        <w:rPr>
          <w:lang w:val="en-US"/>
        </w:rPr>
        <w:t xml:space="preserve"> </w:t>
      </w:r>
      <w:r w:rsidRPr="000523CF">
        <w:rPr>
          <w:lang w:val="en-US"/>
        </w:rPr>
        <w:t>for an assessment by bilateral agreement or accredited process and the relevant complexity fees (</w:t>
      </w:r>
      <w:r w:rsidR="00FF3730">
        <w:fldChar w:fldCharType="begin"/>
      </w:r>
      <w:r w:rsidR="00FF3730">
        <w:instrText xml:space="preserve"> REF _Ref457986130 \h  \* MERGEFORMAT </w:instrText>
      </w:r>
      <w:r w:rsidR="00FF3730">
        <w:fldChar w:fldCharType="separate"/>
      </w:r>
      <w:r w:rsidR="00FF3730">
        <w:t xml:space="preserve">Table </w:t>
      </w:r>
      <w:r w:rsidR="00FF3730">
        <w:rPr>
          <w:noProof/>
        </w:rPr>
        <w:t>17</w:t>
      </w:r>
      <w:r w:rsidR="00FF3730">
        <w:fldChar w:fldCharType="end"/>
      </w:r>
      <w:r w:rsidRPr="000523CF">
        <w:rPr>
          <w:lang w:val="en-US"/>
        </w:rPr>
        <w:t>).</w:t>
      </w:r>
      <w:r w:rsidRPr="00324E34">
        <w:rPr>
          <w:lang w:val="en-US"/>
        </w:rPr>
        <w:t xml:space="preserve"> </w:t>
      </w:r>
    </w:p>
    <w:p w:rsidR="001A641D" w:rsidRDefault="007E5C0A" w:rsidP="001A641D">
      <w:pPr>
        <w:pStyle w:val="Caption"/>
        <w:keepNext/>
      </w:pPr>
      <w:bookmarkStart w:id="1850" w:name="_Ref457986130"/>
      <w:bookmarkStart w:id="1851" w:name="_Toc256000426"/>
      <w:bookmarkStart w:id="1852" w:name="_Toc256000318"/>
      <w:bookmarkStart w:id="1853" w:name="_Toc256000210"/>
      <w:bookmarkStart w:id="1854" w:name="_Toc256000102"/>
      <w:bookmarkStart w:id="1855" w:name="_Toc458170605"/>
      <w:r>
        <w:t xml:space="preserve">Table </w:t>
      </w:r>
      <w:r w:rsidR="003366B4">
        <w:fldChar w:fldCharType="begin"/>
      </w:r>
      <w:r>
        <w:instrText xml:space="preserve"> SEQ Table \* ARABIC </w:instrText>
      </w:r>
      <w:r w:rsidR="003366B4">
        <w:fldChar w:fldCharType="separate"/>
      </w:r>
      <w:r w:rsidR="00FF3730">
        <w:rPr>
          <w:noProof/>
        </w:rPr>
        <w:t>17</w:t>
      </w:r>
      <w:r w:rsidR="003366B4">
        <w:rPr>
          <w:noProof/>
        </w:rPr>
        <w:fldChar w:fldCharType="end"/>
      </w:r>
      <w:bookmarkEnd w:id="1850"/>
      <w:r>
        <w:t xml:space="preserve">. </w:t>
      </w:r>
      <w:r w:rsidRPr="00521BA1">
        <w:t>Summary of bilateral agreement / accredited process fees.</w:t>
      </w:r>
      <w:bookmarkEnd w:id="1851"/>
      <w:bookmarkEnd w:id="1852"/>
      <w:bookmarkEnd w:id="1853"/>
      <w:bookmarkEnd w:id="1854"/>
      <w:bookmarkEnd w:id="1855"/>
    </w:p>
    <w:tbl>
      <w:tblPr>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2937"/>
        <w:gridCol w:w="2152"/>
        <w:gridCol w:w="2543"/>
        <w:gridCol w:w="2223"/>
      </w:tblGrid>
      <w:tr w:rsidR="00397365" w:rsidTr="001A641D">
        <w:trPr>
          <w:trHeight w:val="945"/>
        </w:trPr>
        <w:tc>
          <w:tcPr>
            <w:tcW w:w="1490"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sz w:val="20"/>
                <w:szCs w:val="20"/>
                <w:lang w:eastAsia="en-AU"/>
              </w:rPr>
            </w:pPr>
            <w:r w:rsidRPr="00F64587">
              <w:rPr>
                <w:b/>
                <w:sz w:val="20"/>
                <w:szCs w:val="20"/>
                <w:lang w:eastAsia="en-AU"/>
              </w:rPr>
              <w:t>Activity</w:t>
            </w:r>
          </w:p>
        </w:tc>
        <w:tc>
          <w:tcPr>
            <w:tcW w:w="109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sz w:val="20"/>
                <w:szCs w:val="20"/>
                <w:lang w:eastAsia="en-AU"/>
              </w:rPr>
            </w:pPr>
            <w:r w:rsidRPr="00F64587">
              <w:rPr>
                <w:b/>
                <w:sz w:val="20"/>
                <w:szCs w:val="20"/>
                <w:lang w:eastAsia="en-AU"/>
              </w:rPr>
              <w:t xml:space="preserve">Base </w:t>
            </w:r>
            <w:r>
              <w:rPr>
                <w:b/>
                <w:sz w:val="20"/>
                <w:szCs w:val="20"/>
                <w:lang w:eastAsia="en-AU"/>
              </w:rPr>
              <w:t>fee</w:t>
            </w:r>
          </w:p>
        </w:tc>
        <w:tc>
          <w:tcPr>
            <w:tcW w:w="1290"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Arial"/>
                <w:b/>
                <w:bCs/>
                <w:caps/>
                <w:sz w:val="20"/>
                <w:szCs w:val="20"/>
                <w:lang w:eastAsia="en-AU"/>
              </w:rPr>
            </w:pPr>
            <w:r w:rsidRPr="00F64587">
              <w:rPr>
                <w:b/>
                <w:sz w:val="20"/>
                <w:szCs w:val="20"/>
                <w:lang w:eastAsia="en-AU"/>
              </w:rPr>
              <w:t xml:space="preserve">Complexity </w:t>
            </w:r>
            <w:r>
              <w:rPr>
                <w:b/>
                <w:sz w:val="20"/>
                <w:szCs w:val="20"/>
                <w:lang w:eastAsia="en-AU"/>
              </w:rPr>
              <w:t>fees</w:t>
            </w:r>
          </w:p>
        </w:tc>
        <w:tc>
          <w:tcPr>
            <w:tcW w:w="112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rFonts w:asciiTheme="minorHAnsi" w:eastAsia="Times New Roman" w:hAnsiTheme="minorHAnsi" w:cstheme="minorHAnsi"/>
                <w:b/>
                <w:bCs/>
                <w:sz w:val="20"/>
                <w:szCs w:val="20"/>
                <w:lang w:eastAsia="en-AU"/>
              </w:rPr>
            </w:pPr>
            <w:r w:rsidRPr="00F64587">
              <w:rPr>
                <w:b/>
                <w:sz w:val="20"/>
                <w:szCs w:val="20"/>
                <w:lang w:eastAsia="en-AU"/>
              </w:rPr>
              <w:t>Total fee</w:t>
            </w:r>
          </w:p>
          <w:p w:rsidR="001A641D" w:rsidRDefault="007E5C0A" w:rsidP="001A641D">
            <w:pPr>
              <w:spacing w:before="120" w:after="120"/>
              <w:jc w:val="center"/>
              <w:rPr>
                <w:rFonts w:asciiTheme="minorHAnsi" w:eastAsia="Times New Roman" w:hAnsiTheme="minorHAnsi" w:cstheme="minorHAnsi"/>
                <w:b/>
                <w:bCs/>
                <w:sz w:val="20"/>
                <w:szCs w:val="20"/>
                <w:lang w:eastAsia="en-AU"/>
              </w:rPr>
            </w:pPr>
            <w:r>
              <w:rPr>
                <w:b/>
                <w:sz w:val="20"/>
                <w:szCs w:val="20"/>
                <w:lang w:eastAsia="en-AU"/>
              </w:rPr>
              <w:t>Base + Complexity</w:t>
            </w:r>
          </w:p>
        </w:tc>
      </w:tr>
      <w:tr w:rsidR="00397365" w:rsidTr="001A641D">
        <w:trPr>
          <w:trHeight w:val="600"/>
        </w:trPr>
        <w:tc>
          <w:tcPr>
            <w:tcW w:w="1490"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rFonts w:asciiTheme="minorHAnsi" w:eastAsia="Times New Roman" w:hAnsiTheme="minorHAnsi" w:cstheme="minorHAnsi"/>
                <w:b/>
                <w:bCs/>
                <w:sz w:val="20"/>
                <w:szCs w:val="20"/>
                <w:lang w:eastAsia="en-AU"/>
              </w:rPr>
            </w:pPr>
            <w:r w:rsidRPr="00F64587">
              <w:rPr>
                <w:sz w:val="20"/>
                <w:szCs w:val="20"/>
                <w:lang w:eastAsia="en-AU"/>
              </w:rPr>
              <w:t>Bilateral agreement / Accredited assessments</w:t>
            </w:r>
          </w:p>
        </w:tc>
        <w:tc>
          <w:tcPr>
            <w:tcW w:w="1092"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rFonts w:asciiTheme="minorHAnsi" w:eastAsia="Times New Roman" w:hAnsiTheme="minorHAnsi" w:cstheme="minorHAnsi"/>
                <w:b/>
                <w:bCs/>
                <w:sz w:val="20"/>
                <w:szCs w:val="20"/>
                <w:lang w:eastAsia="en-AU"/>
              </w:rPr>
            </w:pPr>
            <w:r w:rsidRPr="000517E5">
              <w:rPr>
                <w:sz w:val="20"/>
                <w:szCs w:val="20"/>
                <w:lang w:eastAsia="en-AU"/>
              </w:rPr>
              <w:t>$18,14</w:t>
            </w:r>
            <w:r>
              <w:rPr>
                <w:sz w:val="20"/>
                <w:szCs w:val="20"/>
                <w:lang w:eastAsia="en-AU"/>
              </w:rPr>
              <w:t>6</w:t>
            </w:r>
          </w:p>
        </w:tc>
        <w:tc>
          <w:tcPr>
            <w:tcW w:w="1290"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jc w:val="center"/>
              <w:rPr>
                <w:rFonts w:asciiTheme="minorHAnsi" w:eastAsia="Times New Roman" w:hAnsiTheme="minorHAnsi" w:cstheme="minorHAnsi"/>
                <w:b/>
                <w:bCs/>
                <w:sz w:val="20"/>
                <w:szCs w:val="20"/>
                <w:lang w:eastAsia="en-AU"/>
              </w:rPr>
            </w:pPr>
            <w:r w:rsidRPr="007A222A">
              <w:rPr>
                <w:sz w:val="20"/>
                <w:szCs w:val="20"/>
                <w:lang w:eastAsia="en-AU"/>
              </w:rPr>
              <w:t>Determined on a case by case basis</w:t>
            </w:r>
          </w:p>
        </w:tc>
        <w:tc>
          <w:tcPr>
            <w:tcW w:w="1128"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rFonts w:asciiTheme="minorHAnsi" w:eastAsia="Times New Roman" w:hAnsiTheme="minorHAnsi" w:cstheme="minorHAnsi"/>
                <w:b/>
                <w:bCs/>
                <w:sz w:val="20"/>
                <w:szCs w:val="20"/>
                <w:lang w:eastAsia="en-AU"/>
              </w:rPr>
            </w:pPr>
            <w:r>
              <w:rPr>
                <w:sz w:val="20"/>
                <w:szCs w:val="20"/>
                <w:lang w:eastAsia="en-AU"/>
              </w:rPr>
              <w:t>$18,146</w:t>
            </w:r>
            <w:r w:rsidRPr="000517E5">
              <w:rPr>
                <w:sz w:val="20"/>
                <w:szCs w:val="20"/>
                <w:lang w:eastAsia="en-AU"/>
              </w:rPr>
              <w:t xml:space="preserve"> + </w:t>
            </w:r>
            <w:r>
              <w:rPr>
                <w:sz w:val="20"/>
                <w:szCs w:val="20"/>
                <w:lang w:eastAsia="en-AU"/>
              </w:rPr>
              <w:t>Complexity fees</w:t>
            </w:r>
          </w:p>
        </w:tc>
      </w:tr>
    </w:tbl>
    <w:p w:rsidR="001A641D" w:rsidRPr="00324E34" w:rsidRDefault="007E5C0A" w:rsidP="001A641D">
      <w:pPr>
        <w:rPr>
          <w:lang w:val="en-US"/>
        </w:rPr>
      </w:pPr>
      <w:r w:rsidRPr="00324E34">
        <w:rPr>
          <w:lang w:val="en-US"/>
        </w:rPr>
        <w:t xml:space="preserve">These fees are payable across four stages of the assessment process, as </w:t>
      </w:r>
      <w:r w:rsidRPr="000523CF">
        <w:rPr>
          <w:lang w:val="en-US"/>
        </w:rPr>
        <w:t xml:space="preserve">outlined in </w:t>
      </w:r>
      <w:r w:rsidR="00FF3730">
        <w:fldChar w:fldCharType="begin"/>
      </w:r>
      <w:r w:rsidR="00FF3730">
        <w:instrText xml:space="preserve"> REF _Ref457985497 \h  \* MERGEFORMAT </w:instrText>
      </w:r>
      <w:r w:rsidR="00FF3730">
        <w:fldChar w:fldCharType="separate"/>
      </w:r>
      <w:r w:rsidR="00FF3730">
        <w:t xml:space="preserve">Table </w:t>
      </w:r>
      <w:r w:rsidR="00FF3730">
        <w:rPr>
          <w:noProof/>
        </w:rPr>
        <w:t>18</w:t>
      </w:r>
      <w:r w:rsidR="00FF3730">
        <w:fldChar w:fldCharType="end"/>
      </w:r>
      <w:r w:rsidRPr="000523CF">
        <w:rPr>
          <w:lang w:val="en-US"/>
        </w:rPr>
        <w:t xml:space="preserve"> below. </w:t>
      </w:r>
    </w:p>
    <w:p w:rsidR="001A641D" w:rsidRDefault="007E5C0A" w:rsidP="001A641D">
      <w:pPr>
        <w:pStyle w:val="Caption"/>
        <w:keepNext/>
      </w:pPr>
      <w:bookmarkStart w:id="1856" w:name="_Ref457985497"/>
      <w:bookmarkStart w:id="1857" w:name="_Toc256000427"/>
      <w:bookmarkStart w:id="1858" w:name="_Toc256000319"/>
      <w:bookmarkStart w:id="1859" w:name="_Toc256000211"/>
      <w:bookmarkStart w:id="1860" w:name="_Toc256000103"/>
      <w:bookmarkStart w:id="1861" w:name="_Toc458170606"/>
      <w:r>
        <w:t xml:space="preserve">Table </w:t>
      </w:r>
      <w:r w:rsidR="003366B4">
        <w:fldChar w:fldCharType="begin"/>
      </w:r>
      <w:r>
        <w:instrText xml:space="preserve"> SEQ Table \* ARABIC </w:instrText>
      </w:r>
      <w:r w:rsidR="003366B4">
        <w:fldChar w:fldCharType="separate"/>
      </w:r>
      <w:r w:rsidR="00FF3730">
        <w:rPr>
          <w:noProof/>
        </w:rPr>
        <w:t>18</w:t>
      </w:r>
      <w:r w:rsidR="003366B4">
        <w:rPr>
          <w:noProof/>
        </w:rPr>
        <w:fldChar w:fldCharType="end"/>
      </w:r>
      <w:bookmarkEnd w:id="1856"/>
      <w:r>
        <w:t>. Proportion</w:t>
      </w:r>
      <w:r w:rsidRPr="009617A1">
        <w:t xml:space="preserve"> of fees payable at each assessment stage for </w:t>
      </w:r>
      <w:r>
        <w:t xml:space="preserve">an </w:t>
      </w:r>
      <w:r w:rsidRPr="009617A1">
        <w:t>assessment by bilateral agreement or accredited process</w:t>
      </w:r>
      <w:bookmarkEnd w:id="1857"/>
      <w:bookmarkEnd w:id="1858"/>
      <w:bookmarkEnd w:id="1859"/>
      <w:bookmarkEnd w:id="1860"/>
      <w:bookmarkEnd w:id="1861"/>
    </w:p>
    <w:tbl>
      <w:tblPr>
        <w:tblW w:w="5000" w:type="pct"/>
        <w:tblLayout w:type="fixed"/>
        <w:tblCellMar>
          <w:left w:w="0" w:type="dxa"/>
          <w:right w:w="0" w:type="dxa"/>
        </w:tblCellMar>
        <w:tblLook w:val="04A0" w:firstRow="1" w:lastRow="0" w:firstColumn="1" w:lastColumn="0" w:noHBand="0" w:noVBand="1"/>
      </w:tblPr>
      <w:tblGrid>
        <w:gridCol w:w="5870"/>
        <w:gridCol w:w="1330"/>
        <w:gridCol w:w="1330"/>
        <w:gridCol w:w="1325"/>
      </w:tblGrid>
      <w:tr w:rsidR="00397365" w:rsidTr="00E97AF8">
        <w:trPr>
          <w:trHeight w:val="768"/>
        </w:trPr>
        <w:tc>
          <w:tcPr>
            <w:tcW w:w="2978" w:type="pct"/>
            <w:tcBorders>
              <w:top w:val="single" w:sz="8" w:space="0" w:color="548DD4" w:themeColor="text2" w:themeTint="99"/>
              <w:left w:val="single" w:sz="8" w:space="0" w:color="548DD4" w:themeColor="text2" w:themeTint="99"/>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theme="minorHAnsi"/>
                <w:b/>
                <w:bCs/>
                <w:sz w:val="20"/>
                <w:szCs w:val="20"/>
              </w:rPr>
            </w:pPr>
            <w:r w:rsidRPr="00324E34">
              <w:rPr>
                <w:b/>
                <w:bCs/>
                <w:sz w:val="20"/>
                <w:szCs w:val="20"/>
              </w:rPr>
              <w:t>Activity</w:t>
            </w:r>
          </w:p>
        </w:tc>
        <w:tc>
          <w:tcPr>
            <w:tcW w:w="675"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theme="minorHAnsi"/>
                <w:b/>
                <w:bCs/>
                <w:sz w:val="20"/>
                <w:szCs w:val="20"/>
              </w:rPr>
            </w:pPr>
            <w:r w:rsidRPr="00324E34">
              <w:rPr>
                <w:b/>
                <w:bCs/>
                <w:sz w:val="20"/>
                <w:szCs w:val="20"/>
              </w:rPr>
              <w:t>Base fee</w:t>
            </w:r>
          </w:p>
        </w:tc>
        <w:tc>
          <w:tcPr>
            <w:tcW w:w="675"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Pr>
          <w:p w:rsidR="001A641D" w:rsidRDefault="007E5C0A" w:rsidP="001A641D">
            <w:pPr>
              <w:spacing w:before="120" w:after="120"/>
              <w:jc w:val="center"/>
              <w:rPr>
                <w:rFonts w:asciiTheme="minorHAnsi" w:eastAsia="Times New Roman" w:hAnsiTheme="minorHAnsi" w:cstheme="minorHAnsi"/>
                <w:b/>
                <w:bCs/>
                <w:sz w:val="20"/>
                <w:szCs w:val="20"/>
              </w:rPr>
            </w:pPr>
            <w:r w:rsidRPr="00324E34">
              <w:rPr>
                <w:b/>
                <w:bCs/>
                <w:sz w:val="20"/>
                <w:szCs w:val="20"/>
              </w:rPr>
              <w:t>Part A complexity fees</w:t>
            </w:r>
          </w:p>
        </w:tc>
        <w:tc>
          <w:tcPr>
            <w:tcW w:w="672" w:type="pct"/>
            <w:tcBorders>
              <w:top w:val="single" w:sz="8" w:space="0" w:color="548DD4" w:themeColor="text2" w:themeTint="99"/>
              <w:left w:val="single" w:sz="8" w:space="0" w:color="8DB3E2" w:themeColor="text2" w:themeTint="66"/>
              <w:bottom w:val="single" w:sz="8" w:space="0" w:color="548DD4" w:themeColor="text2" w:themeTint="99"/>
              <w:right w:val="single" w:sz="8" w:space="0" w:color="8DB3E2" w:themeColor="text2" w:themeTint="66"/>
            </w:tcBorders>
            <w:shd w:val="clear" w:color="auto" w:fill="C6D9F1" w:themeFill="text2" w:themeFillTint="33"/>
            <w:tcMar>
              <w:top w:w="0" w:type="dxa"/>
              <w:left w:w="108" w:type="dxa"/>
              <w:bottom w:w="0" w:type="dxa"/>
              <w:right w:w="108" w:type="dxa"/>
            </w:tcMar>
            <w:vAlign w:val="center"/>
            <w:hideMark/>
          </w:tcPr>
          <w:p w:rsidR="001A641D" w:rsidRDefault="007E5C0A" w:rsidP="001A641D">
            <w:pPr>
              <w:spacing w:before="120" w:after="120"/>
              <w:jc w:val="center"/>
              <w:rPr>
                <w:rFonts w:ascii="Calibri" w:eastAsiaTheme="minorHAnsi" w:hAnsi="Calibri" w:cstheme="minorHAnsi"/>
                <w:b/>
                <w:bCs/>
                <w:sz w:val="20"/>
                <w:szCs w:val="20"/>
              </w:rPr>
            </w:pPr>
            <w:r w:rsidRPr="00324E34">
              <w:rPr>
                <w:b/>
                <w:bCs/>
                <w:sz w:val="20"/>
                <w:szCs w:val="20"/>
              </w:rPr>
              <w:t xml:space="preserve">Part B complexity fees </w:t>
            </w:r>
          </w:p>
        </w:tc>
      </w:tr>
      <w:tr w:rsidR="00397365" w:rsidTr="00E97AF8">
        <w:trPr>
          <w:trHeight w:val="600"/>
        </w:trPr>
        <w:tc>
          <w:tcPr>
            <w:tcW w:w="2978"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rFonts w:asciiTheme="minorHAnsi" w:eastAsia="Times New Roman" w:hAnsiTheme="minorHAnsi" w:cstheme="minorHAnsi"/>
                <w:b/>
                <w:bCs/>
                <w:sz w:val="20"/>
                <w:szCs w:val="20"/>
                <w:lang w:val="en-US"/>
              </w:rPr>
            </w:pPr>
            <w:r w:rsidRPr="00324E34">
              <w:rPr>
                <w:sz w:val="20"/>
                <w:szCs w:val="20"/>
                <w:lang w:val="en-US"/>
              </w:rPr>
              <w:t>Stage 1: Review terms of reference</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rFonts w:asciiTheme="minorHAnsi" w:eastAsia="Times New Roman" w:hAnsiTheme="minorHAnsi" w:cstheme="minorHAnsi"/>
                <w:b/>
                <w:bCs/>
                <w:sz w:val="20"/>
                <w:szCs w:val="20"/>
                <w:lang w:val="en-US"/>
              </w:rPr>
            </w:pPr>
            <w:r w:rsidRPr="00324E34">
              <w:rPr>
                <w:sz w:val="20"/>
                <w:szCs w:val="20"/>
                <w:lang w:val="en-US"/>
              </w:rPr>
              <w:t>22%</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rFonts w:asciiTheme="minorHAnsi" w:eastAsia="Times New Roman" w:hAnsiTheme="minorHAnsi" w:cstheme="minorHAnsi"/>
                <w:b/>
                <w:bCs/>
                <w:sz w:val="20"/>
                <w:szCs w:val="20"/>
                <w:lang w:val="en-US"/>
              </w:rPr>
            </w:pPr>
            <w:r w:rsidRPr="00324E34">
              <w:rPr>
                <w:sz w:val="20"/>
                <w:szCs w:val="20"/>
                <w:lang w:val="en-US"/>
              </w:rPr>
              <w:t>12%</w:t>
            </w:r>
          </w:p>
        </w:tc>
        <w:tc>
          <w:tcPr>
            <w:tcW w:w="672"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1A641D" w:rsidP="001A641D">
            <w:pPr>
              <w:spacing w:before="120" w:after="120"/>
              <w:jc w:val="center"/>
              <w:rPr>
                <w:sz w:val="20"/>
                <w:szCs w:val="20"/>
                <w:highlight w:val="yellow"/>
                <w:lang w:val="en-US"/>
              </w:rPr>
            </w:pPr>
          </w:p>
        </w:tc>
      </w:tr>
      <w:tr w:rsidR="00397365" w:rsidTr="00E97AF8">
        <w:trPr>
          <w:trHeight w:val="600"/>
        </w:trPr>
        <w:tc>
          <w:tcPr>
            <w:tcW w:w="2978"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324E34">
              <w:rPr>
                <w:sz w:val="20"/>
                <w:szCs w:val="20"/>
                <w:lang w:val="en-US"/>
              </w:rPr>
              <w:t>Stage 2: Review draft assessment documentation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324E34">
              <w:rPr>
                <w:sz w:val="20"/>
                <w:szCs w:val="20"/>
                <w:lang w:val="en-US"/>
              </w:rPr>
              <w:t>20%</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324E34">
              <w:rPr>
                <w:sz w:val="20"/>
                <w:szCs w:val="20"/>
                <w:lang w:val="en-US"/>
              </w:rPr>
              <w:t>19%</w:t>
            </w:r>
          </w:p>
        </w:tc>
        <w:tc>
          <w:tcPr>
            <w:tcW w:w="672"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1A641D" w:rsidP="001A641D">
            <w:pPr>
              <w:spacing w:before="120" w:after="120"/>
              <w:jc w:val="center"/>
              <w:rPr>
                <w:sz w:val="20"/>
                <w:szCs w:val="20"/>
                <w:highlight w:val="yellow"/>
                <w:lang w:val="en-US"/>
              </w:rPr>
            </w:pPr>
          </w:p>
        </w:tc>
      </w:tr>
      <w:tr w:rsidR="00397365" w:rsidTr="00E97AF8">
        <w:trPr>
          <w:trHeight w:val="600"/>
        </w:trPr>
        <w:tc>
          <w:tcPr>
            <w:tcW w:w="2978"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Pr>
                <w:sz w:val="20"/>
                <w:szCs w:val="20"/>
                <w:lang w:val="en-US"/>
              </w:rPr>
              <w:t>Stage 3: Review final</w:t>
            </w:r>
            <w:r w:rsidRPr="00324E34">
              <w:rPr>
                <w:sz w:val="20"/>
                <w:szCs w:val="20"/>
                <w:lang w:val="en-US"/>
              </w:rPr>
              <w:t xml:space="preserve"> assessment documentation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324E34">
              <w:rPr>
                <w:sz w:val="20"/>
                <w:szCs w:val="20"/>
                <w:lang w:val="en-US"/>
              </w:rPr>
              <w:t>12%</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324E34">
              <w:rPr>
                <w:sz w:val="20"/>
                <w:szCs w:val="20"/>
                <w:lang w:val="en-US"/>
              </w:rPr>
              <w:t>20%</w:t>
            </w:r>
          </w:p>
        </w:tc>
        <w:tc>
          <w:tcPr>
            <w:tcW w:w="672"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324E34">
              <w:rPr>
                <w:sz w:val="20"/>
                <w:szCs w:val="20"/>
                <w:lang w:val="en-US"/>
              </w:rPr>
              <w:t>50%</w:t>
            </w:r>
          </w:p>
        </w:tc>
      </w:tr>
      <w:tr w:rsidR="00397365" w:rsidTr="00E97AF8">
        <w:trPr>
          <w:trHeight w:val="600"/>
        </w:trPr>
        <w:tc>
          <w:tcPr>
            <w:tcW w:w="2978"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sz w:val="20"/>
                <w:szCs w:val="20"/>
                <w:lang w:val="en-US"/>
              </w:rPr>
            </w:pPr>
            <w:r w:rsidRPr="00324E34">
              <w:rPr>
                <w:sz w:val="20"/>
                <w:szCs w:val="20"/>
                <w:lang w:val="en-US"/>
              </w:rPr>
              <w:t xml:space="preserve">Stage 4: </w:t>
            </w:r>
            <w:r>
              <w:rPr>
                <w:sz w:val="20"/>
                <w:szCs w:val="20"/>
                <w:lang w:val="en-US"/>
              </w:rPr>
              <w:t>Prepare</w:t>
            </w:r>
            <w:r w:rsidRPr="00324E34">
              <w:rPr>
                <w:sz w:val="20"/>
                <w:szCs w:val="20"/>
                <w:lang w:val="en-US"/>
              </w:rPr>
              <w:t xml:space="preserve"> proposed and final decision</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324E34">
              <w:rPr>
                <w:sz w:val="20"/>
                <w:szCs w:val="20"/>
                <w:lang w:val="en-US"/>
              </w:rPr>
              <w:t>46%</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sz w:val="20"/>
                <w:szCs w:val="20"/>
                <w:lang w:val="en-US"/>
              </w:rPr>
            </w:pPr>
            <w:r w:rsidRPr="00324E34">
              <w:rPr>
                <w:sz w:val="20"/>
                <w:szCs w:val="20"/>
                <w:lang w:val="en-US"/>
              </w:rPr>
              <w:t>49%</w:t>
            </w:r>
          </w:p>
        </w:tc>
        <w:tc>
          <w:tcPr>
            <w:tcW w:w="672"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sz w:val="20"/>
                <w:szCs w:val="20"/>
                <w:lang w:val="en-US"/>
              </w:rPr>
            </w:pPr>
            <w:r w:rsidRPr="00324E34">
              <w:rPr>
                <w:sz w:val="20"/>
                <w:szCs w:val="20"/>
                <w:lang w:val="en-US"/>
              </w:rPr>
              <w:t>50%</w:t>
            </w:r>
          </w:p>
        </w:tc>
      </w:tr>
      <w:tr w:rsidR="00397365" w:rsidTr="00E97AF8">
        <w:trPr>
          <w:trHeight w:val="600"/>
        </w:trPr>
        <w:tc>
          <w:tcPr>
            <w:tcW w:w="2978"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rPr>
                <w:b/>
                <w:sz w:val="20"/>
                <w:szCs w:val="20"/>
                <w:lang w:val="en-US"/>
              </w:rPr>
            </w:pPr>
            <w:r w:rsidRPr="0007421B">
              <w:rPr>
                <w:b/>
                <w:sz w:val="20"/>
                <w:szCs w:val="20"/>
                <w:lang w:val="en-US"/>
              </w:rPr>
              <w:t>Total</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07421B">
              <w:rPr>
                <w:b/>
                <w:sz w:val="20"/>
                <w:szCs w:val="20"/>
                <w:lang w:val="en-US"/>
              </w:rPr>
              <w:t>100%</w:t>
            </w:r>
          </w:p>
        </w:tc>
        <w:tc>
          <w:tcPr>
            <w:tcW w:w="6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vAlign w:val="center"/>
          </w:tcPr>
          <w:p w:rsidR="001A641D" w:rsidRDefault="007E5C0A" w:rsidP="001A641D">
            <w:pPr>
              <w:spacing w:before="120" w:after="120"/>
              <w:jc w:val="center"/>
              <w:rPr>
                <w:b/>
                <w:sz w:val="20"/>
                <w:szCs w:val="20"/>
                <w:lang w:val="en-US"/>
              </w:rPr>
            </w:pPr>
            <w:r w:rsidRPr="0007421B">
              <w:rPr>
                <w:b/>
                <w:sz w:val="20"/>
                <w:szCs w:val="20"/>
                <w:lang w:val="en-US"/>
              </w:rPr>
              <w:t>100%</w:t>
            </w:r>
          </w:p>
        </w:tc>
        <w:tc>
          <w:tcPr>
            <w:tcW w:w="672"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tcMar>
              <w:top w:w="0" w:type="dxa"/>
              <w:left w:w="108" w:type="dxa"/>
              <w:bottom w:w="0" w:type="dxa"/>
              <w:right w:w="108" w:type="dxa"/>
            </w:tcMar>
            <w:vAlign w:val="center"/>
            <w:hideMark/>
          </w:tcPr>
          <w:p w:rsidR="001A641D" w:rsidRDefault="007E5C0A" w:rsidP="001A641D">
            <w:pPr>
              <w:spacing w:before="120" w:after="120"/>
              <w:jc w:val="center"/>
              <w:rPr>
                <w:b/>
                <w:sz w:val="20"/>
                <w:szCs w:val="20"/>
                <w:lang w:val="en-US"/>
              </w:rPr>
            </w:pPr>
            <w:r w:rsidRPr="0007421B">
              <w:rPr>
                <w:b/>
                <w:sz w:val="20"/>
                <w:szCs w:val="20"/>
                <w:lang w:val="en-US"/>
              </w:rPr>
              <w:t>100%</w:t>
            </w:r>
          </w:p>
        </w:tc>
      </w:tr>
    </w:tbl>
    <w:p w:rsidR="00E97AF8" w:rsidRPr="00E97AF8" w:rsidRDefault="00E97AF8" w:rsidP="00E97AF8">
      <w:pPr>
        <w:spacing w:after="120"/>
        <w:rPr>
          <w:rFonts w:ascii="Helvetica" w:hAnsi="Helvetica" w:cs="Helvetica"/>
          <w:color w:val="333333"/>
          <w:sz w:val="2"/>
          <w:szCs w:val="2"/>
        </w:rPr>
      </w:pPr>
    </w:p>
    <w:p w:rsidR="00E97AF8" w:rsidRDefault="00E97AF8" w:rsidP="00E97AF8">
      <w:pPr>
        <w:spacing w:after="120"/>
        <w:rPr>
          <w:rFonts w:ascii="Helvetica" w:hAnsi="Helvetica" w:cs="Helvetica"/>
          <w:color w:val="333333"/>
          <w:sz w:val="18"/>
          <w:szCs w:val="18"/>
        </w:rPr>
      </w:pPr>
      <w:r>
        <w:rPr>
          <w:rFonts w:ascii="Helvetica" w:hAnsi="Helvetica" w:cs="Helvetica"/>
          <w:color w:val="333333"/>
          <w:sz w:val="18"/>
          <w:szCs w:val="18"/>
        </w:rPr>
        <w:t>*</w:t>
      </w:r>
      <w:r w:rsidRPr="001A641D">
        <w:rPr>
          <w:rFonts w:ascii="Helvetica" w:hAnsi="Helvetica" w:cs="Helvetica"/>
          <w:color w:val="333333"/>
          <w:sz w:val="18"/>
          <w:szCs w:val="18"/>
        </w:rPr>
        <w:t>There may be min</w:t>
      </w:r>
      <w:r w:rsidR="00823019">
        <w:rPr>
          <w:rFonts w:ascii="Helvetica" w:hAnsi="Helvetica" w:cs="Helvetica"/>
          <w:color w:val="333333"/>
          <w:sz w:val="18"/>
          <w:szCs w:val="18"/>
        </w:rPr>
        <w:t>or discrepancies betwee</w:t>
      </w:r>
      <w:r>
        <w:rPr>
          <w:rFonts w:ascii="Helvetica" w:hAnsi="Helvetica" w:cs="Helvetica"/>
          <w:color w:val="333333"/>
          <w:sz w:val="18"/>
          <w:szCs w:val="18"/>
        </w:rPr>
        <w:t>n the percentages within this table and the corresponding</w:t>
      </w:r>
      <w:r w:rsidRPr="001A641D">
        <w:rPr>
          <w:rFonts w:ascii="Helvetica" w:hAnsi="Helvetica" w:cs="Helvetica"/>
          <w:color w:val="333333"/>
          <w:sz w:val="18"/>
          <w:szCs w:val="18"/>
        </w:rPr>
        <w:t xml:space="preserve"> fee</w:t>
      </w:r>
      <w:r>
        <w:rPr>
          <w:rFonts w:ascii="Helvetica" w:hAnsi="Helvetica" w:cs="Helvetica"/>
          <w:color w:val="333333"/>
          <w:sz w:val="18"/>
          <w:szCs w:val="18"/>
        </w:rPr>
        <w:t>s stated within this Statement. This is because</w:t>
      </w:r>
      <w:r w:rsidRPr="001A641D">
        <w:rPr>
          <w:rFonts w:ascii="Helvetica" w:hAnsi="Helvetica" w:cs="Helvetica"/>
          <w:color w:val="333333"/>
          <w:sz w:val="18"/>
          <w:szCs w:val="18"/>
        </w:rPr>
        <w:t xml:space="preserve"> </w:t>
      </w:r>
      <w:r>
        <w:rPr>
          <w:rFonts w:ascii="Helvetica" w:hAnsi="Helvetica" w:cs="Helvetica"/>
          <w:color w:val="333333"/>
          <w:sz w:val="18"/>
          <w:szCs w:val="18"/>
        </w:rPr>
        <w:t>the percentages above have been rounded to whole numbers</w:t>
      </w:r>
      <w:r w:rsidRPr="001A641D">
        <w:rPr>
          <w:rFonts w:ascii="Helvetica" w:hAnsi="Helvetica" w:cs="Helvetica"/>
          <w:color w:val="333333"/>
          <w:sz w:val="18"/>
          <w:szCs w:val="18"/>
        </w:rPr>
        <w:t xml:space="preserve">. </w:t>
      </w:r>
    </w:p>
    <w:p w:rsidR="001A641D" w:rsidRPr="000523CF" w:rsidRDefault="007E5C0A" w:rsidP="001A641D">
      <w:r>
        <w:rPr>
          <w:lang w:val="en-US"/>
        </w:rPr>
        <w:t>In circumstances where</w:t>
      </w:r>
      <w:r w:rsidRPr="00473D71">
        <w:t xml:space="preserve"> </w:t>
      </w:r>
      <w:r>
        <w:t xml:space="preserve">the Minister determines a particular stage of the process does not occur under a </w:t>
      </w:r>
      <w:r w:rsidRPr="000523CF">
        <w:t>bilateral agreement</w:t>
      </w:r>
      <w:r>
        <w:t xml:space="preserve"> (such as where terms of reference have already been prepared)</w:t>
      </w:r>
      <w:r w:rsidRPr="000523CF">
        <w:t xml:space="preserve">, the base and complexity fees for that particular stage may be waived (see section </w:t>
      </w:r>
      <w:r w:rsidR="00FF3730">
        <w:fldChar w:fldCharType="begin"/>
      </w:r>
      <w:r w:rsidR="00FF3730">
        <w:instrText xml:space="preserve"> R</w:instrText>
      </w:r>
      <w:r w:rsidR="00FF3730">
        <w:instrText xml:space="preserve">EF _Ref457995483 \r \h  \* MERGEFORMAT </w:instrText>
      </w:r>
      <w:r w:rsidR="00FF3730">
        <w:fldChar w:fldCharType="separate"/>
      </w:r>
      <w:r w:rsidR="00FF3730">
        <w:t>3.3.8</w:t>
      </w:r>
      <w:r w:rsidR="00FF3730">
        <w:fldChar w:fldCharType="end"/>
      </w:r>
      <w:r w:rsidRPr="000523CF">
        <w:t xml:space="preserve">) and this will reduce the total fees payable. </w:t>
      </w:r>
    </w:p>
    <w:p w:rsidR="001A641D" w:rsidRPr="000523CF" w:rsidRDefault="007E5C0A" w:rsidP="001A641D">
      <w:pPr>
        <w:rPr>
          <w:lang w:val="en-US"/>
        </w:rPr>
      </w:pPr>
      <w:r w:rsidRPr="000523CF">
        <w:rPr>
          <w:lang w:val="en-US"/>
        </w:rPr>
        <w:t xml:space="preserve">More information on the fees that may be applicable at each stage of the assessment by bilateral agreement or accredited process is outlined in the flowchart at </w:t>
      </w:r>
      <w:r w:rsidR="00FF3730">
        <w:fldChar w:fldCharType="begin"/>
      </w:r>
      <w:r w:rsidR="00FF3730">
        <w:instrText xml:space="preserve"> REF _Ref457913171 \h  \* MERGEFORMAT </w:instrText>
      </w:r>
      <w:r w:rsidR="00FF3730">
        <w:fldChar w:fldCharType="separate"/>
      </w:r>
      <w:r w:rsidR="00FF3730">
        <w:t>Figure 9</w:t>
      </w:r>
      <w:r w:rsidR="00FF3730">
        <w:fldChar w:fldCharType="end"/>
      </w:r>
      <w:r w:rsidRPr="000523CF">
        <w:t xml:space="preserve"> below.</w:t>
      </w:r>
      <w:r w:rsidRPr="000523CF">
        <w:rPr>
          <w:lang w:val="en-US"/>
        </w:rPr>
        <w:t xml:space="preserve"> Refer to Example 5 on page </w:t>
      </w:r>
      <w:r w:rsidR="003366B4" w:rsidRPr="000523CF">
        <w:rPr>
          <w:lang w:val="en-US"/>
        </w:rPr>
        <w:fldChar w:fldCharType="begin"/>
      </w:r>
      <w:r w:rsidRPr="000523CF">
        <w:rPr>
          <w:lang w:val="en-US"/>
        </w:rPr>
        <w:instrText xml:space="preserve"> PAGEREF _Ref457986161 \h </w:instrText>
      </w:r>
      <w:r w:rsidR="003366B4" w:rsidRPr="000523CF">
        <w:rPr>
          <w:lang w:val="en-US"/>
        </w:rPr>
      </w:r>
      <w:r w:rsidR="003366B4" w:rsidRPr="000523CF">
        <w:rPr>
          <w:lang w:val="en-US"/>
        </w:rPr>
        <w:fldChar w:fldCharType="separate"/>
      </w:r>
      <w:r w:rsidR="00FF3730">
        <w:rPr>
          <w:noProof/>
          <w:lang w:val="en-US"/>
        </w:rPr>
        <w:t>53</w:t>
      </w:r>
      <w:r w:rsidR="003366B4" w:rsidRPr="000523CF">
        <w:rPr>
          <w:lang w:val="en-US"/>
        </w:rPr>
        <w:fldChar w:fldCharType="end"/>
      </w:r>
      <w:r w:rsidRPr="000523CF">
        <w:rPr>
          <w:lang w:val="en-US"/>
        </w:rPr>
        <w:t xml:space="preserve"> to see how complexity fees could be applied to a proposed action assessed by bilateral agreement or accredited assessment. Refer to section </w:t>
      </w:r>
      <w:r w:rsidR="00FF3730">
        <w:fldChar w:fldCharType="begin"/>
      </w:r>
      <w:r w:rsidR="00FF3730">
        <w:instrText xml:space="preserve"> REF _Ref457993827 \r \h  \* MERGEFORMAT </w:instrText>
      </w:r>
      <w:r w:rsidR="00FF3730">
        <w:fldChar w:fldCharType="separate"/>
      </w:r>
      <w:r w:rsidR="00FF3730" w:rsidRPr="00FF3730">
        <w:rPr>
          <w:lang w:val="en-US"/>
        </w:rPr>
        <w:t>3.3.3.2</w:t>
      </w:r>
      <w:r w:rsidR="00FF3730">
        <w:fldChar w:fldCharType="end"/>
      </w:r>
      <w:r w:rsidRPr="000523CF">
        <w:t xml:space="preserve"> </w:t>
      </w:r>
      <w:r w:rsidRPr="000523CF">
        <w:rPr>
          <w:lang w:val="en-US"/>
        </w:rPr>
        <w:t xml:space="preserve">for more information on reducing complexity fees. </w:t>
      </w:r>
    </w:p>
    <w:p w:rsidR="001A641D" w:rsidRDefault="007E5C0A" w:rsidP="001A641D">
      <w:r w:rsidRPr="000523CF">
        <w:t xml:space="preserve">The fees for contingent activities and for evaluation of post-approval action management plans may be applicable during the assessment or for an approval granted following an assessment under a bilateral agreement or accredited process (see sections </w:t>
      </w:r>
      <w:r w:rsidR="00FF3730">
        <w:fldChar w:fldCharType="begin"/>
      </w:r>
      <w:r w:rsidR="00FF3730">
        <w:instrText xml:space="preserve"> REF _Ref45799</w:instrText>
      </w:r>
      <w:r w:rsidR="00FF3730">
        <w:instrText xml:space="preserve">2829 \r \h  \* MERGEFORMAT </w:instrText>
      </w:r>
      <w:r w:rsidR="00FF3730">
        <w:fldChar w:fldCharType="separate"/>
      </w:r>
      <w:r w:rsidR="00FF3730">
        <w:t>3.3.1.2</w:t>
      </w:r>
      <w:r w:rsidR="00FF3730">
        <w:fldChar w:fldCharType="end"/>
      </w:r>
      <w:r w:rsidRPr="000523CF">
        <w:t xml:space="preserve"> and </w:t>
      </w:r>
      <w:r w:rsidR="00FF3730">
        <w:fldChar w:fldCharType="begin"/>
      </w:r>
      <w:r w:rsidR="00FF3730">
        <w:instrText xml:space="preserve"> REF _Ref457992822 \r \h  \* MERGEFORMAT </w:instrText>
      </w:r>
      <w:r w:rsidR="00FF3730">
        <w:fldChar w:fldCharType="separate"/>
      </w:r>
      <w:r w:rsidR="00FF3730">
        <w:t>3.3.1.3</w:t>
      </w:r>
      <w:r w:rsidR="00FF3730">
        <w:fldChar w:fldCharType="end"/>
      </w:r>
      <w:r w:rsidRPr="000523CF">
        <w:t xml:space="preserve"> for further</w:t>
      </w:r>
      <w:r w:rsidRPr="00DE15FF">
        <w:t xml:space="preserve"> information</w:t>
      </w:r>
      <w:r>
        <w:t>).</w:t>
      </w:r>
    </w:p>
    <w:p w:rsidR="001A641D" w:rsidRDefault="007E5C0A" w:rsidP="001A641D">
      <w:pPr>
        <w:pStyle w:val="Caption"/>
        <w:keepNext/>
      </w:pPr>
      <w:bookmarkStart w:id="1862" w:name="_Ref387072258"/>
      <w:bookmarkStart w:id="1863" w:name="_Ref388542099"/>
      <w:bookmarkStart w:id="1864" w:name="_Toc387072717"/>
      <w:bookmarkStart w:id="1865" w:name="_Ref387068297"/>
      <w:bookmarkStart w:id="1866" w:name="_Ref387068308"/>
      <w:r>
        <w:rPr>
          <w:noProof/>
          <w:lang w:eastAsia="en-AU"/>
        </w:rPr>
        <w:drawing>
          <wp:inline distT="0" distB="0" distL="0" distR="0">
            <wp:extent cx="6120765" cy="8357026"/>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stretch>
                      <a:fillRect/>
                    </a:stretch>
                  </pic:blipFill>
                  <pic:spPr bwMode="auto">
                    <a:xfrm>
                      <a:off x="0" y="0"/>
                      <a:ext cx="6120765" cy="8357026"/>
                    </a:xfrm>
                    <a:prstGeom prst="rect">
                      <a:avLst/>
                    </a:prstGeom>
                    <a:noFill/>
                    <a:ln w="9525">
                      <a:noFill/>
                      <a:miter lim="800000"/>
                      <a:headEnd/>
                      <a:tailEnd/>
                    </a:ln>
                  </pic:spPr>
                </pic:pic>
              </a:graphicData>
            </a:graphic>
          </wp:inline>
        </w:drawing>
      </w:r>
    </w:p>
    <w:p w:rsidR="001A641D" w:rsidRDefault="007E5C0A" w:rsidP="001A641D">
      <w:pPr>
        <w:pStyle w:val="Caption"/>
      </w:pPr>
      <w:bookmarkStart w:id="1867" w:name="_Ref457913171"/>
      <w:bookmarkStart w:id="1868" w:name="_Toc256000293"/>
      <w:bookmarkStart w:id="1869" w:name="_Toc256000185"/>
      <w:bookmarkStart w:id="1870" w:name="_Toc256000077"/>
      <w:bookmarkStart w:id="1871" w:name="_Toc458170580"/>
      <w:bookmarkStart w:id="1872" w:name="_Toc459108593"/>
      <w:r>
        <w:t xml:space="preserve">Figure </w:t>
      </w:r>
      <w:r w:rsidR="003366B4">
        <w:fldChar w:fldCharType="begin"/>
      </w:r>
      <w:r>
        <w:instrText xml:space="preserve"> SEQ Figure \* ARABIC </w:instrText>
      </w:r>
      <w:r w:rsidR="003366B4">
        <w:fldChar w:fldCharType="separate"/>
      </w:r>
      <w:r w:rsidR="00FF3730">
        <w:rPr>
          <w:noProof/>
        </w:rPr>
        <w:t>9</w:t>
      </w:r>
      <w:r w:rsidR="003366B4">
        <w:fldChar w:fldCharType="end"/>
      </w:r>
      <w:bookmarkEnd w:id="1867"/>
      <w:r>
        <w:t xml:space="preserve">. </w:t>
      </w:r>
      <w:r w:rsidRPr="004969C2">
        <w:t>Fee stages flowchart for bilateral or accredited assessment process.</w:t>
      </w:r>
      <w:bookmarkEnd w:id="1868"/>
      <w:bookmarkEnd w:id="1869"/>
      <w:bookmarkEnd w:id="1870"/>
      <w:bookmarkEnd w:id="1871"/>
      <w:bookmarkEnd w:id="1872"/>
    </w:p>
    <w:bookmarkEnd w:id="1862"/>
    <w:bookmarkEnd w:id="1863"/>
    <w:bookmarkEnd w:id="1864"/>
    <w:p w:rsidR="001A641D" w:rsidRDefault="001A641D" w:rsidP="001A641D">
      <w:pPr>
        <w:rPr>
          <w:b/>
          <w:color w:val="1F497D" w:themeColor="text2"/>
          <w:sz w:val="16"/>
          <w:szCs w:val="16"/>
        </w:rPr>
      </w:pPr>
    </w:p>
    <w:p w:rsidR="001A641D" w:rsidRDefault="001A641D" w:rsidP="001A641D">
      <w:pPr>
        <w:rPr>
          <w:b/>
          <w:color w:val="1F497D" w:themeColor="text2"/>
          <w:sz w:val="16"/>
          <w:szCs w:val="16"/>
        </w:rPr>
      </w:pPr>
    </w:p>
    <w:p w:rsidR="001A641D" w:rsidRDefault="007E5C0A" w:rsidP="001A641D">
      <w:pPr>
        <w:pStyle w:val="Caption"/>
        <w:keepNext/>
      </w:pPr>
      <w:bookmarkStart w:id="1873" w:name="_Toc256000408"/>
      <w:bookmarkStart w:id="1874" w:name="_Toc256000300"/>
      <w:bookmarkStart w:id="1875" w:name="_Toc256000192"/>
      <w:bookmarkStart w:id="1876" w:name="_Toc256000084"/>
      <w:bookmarkStart w:id="1877" w:name="_Ref457985840"/>
      <w:bookmarkStart w:id="1878" w:name="_Ref457986161"/>
      <w:bookmarkStart w:id="1879" w:name="_Toc458170587"/>
      <w:r>
        <w:t xml:space="preserve">Example </w:t>
      </w:r>
      <w:r w:rsidR="003366B4">
        <w:fldChar w:fldCharType="begin"/>
      </w:r>
      <w:r>
        <w:instrText xml:space="preserve"> SEQ Example \* ARABIC </w:instrText>
      </w:r>
      <w:r w:rsidR="003366B4">
        <w:fldChar w:fldCharType="separate"/>
      </w:r>
      <w:r w:rsidR="00FF3730">
        <w:rPr>
          <w:noProof/>
        </w:rPr>
        <w:t>5</w:t>
      </w:r>
      <w:r w:rsidR="003366B4">
        <w:rPr>
          <w:noProof/>
        </w:rPr>
        <w:fldChar w:fldCharType="end"/>
      </w:r>
      <w:r>
        <w:t xml:space="preserve">. </w:t>
      </w:r>
      <w:r w:rsidRPr="003119F7">
        <w:t>Mine, Rail &amp; Port with associated offshore dredging (bilateral assessment)</w:t>
      </w:r>
      <w:bookmarkEnd w:id="1873"/>
      <w:bookmarkEnd w:id="1874"/>
      <w:bookmarkEnd w:id="1875"/>
      <w:bookmarkEnd w:id="1876"/>
      <w:bookmarkEnd w:id="1877"/>
      <w:bookmarkEnd w:id="1878"/>
      <w:bookmarkEnd w:id="1879"/>
    </w:p>
    <w:tbl>
      <w:tblPr>
        <w:tblStyle w:val="TableGrid"/>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Layout w:type="fixed"/>
        <w:tblLook w:val="04A0" w:firstRow="1" w:lastRow="0" w:firstColumn="1" w:lastColumn="0" w:noHBand="0" w:noVBand="1"/>
      </w:tblPr>
      <w:tblGrid>
        <w:gridCol w:w="1102"/>
        <w:gridCol w:w="591"/>
        <w:gridCol w:w="41"/>
        <w:gridCol w:w="3477"/>
        <w:gridCol w:w="3264"/>
        <w:gridCol w:w="1380"/>
      </w:tblGrid>
      <w:tr w:rsidR="00397365" w:rsidTr="001A641D">
        <w:trPr>
          <w:cnfStyle w:val="100000000000" w:firstRow="1" w:lastRow="0" w:firstColumn="0" w:lastColumn="0" w:oddVBand="0" w:evenVBand="0" w:oddHBand="0" w:evenHBand="0" w:firstRowFirstColumn="0" w:firstRowLastColumn="0" w:lastRowFirstColumn="0" w:lastRowLastColumn="0"/>
          <w:cantSplit/>
        </w:trPr>
        <w:tc>
          <w:tcPr>
            <w:tcW w:w="5000" w:type="pct"/>
            <w:gridSpan w:val="6"/>
            <w:tcBorders>
              <w:bottom w:val="single" w:sz="4" w:space="0" w:color="548DD4" w:themeColor="text2" w:themeTint="99"/>
            </w:tcBorders>
            <w:shd w:val="clear" w:color="auto" w:fill="auto"/>
          </w:tcPr>
          <w:p w:rsidR="001A641D" w:rsidRPr="00F80710" w:rsidRDefault="007E5C0A" w:rsidP="001A641D">
            <w:pPr>
              <w:rPr>
                <w:sz w:val="18"/>
                <w:szCs w:val="18"/>
              </w:rPr>
            </w:pPr>
            <w:r w:rsidRPr="00F80710">
              <w:rPr>
                <w:b/>
                <w:sz w:val="18"/>
                <w:szCs w:val="18"/>
              </w:rPr>
              <w:t>Project description</w:t>
            </w:r>
            <w:r w:rsidRPr="00F80710">
              <w:rPr>
                <w:sz w:val="18"/>
                <w:szCs w:val="18"/>
              </w:rPr>
              <w:t>: Mining Pty Ltd is proposin</w:t>
            </w:r>
            <w:r>
              <w:rPr>
                <w:sz w:val="18"/>
                <w:szCs w:val="18"/>
              </w:rPr>
              <w:t xml:space="preserve">g the new development of a mine, </w:t>
            </w:r>
            <w:r w:rsidRPr="00F80710">
              <w:rPr>
                <w:sz w:val="18"/>
                <w:szCs w:val="18"/>
              </w:rPr>
              <w:t>rail line</w:t>
            </w:r>
            <w:r>
              <w:rPr>
                <w:sz w:val="18"/>
                <w:szCs w:val="18"/>
              </w:rPr>
              <w:t xml:space="preserve"> and port</w:t>
            </w:r>
            <w:r w:rsidRPr="00F80710">
              <w:rPr>
                <w:sz w:val="18"/>
                <w:szCs w:val="18"/>
              </w:rPr>
              <w:t>.</w:t>
            </w:r>
            <w:r>
              <w:rPr>
                <w:sz w:val="18"/>
                <w:szCs w:val="18"/>
              </w:rPr>
              <w:t xml:space="preserve"> </w:t>
            </w:r>
            <w:r w:rsidRPr="00AF7F9B">
              <w:rPr>
                <w:sz w:val="18"/>
                <w:szCs w:val="18"/>
              </w:rPr>
              <w:t>The development of the port facility also involves offshore dredging for the shipping channel and construction of a jetty for docking of ships</w:t>
            </w:r>
            <w:r w:rsidRPr="00401625">
              <w:rPr>
                <w:sz w:val="18"/>
                <w:szCs w:val="18"/>
              </w:rPr>
              <w:t xml:space="preserve">.  </w:t>
            </w:r>
          </w:p>
          <w:p w:rsidR="001A641D" w:rsidRDefault="007E5C0A" w:rsidP="001A641D">
            <w:pPr>
              <w:rPr>
                <w:sz w:val="18"/>
                <w:szCs w:val="18"/>
              </w:rPr>
            </w:pPr>
            <w:r w:rsidRPr="00F80710">
              <w:rPr>
                <w:sz w:val="18"/>
                <w:szCs w:val="18"/>
              </w:rPr>
              <w:t xml:space="preserve">The project involves the clearing and fragmentation of habitat for a number of threatened and migratory species. </w:t>
            </w:r>
            <w:r w:rsidRPr="00401625">
              <w:rPr>
                <w:sz w:val="18"/>
                <w:szCs w:val="18"/>
              </w:rPr>
              <w:t>The port infrastructure is proposed to be constructed over habitat that provides foraging habitat for migratory species. This project will involve considerable dredging extending into the Commonwealth marine environment.  The dredge plume is likely to impact on some coral communities in the Commonwealth marine environment.</w:t>
            </w:r>
          </w:p>
          <w:p w:rsidR="001A641D" w:rsidRPr="00F80710" w:rsidRDefault="007E5C0A" w:rsidP="001A641D">
            <w:pPr>
              <w:rPr>
                <w:sz w:val="18"/>
                <w:szCs w:val="18"/>
              </w:rPr>
            </w:pPr>
            <w:r w:rsidRPr="00F80710">
              <w:rPr>
                <w:sz w:val="18"/>
                <w:szCs w:val="18"/>
              </w:rPr>
              <w:t xml:space="preserve">Site surveys are partially complete for all project components however impacts are not adequately identified and further work is required. The proponent has proposed broad management measures, however further clarification is required. </w:t>
            </w:r>
          </w:p>
          <w:p w:rsidR="001A641D" w:rsidRPr="0067320C" w:rsidRDefault="007E5C0A" w:rsidP="001A641D">
            <w:pPr>
              <w:rPr>
                <w:b/>
                <w:sz w:val="16"/>
                <w:szCs w:val="16"/>
              </w:rPr>
            </w:pPr>
            <w:r w:rsidRPr="00AB5EB4">
              <w:rPr>
                <w:sz w:val="18"/>
                <w:szCs w:val="18"/>
              </w:rPr>
              <w:t xml:space="preserve">Liaison with the state will be required </w:t>
            </w:r>
            <w:r>
              <w:rPr>
                <w:sz w:val="18"/>
                <w:szCs w:val="18"/>
              </w:rPr>
              <w:t>as a normal part of the</w:t>
            </w:r>
            <w:r w:rsidRPr="00AB5EB4">
              <w:rPr>
                <w:sz w:val="18"/>
                <w:szCs w:val="18"/>
              </w:rPr>
              <w:t xml:space="preserve"> bilateral assessment process</w:t>
            </w:r>
            <w:r>
              <w:rPr>
                <w:sz w:val="18"/>
                <w:szCs w:val="18"/>
              </w:rPr>
              <w:t>, but no coordination with other legislation is required.</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859" w:type="pct"/>
            <w:gridSpan w:val="2"/>
            <w:tcBorders>
              <w:bottom w:val="single" w:sz="4" w:space="0" w:color="548DD4" w:themeColor="text2" w:themeTint="99"/>
              <w:right w:val="nil"/>
            </w:tcBorders>
            <w:shd w:val="clear" w:color="auto" w:fill="8DB3E2" w:themeFill="text2" w:themeFillTint="66"/>
          </w:tcPr>
          <w:p w:rsidR="001A641D" w:rsidRPr="0067320C" w:rsidRDefault="007E5C0A" w:rsidP="001A641D">
            <w:pPr>
              <w:jc w:val="center"/>
              <w:rPr>
                <w:b/>
                <w:sz w:val="16"/>
                <w:szCs w:val="16"/>
              </w:rPr>
            </w:pPr>
            <w:r w:rsidRPr="0067320C">
              <w:rPr>
                <w:b/>
                <w:sz w:val="16"/>
                <w:szCs w:val="16"/>
              </w:rPr>
              <w:t>Fee Ref.*</w:t>
            </w:r>
          </w:p>
        </w:tc>
        <w:tc>
          <w:tcPr>
            <w:tcW w:w="1785" w:type="pct"/>
            <w:gridSpan w:val="2"/>
            <w:tcBorders>
              <w:left w:val="nil"/>
              <w:bottom w:val="single" w:sz="4" w:space="0" w:color="548DD4" w:themeColor="text2" w:themeTint="99"/>
              <w:right w:val="nil"/>
            </w:tcBorders>
            <w:shd w:val="clear" w:color="auto" w:fill="8DB3E2" w:themeFill="text2" w:themeFillTint="66"/>
            <w:vAlign w:val="center"/>
          </w:tcPr>
          <w:p w:rsidR="001A641D" w:rsidRPr="0067320C" w:rsidRDefault="007E5C0A" w:rsidP="001A641D">
            <w:pPr>
              <w:jc w:val="center"/>
              <w:rPr>
                <w:b/>
                <w:sz w:val="16"/>
                <w:szCs w:val="16"/>
              </w:rPr>
            </w:pPr>
            <w:r w:rsidRPr="0067320C">
              <w:rPr>
                <w:b/>
                <w:sz w:val="16"/>
                <w:szCs w:val="16"/>
              </w:rPr>
              <w:t>Project characteristics</w:t>
            </w:r>
          </w:p>
        </w:tc>
        <w:tc>
          <w:tcPr>
            <w:tcW w:w="1656" w:type="pct"/>
            <w:tcBorders>
              <w:left w:val="nil"/>
              <w:bottom w:val="single" w:sz="4" w:space="0" w:color="548DD4" w:themeColor="text2" w:themeTint="99"/>
              <w:right w:val="nil"/>
            </w:tcBorders>
            <w:shd w:val="clear" w:color="auto" w:fill="8DB3E2" w:themeFill="text2" w:themeFillTint="66"/>
            <w:vAlign w:val="center"/>
          </w:tcPr>
          <w:p w:rsidR="001A641D" w:rsidRPr="0067320C" w:rsidRDefault="007E5C0A" w:rsidP="001A641D">
            <w:pPr>
              <w:jc w:val="center"/>
              <w:rPr>
                <w:b/>
                <w:sz w:val="16"/>
                <w:szCs w:val="16"/>
              </w:rPr>
            </w:pPr>
            <w:r w:rsidRPr="0067320C">
              <w:rPr>
                <w:b/>
                <w:sz w:val="16"/>
                <w:szCs w:val="16"/>
              </w:rPr>
              <w:t>Additional resources required during the assessment process</w:t>
            </w:r>
          </w:p>
        </w:tc>
        <w:tc>
          <w:tcPr>
            <w:tcW w:w="700" w:type="pct"/>
            <w:tcBorders>
              <w:left w:val="nil"/>
              <w:bottom w:val="single" w:sz="4" w:space="0" w:color="548DD4" w:themeColor="text2" w:themeTint="99"/>
            </w:tcBorders>
            <w:shd w:val="clear" w:color="auto" w:fill="8DB3E2" w:themeFill="text2" w:themeFillTint="66"/>
            <w:vAlign w:val="center"/>
          </w:tcPr>
          <w:p w:rsidR="001A641D" w:rsidRPr="0067320C" w:rsidRDefault="007E5C0A" w:rsidP="001A641D">
            <w:pPr>
              <w:jc w:val="center"/>
              <w:rPr>
                <w:b/>
                <w:sz w:val="16"/>
                <w:szCs w:val="16"/>
              </w:rPr>
            </w:pPr>
            <w:r>
              <w:rPr>
                <w:b/>
                <w:sz w:val="16"/>
                <w:szCs w:val="16"/>
              </w:rPr>
              <w:t>Fee</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559" w:type="pct"/>
            <w:vMerge w:val="restart"/>
            <w:tcBorders>
              <w:right w:val="single" w:sz="4" w:space="0" w:color="548DD4" w:themeColor="text2" w:themeTint="99"/>
            </w:tcBorders>
            <w:shd w:val="clear" w:color="auto" w:fill="C6D9F1" w:themeFill="text2" w:themeFillTint="33"/>
          </w:tcPr>
          <w:p w:rsidR="001A641D" w:rsidRPr="0067320C" w:rsidRDefault="007E5C0A" w:rsidP="001A641D">
            <w:pPr>
              <w:rPr>
                <w:sz w:val="16"/>
                <w:szCs w:val="16"/>
              </w:rPr>
            </w:pPr>
            <w:r>
              <w:rPr>
                <w:sz w:val="16"/>
                <w:szCs w:val="16"/>
              </w:rPr>
              <w:t>Part A Complexity Fees</w:t>
            </w:r>
          </w:p>
        </w:tc>
        <w:tc>
          <w:tcPr>
            <w:tcW w:w="2085" w:type="pct"/>
            <w:gridSpan w:val="3"/>
            <w:tcBorders>
              <w:left w:val="single" w:sz="4" w:space="0" w:color="548DD4" w:themeColor="text2" w:themeTint="99"/>
            </w:tcBorders>
            <w:shd w:val="clear" w:color="auto" w:fill="C6D9F1" w:themeFill="text2" w:themeFillTint="33"/>
            <w:vAlign w:val="bottom"/>
          </w:tcPr>
          <w:p w:rsidR="001A641D" w:rsidRPr="0067320C" w:rsidRDefault="007E5C0A" w:rsidP="001A641D">
            <w:pPr>
              <w:rPr>
                <w:sz w:val="16"/>
                <w:szCs w:val="16"/>
              </w:rPr>
            </w:pPr>
            <w:r w:rsidRPr="0067320C">
              <w:rPr>
                <w:sz w:val="16"/>
                <w:szCs w:val="16"/>
              </w:rPr>
              <w:t>Controlling provisions triggered</w:t>
            </w:r>
          </w:p>
        </w:tc>
        <w:tc>
          <w:tcPr>
            <w:tcW w:w="1656" w:type="pct"/>
            <w:shd w:val="clear" w:color="auto" w:fill="C6D9F1" w:themeFill="text2" w:themeFillTint="33"/>
          </w:tcPr>
          <w:p w:rsidR="001A641D" w:rsidRPr="0067320C" w:rsidRDefault="001A641D" w:rsidP="001A641D">
            <w:pPr>
              <w:rPr>
                <w:sz w:val="16"/>
                <w:szCs w:val="16"/>
              </w:rPr>
            </w:pPr>
          </w:p>
        </w:tc>
        <w:tc>
          <w:tcPr>
            <w:tcW w:w="700" w:type="pct"/>
            <w:shd w:val="clear" w:color="auto" w:fill="C6D9F1" w:themeFill="text2" w:themeFillTint="33"/>
          </w:tcPr>
          <w:p w:rsidR="001A641D" w:rsidRPr="0067320C" w:rsidRDefault="001A641D" w:rsidP="001A641D">
            <w:pPr>
              <w:rPr>
                <w:sz w:val="16"/>
                <w:szCs w:val="16"/>
              </w:rPr>
            </w:pP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59" w:type="pct"/>
            <w:vMerge/>
            <w:tcBorders>
              <w:right w:val="single" w:sz="4" w:space="0" w:color="548DD4" w:themeColor="text2" w:themeTint="99"/>
            </w:tcBorders>
          </w:tcPr>
          <w:p w:rsidR="001A641D" w:rsidRPr="00AF7F9B" w:rsidRDefault="001A641D" w:rsidP="001A641D">
            <w:pPr>
              <w:jc w:val="center"/>
              <w:rPr>
                <w:sz w:val="18"/>
                <w:szCs w:val="18"/>
              </w:rPr>
            </w:pPr>
          </w:p>
        </w:tc>
        <w:tc>
          <w:tcPr>
            <w:tcW w:w="300" w:type="pct"/>
            <w:tcBorders>
              <w:left w:val="single" w:sz="4" w:space="0" w:color="548DD4" w:themeColor="text2" w:themeTint="99"/>
            </w:tcBorders>
            <w:vAlign w:val="center"/>
          </w:tcPr>
          <w:p w:rsidR="001A641D" w:rsidRPr="0067320C" w:rsidRDefault="007E5C0A" w:rsidP="001A641D">
            <w:pPr>
              <w:jc w:val="center"/>
              <w:rPr>
                <w:sz w:val="16"/>
                <w:szCs w:val="16"/>
              </w:rPr>
            </w:pPr>
            <w:r w:rsidRPr="00AF7F9B">
              <w:rPr>
                <w:sz w:val="18"/>
                <w:szCs w:val="18"/>
              </w:rPr>
              <w:t>A</w:t>
            </w:r>
          </w:p>
        </w:tc>
        <w:tc>
          <w:tcPr>
            <w:tcW w:w="1785" w:type="pct"/>
            <w:gridSpan w:val="2"/>
          </w:tcPr>
          <w:p w:rsidR="001A641D" w:rsidRPr="0094354E" w:rsidRDefault="007E5C0A" w:rsidP="001A641D">
            <w:pPr>
              <w:pStyle w:val="ListBullet"/>
              <w:numPr>
                <w:ilvl w:val="0"/>
                <w:numId w:val="0"/>
              </w:numPr>
              <w:spacing w:after="0"/>
              <w:ind w:left="150"/>
              <w:rPr>
                <w:sz w:val="18"/>
                <w:szCs w:val="16"/>
              </w:rPr>
            </w:pPr>
            <w:r w:rsidRPr="003B4B28">
              <w:rPr>
                <w:sz w:val="18"/>
                <w:szCs w:val="18"/>
              </w:rPr>
              <w:t>8 threatened species and 1 ecological community require assessment; impacts to the 7 species are well defined and understood; impacts to 1 species and the ecological community are not well understood; management options are all well defined and understood.</w:t>
            </w:r>
          </w:p>
        </w:tc>
        <w:tc>
          <w:tcPr>
            <w:tcW w:w="1656" w:type="pct"/>
          </w:tcPr>
          <w:p w:rsidR="001A641D" w:rsidRPr="003B4B28" w:rsidRDefault="007E5C0A" w:rsidP="001A641D">
            <w:pPr>
              <w:spacing w:after="0"/>
              <w:rPr>
                <w:sz w:val="18"/>
                <w:szCs w:val="18"/>
              </w:rPr>
            </w:pPr>
            <w:r w:rsidRPr="003B4B28">
              <w:rPr>
                <w:sz w:val="18"/>
                <w:szCs w:val="18"/>
              </w:rPr>
              <w:t>Threatened species (high complexity):</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Officer—20.59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Director—6.98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Director—2.25 days</w:t>
            </w:r>
          </w:p>
          <w:p w:rsidR="001A641D" w:rsidRPr="00583008" w:rsidRDefault="007E5C0A" w:rsidP="001A641D">
            <w:pPr>
              <w:pStyle w:val="ListParagraph"/>
              <w:numPr>
                <w:ilvl w:val="0"/>
                <w:numId w:val="6"/>
              </w:numPr>
              <w:spacing w:after="0" w:line="240" w:lineRule="auto"/>
              <w:ind w:left="360"/>
              <w:contextualSpacing/>
              <w:rPr>
                <w:sz w:val="18"/>
                <w:szCs w:val="16"/>
              </w:rPr>
            </w:pPr>
            <w:r>
              <w:rPr>
                <w:sz w:val="18"/>
                <w:szCs w:val="18"/>
              </w:rPr>
              <w:t>SES</w:t>
            </w:r>
            <w:r w:rsidRPr="003B4B28">
              <w:rPr>
                <w:sz w:val="18"/>
                <w:szCs w:val="18"/>
              </w:rPr>
              <w:t xml:space="preserve"> – 0.4 days</w:t>
            </w:r>
          </w:p>
          <w:p w:rsidR="001A641D" w:rsidRPr="0094354E" w:rsidRDefault="007E5C0A" w:rsidP="001A641D">
            <w:pPr>
              <w:pStyle w:val="ListParagraph"/>
              <w:numPr>
                <w:ilvl w:val="0"/>
                <w:numId w:val="6"/>
              </w:numPr>
              <w:spacing w:after="0" w:line="240" w:lineRule="auto"/>
              <w:ind w:left="360"/>
              <w:contextualSpacing/>
              <w:rPr>
                <w:sz w:val="18"/>
                <w:szCs w:val="16"/>
              </w:rPr>
            </w:pPr>
            <w:r>
              <w:rPr>
                <w:sz w:val="18"/>
                <w:szCs w:val="18"/>
              </w:rPr>
              <w:t>Line area advice - $8,827</w:t>
            </w:r>
          </w:p>
        </w:tc>
        <w:tc>
          <w:tcPr>
            <w:tcW w:w="700" w:type="pct"/>
            <w:vAlign w:val="center"/>
          </w:tcPr>
          <w:p w:rsidR="001A641D" w:rsidRPr="00A273B6" w:rsidRDefault="007E5C0A" w:rsidP="001A641D">
            <w:pPr>
              <w:jc w:val="center"/>
              <w:rPr>
                <w:sz w:val="18"/>
                <w:szCs w:val="16"/>
              </w:rPr>
            </w:pPr>
            <w:r w:rsidRPr="00A273B6">
              <w:rPr>
                <w:sz w:val="18"/>
                <w:szCs w:val="18"/>
              </w:rPr>
              <w:t>$25,615</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559" w:type="pct"/>
            <w:vMerge/>
            <w:tcBorders>
              <w:right w:val="single" w:sz="4" w:space="0" w:color="548DD4" w:themeColor="text2" w:themeTint="99"/>
            </w:tcBorders>
          </w:tcPr>
          <w:p w:rsidR="001A641D" w:rsidRPr="00AF7F9B" w:rsidRDefault="001A641D" w:rsidP="001A641D">
            <w:pPr>
              <w:jc w:val="center"/>
              <w:rPr>
                <w:sz w:val="18"/>
                <w:szCs w:val="18"/>
              </w:rPr>
            </w:pPr>
          </w:p>
        </w:tc>
        <w:tc>
          <w:tcPr>
            <w:tcW w:w="300" w:type="pct"/>
            <w:tcBorders>
              <w:left w:val="single" w:sz="4" w:space="0" w:color="548DD4" w:themeColor="text2" w:themeTint="99"/>
            </w:tcBorders>
            <w:vAlign w:val="center"/>
          </w:tcPr>
          <w:p w:rsidR="001A641D" w:rsidRPr="0067320C" w:rsidRDefault="007E5C0A" w:rsidP="001A641D">
            <w:pPr>
              <w:jc w:val="center"/>
              <w:rPr>
                <w:sz w:val="16"/>
                <w:szCs w:val="16"/>
              </w:rPr>
            </w:pPr>
            <w:r w:rsidRPr="00AF7F9B">
              <w:rPr>
                <w:sz w:val="18"/>
                <w:szCs w:val="18"/>
              </w:rPr>
              <w:t>B</w:t>
            </w:r>
          </w:p>
        </w:tc>
        <w:tc>
          <w:tcPr>
            <w:tcW w:w="1785" w:type="pct"/>
            <w:gridSpan w:val="2"/>
          </w:tcPr>
          <w:p w:rsidR="001A641D" w:rsidRPr="00401625" w:rsidRDefault="007E5C0A" w:rsidP="001A641D">
            <w:pPr>
              <w:pStyle w:val="ListBullet"/>
              <w:numPr>
                <w:ilvl w:val="0"/>
                <w:numId w:val="0"/>
              </w:numPr>
              <w:spacing w:after="0"/>
              <w:ind w:left="150"/>
              <w:rPr>
                <w:sz w:val="18"/>
                <w:szCs w:val="16"/>
              </w:rPr>
            </w:pPr>
            <w:r w:rsidRPr="003B4B28">
              <w:rPr>
                <w:sz w:val="18"/>
                <w:szCs w:val="18"/>
              </w:rPr>
              <w:t>6 migratory species require assessment, 4 of which are also threatened species considered above; impacts to all migratory species are well defined and understood; and all management options are well defined and understood .</w:t>
            </w:r>
          </w:p>
        </w:tc>
        <w:tc>
          <w:tcPr>
            <w:tcW w:w="1656" w:type="pct"/>
          </w:tcPr>
          <w:p w:rsidR="001A641D" w:rsidRPr="003B4B28" w:rsidRDefault="007E5C0A" w:rsidP="001A641D">
            <w:pPr>
              <w:spacing w:after="0"/>
              <w:rPr>
                <w:sz w:val="18"/>
                <w:szCs w:val="18"/>
              </w:rPr>
            </w:pPr>
            <w:r w:rsidRPr="003B4B28">
              <w:rPr>
                <w:sz w:val="18"/>
                <w:szCs w:val="18"/>
              </w:rPr>
              <w:t>Migratory species (moderate complexity):</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Officer—7.93 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Assistant Director—2.94 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Director—1.25 days</w:t>
            </w:r>
          </w:p>
          <w:p w:rsidR="001A641D" w:rsidRPr="00401625" w:rsidRDefault="007E5C0A" w:rsidP="001A641D">
            <w:pPr>
              <w:numPr>
                <w:ilvl w:val="0"/>
                <w:numId w:val="6"/>
              </w:numPr>
              <w:spacing w:after="0" w:line="240" w:lineRule="auto"/>
              <w:ind w:left="459" w:hanging="426"/>
              <w:rPr>
                <w:sz w:val="18"/>
                <w:szCs w:val="16"/>
              </w:rPr>
            </w:pPr>
            <w:r>
              <w:rPr>
                <w:sz w:val="18"/>
                <w:szCs w:val="18"/>
              </w:rPr>
              <w:t>SES</w:t>
            </w:r>
            <w:r w:rsidRPr="003B4B28">
              <w:rPr>
                <w:sz w:val="18"/>
                <w:szCs w:val="18"/>
              </w:rPr>
              <w:t xml:space="preserve"> – 0.11 days</w:t>
            </w:r>
          </w:p>
        </w:tc>
        <w:tc>
          <w:tcPr>
            <w:tcW w:w="700" w:type="pct"/>
            <w:vAlign w:val="center"/>
          </w:tcPr>
          <w:p w:rsidR="001A641D" w:rsidRPr="00A273B6" w:rsidRDefault="007E5C0A" w:rsidP="001A641D">
            <w:pPr>
              <w:jc w:val="center"/>
              <w:rPr>
                <w:sz w:val="18"/>
                <w:szCs w:val="16"/>
              </w:rPr>
            </w:pPr>
            <w:r w:rsidRPr="00A273B6">
              <w:rPr>
                <w:sz w:val="18"/>
                <w:szCs w:val="18"/>
              </w:rPr>
              <w:t>$6,742</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59" w:type="pct"/>
            <w:vMerge/>
            <w:tcBorders>
              <w:right w:val="single" w:sz="4" w:space="0" w:color="548DD4" w:themeColor="text2" w:themeTint="99"/>
            </w:tcBorders>
          </w:tcPr>
          <w:p w:rsidR="001A641D" w:rsidRPr="00AF7F9B" w:rsidRDefault="001A641D" w:rsidP="001A641D">
            <w:pPr>
              <w:jc w:val="center"/>
              <w:rPr>
                <w:sz w:val="18"/>
                <w:szCs w:val="18"/>
              </w:rPr>
            </w:pPr>
          </w:p>
        </w:tc>
        <w:tc>
          <w:tcPr>
            <w:tcW w:w="300" w:type="pct"/>
            <w:tcBorders>
              <w:left w:val="single" w:sz="4" w:space="0" w:color="548DD4" w:themeColor="text2" w:themeTint="99"/>
              <w:bottom w:val="single" w:sz="4" w:space="0" w:color="548DD4" w:themeColor="text2" w:themeTint="99"/>
            </w:tcBorders>
            <w:vAlign w:val="center"/>
          </w:tcPr>
          <w:p w:rsidR="001A641D" w:rsidRPr="00AF7F9B" w:rsidRDefault="007E5C0A" w:rsidP="001A641D">
            <w:pPr>
              <w:jc w:val="center"/>
              <w:rPr>
                <w:sz w:val="18"/>
                <w:szCs w:val="18"/>
              </w:rPr>
            </w:pPr>
            <w:r w:rsidRPr="00AF7F9B">
              <w:rPr>
                <w:sz w:val="18"/>
                <w:szCs w:val="18"/>
              </w:rPr>
              <w:t>D</w:t>
            </w:r>
          </w:p>
        </w:tc>
        <w:tc>
          <w:tcPr>
            <w:tcW w:w="1785" w:type="pct"/>
            <w:gridSpan w:val="2"/>
            <w:tcBorders>
              <w:bottom w:val="single" w:sz="4" w:space="0" w:color="548DD4" w:themeColor="text2" w:themeTint="99"/>
            </w:tcBorders>
          </w:tcPr>
          <w:p w:rsidR="001A641D" w:rsidRPr="00401625" w:rsidRDefault="007E5C0A" w:rsidP="001A641D">
            <w:pPr>
              <w:pStyle w:val="ListBullet"/>
              <w:numPr>
                <w:ilvl w:val="0"/>
                <w:numId w:val="0"/>
              </w:numPr>
              <w:spacing w:after="0"/>
              <w:ind w:left="150"/>
              <w:rPr>
                <w:sz w:val="18"/>
                <w:szCs w:val="18"/>
              </w:rPr>
            </w:pPr>
            <w:r w:rsidRPr="003B4B28">
              <w:rPr>
                <w:sz w:val="18"/>
                <w:szCs w:val="18"/>
              </w:rPr>
              <w:t>The impacts to the marine environment are well defined and understood but the available options for managing these impacts are not well understood.</w:t>
            </w:r>
          </w:p>
        </w:tc>
        <w:tc>
          <w:tcPr>
            <w:tcW w:w="1656" w:type="pct"/>
            <w:tcBorders>
              <w:bottom w:val="single" w:sz="4" w:space="0" w:color="548DD4" w:themeColor="text2" w:themeTint="99"/>
            </w:tcBorders>
          </w:tcPr>
          <w:p w:rsidR="001A641D" w:rsidRPr="003B4B28" w:rsidRDefault="007E5C0A" w:rsidP="001A641D">
            <w:pPr>
              <w:spacing w:after="0"/>
              <w:rPr>
                <w:sz w:val="18"/>
                <w:szCs w:val="18"/>
              </w:rPr>
            </w:pPr>
            <w:r w:rsidRPr="003B4B28">
              <w:rPr>
                <w:sz w:val="18"/>
                <w:szCs w:val="18"/>
              </w:rPr>
              <w:t>Commonwealth marine area (high complexity):</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Officer—20.59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Assistant Director—6.98</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Director—2.25 days</w:t>
            </w:r>
          </w:p>
          <w:p w:rsidR="001A641D" w:rsidRDefault="007E5C0A" w:rsidP="001A641D">
            <w:pPr>
              <w:pStyle w:val="ListParagraph"/>
              <w:numPr>
                <w:ilvl w:val="0"/>
                <w:numId w:val="6"/>
              </w:numPr>
              <w:spacing w:after="0" w:line="240" w:lineRule="auto"/>
              <w:ind w:left="360"/>
              <w:contextualSpacing/>
              <w:rPr>
                <w:sz w:val="18"/>
                <w:szCs w:val="18"/>
              </w:rPr>
            </w:pPr>
            <w:r>
              <w:rPr>
                <w:sz w:val="18"/>
                <w:szCs w:val="18"/>
              </w:rPr>
              <w:t>SES</w:t>
            </w:r>
            <w:r w:rsidRPr="003B4B28">
              <w:rPr>
                <w:sz w:val="18"/>
                <w:szCs w:val="18"/>
              </w:rPr>
              <w:t xml:space="preserve"> – 0.4 days</w:t>
            </w:r>
          </w:p>
          <w:p w:rsidR="001A641D" w:rsidRPr="00401625" w:rsidRDefault="007E5C0A" w:rsidP="001A641D">
            <w:pPr>
              <w:pStyle w:val="ListParagraph"/>
              <w:numPr>
                <w:ilvl w:val="0"/>
                <w:numId w:val="6"/>
              </w:numPr>
              <w:spacing w:after="0" w:line="240" w:lineRule="auto"/>
              <w:ind w:left="360"/>
              <w:contextualSpacing/>
              <w:rPr>
                <w:sz w:val="18"/>
                <w:szCs w:val="18"/>
              </w:rPr>
            </w:pPr>
            <w:r>
              <w:rPr>
                <w:sz w:val="18"/>
                <w:szCs w:val="18"/>
              </w:rPr>
              <w:t>Line area advice - $8,927</w:t>
            </w:r>
          </w:p>
        </w:tc>
        <w:tc>
          <w:tcPr>
            <w:tcW w:w="700" w:type="pct"/>
            <w:tcBorders>
              <w:bottom w:val="single" w:sz="4" w:space="0" w:color="548DD4" w:themeColor="text2" w:themeTint="99"/>
            </w:tcBorders>
            <w:vAlign w:val="center"/>
          </w:tcPr>
          <w:p w:rsidR="001A641D" w:rsidRPr="00A273B6" w:rsidRDefault="007E5C0A" w:rsidP="001A641D">
            <w:pPr>
              <w:jc w:val="center"/>
              <w:rPr>
                <w:sz w:val="18"/>
                <w:szCs w:val="18"/>
              </w:rPr>
            </w:pPr>
            <w:r w:rsidRPr="00A273B6">
              <w:rPr>
                <w:sz w:val="18"/>
                <w:szCs w:val="18"/>
              </w:rPr>
              <w:t>$25,615</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559" w:type="pct"/>
            <w:vMerge/>
            <w:tcBorders>
              <w:right w:val="single" w:sz="4" w:space="0" w:color="548DD4" w:themeColor="text2" w:themeTint="99"/>
            </w:tcBorders>
            <w:shd w:val="clear" w:color="auto" w:fill="C6D9F1" w:themeFill="text2" w:themeFillTint="33"/>
          </w:tcPr>
          <w:p w:rsidR="001A641D" w:rsidRPr="0067320C" w:rsidRDefault="001A641D" w:rsidP="001A641D">
            <w:pPr>
              <w:rPr>
                <w:sz w:val="16"/>
                <w:szCs w:val="16"/>
              </w:rPr>
            </w:pPr>
          </w:p>
        </w:tc>
        <w:tc>
          <w:tcPr>
            <w:tcW w:w="2085" w:type="pct"/>
            <w:gridSpan w:val="3"/>
            <w:tcBorders>
              <w:left w:val="single" w:sz="4" w:space="0" w:color="548DD4" w:themeColor="text2" w:themeTint="99"/>
            </w:tcBorders>
            <w:shd w:val="clear" w:color="auto" w:fill="C6D9F1" w:themeFill="text2" w:themeFillTint="33"/>
            <w:vAlign w:val="bottom"/>
          </w:tcPr>
          <w:p w:rsidR="001A641D" w:rsidRPr="0067320C" w:rsidRDefault="007E5C0A" w:rsidP="001A641D">
            <w:pPr>
              <w:rPr>
                <w:sz w:val="16"/>
                <w:szCs w:val="16"/>
              </w:rPr>
            </w:pPr>
            <w:r w:rsidRPr="0067320C">
              <w:rPr>
                <w:sz w:val="16"/>
                <w:szCs w:val="16"/>
              </w:rPr>
              <w:t>Project components</w:t>
            </w:r>
          </w:p>
        </w:tc>
        <w:tc>
          <w:tcPr>
            <w:tcW w:w="1656" w:type="pct"/>
            <w:shd w:val="clear" w:color="auto" w:fill="C6D9F1" w:themeFill="text2" w:themeFillTint="33"/>
          </w:tcPr>
          <w:p w:rsidR="001A641D" w:rsidRPr="0067320C" w:rsidRDefault="001A641D" w:rsidP="001A641D">
            <w:pPr>
              <w:pStyle w:val="ListParagraph"/>
              <w:ind w:left="0"/>
              <w:rPr>
                <w:sz w:val="16"/>
                <w:szCs w:val="16"/>
              </w:rPr>
            </w:pPr>
          </w:p>
        </w:tc>
        <w:tc>
          <w:tcPr>
            <w:tcW w:w="700" w:type="pct"/>
            <w:shd w:val="clear" w:color="auto" w:fill="C6D9F1" w:themeFill="text2" w:themeFillTint="33"/>
          </w:tcPr>
          <w:p w:rsidR="001A641D" w:rsidRPr="0067320C" w:rsidRDefault="001A641D" w:rsidP="001A641D">
            <w:pPr>
              <w:jc w:val="center"/>
              <w:rPr>
                <w:sz w:val="16"/>
                <w:szCs w:val="16"/>
              </w:rPr>
            </w:pP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59" w:type="pct"/>
            <w:vMerge/>
            <w:tcBorders>
              <w:right w:val="single" w:sz="4" w:space="0" w:color="548DD4" w:themeColor="text2" w:themeTint="99"/>
            </w:tcBorders>
          </w:tcPr>
          <w:p w:rsidR="001A641D" w:rsidRPr="003074D3" w:rsidRDefault="001A641D" w:rsidP="001A641D">
            <w:pPr>
              <w:jc w:val="center"/>
              <w:rPr>
                <w:sz w:val="18"/>
                <w:szCs w:val="18"/>
              </w:rPr>
            </w:pPr>
          </w:p>
        </w:tc>
        <w:tc>
          <w:tcPr>
            <w:tcW w:w="300" w:type="pct"/>
            <w:tcBorders>
              <w:left w:val="single" w:sz="4" w:space="0" w:color="548DD4" w:themeColor="text2" w:themeTint="99"/>
              <w:bottom w:val="single" w:sz="4" w:space="0" w:color="548DD4" w:themeColor="text2" w:themeTint="99"/>
            </w:tcBorders>
            <w:vAlign w:val="center"/>
          </w:tcPr>
          <w:p w:rsidR="001A641D" w:rsidRPr="003074D3" w:rsidRDefault="007E5C0A" w:rsidP="001A641D">
            <w:pPr>
              <w:jc w:val="center"/>
              <w:rPr>
                <w:sz w:val="18"/>
                <w:szCs w:val="18"/>
              </w:rPr>
            </w:pPr>
            <w:r w:rsidRPr="003074D3">
              <w:rPr>
                <w:sz w:val="18"/>
                <w:szCs w:val="18"/>
              </w:rPr>
              <w:t>K</w:t>
            </w:r>
          </w:p>
        </w:tc>
        <w:tc>
          <w:tcPr>
            <w:tcW w:w="1785" w:type="pct"/>
            <w:gridSpan w:val="2"/>
            <w:tcBorders>
              <w:bottom w:val="single" w:sz="4" w:space="0" w:color="548DD4" w:themeColor="text2" w:themeTint="99"/>
            </w:tcBorders>
          </w:tcPr>
          <w:p w:rsidR="001A641D" w:rsidRPr="00A273B6" w:rsidRDefault="007E5C0A" w:rsidP="001A641D">
            <w:pPr>
              <w:pStyle w:val="ListBullet"/>
              <w:numPr>
                <w:ilvl w:val="0"/>
                <w:numId w:val="0"/>
              </w:numPr>
              <w:spacing w:after="0"/>
              <w:ind w:left="369" w:hanging="369"/>
              <w:rPr>
                <w:sz w:val="18"/>
                <w:szCs w:val="18"/>
              </w:rPr>
            </w:pPr>
            <w:r w:rsidRPr="00A273B6">
              <w:rPr>
                <w:sz w:val="18"/>
                <w:szCs w:val="18"/>
              </w:rPr>
              <w:t>Four components:</w:t>
            </w:r>
          </w:p>
          <w:p w:rsidR="001A641D" w:rsidRPr="00A273B6" w:rsidRDefault="007E5C0A" w:rsidP="001A641D">
            <w:pPr>
              <w:pStyle w:val="ListBullet"/>
              <w:spacing w:after="0"/>
              <w:rPr>
                <w:sz w:val="18"/>
                <w:szCs w:val="18"/>
              </w:rPr>
            </w:pPr>
            <w:r w:rsidRPr="00A273B6">
              <w:rPr>
                <w:sz w:val="18"/>
                <w:szCs w:val="18"/>
              </w:rPr>
              <w:t>mine</w:t>
            </w:r>
          </w:p>
          <w:p w:rsidR="001A641D" w:rsidRPr="00A273B6" w:rsidRDefault="007E5C0A" w:rsidP="001A641D">
            <w:pPr>
              <w:pStyle w:val="ListBullet"/>
              <w:spacing w:after="0"/>
              <w:rPr>
                <w:sz w:val="18"/>
                <w:szCs w:val="18"/>
              </w:rPr>
            </w:pPr>
            <w:r w:rsidRPr="00A273B6">
              <w:rPr>
                <w:sz w:val="18"/>
                <w:szCs w:val="18"/>
              </w:rPr>
              <w:t>rail line</w:t>
            </w:r>
          </w:p>
          <w:p w:rsidR="001A641D" w:rsidRPr="00A273B6" w:rsidRDefault="007E5C0A" w:rsidP="001A641D">
            <w:pPr>
              <w:pStyle w:val="ListBullet"/>
              <w:spacing w:after="0"/>
              <w:rPr>
                <w:sz w:val="18"/>
                <w:szCs w:val="18"/>
              </w:rPr>
            </w:pPr>
            <w:r w:rsidRPr="00A273B6">
              <w:rPr>
                <w:sz w:val="18"/>
                <w:szCs w:val="18"/>
              </w:rPr>
              <w:t>onshore port infrastructure</w:t>
            </w:r>
          </w:p>
          <w:p w:rsidR="001A641D" w:rsidRPr="00A273B6" w:rsidRDefault="007E5C0A" w:rsidP="001A641D">
            <w:pPr>
              <w:pStyle w:val="ListBullet"/>
              <w:spacing w:after="0"/>
              <w:rPr>
                <w:sz w:val="18"/>
              </w:rPr>
            </w:pPr>
            <w:r w:rsidRPr="00A273B6">
              <w:rPr>
                <w:sz w:val="18"/>
                <w:szCs w:val="18"/>
              </w:rPr>
              <w:t>offshore dredging.</w:t>
            </w:r>
          </w:p>
        </w:tc>
        <w:tc>
          <w:tcPr>
            <w:tcW w:w="1656" w:type="pct"/>
            <w:tcBorders>
              <w:bottom w:val="single" w:sz="4" w:space="0" w:color="548DD4" w:themeColor="text2" w:themeTint="99"/>
            </w:tcBorders>
          </w:tcPr>
          <w:p w:rsidR="001A641D" w:rsidRPr="00A273B6" w:rsidRDefault="007E5C0A" w:rsidP="001A641D">
            <w:pPr>
              <w:rPr>
                <w:sz w:val="18"/>
                <w:szCs w:val="18"/>
              </w:rPr>
            </w:pPr>
            <w:r>
              <w:rPr>
                <w:sz w:val="18"/>
                <w:szCs w:val="18"/>
              </w:rPr>
              <w:t>Very high complexity:</w:t>
            </w:r>
          </w:p>
          <w:p w:rsidR="001A641D" w:rsidRPr="00A273B6" w:rsidRDefault="007E5C0A" w:rsidP="001A641D">
            <w:pPr>
              <w:pStyle w:val="ListBullet"/>
              <w:rPr>
                <w:sz w:val="18"/>
                <w:szCs w:val="18"/>
              </w:rPr>
            </w:pPr>
            <w:r w:rsidRPr="00A273B6">
              <w:rPr>
                <w:sz w:val="18"/>
                <w:szCs w:val="18"/>
              </w:rPr>
              <w:t xml:space="preserve">Base </w:t>
            </w:r>
            <w:r>
              <w:rPr>
                <w:sz w:val="18"/>
                <w:szCs w:val="18"/>
              </w:rPr>
              <w:t>fee</w:t>
            </w:r>
            <w:r w:rsidRPr="00A273B6">
              <w:rPr>
                <w:sz w:val="18"/>
                <w:szCs w:val="18"/>
              </w:rPr>
              <w:t xml:space="preserve"> of assessment x 3 </w:t>
            </w:r>
          </w:p>
        </w:tc>
        <w:tc>
          <w:tcPr>
            <w:tcW w:w="700" w:type="pct"/>
            <w:tcBorders>
              <w:bottom w:val="single" w:sz="4" w:space="0" w:color="548DD4" w:themeColor="text2" w:themeTint="99"/>
            </w:tcBorders>
            <w:vAlign w:val="center"/>
          </w:tcPr>
          <w:p w:rsidR="001A641D" w:rsidRPr="00A273B6" w:rsidRDefault="007E5C0A" w:rsidP="001A641D">
            <w:pPr>
              <w:jc w:val="center"/>
              <w:rPr>
                <w:sz w:val="18"/>
                <w:szCs w:val="18"/>
              </w:rPr>
            </w:pPr>
            <w:r w:rsidRPr="00A273B6">
              <w:rPr>
                <w:sz w:val="18"/>
                <w:szCs w:val="18"/>
              </w:rPr>
              <w:t>$54,43</w:t>
            </w:r>
            <w:r>
              <w:rPr>
                <w:sz w:val="18"/>
                <w:szCs w:val="18"/>
              </w:rPr>
              <w:t>8</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59" w:type="pct"/>
            <w:vMerge/>
            <w:tcBorders>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tcPr>
          <w:p w:rsidR="001A641D" w:rsidRPr="00592E0A" w:rsidRDefault="001A641D" w:rsidP="001A641D">
            <w:pPr>
              <w:rPr>
                <w:sz w:val="18"/>
                <w:szCs w:val="18"/>
              </w:rPr>
            </w:pPr>
          </w:p>
        </w:tc>
        <w:tc>
          <w:tcPr>
            <w:tcW w:w="2085" w:type="pct"/>
            <w:gridSpan w:val="3"/>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bottom"/>
          </w:tcPr>
          <w:p w:rsidR="001A641D" w:rsidRPr="00592E0A" w:rsidRDefault="007E5C0A" w:rsidP="001A641D">
            <w:pPr>
              <w:rPr>
                <w:sz w:val="18"/>
                <w:szCs w:val="18"/>
              </w:rPr>
            </w:pPr>
            <w:r w:rsidRPr="00592E0A">
              <w:rPr>
                <w:sz w:val="18"/>
                <w:szCs w:val="18"/>
              </w:rPr>
              <w:t>Other legislation</w:t>
            </w:r>
          </w:p>
        </w:tc>
        <w:tc>
          <w:tcPr>
            <w:tcW w:w="1656" w:type="pct"/>
            <w:tcBorders>
              <w:top w:val="single" w:sz="4" w:space="0" w:color="548DD4" w:themeColor="text2" w:themeTint="99"/>
              <w:left w:val="nil"/>
              <w:bottom w:val="single" w:sz="4" w:space="0" w:color="548DD4" w:themeColor="text2" w:themeTint="99"/>
              <w:right w:val="nil"/>
            </w:tcBorders>
            <w:shd w:val="clear" w:color="auto" w:fill="C6D9F1" w:themeFill="text2" w:themeFillTint="33"/>
          </w:tcPr>
          <w:p w:rsidR="001A641D" w:rsidRPr="00592E0A" w:rsidRDefault="001A641D" w:rsidP="001A641D">
            <w:pPr>
              <w:rPr>
                <w:sz w:val="18"/>
                <w:szCs w:val="18"/>
              </w:rPr>
            </w:pP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tcPr>
          <w:p w:rsidR="001A641D" w:rsidRPr="00592E0A" w:rsidRDefault="001A641D" w:rsidP="001A641D">
            <w:pPr>
              <w:jc w:val="center"/>
              <w:rPr>
                <w:sz w:val="18"/>
                <w:szCs w:val="18"/>
              </w:rPr>
            </w:pP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559"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jc w:val="center"/>
              <w:rPr>
                <w:sz w:val="18"/>
                <w:szCs w:val="18"/>
              </w:rPr>
            </w:pPr>
          </w:p>
        </w:tc>
        <w:tc>
          <w:tcPr>
            <w:tcW w:w="321"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592E0A" w:rsidRDefault="007E5C0A" w:rsidP="001A641D">
            <w:pPr>
              <w:jc w:val="center"/>
              <w:rPr>
                <w:sz w:val="18"/>
                <w:szCs w:val="18"/>
              </w:rPr>
            </w:pPr>
            <w:r>
              <w:rPr>
                <w:sz w:val="18"/>
                <w:szCs w:val="18"/>
              </w:rPr>
              <w:t>L</w:t>
            </w:r>
          </w:p>
        </w:tc>
        <w:tc>
          <w:tcPr>
            <w:tcW w:w="1764" w:type="pct"/>
            <w:tcBorders>
              <w:top w:val="single" w:sz="4" w:space="0" w:color="548DD4" w:themeColor="text2" w:themeTint="99"/>
              <w:left w:val="nil"/>
              <w:bottom w:val="single" w:sz="4" w:space="0" w:color="548DD4" w:themeColor="text2" w:themeTint="99"/>
              <w:right w:val="nil"/>
            </w:tcBorders>
          </w:tcPr>
          <w:p w:rsidR="001A641D" w:rsidRPr="00AB5EB4" w:rsidRDefault="007E5C0A" w:rsidP="001A641D">
            <w:pPr>
              <w:pStyle w:val="ListBullet"/>
              <w:numPr>
                <w:ilvl w:val="0"/>
                <w:numId w:val="0"/>
              </w:numPr>
              <w:spacing w:after="0"/>
              <w:ind w:left="150"/>
              <w:rPr>
                <w:sz w:val="18"/>
                <w:szCs w:val="18"/>
              </w:rPr>
            </w:pPr>
            <w:r>
              <w:rPr>
                <w:sz w:val="18"/>
                <w:szCs w:val="18"/>
              </w:rPr>
              <w:t>Low complexity - no coordination with other legislative processes required</w:t>
            </w:r>
          </w:p>
        </w:tc>
        <w:tc>
          <w:tcPr>
            <w:tcW w:w="1656" w:type="pct"/>
            <w:tcBorders>
              <w:top w:val="single" w:sz="4" w:space="0" w:color="548DD4" w:themeColor="text2" w:themeTint="99"/>
              <w:left w:val="nil"/>
              <w:bottom w:val="single" w:sz="4" w:space="0" w:color="548DD4" w:themeColor="text2" w:themeTint="99"/>
              <w:right w:val="nil"/>
            </w:tcBorders>
          </w:tcPr>
          <w:p w:rsidR="001A641D" w:rsidRPr="00AB5EB4" w:rsidRDefault="007E5C0A" w:rsidP="001A641D">
            <w:pPr>
              <w:pStyle w:val="ListParagraph"/>
              <w:numPr>
                <w:ilvl w:val="0"/>
                <w:numId w:val="6"/>
              </w:numPr>
              <w:spacing w:after="0" w:line="240" w:lineRule="auto"/>
              <w:ind w:left="318" w:hanging="284"/>
              <w:contextualSpacing/>
              <w:rPr>
                <w:sz w:val="18"/>
                <w:szCs w:val="18"/>
              </w:rPr>
            </w:pPr>
            <w:r w:rsidRPr="004E2EDC">
              <w:rPr>
                <w:sz w:val="18"/>
                <w:szCs w:val="18"/>
              </w:rPr>
              <w:t xml:space="preserve">No additional </w:t>
            </w:r>
            <w:r>
              <w:rPr>
                <w:sz w:val="18"/>
                <w:szCs w:val="18"/>
              </w:rPr>
              <w:t>fee</w:t>
            </w: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FC28FE" w:rsidRDefault="007E5C0A" w:rsidP="001A641D">
            <w:pPr>
              <w:jc w:val="center"/>
              <w:rPr>
                <w:sz w:val="18"/>
                <w:szCs w:val="18"/>
              </w:rPr>
            </w:pPr>
            <w:r>
              <w:rPr>
                <w:sz w:val="18"/>
                <w:szCs w:val="18"/>
              </w:rPr>
              <w:t>N/A</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559" w:type="pct"/>
            <w:vMerge w:val="restart"/>
            <w:tcBorders>
              <w:right w:val="single" w:sz="4" w:space="0" w:color="548DD4" w:themeColor="text2" w:themeTint="99"/>
            </w:tcBorders>
            <w:shd w:val="clear" w:color="auto" w:fill="C6D9F1" w:themeFill="text2" w:themeFillTint="33"/>
          </w:tcPr>
          <w:p w:rsidR="001A641D" w:rsidRPr="0067320C" w:rsidRDefault="007E5C0A" w:rsidP="001A641D">
            <w:pPr>
              <w:keepNext/>
              <w:rPr>
                <w:sz w:val="16"/>
                <w:szCs w:val="16"/>
              </w:rPr>
            </w:pPr>
            <w:r>
              <w:rPr>
                <w:sz w:val="16"/>
                <w:szCs w:val="16"/>
              </w:rPr>
              <w:t>Part B Complexity Fees</w:t>
            </w:r>
          </w:p>
        </w:tc>
        <w:tc>
          <w:tcPr>
            <w:tcW w:w="3741" w:type="pct"/>
            <w:gridSpan w:val="4"/>
            <w:tcBorders>
              <w:left w:val="single" w:sz="4" w:space="0" w:color="548DD4" w:themeColor="text2" w:themeTint="99"/>
            </w:tcBorders>
            <w:shd w:val="clear" w:color="auto" w:fill="C6D9F1" w:themeFill="text2" w:themeFillTint="33"/>
            <w:vAlign w:val="bottom"/>
          </w:tcPr>
          <w:p w:rsidR="001A641D" w:rsidRPr="0067320C" w:rsidRDefault="007E5C0A" w:rsidP="001A641D">
            <w:pPr>
              <w:keepNext/>
              <w:rPr>
                <w:sz w:val="16"/>
                <w:szCs w:val="16"/>
              </w:rPr>
            </w:pPr>
            <w:r w:rsidRPr="0067320C">
              <w:rPr>
                <w:sz w:val="16"/>
                <w:szCs w:val="16"/>
              </w:rPr>
              <w:t>Adequacy of information and clarity of project scope</w:t>
            </w:r>
          </w:p>
        </w:tc>
        <w:tc>
          <w:tcPr>
            <w:tcW w:w="700" w:type="pct"/>
            <w:shd w:val="clear" w:color="auto" w:fill="C6D9F1" w:themeFill="text2" w:themeFillTint="33"/>
          </w:tcPr>
          <w:p w:rsidR="001A641D" w:rsidRPr="0067320C" w:rsidRDefault="001A641D" w:rsidP="001A641D">
            <w:pPr>
              <w:keepNext/>
              <w:jc w:val="center"/>
              <w:rPr>
                <w:sz w:val="16"/>
                <w:szCs w:val="16"/>
              </w:rPr>
            </w:pP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559" w:type="pct"/>
            <w:vMerge/>
            <w:tcBorders>
              <w:right w:val="single" w:sz="4" w:space="0" w:color="548DD4" w:themeColor="text2" w:themeTint="99"/>
            </w:tcBorders>
          </w:tcPr>
          <w:p w:rsidR="001A641D" w:rsidRDefault="001A641D" w:rsidP="001A641D">
            <w:pPr>
              <w:keepNext/>
              <w:jc w:val="center"/>
              <w:rPr>
                <w:sz w:val="16"/>
                <w:szCs w:val="16"/>
              </w:rPr>
            </w:pPr>
          </w:p>
        </w:tc>
        <w:tc>
          <w:tcPr>
            <w:tcW w:w="300" w:type="pct"/>
            <w:tcBorders>
              <w:left w:val="single" w:sz="4" w:space="0" w:color="548DD4" w:themeColor="text2" w:themeTint="99"/>
            </w:tcBorders>
            <w:vAlign w:val="center"/>
          </w:tcPr>
          <w:p w:rsidR="001A641D" w:rsidRPr="0067320C" w:rsidRDefault="007E5C0A" w:rsidP="001A641D">
            <w:pPr>
              <w:keepNext/>
              <w:jc w:val="center"/>
              <w:rPr>
                <w:sz w:val="16"/>
                <w:szCs w:val="16"/>
              </w:rPr>
            </w:pPr>
            <w:r>
              <w:rPr>
                <w:sz w:val="16"/>
                <w:szCs w:val="16"/>
              </w:rPr>
              <w:t>M</w:t>
            </w:r>
          </w:p>
        </w:tc>
        <w:tc>
          <w:tcPr>
            <w:tcW w:w="1785" w:type="pct"/>
            <w:gridSpan w:val="2"/>
          </w:tcPr>
          <w:p w:rsidR="001A641D" w:rsidRPr="00AF7F9B" w:rsidRDefault="007E5C0A" w:rsidP="001A641D">
            <w:pPr>
              <w:pStyle w:val="ListBullet"/>
              <w:keepNext/>
              <w:numPr>
                <w:ilvl w:val="0"/>
                <w:numId w:val="0"/>
              </w:numPr>
              <w:spacing w:after="0"/>
              <w:ind w:left="150"/>
              <w:rPr>
                <w:sz w:val="18"/>
                <w:szCs w:val="18"/>
              </w:rPr>
            </w:pPr>
            <w:r w:rsidRPr="00AF7F9B">
              <w:rPr>
                <w:sz w:val="18"/>
                <w:szCs w:val="18"/>
              </w:rPr>
              <w:t xml:space="preserve">No site surveys undertaken offshore, some site surveys undertaken along the rail line, but impacts are not adequately identified and further work is required.  </w:t>
            </w:r>
          </w:p>
        </w:tc>
        <w:tc>
          <w:tcPr>
            <w:tcW w:w="1656" w:type="pct"/>
          </w:tcPr>
          <w:p w:rsidR="001A641D" w:rsidRPr="00D63952" w:rsidRDefault="007E5C0A" w:rsidP="001A641D">
            <w:pPr>
              <w:keepNext/>
              <w:spacing w:after="0" w:line="240" w:lineRule="auto"/>
              <w:ind w:left="369" w:hanging="369"/>
              <w:contextualSpacing/>
              <w:rPr>
                <w:sz w:val="18"/>
                <w:szCs w:val="18"/>
              </w:rPr>
            </w:pPr>
            <w:r w:rsidRPr="00D63952">
              <w:rPr>
                <w:sz w:val="18"/>
                <w:szCs w:val="18"/>
              </w:rPr>
              <w:t>Site surveys (high complexity):</w:t>
            </w:r>
          </w:p>
          <w:p w:rsidR="001A641D" w:rsidRPr="00455349" w:rsidRDefault="007E5C0A" w:rsidP="001A641D">
            <w:pPr>
              <w:pStyle w:val="ListParagraph"/>
              <w:keepNext/>
              <w:numPr>
                <w:ilvl w:val="0"/>
                <w:numId w:val="6"/>
              </w:numPr>
              <w:spacing w:after="0" w:line="240" w:lineRule="auto"/>
              <w:ind w:left="318" w:hanging="284"/>
              <w:contextualSpacing/>
              <w:rPr>
                <w:sz w:val="18"/>
                <w:szCs w:val="18"/>
              </w:rPr>
            </w:pPr>
            <w:r>
              <w:rPr>
                <w:sz w:val="18"/>
                <w:szCs w:val="18"/>
              </w:rPr>
              <w:t>Assessment Officer—40</w:t>
            </w:r>
            <w:r w:rsidRPr="00455349">
              <w:rPr>
                <w:sz w:val="18"/>
                <w:szCs w:val="18"/>
              </w:rPr>
              <w:t xml:space="preserve"> days</w:t>
            </w:r>
          </w:p>
          <w:p w:rsidR="001A641D" w:rsidRPr="00455349" w:rsidRDefault="007E5C0A" w:rsidP="001A641D">
            <w:pPr>
              <w:pStyle w:val="ListParagraph"/>
              <w:keepNext/>
              <w:numPr>
                <w:ilvl w:val="0"/>
                <w:numId w:val="6"/>
              </w:numPr>
              <w:spacing w:after="0" w:line="240" w:lineRule="auto"/>
              <w:ind w:left="318" w:hanging="284"/>
              <w:contextualSpacing/>
              <w:rPr>
                <w:sz w:val="18"/>
                <w:szCs w:val="18"/>
              </w:rPr>
            </w:pPr>
            <w:r>
              <w:rPr>
                <w:sz w:val="18"/>
                <w:szCs w:val="18"/>
              </w:rPr>
              <w:t>Assistant Director—1</w:t>
            </w:r>
            <w:r w:rsidRPr="00455349">
              <w:rPr>
                <w:sz w:val="18"/>
                <w:szCs w:val="18"/>
              </w:rPr>
              <w:t>5 days</w:t>
            </w:r>
          </w:p>
          <w:p w:rsidR="001A641D" w:rsidRPr="00455349" w:rsidRDefault="007E5C0A" w:rsidP="001A641D">
            <w:pPr>
              <w:pStyle w:val="ListParagraph"/>
              <w:keepNext/>
              <w:numPr>
                <w:ilvl w:val="0"/>
                <w:numId w:val="6"/>
              </w:numPr>
              <w:spacing w:after="0" w:line="240" w:lineRule="auto"/>
              <w:ind w:left="318" w:hanging="284"/>
              <w:contextualSpacing/>
              <w:rPr>
                <w:sz w:val="18"/>
                <w:szCs w:val="18"/>
              </w:rPr>
            </w:pPr>
            <w:r>
              <w:rPr>
                <w:sz w:val="18"/>
                <w:szCs w:val="18"/>
              </w:rPr>
              <w:t>Director—</w:t>
            </w:r>
            <w:r w:rsidRPr="00455349">
              <w:rPr>
                <w:sz w:val="18"/>
                <w:szCs w:val="18"/>
              </w:rPr>
              <w:t>5 days</w:t>
            </w:r>
          </w:p>
          <w:p w:rsidR="001A641D" w:rsidRPr="00203E26" w:rsidRDefault="007E5C0A" w:rsidP="001A641D">
            <w:pPr>
              <w:pStyle w:val="ListParagraph"/>
              <w:keepNext/>
              <w:numPr>
                <w:ilvl w:val="0"/>
                <w:numId w:val="6"/>
              </w:numPr>
              <w:spacing w:after="0" w:line="240" w:lineRule="auto"/>
              <w:ind w:left="318" w:hanging="284"/>
              <w:contextualSpacing/>
              <w:rPr>
                <w:sz w:val="18"/>
                <w:szCs w:val="18"/>
              </w:rPr>
            </w:pPr>
            <w:r>
              <w:rPr>
                <w:sz w:val="18"/>
                <w:szCs w:val="18"/>
              </w:rPr>
              <w:t>SES</w:t>
            </w:r>
            <w:r w:rsidRPr="00455349">
              <w:rPr>
                <w:sz w:val="18"/>
                <w:szCs w:val="18"/>
              </w:rPr>
              <w:t>—1.7 days</w:t>
            </w:r>
          </w:p>
        </w:tc>
        <w:tc>
          <w:tcPr>
            <w:tcW w:w="700" w:type="pct"/>
            <w:vAlign w:val="center"/>
          </w:tcPr>
          <w:p w:rsidR="001A641D" w:rsidRPr="00FC28FE" w:rsidRDefault="007E5C0A" w:rsidP="001A641D">
            <w:pPr>
              <w:keepNext/>
              <w:jc w:val="center"/>
              <w:rPr>
                <w:sz w:val="16"/>
                <w:szCs w:val="16"/>
              </w:rPr>
            </w:pPr>
            <w:r w:rsidRPr="00FC28FE">
              <w:rPr>
                <w:sz w:val="18"/>
                <w:szCs w:val="18"/>
              </w:rPr>
              <w:t>$34,949</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59"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jc w:val="center"/>
              <w:rPr>
                <w:sz w:val="16"/>
                <w:szCs w:val="16"/>
              </w:rPr>
            </w:pPr>
          </w:p>
        </w:tc>
        <w:tc>
          <w:tcPr>
            <w:tcW w:w="321"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Pr="0067320C" w:rsidRDefault="007E5C0A" w:rsidP="001A641D">
            <w:pPr>
              <w:jc w:val="center"/>
              <w:rPr>
                <w:sz w:val="16"/>
                <w:szCs w:val="16"/>
              </w:rPr>
            </w:pPr>
            <w:r>
              <w:rPr>
                <w:sz w:val="16"/>
                <w:szCs w:val="16"/>
              </w:rPr>
              <w:t>N</w:t>
            </w:r>
          </w:p>
        </w:tc>
        <w:tc>
          <w:tcPr>
            <w:tcW w:w="1764" w:type="pct"/>
            <w:tcBorders>
              <w:top w:val="single" w:sz="4" w:space="0" w:color="548DD4" w:themeColor="text2" w:themeTint="99"/>
              <w:left w:val="nil"/>
              <w:bottom w:val="single" w:sz="4" w:space="0" w:color="548DD4" w:themeColor="text2" w:themeTint="99"/>
              <w:right w:val="nil"/>
            </w:tcBorders>
          </w:tcPr>
          <w:p w:rsidR="001A641D" w:rsidRPr="00592E0A" w:rsidRDefault="007E5C0A" w:rsidP="001A641D">
            <w:pPr>
              <w:pStyle w:val="ListBullet"/>
              <w:numPr>
                <w:ilvl w:val="0"/>
                <w:numId w:val="0"/>
              </w:numPr>
              <w:spacing w:after="0"/>
              <w:ind w:left="150"/>
              <w:rPr>
                <w:sz w:val="18"/>
                <w:szCs w:val="18"/>
              </w:rPr>
            </w:pPr>
            <w:r w:rsidRPr="00592E0A">
              <w:rPr>
                <w:sz w:val="18"/>
                <w:szCs w:val="18"/>
              </w:rPr>
              <w:t xml:space="preserve">The proponent has proposed broad management measures, but without necessary detail. </w:t>
            </w:r>
            <w:r>
              <w:rPr>
                <w:sz w:val="18"/>
                <w:szCs w:val="18"/>
              </w:rPr>
              <w:t xml:space="preserve">This causes difficulty to assess the adequacy of the </w:t>
            </w:r>
            <w:r w:rsidRPr="00592E0A">
              <w:rPr>
                <w:sz w:val="18"/>
                <w:szCs w:val="18"/>
              </w:rPr>
              <w:t>avoidance and mitigation measures</w:t>
            </w:r>
            <w:r>
              <w:rPr>
                <w:sz w:val="18"/>
                <w:szCs w:val="18"/>
              </w:rPr>
              <w:t xml:space="preserve"> for important habitat</w:t>
            </w:r>
            <w:r w:rsidRPr="00592E0A">
              <w:rPr>
                <w:sz w:val="18"/>
                <w:szCs w:val="18"/>
              </w:rPr>
              <w:t xml:space="preserve">. </w:t>
            </w:r>
          </w:p>
        </w:tc>
        <w:tc>
          <w:tcPr>
            <w:tcW w:w="1656" w:type="pct"/>
            <w:tcBorders>
              <w:top w:val="single" w:sz="4" w:space="0" w:color="548DD4" w:themeColor="text2" w:themeTint="99"/>
              <w:left w:val="nil"/>
              <w:bottom w:val="single" w:sz="4" w:space="0" w:color="548DD4" w:themeColor="text2" w:themeTint="99"/>
              <w:right w:val="nil"/>
            </w:tcBorders>
          </w:tcPr>
          <w:p w:rsidR="001A641D" w:rsidRPr="00455349" w:rsidRDefault="007E5C0A" w:rsidP="001A641D">
            <w:pPr>
              <w:spacing w:after="0"/>
              <w:rPr>
                <w:sz w:val="18"/>
                <w:szCs w:val="18"/>
              </w:rPr>
            </w:pPr>
            <w:r w:rsidRPr="00455349">
              <w:rPr>
                <w:sz w:val="18"/>
                <w:szCs w:val="18"/>
              </w:rPr>
              <w:t>Management strategies (high complexity):</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Assessment Officer—40</w:t>
            </w:r>
            <w:r w:rsidRPr="00455349">
              <w:rPr>
                <w:sz w:val="18"/>
                <w:szCs w:val="18"/>
              </w:rPr>
              <w:t xml:space="preserve">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Assistant Director—1</w:t>
            </w:r>
            <w:r w:rsidRPr="00455349">
              <w:rPr>
                <w:sz w:val="18"/>
                <w:szCs w:val="18"/>
              </w:rPr>
              <w:t>5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Pr>
                <w:sz w:val="18"/>
                <w:szCs w:val="18"/>
              </w:rPr>
              <w:t>Director—</w:t>
            </w:r>
            <w:r w:rsidRPr="00455349">
              <w:rPr>
                <w:sz w:val="18"/>
                <w:szCs w:val="18"/>
              </w:rPr>
              <w:t>5 days</w:t>
            </w:r>
          </w:p>
          <w:p w:rsidR="001A641D" w:rsidRPr="00203E26" w:rsidRDefault="007E5C0A" w:rsidP="001A641D">
            <w:pPr>
              <w:pStyle w:val="ListParagraph"/>
              <w:numPr>
                <w:ilvl w:val="0"/>
                <w:numId w:val="6"/>
              </w:numPr>
              <w:spacing w:after="0" w:line="240" w:lineRule="auto"/>
              <w:ind w:left="318" w:hanging="284"/>
              <w:contextualSpacing/>
              <w:rPr>
                <w:sz w:val="18"/>
                <w:szCs w:val="18"/>
              </w:rPr>
            </w:pPr>
            <w:r>
              <w:rPr>
                <w:sz w:val="18"/>
                <w:szCs w:val="18"/>
              </w:rPr>
              <w:t>SES</w:t>
            </w:r>
            <w:r w:rsidRPr="00455349">
              <w:rPr>
                <w:sz w:val="18"/>
                <w:szCs w:val="18"/>
              </w:rPr>
              <w:t>—1.7 days</w:t>
            </w: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FC28FE" w:rsidRDefault="007E5C0A" w:rsidP="001A641D">
            <w:pPr>
              <w:jc w:val="center"/>
              <w:rPr>
                <w:sz w:val="16"/>
                <w:szCs w:val="16"/>
              </w:rPr>
            </w:pPr>
            <w:r w:rsidRPr="00FC28FE">
              <w:rPr>
                <w:sz w:val="18"/>
                <w:szCs w:val="18"/>
              </w:rPr>
              <w:t>$34,949</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559" w:type="pct"/>
            <w:vMerge/>
            <w:tcBorders>
              <w:left w:val="single" w:sz="4" w:space="0" w:color="548DD4" w:themeColor="text2" w:themeTint="99"/>
              <w:bottom w:val="single" w:sz="4" w:space="0" w:color="548DD4" w:themeColor="text2" w:themeTint="99"/>
              <w:right w:val="single" w:sz="4" w:space="0" w:color="548DD4" w:themeColor="text2" w:themeTint="99"/>
            </w:tcBorders>
          </w:tcPr>
          <w:p w:rsidR="001A641D" w:rsidRDefault="001A641D" w:rsidP="001A641D">
            <w:pPr>
              <w:jc w:val="center"/>
              <w:rPr>
                <w:sz w:val="18"/>
                <w:szCs w:val="18"/>
              </w:rPr>
            </w:pPr>
          </w:p>
        </w:tc>
        <w:tc>
          <w:tcPr>
            <w:tcW w:w="321"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vAlign w:val="center"/>
          </w:tcPr>
          <w:p w:rsidR="001A641D" w:rsidRDefault="007E5C0A" w:rsidP="001A641D">
            <w:pPr>
              <w:jc w:val="center"/>
              <w:rPr>
                <w:sz w:val="18"/>
                <w:szCs w:val="18"/>
              </w:rPr>
            </w:pPr>
            <w:r>
              <w:rPr>
                <w:sz w:val="18"/>
                <w:szCs w:val="18"/>
              </w:rPr>
              <w:t>O</w:t>
            </w:r>
          </w:p>
        </w:tc>
        <w:tc>
          <w:tcPr>
            <w:tcW w:w="1764" w:type="pct"/>
            <w:tcBorders>
              <w:top w:val="single" w:sz="4" w:space="0" w:color="548DD4" w:themeColor="text2" w:themeTint="99"/>
              <w:left w:val="nil"/>
              <w:bottom w:val="single" w:sz="4" w:space="0" w:color="548DD4" w:themeColor="text2" w:themeTint="99"/>
              <w:right w:val="nil"/>
            </w:tcBorders>
          </w:tcPr>
          <w:p w:rsidR="001A641D" w:rsidRPr="00592E0A" w:rsidRDefault="007E5C0A" w:rsidP="001A641D">
            <w:pPr>
              <w:pStyle w:val="ListBullet"/>
              <w:numPr>
                <w:ilvl w:val="0"/>
                <w:numId w:val="0"/>
              </w:numPr>
              <w:spacing w:after="0"/>
              <w:ind w:left="150"/>
              <w:rPr>
                <w:sz w:val="18"/>
                <w:szCs w:val="18"/>
              </w:rPr>
            </w:pPr>
            <w:r w:rsidRPr="00592E0A">
              <w:rPr>
                <w:sz w:val="18"/>
                <w:szCs w:val="18"/>
              </w:rPr>
              <w:t>The project scope includes alternative dredging footprints, but these alternatives are clearly defined.</w:t>
            </w:r>
          </w:p>
        </w:tc>
        <w:tc>
          <w:tcPr>
            <w:tcW w:w="1656" w:type="pct"/>
            <w:tcBorders>
              <w:top w:val="single" w:sz="4" w:space="0" w:color="548DD4" w:themeColor="text2" w:themeTint="99"/>
              <w:left w:val="nil"/>
              <w:bottom w:val="single" w:sz="4" w:space="0" w:color="548DD4" w:themeColor="text2" w:themeTint="99"/>
              <w:right w:val="nil"/>
            </w:tcBorders>
          </w:tcPr>
          <w:p w:rsidR="001A641D" w:rsidRPr="00D63952" w:rsidRDefault="007E5C0A" w:rsidP="001A641D">
            <w:pPr>
              <w:spacing w:after="0" w:line="240" w:lineRule="auto"/>
              <w:ind w:left="369" w:hanging="369"/>
              <w:contextualSpacing/>
              <w:rPr>
                <w:sz w:val="18"/>
                <w:szCs w:val="18"/>
              </w:rPr>
            </w:pPr>
            <w:r w:rsidRPr="00D63952">
              <w:rPr>
                <w:sz w:val="18"/>
                <w:szCs w:val="18"/>
              </w:rPr>
              <w:t>Project scope (moderate complexity):</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sidRPr="00455349">
              <w:rPr>
                <w:sz w:val="18"/>
                <w:szCs w:val="18"/>
              </w:rPr>
              <w:t>Assessment officer—1</w:t>
            </w:r>
            <w:r>
              <w:rPr>
                <w:sz w:val="18"/>
                <w:szCs w:val="18"/>
              </w:rPr>
              <w:t>0</w:t>
            </w:r>
            <w:r w:rsidRPr="00455349">
              <w:rPr>
                <w:sz w:val="18"/>
                <w:szCs w:val="18"/>
              </w:rPr>
              <w:t xml:space="preserve"> days</w:t>
            </w:r>
          </w:p>
          <w:p w:rsidR="001A641D" w:rsidRPr="00455349" w:rsidRDefault="007E5C0A" w:rsidP="001A641D">
            <w:pPr>
              <w:pStyle w:val="ListParagraph"/>
              <w:numPr>
                <w:ilvl w:val="0"/>
                <w:numId w:val="6"/>
              </w:numPr>
              <w:spacing w:after="0" w:line="240" w:lineRule="auto"/>
              <w:ind w:left="318" w:hanging="284"/>
              <w:contextualSpacing/>
              <w:rPr>
                <w:sz w:val="18"/>
                <w:szCs w:val="18"/>
              </w:rPr>
            </w:pPr>
            <w:r w:rsidRPr="00455349">
              <w:rPr>
                <w:sz w:val="18"/>
                <w:szCs w:val="18"/>
              </w:rPr>
              <w:t>Assistant Director—6.5 days</w:t>
            </w:r>
          </w:p>
          <w:p w:rsidR="001A641D" w:rsidRPr="00AB3C98" w:rsidRDefault="007E5C0A" w:rsidP="001A641D">
            <w:pPr>
              <w:pStyle w:val="ListParagraph"/>
              <w:numPr>
                <w:ilvl w:val="0"/>
                <w:numId w:val="6"/>
              </w:numPr>
              <w:spacing w:after="0" w:line="240" w:lineRule="auto"/>
              <w:ind w:left="318" w:hanging="284"/>
              <w:contextualSpacing/>
              <w:rPr>
                <w:sz w:val="18"/>
                <w:szCs w:val="18"/>
              </w:rPr>
            </w:pPr>
            <w:r w:rsidRPr="00455349">
              <w:rPr>
                <w:sz w:val="18"/>
                <w:szCs w:val="18"/>
              </w:rPr>
              <w:t>Director—2.5 days</w:t>
            </w: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FC28FE" w:rsidRDefault="007E5C0A" w:rsidP="001A641D">
            <w:pPr>
              <w:jc w:val="center"/>
              <w:rPr>
                <w:sz w:val="18"/>
                <w:szCs w:val="18"/>
              </w:rPr>
            </w:pPr>
            <w:r w:rsidRPr="00FC28FE">
              <w:rPr>
                <w:sz w:val="18"/>
                <w:szCs w:val="18"/>
              </w:rPr>
              <w:t>$10,982</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59"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F730E3" w:rsidRDefault="001A641D" w:rsidP="001A641D">
            <w:pPr>
              <w:jc w:val="right"/>
              <w:rPr>
                <w:caps/>
                <w:sz w:val="20"/>
                <w:szCs w:val="20"/>
              </w:rPr>
            </w:pPr>
          </w:p>
        </w:tc>
        <w:tc>
          <w:tcPr>
            <w:tcW w:w="3741"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total</w:t>
            </w:r>
            <w:r w:rsidRPr="00F730E3">
              <w:rPr>
                <w:caps/>
                <w:sz w:val="20"/>
                <w:szCs w:val="20"/>
              </w:rPr>
              <w:t xml:space="preserve"> complexity </w:t>
            </w:r>
            <w:r>
              <w:rPr>
                <w:caps/>
                <w:sz w:val="20"/>
                <w:szCs w:val="20"/>
              </w:rPr>
              <w:t>fees</w:t>
            </w: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FC28FE" w:rsidRDefault="007E5C0A" w:rsidP="001A641D">
            <w:pPr>
              <w:jc w:val="center"/>
              <w:rPr>
                <w:sz w:val="20"/>
                <w:szCs w:val="20"/>
              </w:rPr>
            </w:pPr>
            <w:r w:rsidRPr="00FC28FE">
              <w:rPr>
                <w:sz w:val="20"/>
                <w:szCs w:val="20"/>
              </w:rPr>
              <w:t>$</w:t>
            </w:r>
            <w:r>
              <w:rPr>
                <w:sz w:val="20"/>
                <w:szCs w:val="20"/>
              </w:rPr>
              <w:t>193,290</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559"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F730E3" w:rsidRDefault="001A641D" w:rsidP="001A641D">
            <w:pPr>
              <w:jc w:val="right"/>
              <w:rPr>
                <w:caps/>
                <w:sz w:val="20"/>
                <w:szCs w:val="20"/>
              </w:rPr>
            </w:pPr>
          </w:p>
        </w:tc>
        <w:tc>
          <w:tcPr>
            <w:tcW w:w="3741"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base fee (assessment by bilateral agreement)</w:t>
            </w: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FC28FE" w:rsidRDefault="007E5C0A" w:rsidP="001A641D">
            <w:pPr>
              <w:jc w:val="center"/>
              <w:rPr>
                <w:sz w:val="20"/>
                <w:szCs w:val="20"/>
              </w:rPr>
            </w:pPr>
            <w:r>
              <w:rPr>
                <w:sz w:val="20"/>
                <w:szCs w:val="20"/>
              </w:rPr>
              <w:t>$18,146</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010000" w:firstRow="0" w:lastRow="0" w:firstColumn="0" w:lastColumn="0" w:oddVBand="0" w:evenVBand="0" w:oddHBand="0" w:evenHBand="1" w:firstRowFirstColumn="0" w:firstRowLastColumn="0" w:lastRowFirstColumn="0" w:lastRowLastColumn="0"/>
          <w:cantSplit/>
        </w:trPr>
        <w:tc>
          <w:tcPr>
            <w:tcW w:w="559"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tcPr>
          <w:p w:rsidR="001A641D" w:rsidRPr="00F730E3" w:rsidRDefault="001A641D" w:rsidP="001A641D">
            <w:pPr>
              <w:jc w:val="right"/>
              <w:rPr>
                <w:caps/>
                <w:sz w:val="20"/>
                <w:szCs w:val="20"/>
              </w:rPr>
            </w:pPr>
          </w:p>
        </w:tc>
        <w:tc>
          <w:tcPr>
            <w:tcW w:w="3741" w:type="pct"/>
            <w:gridSpan w:val="4"/>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total fee</w:t>
            </w:r>
          </w:p>
        </w:tc>
        <w:tc>
          <w:tcPr>
            <w:tcW w:w="700"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FC28FE" w:rsidRDefault="007E5C0A" w:rsidP="001A641D">
            <w:pPr>
              <w:jc w:val="center"/>
              <w:rPr>
                <w:sz w:val="20"/>
                <w:szCs w:val="20"/>
              </w:rPr>
            </w:pPr>
            <w:r>
              <w:rPr>
                <w:sz w:val="20"/>
                <w:szCs w:val="20"/>
              </w:rPr>
              <w:t>$211,436</w:t>
            </w:r>
          </w:p>
        </w:tc>
      </w:tr>
    </w:tbl>
    <w:p w:rsidR="001A641D" w:rsidRPr="00414EA1" w:rsidRDefault="007E5C0A" w:rsidP="001A641D">
      <w:pPr>
        <w:rPr>
          <w:sz w:val="18"/>
          <w:szCs w:val="18"/>
        </w:rPr>
      </w:pPr>
      <w:r w:rsidRPr="00414EA1">
        <w:rPr>
          <w:sz w:val="18"/>
          <w:szCs w:val="18"/>
        </w:rPr>
        <w:t xml:space="preserve">* Please refer to complexity </w:t>
      </w:r>
      <w:r w:rsidRPr="000523CF">
        <w:rPr>
          <w:sz w:val="18"/>
          <w:szCs w:val="18"/>
        </w:rPr>
        <w:t>matrix at Appendix B</w:t>
      </w:r>
    </w:p>
    <w:p w:rsidR="001A641D" w:rsidRPr="00FB7D4C" w:rsidRDefault="001A641D" w:rsidP="001A641D">
      <w:pPr>
        <w:rPr>
          <w:sz w:val="20"/>
          <w:szCs w:val="20"/>
        </w:rPr>
      </w:pPr>
    </w:p>
    <w:p w:rsidR="001A641D" w:rsidRPr="00A273B6" w:rsidRDefault="001A641D" w:rsidP="001A641D"/>
    <w:bookmarkEnd w:id="1865"/>
    <w:bookmarkEnd w:id="1866"/>
    <w:p w:rsidR="001A641D" w:rsidRDefault="001A641D" w:rsidP="001A641D">
      <w:pPr>
        <w:rPr>
          <w:highlight w:val="yellow"/>
        </w:rPr>
      </w:pPr>
    </w:p>
    <w:p w:rsidR="001A641D" w:rsidRDefault="001A641D">
      <w:bookmarkStart w:id="1880" w:name="_Toc346285332"/>
    </w:p>
    <w:p w:rsidR="001A641D" w:rsidRDefault="007E5C0A">
      <w:pPr>
        <w:spacing w:after="0" w:line="240" w:lineRule="auto"/>
        <w:rPr>
          <w:rFonts w:cs="Arial"/>
          <w:b/>
          <w:i/>
        </w:rPr>
      </w:pPr>
      <w:r>
        <w:br w:type="page"/>
      </w:r>
    </w:p>
    <w:p w:rsidR="001A641D" w:rsidRPr="00500A62" w:rsidRDefault="007E5C0A" w:rsidP="001A641D">
      <w:pPr>
        <w:pStyle w:val="Heading3"/>
        <w:ind w:left="0" w:firstLine="0"/>
      </w:pPr>
      <w:bookmarkStart w:id="1881" w:name="_Toc256000357"/>
      <w:bookmarkStart w:id="1882" w:name="_Toc256000249"/>
      <w:bookmarkStart w:id="1883" w:name="_Toc256000141"/>
      <w:bookmarkStart w:id="1884" w:name="_Toc256000033"/>
      <w:bookmarkStart w:id="1885" w:name="_Toc458170537"/>
      <w:r w:rsidRPr="00500A62">
        <w:t>Fees for assessment by Public inquiry</w:t>
      </w:r>
      <w:bookmarkEnd w:id="1880"/>
      <w:bookmarkEnd w:id="1881"/>
      <w:bookmarkEnd w:id="1882"/>
      <w:bookmarkEnd w:id="1883"/>
      <w:bookmarkEnd w:id="1884"/>
      <w:bookmarkEnd w:id="1885"/>
    </w:p>
    <w:p w:rsidR="001A641D" w:rsidRDefault="007E5C0A" w:rsidP="001A641D">
      <w:r w:rsidRPr="00844779">
        <w:t xml:space="preserve">The Minister will determine the fees for an assessment by public inquiry on a case-by-case basis. The exact costs will be dependent on the specifics of a project and therefore fees cannot be determined and fixed in Regulations in advance, as opposed to the set fee structure for other assessment methods. </w:t>
      </w:r>
    </w:p>
    <w:p w:rsidR="001A641D" w:rsidRPr="00844779" w:rsidRDefault="007E5C0A" w:rsidP="001A641D">
      <w:r w:rsidRPr="00844779">
        <w:t xml:space="preserve">Costs and associated revenue (fee for service) for assessments by public inquiry, as well as appropriate payment methods, will be determined by the Minister in consultation with the applicant. The Minister will determine assessment fees based on a full recovery of relevant costs, consistent with the Cost Recovery Guidelines. </w:t>
      </w:r>
    </w:p>
    <w:p w:rsidR="001A641D" w:rsidRDefault="007E5C0A" w:rsidP="001A641D">
      <w:r w:rsidRPr="00FC12C4">
        <w:t xml:space="preserve">The fee specified by the Minister may </w:t>
      </w:r>
      <w:r>
        <w:t xml:space="preserve">also </w:t>
      </w:r>
      <w:r w:rsidRPr="00FC12C4">
        <w:t>include a requirement to make specified payments at particular points in the assessment, similar to that of other assessment processes.</w:t>
      </w:r>
      <w:r>
        <w:t xml:space="preserve"> </w:t>
      </w:r>
      <w:r w:rsidRPr="001000E1">
        <w:t>An estimate of maximum fees applicable will be provided by the Minister</w:t>
      </w:r>
      <w:r>
        <w:t xml:space="preserve"> </w:t>
      </w:r>
      <w:r w:rsidRPr="001000E1">
        <w:t xml:space="preserve">to the </w:t>
      </w:r>
      <w:r>
        <w:t>applicant prior to the assessment commencing, similar to other assessment methods.</w:t>
      </w:r>
    </w:p>
    <w:p w:rsidR="001A641D" w:rsidRDefault="007E5C0A" w:rsidP="001A641D">
      <w:r>
        <w:t>The Department does not expect that assessments by p</w:t>
      </w:r>
      <w:r w:rsidRPr="00FC12C4">
        <w:t xml:space="preserve">ublic </w:t>
      </w:r>
      <w:r>
        <w:t>i</w:t>
      </w:r>
      <w:r w:rsidRPr="00FC12C4">
        <w:t>nquiry</w:t>
      </w:r>
      <w:r>
        <w:t xml:space="preserve"> will occur on a regular basis, and to date there have been no assessments using this method. Therefore, the costs and associated revenue for assessments by p</w:t>
      </w:r>
      <w:r w:rsidRPr="00FC12C4">
        <w:t xml:space="preserve">ublic </w:t>
      </w:r>
      <w:r>
        <w:t>i</w:t>
      </w:r>
      <w:r w:rsidRPr="00FC12C4">
        <w:t xml:space="preserve">nquiry </w:t>
      </w:r>
      <w:r>
        <w:t>are not included in the total costs and revenue documented in this CRIS.</w:t>
      </w:r>
    </w:p>
    <w:p w:rsidR="001A641D" w:rsidRDefault="007E5C0A" w:rsidP="001A641D">
      <w:r>
        <w:t>The fees for contingent activities and for evaluation of post-approval action management plans may be applicable during the assessment or for an approval granted following an assessment by public inquiry (</w:t>
      </w:r>
      <w:r w:rsidRPr="000523CF">
        <w:t xml:space="preserve">see sections </w:t>
      </w:r>
      <w:r w:rsidR="00FF3730">
        <w:fldChar w:fldCharType="begin"/>
      </w:r>
      <w:r w:rsidR="00FF3730">
        <w:instrText xml:space="preserve"> REF _Ref457992829 \r \h  \* MERGEFORMAT </w:instrText>
      </w:r>
      <w:r w:rsidR="00FF3730">
        <w:fldChar w:fldCharType="separate"/>
      </w:r>
      <w:r w:rsidR="00FF3730">
        <w:t>3.3.1.2</w:t>
      </w:r>
      <w:r w:rsidR="00FF3730">
        <w:fldChar w:fldCharType="end"/>
      </w:r>
      <w:r w:rsidRPr="000523CF">
        <w:t xml:space="preserve"> and </w:t>
      </w:r>
      <w:r w:rsidR="00FF3730">
        <w:fldChar w:fldCharType="begin"/>
      </w:r>
      <w:r w:rsidR="00FF3730">
        <w:instrText xml:space="preserve"> REF _Ref457992822 \r \h  \* MERGEFORMAT </w:instrText>
      </w:r>
      <w:r w:rsidR="00FF3730">
        <w:fldChar w:fldCharType="separate"/>
      </w:r>
      <w:r w:rsidR="00FF3730">
        <w:t>3.3.1.3</w:t>
      </w:r>
      <w:r w:rsidR="00FF3730">
        <w:fldChar w:fldCharType="end"/>
      </w:r>
      <w:r w:rsidRPr="000523CF">
        <w:t xml:space="preserve"> for further</w:t>
      </w:r>
      <w:r w:rsidRPr="00DE15FF">
        <w:t xml:space="preserve"> information</w:t>
      </w:r>
      <w:r>
        <w:t>).</w:t>
      </w:r>
    </w:p>
    <w:p w:rsidR="001A641D" w:rsidRDefault="007E5C0A">
      <w:pPr>
        <w:spacing w:after="0" w:line="240" w:lineRule="auto"/>
        <w:rPr>
          <w:rFonts w:cs="Arial"/>
          <w:b/>
          <w:i/>
        </w:rPr>
      </w:pPr>
      <w:bookmarkStart w:id="1886" w:name="_Ref387391379"/>
      <w:bookmarkStart w:id="1887" w:name="_Ref387391382"/>
      <w:bookmarkStart w:id="1888" w:name="_Toc344895159"/>
      <w:bookmarkStart w:id="1889" w:name="_Toc346285334"/>
      <w:r>
        <w:br w:type="page"/>
      </w:r>
    </w:p>
    <w:p w:rsidR="001A641D" w:rsidRPr="003C7E3E" w:rsidRDefault="007E5C0A" w:rsidP="001A641D">
      <w:pPr>
        <w:pStyle w:val="Heading3"/>
        <w:ind w:left="0" w:firstLine="0"/>
      </w:pPr>
      <w:bookmarkStart w:id="1890" w:name="_Toc387064820"/>
      <w:bookmarkStart w:id="1891" w:name="_Toc387065032"/>
      <w:bookmarkStart w:id="1892" w:name="_Toc387065238"/>
      <w:bookmarkStart w:id="1893" w:name="_Toc387065449"/>
      <w:bookmarkStart w:id="1894" w:name="_Toc387065655"/>
      <w:bookmarkStart w:id="1895" w:name="_Toc387065860"/>
      <w:bookmarkStart w:id="1896" w:name="_Toc387066063"/>
      <w:bookmarkStart w:id="1897" w:name="_Toc387066252"/>
      <w:bookmarkStart w:id="1898" w:name="_Toc387069488"/>
      <w:bookmarkStart w:id="1899" w:name="_Toc387069675"/>
      <w:bookmarkStart w:id="1900" w:name="_Toc387069884"/>
      <w:bookmarkStart w:id="1901" w:name="_Toc387070083"/>
      <w:bookmarkStart w:id="1902" w:name="_Toc387072348"/>
      <w:bookmarkStart w:id="1903" w:name="_Toc387072559"/>
      <w:bookmarkStart w:id="1904" w:name="_Toc387392587"/>
      <w:bookmarkStart w:id="1905" w:name="_Toc387064821"/>
      <w:bookmarkStart w:id="1906" w:name="_Toc387065033"/>
      <w:bookmarkStart w:id="1907" w:name="_Toc387065239"/>
      <w:bookmarkStart w:id="1908" w:name="_Toc387065450"/>
      <w:bookmarkStart w:id="1909" w:name="_Toc387065656"/>
      <w:bookmarkStart w:id="1910" w:name="_Toc387065861"/>
      <w:bookmarkStart w:id="1911" w:name="_Toc387066064"/>
      <w:bookmarkStart w:id="1912" w:name="_Toc387066253"/>
      <w:bookmarkStart w:id="1913" w:name="_Toc387069489"/>
      <w:bookmarkStart w:id="1914" w:name="_Toc387069676"/>
      <w:bookmarkStart w:id="1915" w:name="_Toc387069885"/>
      <w:bookmarkStart w:id="1916" w:name="_Toc387070084"/>
      <w:bookmarkStart w:id="1917" w:name="_Toc387072349"/>
      <w:bookmarkStart w:id="1918" w:name="_Toc387072560"/>
      <w:bookmarkStart w:id="1919" w:name="_Toc387392588"/>
      <w:bookmarkStart w:id="1920" w:name="_Toc344895165"/>
      <w:bookmarkStart w:id="1921" w:name="_Toc346285341"/>
      <w:bookmarkStart w:id="1922" w:name="_Toc256000358"/>
      <w:bookmarkStart w:id="1923" w:name="_Toc256000250"/>
      <w:bookmarkStart w:id="1924" w:name="_Toc256000142"/>
      <w:bookmarkStart w:id="1925" w:name="_Toc256000034"/>
      <w:bookmarkStart w:id="1926" w:name="_Ref387054414"/>
      <w:bookmarkStart w:id="1927" w:name="_Ref387250129"/>
      <w:bookmarkStart w:id="1928" w:name="_Toc458170538"/>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r w:rsidRPr="003C7E3E">
        <w:t>Exemptions</w:t>
      </w:r>
      <w:bookmarkEnd w:id="1920"/>
      <w:bookmarkEnd w:id="1921"/>
      <w:r w:rsidRPr="003C7E3E">
        <w:t xml:space="preserve"> (environmental impact assessments)</w:t>
      </w:r>
      <w:bookmarkEnd w:id="1922"/>
      <w:bookmarkEnd w:id="1923"/>
      <w:bookmarkEnd w:id="1924"/>
      <w:bookmarkEnd w:id="1925"/>
      <w:bookmarkEnd w:id="1926"/>
      <w:bookmarkEnd w:id="1927"/>
      <w:bookmarkEnd w:id="1928"/>
    </w:p>
    <w:p w:rsidR="001A641D" w:rsidRPr="003C7E3E" w:rsidRDefault="007E5C0A" w:rsidP="001A641D">
      <w:pPr>
        <w:spacing w:after="120"/>
      </w:pPr>
      <w:r w:rsidRPr="003C7E3E">
        <w:t>There are limited occasions where a proposed action referred under the EPBC Act will be exempt from the payment of fees. The Australian Government will fund costs for environmental impact assessments where the applicant is exempt from cost recovery so other applicants will not cross subsidise these assessments. The Australian Government has determined that it is appropriate to exempt individuals and small businesses from environmental impact assessments fees under the EPBC Act, for the following reasons:</w:t>
      </w:r>
    </w:p>
    <w:p w:rsidR="001A641D" w:rsidRPr="003C7E3E" w:rsidRDefault="007E5C0A" w:rsidP="001A641D">
      <w:pPr>
        <w:pStyle w:val="ListBullet"/>
        <w:spacing w:after="120"/>
      </w:pPr>
      <w:r w:rsidRPr="005D261F">
        <w:t>small businesses have a lower revenue base than large companies, which means they will be disproportionately impacted by cost recovery fees;</w:t>
      </w:r>
    </w:p>
    <w:p w:rsidR="001A641D" w:rsidRPr="003C7E3E" w:rsidRDefault="007E5C0A" w:rsidP="001A641D">
      <w:pPr>
        <w:pStyle w:val="ListBullet"/>
        <w:spacing w:after="120"/>
      </w:pPr>
      <w:r w:rsidRPr="005D261F">
        <w:t>cost recovery fees may provide a disproportionate disincentive for small businesses and individuals to refer their project to the Department; and</w:t>
      </w:r>
    </w:p>
    <w:p w:rsidR="001A641D" w:rsidRPr="003C7E3E" w:rsidRDefault="007E5C0A" w:rsidP="001A641D">
      <w:pPr>
        <w:pStyle w:val="ListBullet"/>
      </w:pPr>
      <w:r w:rsidRPr="005D261F">
        <w:t xml:space="preserve">the cost to the </w:t>
      </w:r>
      <w:r>
        <w:t>G</w:t>
      </w:r>
      <w:r w:rsidRPr="003C7E3E">
        <w:t xml:space="preserve">overnment of increasing compliance to investigate non-referred projects would be greater than the cost to the </w:t>
      </w:r>
      <w:r>
        <w:t>G</w:t>
      </w:r>
      <w:r w:rsidRPr="003C7E3E">
        <w:t>overnment of granting exemptions to small businesses and individuals.</w:t>
      </w:r>
    </w:p>
    <w:p w:rsidR="009F6557" w:rsidRDefault="009F6557" w:rsidP="009F6557">
      <w:pPr>
        <w:pStyle w:val="ListBullet"/>
        <w:numPr>
          <w:ilvl w:val="0"/>
          <w:numId w:val="0"/>
        </w:numPr>
      </w:pPr>
      <w:r>
        <w:t xml:space="preserve">For the purposes of the exemptions from EPBC Act cost recovery, a small business has the meaning given by section 328-110 (other than subsection 328-110(4)) of the </w:t>
      </w:r>
      <w:r>
        <w:rPr>
          <w:i/>
          <w:iCs/>
        </w:rPr>
        <w:t>Income Tax Assessment Act 1997</w:t>
      </w:r>
      <w:r>
        <w:t>.</w:t>
      </w:r>
    </w:p>
    <w:p w:rsidR="001A641D" w:rsidRDefault="007E5C0A" w:rsidP="001A641D">
      <w:r w:rsidRPr="003C7E3E">
        <w:t xml:space="preserve">This definition may be updated from time to time </w:t>
      </w:r>
      <w:r>
        <w:t>as appropriate to meet the policy objectives outlined above</w:t>
      </w:r>
      <w:r w:rsidRPr="003C7E3E">
        <w:t xml:space="preserve">. </w:t>
      </w:r>
    </w:p>
    <w:p w:rsidR="001A641D" w:rsidRPr="003C7E3E" w:rsidRDefault="007E5C0A" w:rsidP="001A641D">
      <w:pPr>
        <w:spacing w:after="120"/>
      </w:pPr>
      <w:r w:rsidRPr="003C7E3E">
        <w:t>The following conditions apply to exemptions for environmental impact assessments:</w:t>
      </w:r>
    </w:p>
    <w:p w:rsidR="001A641D" w:rsidRPr="003C7E3E" w:rsidRDefault="007E5C0A" w:rsidP="001A641D">
      <w:pPr>
        <w:pStyle w:val="ListBullet"/>
        <w:spacing w:after="120"/>
      </w:pPr>
      <w:r w:rsidRPr="003C7E3E">
        <w:t xml:space="preserve">applicants claiming a small business exemption are required </w:t>
      </w:r>
      <w:r>
        <w:t>to declare</w:t>
      </w:r>
      <w:r w:rsidRPr="003C7E3E">
        <w:t xml:space="preserve"> on </w:t>
      </w:r>
      <w:r>
        <w:t xml:space="preserve">the appropriate </w:t>
      </w:r>
      <w:r w:rsidRPr="003C7E3E">
        <w:t xml:space="preserve">form that they are a small business or an individual. The Department may require proof from an applicant in the form of a tax </w:t>
      </w:r>
      <w:r>
        <w:t>statement(s) for the relevant income year(s)</w:t>
      </w:r>
      <w:r w:rsidRPr="003C7E3E">
        <w:t>;</w:t>
      </w:r>
    </w:p>
    <w:p w:rsidR="001A641D" w:rsidRPr="003C7E3E" w:rsidRDefault="007E5C0A" w:rsidP="001A641D">
      <w:pPr>
        <w:pStyle w:val="ListBullet"/>
        <w:spacing w:after="120"/>
      </w:pPr>
      <w:r w:rsidRPr="005D261F">
        <w:t xml:space="preserve">the </w:t>
      </w:r>
      <w:r>
        <w:t>applicant requesting the exemption</w:t>
      </w:r>
      <w:r w:rsidRPr="005D261F">
        <w:t xml:space="preserve"> must also be the person proposing to take the action. That is, they are not referring </w:t>
      </w:r>
      <w:r>
        <w:t xml:space="preserve">the action </w:t>
      </w:r>
      <w:r w:rsidRPr="005D261F">
        <w:t>on another organisation’s behalf;</w:t>
      </w:r>
    </w:p>
    <w:p w:rsidR="001A641D" w:rsidRPr="003C7E3E" w:rsidRDefault="007E5C0A" w:rsidP="001A641D">
      <w:pPr>
        <w:pStyle w:val="ListBullet"/>
      </w:pPr>
      <w:r>
        <w:t xml:space="preserve">if an applicant obtains a fee exemption, but later ceases to be a small business entity while the assessment is still underway, they must advise the Department within 10 business days of the change in their status and are liable for all subsequent fees; </w:t>
      </w:r>
    </w:p>
    <w:p w:rsidR="001A641D" w:rsidRPr="003C7E3E" w:rsidRDefault="007E5C0A" w:rsidP="001A641D">
      <w:pPr>
        <w:pStyle w:val="ListBullet"/>
        <w:spacing w:after="120"/>
      </w:pPr>
      <w:r w:rsidRPr="005D261F">
        <w:t xml:space="preserve">where a transfer of an action occurs (either during assessment and/or after the issuing of an approval) from an exempt entity to a non-exempt entity, the transferee may be required to pay the full fee of the assessment before the Minister consents to the transfer; </w:t>
      </w:r>
      <w:r>
        <w:t>and</w:t>
      </w:r>
    </w:p>
    <w:p w:rsidR="001A641D" w:rsidRDefault="007E5C0A">
      <w:pPr>
        <w:pStyle w:val="ListBullet"/>
      </w:pPr>
      <w:r w:rsidRPr="005D261F">
        <w:t>if a</w:t>
      </w:r>
      <w:r>
        <w:t>n applicant</w:t>
      </w:r>
      <w:r w:rsidRPr="005D261F">
        <w:t xml:space="preserve"> obtains a fee exemption, however is later found not to qualify for the exemption, the full fee is recoverable as a debt due to the Commonwealth. If assessment or approval is underway, the approval decision or work on the assessment will be suspend</w:t>
      </w:r>
      <w:r>
        <w:t>ed until relevant fees are paid.</w:t>
      </w:r>
    </w:p>
    <w:p w:rsidR="001A641D" w:rsidRDefault="007E5C0A">
      <w:pPr>
        <w:pStyle w:val="ListBullet"/>
        <w:numPr>
          <w:ilvl w:val="0"/>
          <w:numId w:val="0"/>
        </w:numPr>
      </w:pPr>
      <w:r w:rsidRPr="003C7E3E">
        <w:t>Commonwealth offence provisions apply to persons found to provide false or misleading information to the Commonwealth.</w:t>
      </w:r>
      <w:r w:rsidRPr="00FC12C4">
        <w:t xml:space="preserve"> </w:t>
      </w:r>
    </w:p>
    <w:p w:rsidR="009F6557" w:rsidRDefault="009F6557">
      <w:pPr>
        <w:spacing w:after="0" w:line="240" w:lineRule="auto"/>
      </w:pPr>
      <w:r>
        <w:br w:type="page"/>
      </w:r>
    </w:p>
    <w:p w:rsidR="001A641D" w:rsidRDefault="007E5C0A" w:rsidP="001A641D">
      <w:pPr>
        <w:pStyle w:val="Heading3"/>
        <w:ind w:left="0" w:firstLine="0"/>
      </w:pPr>
      <w:bookmarkStart w:id="1929" w:name="_Toc387064823"/>
      <w:bookmarkStart w:id="1930" w:name="_Toc387065035"/>
      <w:bookmarkStart w:id="1931" w:name="_Toc387065241"/>
      <w:bookmarkStart w:id="1932" w:name="_Toc387065452"/>
      <w:bookmarkStart w:id="1933" w:name="_Toc387065658"/>
      <w:bookmarkStart w:id="1934" w:name="_Toc387065863"/>
      <w:bookmarkStart w:id="1935" w:name="_Toc387066066"/>
      <w:bookmarkStart w:id="1936" w:name="_Toc387066255"/>
      <w:bookmarkStart w:id="1937" w:name="_Toc387069491"/>
      <w:bookmarkStart w:id="1938" w:name="_Toc387069678"/>
      <w:bookmarkStart w:id="1939" w:name="_Toc387069887"/>
      <w:bookmarkStart w:id="1940" w:name="_Toc387070086"/>
      <w:bookmarkStart w:id="1941" w:name="_Toc387072351"/>
      <w:bookmarkStart w:id="1942" w:name="_Toc387072562"/>
      <w:bookmarkStart w:id="1943" w:name="_Toc387392590"/>
      <w:bookmarkStart w:id="1944" w:name="_Toc256000359"/>
      <w:bookmarkStart w:id="1945" w:name="_Toc256000251"/>
      <w:bookmarkStart w:id="1946" w:name="_Toc256000143"/>
      <w:bookmarkStart w:id="1947" w:name="_Toc256000035"/>
      <w:bookmarkStart w:id="1948" w:name="_Toc343850283"/>
      <w:bookmarkStart w:id="1949" w:name="_Toc344895166"/>
      <w:bookmarkStart w:id="1950" w:name="_Toc346285342"/>
      <w:bookmarkStart w:id="1951" w:name="_Ref388952948"/>
      <w:bookmarkStart w:id="1952" w:name="_Ref388952951"/>
      <w:bookmarkStart w:id="1953" w:name="_Ref457912872"/>
      <w:bookmarkStart w:id="1954" w:name="_Ref457995483"/>
      <w:bookmarkStart w:id="1955" w:name="_Ref458068279"/>
      <w:bookmarkStart w:id="1956" w:name="_Toc458170539"/>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r w:rsidRPr="00FC12C4">
        <w:t>Waivers</w:t>
      </w:r>
      <w:bookmarkEnd w:id="1944"/>
      <w:bookmarkEnd w:id="1945"/>
      <w:bookmarkEnd w:id="1946"/>
      <w:bookmarkEnd w:id="1947"/>
      <w:bookmarkEnd w:id="1948"/>
      <w:bookmarkEnd w:id="1949"/>
      <w:bookmarkEnd w:id="1950"/>
      <w:bookmarkEnd w:id="1951"/>
      <w:bookmarkEnd w:id="1952"/>
      <w:bookmarkEnd w:id="1953"/>
      <w:bookmarkEnd w:id="1954"/>
      <w:bookmarkEnd w:id="1955"/>
      <w:bookmarkEnd w:id="1956"/>
    </w:p>
    <w:p w:rsidR="001A641D" w:rsidRDefault="007E5C0A" w:rsidP="001A641D">
      <w:r w:rsidRPr="00FC12C4">
        <w:t xml:space="preserve">In </w:t>
      </w:r>
      <w:r>
        <w:t>limited</w:t>
      </w:r>
      <w:r w:rsidRPr="00FC12C4">
        <w:t xml:space="preserve"> circumstances</w:t>
      </w:r>
      <w:r>
        <w:t>,</w:t>
      </w:r>
      <w:r w:rsidRPr="00FC12C4">
        <w:t xml:space="preserve"> the Minister may use discretionary power to waive </w:t>
      </w:r>
      <w:r>
        <w:t xml:space="preserve">a </w:t>
      </w:r>
      <w:r w:rsidRPr="00FC12C4">
        <w:t>fee</w:t>
      </w:r>
      <w:r>
        <w:t xml:space="preserve"> or part of a fee</w:t>
      </w:r>
      <w:r w:rsidRPr="00FC12C4">
        <w:t xml:space="preserve"> under the EPBC</w:t>
      </w:r>
      <w:r>
        <w:t> </w:t>
      </w:r>
      <w:r w:rsidRPr="00FC12C4">
        <w:t xml:space="preserve">Act. Decisions on waiving fees </w:t>
      </w:r>
      <w:r>
        <w:t xml:space="preserve">are made </w:t>
      </w:r>
      <w:r w:rsidRPr="00FC12C4">
        <w:t xml:space="preserve">on a case by case basis. </w:t>
      </w:r>
      <w:r>
        <w:t>The Australian Government will fund costs for environmental impact assessments where the Minister waives the applicant’s liability to pay cost recovery fees (i.e. other applicants do not cross subsidise these assessments).</w:t>
      </w:r>
    </w:p>
    <w:p w:rsidR="001A641D" w:rsidRDefault="007E5C0A" w:rsidP="001A641D">
      <w:r>
        <w:t>The following are the criteria for the waiver of fees</w:t>
      </w:r>
      <w:r w:rsidRPr="00FC12C4">
        <w:t>:</w:t>
      </w:r>
    </w:p>
    <w:p w:rsidR="001A641D" w:rsidRDefault="007E5C0A">
      <w:pPr>
        <w:pStyle w:val="ListBullet"/>
      </w:pPr>
      <w:bookmarkStart w:id="1957" w:name="_Ref380053776"/>
      <w:r>
        <w:t>t</w:t>
      </w:r>
      <w:r w:rsidRPr="00FC12C4">
        <w:t xml:space="preserve">he Minister </w:t>
      </w:r>
      <w:r>
        <w:t>determines in his or her sole discretion</w:t>
      </w:r>
      <w:r w:rsidRPr="00FC12C4">
        <w:t xml:space="preserve"> that the primary objective of the proposed action is to protect or conserve the environment (including heritage) consistent with </w:t>
      </w:r>
      <w:r w:rsidRPr="00C81B51">
        <w:t>the objectives of the EPBC Act</w:t>
      </w:r>
      <w:r>
        <w:t>;</w:t>
      </w:r>
      <w:bookmarkEnd w:id="1957"/>
    </w:p>
    <w:p w:rsidR="001A641D" w:rsidRPr="00C81B51" w:rsidRDefault="007E5C0A" w:rsidP="001A641D">
      <w:pPr>
        <w:pStyle w:val="ListBullet"/>
      </w:pPr>
      <w:r>
        <w:t>t</w:t>
      </w:r>
      <w:r w:rsidRPr="00C81B51">
        <w:t xml:space="preserve">he Minister determines in his or her sole discretion that there are exceptional circumstances </w:t>
      </w:r>
      <w:r>
        <w:t xml:space="preserve">or it is in the public interest to waive </w:t>
      </w:r>
      <w:r w:rsidRPr="00C81B51">
        <w:t>a fee or part of a fee</w:t>
      </w:r>
      <w:r>
        <w:t>; or</w:t>
      </w:r>
    </w:p>
    <w:p w:rsidR="001A641D" w:rsidRPr="00C81B51" w:rsidRDefault="007E5C0A">
      <w:pPr>
        <w:pStyle w:val="ListBullet"/>
      </w:pPr>
      <w:r>
        <w:t>t</w:t>
      </w:r>
      <w:r w:rsidRPr="00C81B51">
        <w:t xml:space="preserve">he Minister determines in his or her sole discretion that a stage of an assessment is not applicable </w:t>
      </w:r>
      <w:r>
        <w:t>and the applicable fee should be waived.</w:t>
      </w:r>
    </w:p>
    <w:p w:rsidR="001A641D" w:rsidRPr="00682A27" w:rsidRDefault="007E5C0A" w:rsidP="001A641D">
      <w:pPr>
        <w:pStyle w:val="Heading4"/>
      </w:pPr>
      <w:bookmarkStart w:id="1958" w:name="_Ref387054447"/>
      <w:r w:rsidRPr="00E84EA7">
        <w:t>Waiver application process</w:t>
      </w:r>
      <w:bookmarkEnd w:id="1958"/>
      <w:r w:rsidRPr="00682A27">
        <w:t xml:space="preserve"> </w:t>
      </w:r>
    </w:p>
    <w:p w:rsidR="001A641D" w:rsidRDefault="007E5C0A" w:rsidP="001A641D">
      <w:r>
        <w:t xml:space="preserve">A person may submit an application for a fee waiver prior to or </w:t>
      </w:r>
      <w:r w:rsidRPr="00182B4B">
        <w:t xml:space="preserve">at the same time </w:t>
      </w:r>
      <w:r>
        <w:t xml:space="preserve">as the proposed action is </w:t>
      </w:r>
      <w:r w:rsidRPr="00182B4B">
        <w:t>referr</w:t>
      </w:r>
      <w:r>
        <w:t>ed under</w:t>
      </w:r>
      <w:r w:rsidRPr="00182B4B">
        <w:t xml:space="preserve"> the EPBC</w:t>
      </w:r>
      <w:r>
        <w:t> </w:t>
      </w:r>
      <w:r w:rsidRPr="00182B4B">
        <w:t xml:space="preserve">Act. </w:t>
      </w:r>
      <w:r>
        <w:t xml:space="preserve">The Minister will have 20 business days to make a decision on whether the fee should be waived. </w:t>
      </w:r>
      <w:r w:rsidRPr="00FC12C4">
        <w:t>The Minister will have the right to refuse a fee waiver application at his or her discretion.</w:t>
      </w:r>
    </w:p>
    <w:p w:rsidR="001A641D" w:rsidRDefault="007E5C0A" w:rsidP="001A641D">
      <w:r>
        <w:t xml:space="preserve">The statutory timeframe for considering the referral will not start and the Department will not commence work on the referral until the referral has been validated - i.e. until a fee waiver application has been processed and approved, or until relevant fees have been paid. </w:t>
      </w:r>
      <w:r w:rsidRPr="00FC12C4">
        <w:t>Referrals submitted without a fee waiver approval will be subject to standard fees.</w:t>
      </w:r>
    </w:p>
    <w:p w:rsidR="001A641D" w:rsidRDefault="007E5C0A" w:rsidP="001A641D">
      <w:pPr>
        <w:pStyle w:val="Heading3"/>
        <w:ind w:left="0" w:firstLine="0"/>
      </w:pPr>
      <w:bookmarkStart w:id="1959" w:name="_Toc256000360"/>
      <w:bookmarkStart w:id="1960" w:name="_Toc256000252"/>
      <w:bookmarkStart w:id="1961" w:name="_Toc256000144"/>
      <w:bookmarkStart w:id="1962" w:name="_Toc256000036"/>
      <w:bookmarkStart w:id="1963" w:name="_Toc458170540"/>
      <w:r w:rsidRPr="009352D9">
        <w:t>Refunds</w:t>
      </w:r>
      <w:bookmarkEnd w:id="1959"/>
      <w:bookmarkEnd w:id="1960"/>
      <w:bookmarkEnd w:id="1961"/>
      <w:bookmarkEnd w:id="1962"/>
      <w:bookmarkEnd w:id="1963"/>
      <w:r w:rsidRPr="009352D9">
        <w:t xml:space="preserve"> </w:t>
      </w:r>
    </w:p>
    <w:p w:rsidR="001A641D" w:rsidRDefault="007E5C0A">
      <w:r>
        <w:t xml:space="preserve">The Department will provide refunds of fees in limited circumstances, for instance, following a reconsideration of a fee. Partial refunds may be appropriate if the Minister determines in his or her sole discretion that there are exceptional circumstances that warrant a partial refund of a fee. In these situations, the applicant will be eligible for a partial refund of the most recently paid Fee Point. The Department will make a determination estimating the proportion of work completed since the most recent Fee Point was paid on a pro-rata basis. </w:t>
      </w:r>
    </w:p>
    <w:p w:rsidR="001A641D" w:rsidRDefault="007E5C0A" w:rsidP="001A641D">
      <w:pPr>
        <w:rPr>
          <w:rFonts w:cs="Arial"/>
          <w:b/>
        </w:rPr>
      </w:pPr>
      <w:r>
        <w:t xml:space="preserve">Referrals will not be eligible for partial </w:t>
      </w:r>
      <w:r w:rsidRPr="00767BDD">
        <w:t>refunds</w:t>
      </w:r>
      <w:r>
        <w:t>, as their short timeframe makes it unreasonable to estimate the amount of work completed by the Department. They will be eligible for full refunds where the referral is not accepted by the Department, for example if the Minister determines it is a component of a larger action or the proposed action is covered by a strategic assessment.</w:t>
      </w:r>
      <w:r>
        <w:br w:type="page"/>
      </w:r>
    </w:p>
    <w:p w:rsidR="001A641D" w:rsidRPr="00121765" w:rsidRDefault="007E5C0A" w:rsidP="001A641D">
      <w:pPr>
        <w:pStyle w:val="Heading1"/>
      </w:pPr>
      <w:bookmarkStart w:id="1964" w:name="_Toc256000361"/>
      <w:bookmarkStart w:id="1965" w:name="_Toc256000253"/>
      <w:bookmarkStart w:id="1966" w:name="_Toc256000145"/>
      <w:bookmarkStart w:id="1967" w:name="_Toc256000037"/>
      <w:bookmarkStart w:id="1968" w:name="_Ref387066385"/>
      <w:bookmarkStart w:id="1969" w:name="_Ref387066386"/>
      <w:bookmarkStart w:id="1970" w:name="_Toc458170541"/>
      <w:r>
        <w:t xml:space="preserve">COST RECOVERY MODEL FOR </w:t>
      </w:r>
      <w:r w:rsidRPr="00121765">
        <w:t>STRATEGIC ASSESSMENTS</w:t>
      </w:r>
      <w:bookmarkEnd w:id="1964"/>
      <w:bookmarkEnd w:id="1965"/>
      <w:bookmarkEnd w:id="1966"/>
      <w:bookmarkEnd w:id="1967"/>
      <w:bookmarkEnd w:id="1968"/>
      <w:bookmarkEnd w:id="1969"/>
      <w:bookmarkEnd w:id="1970"/>
    </w:p>
    <w:p w:rsidR="001A641D" w:rsidRPr="006B2796" w:rsidRDefault="007E5C0A" w:rsidP="001A641D">
      <w:r w:rsidRPr="006B2796">
        <w:t xml:space="preserve">Cost recovery applies to strategic assessments conducted under Part 10 of the EPBC Act. The Australian Government has determined that strategic assessment provisions relating to Commonwealth managed fisheries (section 147 to section 154 of the EPBC Act) are not appropriate for cost recovery. </w:t>
      </w:r>
    </w:p>
    <w:p w:rsidR="001A641D" w:rsidRPr="00121765" w:rsidRDefault="007E5C0A" w:rsidP="001A641D">
      <w:pPr>
        <w:pStyle w:val="Heading2"/>
      </w:pPr>
      <w:bookmarkStart w:id="1971" w:name="_Toc256000362"/>
      <w:bookmarkStart w:id="1972" w:name="_Toc256000254"/>
      <w:bookmarkStart w:id="1973" w:name="_Toc256000146"/>
      <w:bookmarkStart w:id="1974" w:name="_Toc256000038"/>
      <w:bookmarkStart w:id="1975" w:name="_Toc458170542"/>
      <w:r w:rsidRPr="00121765">
        <w:t xml:space="preserve">Outputs </w:t>
      </w:r>
      <w:r>
        <w:t>and business processes</w:t>
      </w:r>
      <w:r w:rsidRPr="00121765">
        <w:t xml:space="preserve"> – Strategic Assessments</w:t>
      </w:r>
      <w:bookmarkEnd w:id="1971"/>
      <w:bookmarkEnd w:id="1972"/>
      <w:bookmarkEnd w:id="1973"/>
      <w:bookmarkEnd w:id="1974"/>
      <w:bookmarkEnd w:id="1975"/>
    </w:p>
    <w:p w:rsidR="001A641D" w:rsidRPr="00500A62" w:rsidRDefault="007E5C0A" w:rsidP="001A641D">
      <w:pPr>
        <w:pStyle w:val="Heading3"/>
        <w:ind w:left="0" w:firstLine="0"/>
      </w:pPr>
      <w:bookmarkStart w:id="1976" w:name="_Toc256000363"/>
      <w:bookmarkStart w:id="1977" w:name="_Toc256000255"/>
      <w:bookmarkStart w:id="1978" w:name="_Toc256000147"/>
      <w:bookmarkStart w:id="1979" w:name="_Toc256000039"/>
      <w:bookmarkStart w:id="1980" w:name="_Toc458170543"/>
      <w:r w:rsidRPr="00500A62">
        <w:t>Description of activity – Strategic assessments</w:t>
      </w:r>
      <w:bookmarkEnd w:id="1976"/>
      <w:bookmarkEnd w:id="1977"/>
      <w:bookmarkEnd w:id="1978"/>
      <w:bookmarkEnd w:id="1979"/>
      <w:bookmarkEnd w:id="1980"/>
    </w:p>
    <w:p w:rsidR="001A641D" w:rsidRPr="00121765" w:rsidRDefault="007E5C0A" w:rsidP="001A641D">
      <w:r w:rsidRPr="005D261F">
        <w:t>The strategic assessment provisions (section 146) of the EPBC Act allow for the assessment and endorsemen</w:t>
      </w:r>
      <w:r>
        <w:t xml:space="preserve">t of a plan, policy or program </w:t>
      </w:r>
      <w:r w:rsidRPr="005D261F">
        <w:t xml:space="preserve">and the subsequent approval of actions or classes of actions if they are taken in accordance with the endorsed policy, plan or program. A request to undertake a strategic assessment may be made by or on behalf of any person responsible for the adoption or implementation of a policy, plan or program (the ‘applicant’). The Department provides advice and guidance to applicants throughout key </w:t>
      </w:r>
      <w:r>
        <w:t>steps</w:t>
      </w:r>
      <w:r w:rsidRPr="005D261F">
        <w:t xml:space="preserve"> of strategic assessment. The strategic assessment process is </w:t>
      </w:r>
      <w:r w:rsidRPr="000523CF">
        <w:t xml:space="preserve">outlined in </w:t>
      </w:r>
      <w:r w:rsidR="00FF3730">
        <w:fldChar w:fldCharType="begin"/>
      </w:r>
      <w:r w:rsidR="00FF3730">
        <w:instrText xml:space="preserve"> REF _Ref457913188 \h  \* MERGEFORMAT </w:instrText>
      </w:r>
      <w:r w:rsidR="00FF3730">
        <w:fldChar w:fldCharType="separate"/>
      </w:r>
      <w:r w:rsidR="00FF3730">
        <w:t xml:space="preserve">Figure </w:t>
      </w:r>
      <w:r w:rsidR="00FF3730">
        <w:rPr>
          <w:noProof/>
        </w:rPr>
        <w:t>10</w:t>
      </w:r>
      <w:r w:rsidR="00FF3730">
        <w:fldChar w:fldCharType="end"/>
      </w:r>
      <w:r w:rsidRPr="000523CF">
        <w:t xml:space="preserve"> below.</w:t>
      </w:r>
    </w:p>
    <w:p w:rsidR="001A641D" w:rsidRDefault="007E5C0A" w:rsidP="001A641D">
      <w:pPr>
        <w:keepNext/>
        <w:spacing w:after="0"/>
      </w:pPr>
      <w:r>
        <w:rPr>
          <w:noProof/>
          <w:lang w:eastAsia="en-AU"/>
        </w:rPr>
        <w:drawing>
          <wp:inline distT="0" distB="0" distL="0" distR="0">
            <wp:extent cx="4929505" cy="3342005"/>
            <wp:effectExtent l="19050" t="0" r="444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stretch>
                      <a:fillRect/>
                    </a:stretch>
                  </pic:blipFill>
                  <pic:spPr bwMode="auto">
                    <a:xfrm>
                      <a:off x="0" y="0"/>
                      <a:ext cx="4929505" cy="3342005"/>
                    </a:xfrm>
                    <a:prstGeom prst="rect">
                      <a:avLst/>
                    </a:prstGeom>
                    <a:noFill/>
                    <a:ln w="9525">
                      <a:noFill/>
                      <a:miter lim="800000"/>
                      <a:headEnd/>
                      <a:tailEnd/>
                    </a:ln>
                  </pic:spPr>
                </pic:pic>
              </a:graphicData>
            </a:graphic>
          </wp:inline>
        </w:drawing>
      </w:r>
    </w:p>
    <w:p w:rsidR="001A641D" w:rsidRDefault="007E5C0A" w:rsidP="001A641D">
      <w:pPr>
        <w:pStyle w:val="Caption"/>
        <w:jc w:val="left"/>
      </w:pPr>
      <w:bookmarkStart w:id="1981" w:name="_Ref457913188"/>
      <w:bookmarkStart w:id="1982" w:name="_Toc256000294"/>
      <w:bookmarkStart w:id="1983" w:name="_Toc256000186"/>
      <w:bookmarkStart w:id="1984" w:name="_Toc256000078"/>
      <w:bookmarkStart w:id="1985" w:name="_Toc458170581"/>
      <w:bookmarkStart w:id="1986" w:name="_Toc459108594"/>
      <w:r>
        <w:t xml:space="preserve">Figure </w:t>
      </w:r>
      <w:r w:rsidR="003366B4">
        <w:fldChar w:fldCharType="begin"/>
      </w:r>
      <w:r>
        <w:instrText xml:space="preserve"> SEQ Figure \* ARABIC </w:instrText>
      </w:r>
      <w:r w:rsidR="003366B4">
        <w:fldChar w:fldCharType="separate"/>
      </w:r>
      <w:r w:rsidR="00FF3730">
        <w:rPr>
          <w:noProof/>
        </w:rPr>
        <w:t>10</w:t>
      </w:r>
      <w:r w:rsidR="003366B4">
        <w:fldChar w:fldCharType="end"/>
      </w:r>
      <w:bookmarkEnd w:id="1981"/>
      <w:r>
        <w:t xml:space="preserve">. </w:t>
      </w:r>
      <w:r w:rsidRPr="00582E75">
        <w:t>Strategic assessments process.</w:t>
      </w:r>
      <w:bookmarkEnd w:id="1982"/>
      <w:bookmarkEnd w:id="1983"/>
      <w:bookmarkEnd w:id="1984"/>
      <w:bookmarkEnd w:id="1985"/>
      <w:bookmarkEnd w:id="1986"/>
    </w:p>
    <w:p w:rsidR="001A641D" w:rsidRDefault="007E5C0A" w:rsidP="001A641D">
      <w:pPr>
        <w:pStyle w:val="Heading3"/>
        <w:ind w:left="0" w:firstLine="0"/>
      </w:pPr>
      <w:bookmarkStart w:id="1987" w:name="_Toc256000364"/>
      <w:bookmarkStart w:id="1988" w:name="_Toc256000256"/>
      <w:bookmarkStart w:id="1989" w:name="_Toc256000148"/>
      <w:bookmarkStart w:id="1990" w:name="_Toc256000040"/>
      <w:bookmarkStart w:id="1991" w:name="_Ref457986228"/>
      <w:bookmarkStart w:id="1992" w:name="_Toc458170544"/>
      <w:r>
        <w:t>Funding for strategic assessments</w:t>
      </w:r>
      <w:bookmarkEnd w:id="1987"/>
      <w:bookmarkEnd w:id="1988"/>
      <w:bookmarkEnd w:id="1989"/>
      <w:bookmarkEnd w:id="1990"/>
      <w:bookmarkEnd w:id="1991"/>
      <w:bookmarkEnd w:id="1992"/>
    </w:p>
    <w:p w:rsidR="001A641D" w:rsidRPr="00CA2802" w:rsidRDefault="007E5C0A" w:rsidP="001A641D">
      <w:r w:rsidRPr="00AC72B8">
        <w:t xml:space="preserve">Cost recovery for strategic assessments more equitably shares the costs of protecting the environment between the community and those who derive a private benefit from the ability to apply for a strategic assessment approval to undertake an action otherwise prohibited by the EPBC Act. Cost recovery, by providing a source of funding related to the actual amount of assessment activity undertaken in the Department, improves the Department’s ability to undertake strategic assessments and respond to changes in demand for its services. It also provides incentives to industry to undertake early engagement and incorporate the most environmentally acceptable outcomes into their business planning, as this may reduce the level of strategic assessment required and therefore the </w:t>
      </w:r>
      <w:r>
        <w:t>fees</w:t>
      </w:r>
      <w:r w:rsidRPr="00AC72B8">
        <w:t xml:space="preserve"> payable. </w:t>
      </w:r>
      <w:r w:rsidRPr="00CA2802">
        <w:t xml:space="preserve">Strategic assessments can be funded through budget appropriation or, where considered appropriate, through cost recovery. </w:t>
      </w:r>
    </w:p>
    <w:p w:rsidR="001A641D" w:rsidRPr="00AC1885" w:rsidRDefault="007E5C0A" w:rsidP="001A641D">
      <w:pPr>
        <w:pStyle w:val="Heading4"/>
      </w:pPr>
      <w:bookmarkStart w:id="1993" w:name="_Toc379530376"/>
      <w:bookmarkStart w:id="1994" w:name="_Toc343850795"/>
      <w:bookmarkStart w:id="1995" w:name="_Toc344895173"/>
      <w:bookmarkStart w:id="1996" w:name="_Toc346285349"/>
      <w:r w:rsidRPr="00AC1885">
        <w:t>Budget funded strategic assessments</w:t>
      </w:r>
      <w:bookmarkEnd w:id="1993"/>
    </w:p>
    <w:p w:rsidR="001A641D" w:rsidRDefault="007E5C0A" w:rsidP="001A641D">
      <w:r w:rsidRPr="0084220F">
        <w:t xml:space="preserve">Strategic assessments that </w:t>
      </w:r>
      <w:r>
        <w:t xml:space="preserve">primarily </w:t>
      </w:r>
      <w:r w:rsidRPr="0084220F">
        <w:t>provide benefits to the general public and community,</w:t>
      </w:r>
      <w:r>
        <w:t xml:space="preserve"> </w:t>
      </w:r>
      <w:r w:rsidRPr="0084220F">
        <w:t>rather than an identifiable beneficiary (or group of beneficiaries)</w:t>
      </w:r>
      <w:r>
        <w:t xml:space="preserve">, or that significantly </w:t>
      </w:r>
      <w:r w:rsidRPr="002A4732">
        <w:t>contribute to streamlining of environmental approvals</w:t>
      </w:r>
      <w:r>
        <w:t xml:space="preserve"> – </w:t>
      </w:r>
      <w:r w:rsidRPr="002A4732">
        <w:t>removing duplication and reducing regulatory burden</w:t>
      </w:r>
      <w:r w:rsidRPr="0084220F">
        <w:t xml:space="preserve"> </w:t>
      </w:r>
      <w:r>
        <w:t xml:space="preserve">– </w:t>
      </w:r>
      <w:r w:rsidRPr="0084220F">
        <w:t>will continue to be funded by the government, subject to funding availability.</w:t>
      </w:r>
      <w:r>
        <w:t xml:space="preserve"> The Australian Government will determine the relative priority of different b</w:t>
      </w:r>
      <w:r w:rsidRPr="00873BDB">
        <w:t xml:space="preserve">udget funded strategic assessments to ensure that </w:t>
      </w:r>
      <w:r>
        <w:t xml:space="preserve">budget </w:t>
      </w:r>
      <w:r w:rsidRPr="00873BDB">
        <w:t>spending</w:t>
      </w:r>
      <w:r>
        <w:t xml:space="preserve"> on these assessments</w:t>
      </w:r>
      <w:r w:rsidRPr="00873BDB">
        <w:t xml:space="preserve"> is efficient, effective, economical and ethical. </w:t>
      </w:r>
    </w:p>
    <w:p w:rsidR="001A641D" w:rsidRDefault="007E5C0A" w:rsidP="001A641D">
      <w:r w:rsidRPr="00873BDB">
        <w:t>As the size and cost of strategic assessments varies, so does the number of assessments that can be undertaken within any given year within the limit of funding.</w:t>
      </w:r>
      <w:r>
        <w:t xml:space="preserve"> The</w:t>
      </w:r>
      <w:r w:rsidRPr="00873BDB">
        <w:t xml:space="preserve"> Minister will make the final determination as to which strategic assessments </w:t>
      </w:r>
      <w:r>
        <w:t>the government will</w:t>
      </w:r>
      <w:r w:rsidRPr="00873BDB">
        <w:t xml:space="preserve"> prioritise for being budget funded, having regard to the objects of the EPBC Act. </w:t>
      </w:r>
    </w:p>
    <w:p w:rsidR="001A641D" w:rsidRDefault="007E5C0A" w:rsidP="001A641D">
      <w:pPr>
        <w:pStyle w:val="Heading4"/>
      </w:pPr>
      <w:bookmarkStart w:id="1997" w:name="_Toc379530377"/>
      <w:r w:rsidRPr="0008018E">
        <w:t>Cost recovered strategic assessments</w:t>
      </w:r>
      <w:bookmarkEnd w:id="1997"/>
    </w:p>
    <w:p w:rsidR="001A641D" w:rsidRPr="00DF2540" w:rsidRDefault="007E5C0A" w:rsidP="001A641D">
      <w:r w:rsidRPr="00DF2540">
        <w:t>The EPBC Act provides for cost recovery of strategic assessments under the EPBC Act. The fees for strategic assessments are not specified in the Regulations as these will be determined on a case-by-case basis.</w:t>
      </w:r>
    </w:p>
    <w:p w:rsidR="001A641D" w:rsidRPr="00DF2540" w:rsidRDefault="007E5C0A" w:rsidP="001A641D">
      <w:r w:rsidRPr="00DF2540">
        <w:t xml:space="preserve">For strategic assessments that are cost recovered, the applicant is responsible for paying cost recovery fees for the strategic assessment of the policy, plan or program under the EPBC Act. The applicant for a strategic assessment may be a state or territory government or a private entity. </w:t>
      </w:r>
    </w:p>
    <w:p w:rsidR="001A641D" w:rsidRPr="0008018E" w:rsidRDefault="007E5C0A" w:rsidP="001A641D">
      <w:r w:rsidRPr="0008018E">
        <w:t xml:space="preserve">The budget funding available to deliver strategic assessments is limited, against a backdrop of continued development across Australia. In some cases, however, strategic assessments might deliver a private benefit, by enabling a private entity or group of private entities to have a strategic assessment done of a larger group of actions. In the long term, this may be more efficient and effective than seeking a number of separate EPBC Act approvals. For the Department to meet increasing demand and deliver more strategic assessments, the Australian Government has agreed to establish a mechanism for cost recovery of strategic assessments where appropriate, to enable private entities to take advantage of strategic assessments, or to contribute to the cost where they derive a benefit from those assessments. </w:t>
      </w:r>
    </w:p>
    <w:p w:rsidR="001A641D" w:rsidRDefault="007E5C0A" w:rsidP="001A641D">
      <w:r w:rsidRPr="0008018E">
        <w:t>Cost recovered strategic assessments would be considered appropriate where the outcome of the strategic assessment delivers a clear private benefit to an identifiable beneficiary (or identifiable group of beneficiaries), and charging would be efficient and effective.</w:t>
      </w:r>
    </w:p>
    <w:p w:rsidR="001A641D" w:rsidRPr="0008018E" w:rsidRDefault="007E5C0A" w:rsidP="001A641D">
      <w:r w:rsidRPr="0008018E">
        <w:t xml:space="preserve">Due to the discretionary nature of strategic assessments, an applicant must be willing to enter into an agreement with the Minister to have their policy, plan or program assessed. The applicant must also agree to take responsibility for meeting the costs of the assessment. Should an applicant decline to take responsibility for meeting the costs of the assessment, the strategic assessment would not proceed. </w:t>
      </w:r>
    </w:p>
    <w:p w:rsidR="001A641D" w:rsidRDefault="007E5C0A">
      <w:pPr>
        <w:spacing w:after="0" w:line="240" w:lineRule="auto"/>
        <w:rPr>
          <w:rFonts w:cs="Arial"/>
          <w:b/>
        </w:rPr>
      </w:pPr>
      <w:bookmarkStart w:id="1998" w:name="_Toc387064832"/>
      <w:bookmarkStart w:id="1999" w:name="_Toc387065044"/>
      <w:bookmarkStart w:id="2000" w:name="_Toc387065250"/>
      <w:bookmarkStart w:id="2001" w:name="_Toc387065461"/>
      <w:bookmarkStart w:id="2002" w:name="_Toc387065667"/>
      <w:bookmarkStart w:id="2003" w:name="_Toc387065872"/>
      <w:bookmarkStart w:id="2004" w:name="_Toc387066075"/>
      <w:bookmarkStart w:id="2005" w:name="_Toc387066264"/>
      <w:bookmarkStart w:id="2006" w:name="_Toc387069500"/>
      <w:bookmarkStart w:id="2007" w:name="_Toc387069687"/>
      <w:bookmarkStart w:id="2008" w:name="_Toc387069896"/>
      <w:bookmarkStart w:id="2009" w:name="_Toc387070095"/>
      <w:bookmarkStart w:id="2010" w:name="_Toc387072360"/>
      <w:bookmarkStart w:id="2011" w:name="_Toc387072571"/>
      <w:bookmarkStart w:id="2012" w:name="_Toc387392600"/>
      <w:bookmarkStart w:id="2013" w:name="_Toc379530378"/>
      <w:bookmarkStart w:id="2014" w:name="_Toc379530379"/>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r>
        <w:br w:type="page"/>
      </w:r>
    </w:p>
    <w:p w:rsidR="001A641D" w:rsidRDefault="007E5C0A" w:rsidP="001A641D">
      <w:pPr>
        <w:pStyle w:val="Heading2"/>
      </w:pPr>
      <w:bookmarkStart w:id="2015" w:name="_Toc256000365"/>
      <w:bookmarkStart w:id="2016" w:name="_Toc256000257"/>
      <w:bookmarkStart w:id="2017" w:name="_Toc256000149"/>
      <w:bookmarkStart w:id="2018" w:name="_Toc256000041"/>
      <w:bookmarkStart w:id="2019" w:name="_Toc458170545"/>
      <w:r>
        <w:t>C</w:t>
      </w:r>
      <w:r w:rsidRPr="0008018E">
        <w:t xml:space="preserve">osts </w:t>
      </w:r>
      <w:r>
        <w:t>of</w:t>
      </w:r>
      <w:r w:rsidRPr="0008018E">
        <w:t xml:space="preserve"> Strategic assessments</w:t>
      </w:r>
      <w:bookmarkEnd w:id="2013"/>
      <w:bookmarkEnd w:id="2015"/>
      <w:bookmarkEnd w:id="2016"/>
      <w:bookmarkEnd w:id="2017"/>
      <w:bookmarkEnd w:id="2018"/>
      <w:bookmarkEnd w:id="2019"/>
    </w:p>
    <w:bookmarkEnd w:id="2014"/>
    <w:p w:rsidR="001A641D" w:rsidRPr="00FC12C4" w:rsidRDefault="007E5C0A" w:rsidP="001A641D">
      <w:r w:rsidRPr="00FC12C4">
        <w:t>Experience to date indicates that costs from one strategic assessment to another vary significantly, and there is no ‘one-size-fits-all’ cost model. The resourcing required to complete a strategic assessment depend</w:t>
      </w:r>
      <w:r>
        <w:t>s</w:t>
      </w:r>
      <w:r w:rsidRPr="00FC12C4">
        <w:t xml:space="preserve"> on a number of cost drivers, including the complexity or uncertainty of management planning arrangements and the size, scale, and environmental impacts (for example, </w:t>
      </w:r>
      <w:r>
        <w:t xml:space="preserve">the number of </w:t>
      </w:r>
      <w:r w:rsidRPr="00FC12C4">
        <w:t xml:space="preserve">matters of </w:t>
      </w:r>
      <w:r>
        <w:t>national environmental significance</w:t>
      </w:r>
      <w:r w:rsidRPr="00FC12C4">
        <w:t xml:space="preserve"> </w:t>
      </w:r>
      <w:r>
        <w:t>impacted</w:t>
      </w:r>
      <w:r w:rsidRPr="00FC12C4">
        <w:t xml:space="preserve">) of the </w:t>
      </w:r>
      <w:r>
        <w:t>policy, plan or program</w:t>
      </w:r>
      <w:r w:rsidRPr="00FC12C4">
        <w:t xml:space="preserve">. </w:t>
      </w:r>
    </w:p>
    <w:p w:rsidR="001A641D" w:rsidRPr="00C95D4F" w:rsidRDefault="007E5C0A" w:rsidP="001A641D">
      <w:r>
        <w:t>The duration</w:t>
      </w:r>
      <w:r w:rsidRPr="00FC12C4">
        <w:t xml:space="preserve"> of strategic assessments and </w:t>
      </w:r>
      <w:r>
        <w:t>associated</w:t>
      </w:r>
      <w:r w:rsidRPr="00FC12C4">
        <w:t xml:space="preserve"> cost</w:t>
      </w:r>
      <w:r>
        <w:t>s</w:t>
      </w:r>
      <w:r w:rsidRPr="00FC12C4">
        <w:t xml:space="preserve"> </w:t>
      </w:r>
      <w:r>
        <w:t xml:space="preserve">are also </w:t>
      </w:r>
      <w:r w:rsidRPr="00FC12C4">
        <w:t xml:space="preserve">highly dependent on the </w:t>
      </w:r>
      <w:r>
        <w:t>applicant</w:t>
      </w:r>
      <w:r w:rsidRPr="00FC12C4">
        <w:t xml:space="preserve">’s responsiveness to requests for information from the </w:t>
      </w:r>
      <w:r>
        <w:t>D</w:t>
      </w:r>
      <w:r w:rsidRPr="00FC12C4">
        <w:t xml:space="preserve">epartment, and </w:t>
      </w:r>
      <w:r>
        <w:t xml:space="preserve">whether </w:t>
      </w:r>
      <w:r w:rsidRPr="00FC12C4">
        <w:t xml:space="preserve">the quality of information provided </w:t>
      </w:r>
      <w:r>
        <w:t>meets</w:t>
      </w:r>
      <w:r w:rsidRPr="00FC12C4">
        <w:t xml:space="preserve"> legislative requirements for a robust assessment process. </w:t>
      </w:r>
      <w:r>
        <w:t xml:space="preserve">Where it is appropriate to do so, previous strategic assessments will be used as a guide to costing strategic assessments that are considered appropriate for cost recovery. </w:t>
      </w:r>
    </w:p>
    <w:p w:rsidR="001A641D" w:rsidRPr="00FC12C4" w:rsidRDefault="007E5C0A" w:rsidP="001A641D">
      <w:r>
        <w:t>The current approach to delivering s</w:t>
      </w:r>
      <w:r w:rsidRPr="00FC12C4">
        <w:t xml:space="preserve">trategic assessments </w:t>
      </w:r>
      <w:r>
        <w:t xml:space="preserve">involves base </w:t>
      </w:r>
      <w:r w:rsidRPr="00FC12C4">
        <w:t xml:space="preserve">costs comprising </w:t>
      </w:r>
      <w:r>
        <w:t xml:space="preserve">salary and salary </w:t>
      </w:r>
      <w:r w:rsidRPr="00FC12C4">
        <w:t>on-costs</w:t>
      </w:r>
      <w:r>
        <w:t xml:space="preserve">, and </w:t>
      </w:r>
      <w:r w:rsidRPr="00FC12C4">
        <w:t>a</w:t>
      </w:r>
      <w:r>
        <w:t xml:space="preserve">n allocated share </w:t>
      </w:r>
      <w:r w:rsidRPr="00FC12C4">
        <w:t>of accommodation and property expenses, IT costs and human resources support</w:t>
      </w:r>
      <w:r>
        <w:t xml:space="preserve"> costs</w:t>
      </w:r>
      <w:r w:rsidRPr="00FC12C4">
        <w:t>.</w:t>
      </w:r>
    </w:p>
    <w:p w:rsidR="001A641D" w:rsidRPr="00847272" w:rsidRDefault="007E5C0A" w:rsidP="001A641D">
      <w:r w:rsidRPr="00847272">
        <w:t xml:space="preserve">The </w:t>
      </w:r>
      <w:r>
        <w:t>D</w:t>
      </w:r>
      <w:r w:rsidRPr="00847272">
        <w:t xml:space="preserve">epartment uses external experts where necessary to obtain advice on specialist matters. Additional expenses are also associated with visiting the project site, </w:t>
      </w:r>
      <w:r>
        <w:t>applicant</w:t>
      </w:r>
      <w:r w:rsidRPr="00847272">
        <w:t xml:space="preserve"> and/or other regulators involved in the strategic assessment of the </w:t>
      </w:r>
      <w:r>
        <w:t>policy, plan or program</w:t>
      </w:r>
      <w:r w:rsidRPr="00847272">
        <w:t xml:space="preserve">. These costs are commensurate with the size and complexity of a project, and are subject to </w:t>
      </w:r>
      <w:r>
        <w:t>departmental</w:t>
      </w:r>
      <w:r w:rsidRPr="00847272">
        <w:t xml:space="preserve"> procurement policies to obtain best value for money in line with the broader </w:t>
      </w:r>
      <w:r>
        <w:t>Commonwealth Procurement Rules</w:t>
      </w:r>
      <w:r>
        <w:rPr>
          <w:rStyle w:val="FootnoteReference"/>
        </w:rPr>
        <w:footnoteReference w:id="12"/>
      </w:r>
      <w:r w:rsidRPr="00847272">
        <w:t>.</w:t>
      </w:r>
    </w:p>
    <w:p w:rsidR="001A641D" w:rsidRDefault="007E5C0A">
      <w:pPr>
        <w:spacing w:after="0" w:line="240" w:lineRule="auto"/>
        <w:rPr>
          <w:rFonts w:cs="Arial"/>
          <w:b/>
        </w:rPr>
      </w:pPr>
      <w:r>
        <w:br w:type="page"/>
      </w:r>
    </w:p>
    <w:p w:rsidR="001A641D" w:rsidRDefault="007E5C0A">
      <w:pPr>
        <w:pStyle w:val="Heading2"/>
      </w:pPr>
      <w:bookmarkStart w:id="2020" w:name="_Toc256000366"/>
      <w:bookmarkStart w:id="2021" w:name="_Toc256000258"/>
      <w:bookmarkStart w:id="2022" w:name="_Toc256000150"/>
      <w:bookmarkStart w:id="2023" w:name="_Toc256000042"/>
      <w:bookmarkStart w:id="2024" w:name="_Toc458170546"/>
      <w:r>
        <w:t>Charges for strategic assessments</w:t>
      </w:r>
      <w:bookmarkEnd w:id="2020"/>
      <w:bookmarkEnd w:id="2021"/>
      <w:bookmarkEnd w:id="2022"/>
      <w:bookmarkEnd w:id="2023"/>
      <w:bookmarkEnd w:id="2024"/>
      <w:r>
        <w:t xml:space="preserve"> </w:t>
      </w:r>
    </w:p>
    <w:p w:rsidR="001A641D" w:rsidRDefault="007E5C0A" w:rsidP="001A641D">
      <w:pPr>
        <w:pStyle w:val="Heading3"/>
        <w:ind w:left="0" w:firstLine="0"/>
      </w:pPr>
      <w:bookmarkStart w:id="2025" w:name="_Toc256000367"/>
      <w:bookmarkStart w:id="2026" w:name="_Toc256000259"/>
      <w:bookmarkStart w:id="2027" w:name="_Toc256000151"/>
      <w:bookmarkStart w:id="2028" w:name="_Toc256000043"/>
      <w:bookmarkStart w:id="2029" w:name="_Toc379530383"/>
      <w:bookmarkStart w:id="2030" w:name="_Ref457986245"/>
      <w:bookmarkStart w:id="2031" w:name="_Toc458170547"/>
      <w:r>
        <w:t>Strategic assessment f</w:t>
      </w:r>
      <w:r w:rsidRPr="00FC12C4">
        <w:t>ees</w:t>
      </w:r>
      <w:bookmarkEnd w:id="2025"/>
      <w:bookmarkEnd w:id="2026"/>
      <w:bookmarkEnd w:id="2027"/>
      <w:bookmarkEnd w:id="2028"/>
      <w:bookmarkEnd w:id="2029"/>
      <w:bookmarkEnd w:id="2030"/>
      <w:bookmarkEnd w:id="2031"/>
    </w:p>
    <w:p w:rsidR="001A641D" w:rsidRDefault="007E5C0A" w:rsidP="001A641D">
      <w:pPr>
        <w:pStyle w:val="ListParagraph"/>
        <w:numPr>
          <w:ilvl w:val="0"/>
          <w:numId w:val="0"/>
        </w:numPr>
      </w:pPr>
      <w:r w:rsidRPr="00FC12C4">
        <w:t xml:space="preserve">Where </w:t>
      </w:r>
      <w:r>
        <w:t xml:space="preserve">the Minister considers that </w:t>
      </w:r>
      <w:r w:rsidRPr="00FC12C4">
        <w:t xml:space="preserve">cost recovery of strategic assessments </w:t>
      </w:r>
      <w:r>
        <w:t>is appropriate, the Minister will determine the total quantum of fees and payment schedule on a case by case basis and agreed with an applicant prior to commencement of the strategic assessment.</w:t>
      </w:r>
      <w:r w:rsidRPr="00FC12C4">
        <w:t xml:space="preserve"> Fees will be based on the level of </w:t>
      </w:r>
      <w:r>
        <w:t>departmental</w:t>
      </w:r>
      <w:r w:rsidRPr="00FC12C4">
        <w:t xml:space="preserve"> resourcing required to assess the </w:t>
      </w:r>
      <w:r>
        <w:t>policy, plan or program, and will also depend</w:t>
      </w:r>
      <w:r w:rsidRPr="00C80114">
        <w:t xml:space="preserve"> upon the length of the assessment.</w:t>
      </w:r>
      <w:r>
        <w:t xml:space="preserve"> The Department will calculate f</w:t>
      </w:r>
      <w:r w:rsidRPr="003B4038">
        <w:t>ees prior to the beginning of the strategic assessment. Th</w:t>
      </w:r>
      <w:r>
        <w:t xml:space="preserve">e applicant and the Department </w:t>
      </w:r>
      <w:r w:rsidRPr="003B4038">
        <w:t xml:space="preserve">will </w:t>
      </w:r>
      <w:r>
        <w:t xml:space="preserve">agree on the fees </w:t>
      </w:r>
      <w:r w:rsidRPr="003B4038">
        <w:t xml:space="preserve">through an exchange of letters, initiated by the </w:t>
      </w:r>
      <w:r>
        <w:t>D</w:t>
      </w:r>
      <w:r w:rsidRPr="003B4038">
        <w:t xml:space="preserve">epartment, prior to entering into the strategic assessment agreement, which is the first statutory step in the assessment process. </w:t>
      </w:r>
    </w:p>
    <w:p w:rsidR="001A641D" w:rsidRDefault="007E5C0A" w:rsidP="001A641D">
      <w:pPr>
        <w:pStyle w:val="ListParagraph"/>
        <w:numPr>
          <w:ilvl w:val="0"/>
          <w:numId w:val="0"/>
        </w:numPr>
      </w:pPr>
      <w:r w:rsidRPr="003B4038">
        <w:t xml:space="preserve">The </w:t>
      </w:r>
      <w:r>
        <w:t>D</w:t>
      </w:r>
      <w:r w:rsidRPr="003B4038">
        <w:t xml:space="preserve">epartment will write to the </w:t>
      </w:r>
      <w:r>
        <w:t>applicant</w:t>
      </w:r>
      <w:r w:rsidRPr="003B4038">
        <w:t xml:space="preserve"> with a proposed schedule of fees included in a contract, or service level agreement, applying the agreed costing methodology. </w:t>
      </w:r>
      <w:r>
        <w:t>The fee schedule will set out the fees payable at key milestones throughout the strategic assessment, and each step of the strategic assessment will commence when those milestone fees are paid. The number of steps and payments will vary for each strategic assessment, depending on the individual circumstances.</w:t>
      </w:r>
    </w:p>
    <w:p w:rsidR="001A641D" w:rsidRDefault="007E5C0A" w:rsidP="001A641D">
      <w:pPr>
        <w:pStyle w:val="ListParagraph"/>
        <w:numPr>
          <w:ilvl w:val="0"/>
          <w:numId w:val="0"/>
        </w:numPr>
      </w:pPr>
      <w:r>
        <w:t xml:space="preserve">The Department </w:t>
      </w:r>
      <w:r w:rsidRPr="003B4038">
        <w:t xml:space="preserve">would seek the </w:t>
      </w:r>
      <w:r>
        <w:t>applicant</w:t>
      </w:r>
      <w:r w:rsidRPr="003B4038">
        <w:t xml:space="preserve">’s commitment to the strategic assessment and a response from the </w:t>
      </w:r>
      <w:r>
        <w:t>applicant</w:t>
      </w:r>
      <w:r w:rsidRPr="003B4038">
        <w:t xml:space="preserve"> confirming their agreement to proceed. Upon the </w:t>
      </w:r>
      <w:r>
        <w:t>applicant</w:t>
      </w:r>
      <w:r w:rsidRPr="003B4038">
        <w:t>’s agreement, the strategic assessment will commence.</w:t>
      </w:r>
      <w:r>
        <w:t xml:space="preserve"> The service level agreement will articulate the type and quality of information that the applicant will need to provide at each step, and the services that the Department will provide, as well as any procedures for reviewing the fee schedule should the scope of the strategic assessment change during the process.</w:t>
      </w:r>
    </w:p>
    <w:p w:rsidR="001A641D" w:rsidRDefault="007E5C0A" w:rsidP="001A641D">
      <w:pPr>
        <w:pStyle w:val="ListParagraph"/>
        <w:numPr>
          <w:ilvl w:val="0"/>
          <w:numId w:val="0"/>
        </w:numPr>
      </w:pPr>
      <w:r w:rsidRPr="00AC5C46">
        <w:t xml:space="preserve">The following example demonstrates the types of fees that could be applied to </w:t>
      </w:r>
      <w:r>
        <w:t xml:space="preserve">each step of </w:t>
      </w:r>
      <w:r w:rsidRPr="00AC5C46">
        <w:t>a strategic assessment.</w:t>
      </w:r>
      <w:r>
        <w:t xml:space="preserve"> These steps align with those outlined in </w:t>
      </w:r>
      <w:r w:rsidR="003366B4">
        <w:fldChar w:fldCharType="begin"/>
      </w:r>
      <w:r>
        <w:instrText xml:space="preserve"> REF _Ref457913188 \h </w:instrText>
      </w:r>
      <w:r w:rsidR="003366B4">
        <w:fldChar w:fldCharType="separate"/>
      </w:r>
      <w:r w:rsidR="00FF3730">
        <w:t xml:space="preserve">Figure </w:t>
      </w:r>
      <w:r w:rsidR="00FF3730">
        <w:rPr>
          <w:noProof/>
        </w:rPr>
        <w:t>10</w:t>
      </w:r>
      <w:r w:rsidR="003366B4">
        <w:fldChar w:fldCharType="end"/>
      </w:r>
      <w:r>
        <w:t xml:space="preserve"> above.</w:t>
      </w:r>
    </w:p>
    <w:p w:rsidR="001A641D" w:rsidRDefault="007E5C0A">
      <w:pPr>
        <w:spacing w:after="0" w:line="240" w:lineRule="auto"/>
        <w:rPr>
          <w:rFonts w:asciiTheme="minorHAnsi" w:eastAsia="Times New Roman" w:hAnsiTheme="minorHAnsi" w:cstheme="minorHAnsi"/>
          <w:b/>
          <w:bCs/>
          <w:color w:val="4F81BD" w:themeColor="accent1"/>
          <w:sz w:val="20"/>
          <w:szCs w:val="20"/>
        </w:rPr>
      </w:pPr>
      <w:r>
        <w:br w:type="page"/>
      </w:r>
    </w:p>
    <w:p w:rsidR="001A641D" w:rsidRDefault="007E5C0A" w:rsidP="001A641D">
      <w:pPr>
        <w:pStyle w:val="Caption"/>
        <w:keepNext/>
      </w:pPr>
      <w:bookmarkStart w:id="2032" w:name="_Toc256000409"/>
      <w:bookmarkStart w:id="2033" w:name="_Toc256000301"/>
      <w:bookmarkStart w:id="2034" w:name="_Toc256000193"/>
      <w:bookmarkStart w:id="2035" w:name="_Toc256000085"/>
      <w:bookmarkStart w:id="2036" w:name="_Toc458170588"/>
      <w:r w:rsidRPr="00AC5C46">
        <w:t xml:space="preserve">Example </w:t>
      </w:r>
      <w:r w:rsidR="003366B4" w:rsidRPr="00AC5C46">
        <w:fldChar w:fldCharType="begin"/>
      </w:r>
      <w:r w:rsidRPr="00AC5C46">
        <w:instrText xml:space="preserve"> SEQ Example \* ARABIC </w:instrText>
      </w:r>
      <w:r w:rsidR="003366B4" w:rsidRPr="00AC5C46">
        <w:fldChar w:fldCharType="separate"/>
      </w:r>
      <w:r w:rsidR="00FF3730">
        <w:rPr>
          <w:noProof/>
        </w:rPr>
        <w:t>6</w:t>
      </w:r>
      <w:r w:rsidR="003366B4" w:rsidRPr="00AC5C46">
        <w:fldChar w:fldCharType="end"/>
      </w:r>
      <w:r w:rsidRPr="00AC5C46">
        <w:t>. Strategic assessment</w:t>
      </w:r>
      <w:bookmarkEnd w:id="2032"/>
      <w:bookmarkEnd w:id="2033"/>
      <w:bookmarkEnd w:id="2034"/>
      <w:bookmarkEnd w:id="2035"/>
      <w:bookmarkEnd w:id="2036"/>
    </w:p>
    <w:tbl>
      <w:tblPr>
        <w:tblStyle w:val="TableGrid"/>
        <w:tblW w:w="4689"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Look w:val="04A0" w:firstRow="1" w:lastRow="0" w:firstColumn="1" w:lastColumn="0" w:noHBand="0" w:noVBand="1"/>
      </w:tblPr>
      <w:tblGrid>
        <w:gridCol w:w="2375"/>
        <w:gridCol w:w="5248"/>
        <w:gridCol w:w="1619"/>
      </w:tblGrid>
      <w:tr w:rsidR="00397365" w:rsidTr="001A641D">
        <w:trPr>
          <w:cnfStyle w:val="100000000000" w:firstRow="1" w:lastRow="0" w:firstColumn="0" w:lastColumn="0" w:oddVBand="0" w:evenVBand="0" w:oddHBand="0" w:evenHBand="0" w:firstRowFirstColumn="0" w:firstRowLastColumn="0" w:lastRowFirstColumn="0" w:lastRowLastColumn="0"/>
          <w:cantSplit/>
        </w:trPr>
        <w:tc>
          <w:tcPr>
            <w:tcW w:w="5000" w:type="pct"/>
            <w:gridSpan w:val="3"/>
            <w:tcBorders>
              <w:left w:val="single" w:sz="4" w:space="0" w:color="548DD4" w:themeColor="text2" w:themeTint="99"/>
              <w:bottom w:val="single" w:sz="4" w:space="0" w:color="548DD4" w:themeColor="text2" w:themeTint="99"/>
            </w:tcBorders>
            <w:shd w:val="clear" w:color="auto" w:fill="auto"/>
            <w:vAlign w:val="center"/>
          </w:tcPr>
          <w:p w:rsidR="001A641D" w:rsidRDefault="007E5C0A" w:rsidP="001A641D">
            <w:pPr>
              <w:spacing w:after="0" w:line="240" w:lineRule="auto"/>
              <w:rPr>
                <w:sz w:val="18"/>
                <w:szCs w:val="18"/>
                <w:lang w:eastAsia="en-AU"/>
              </w:rPr>
            </w:pPr>
            <w:r>
              <w:rPr>
                <w:b/>
                <w:sz w:val="18"/>
                <w:szCs w:val="18"/>
              </w:rPr>
              <w:t>Strategic plan description</w:t>
            </w:r>
            <w:r w:rsidRPr="002803CE">
              <w:rPr>
                <w:b/>
                <w:sz w:val="18"/>
                <w:szCs w:val="18"/>
              </w:rPr>
              <w:t xml:space="preserve">: </w:t>
            </w:r>
            <w:r>
              <w:rPr>
                <w:sz w:val="18"/>
                <w:szCs w:val="18"/>
                <w:lang w:eastAsia="en-AU"/>
              </w:rPr>
              <w:t>T</w:t>
            </w:r>
            <w:r w:rsidRPr="00BD7D37">
              <w:rPr>
                <w:sz w:val="18"/>
                <w:szCs w:val="18"/>
                <w:lang w:eastAsia="en-AU"/>
              </w:rPr>
              <w:t xml:space="preserve">he Australian and a state Government agree to a strategic assessment of a number of prospective and existing mining exploration licences for which applications to mine or expand are expected over the next few years. </w:t>
            </w:r>
          </w:p>
          <w:p w:rsidR="001A641D" w:rsidRDefault="001A641D" w:rsidP="001A641D">
            <w:pPr>
              <w:spacing w:after="0" w:line="240" w:lineRule="auto"/>
              <w:rPr>
                <w:sz w:val="18"/>
                <w:szCs w:val="18"/>
                <w:lang w:eastAsia="en-AU"/>
              </w:rPr>
            </w:pPr>
          </w:p>
          <w:p w:rsidR="001A641D" w:rsidRDefault="007E5C0A" w:rsidP="001A641D">
            <w:pPr>
              <w:spacing w:after="0" w:line="240" w:lineRule="auto"/>
              <w:rPr>
                <w:sz w:val="18"/>
                <w:szCs w:val="18"/>
                <w:lang w:eastAsia="en-AU"/>
              </w:rPr>
            </w:pPr>
            <w:r w:rsidRPr="00BD7D37">
              <w:rPr>
                <w:sz w:val="18"/>
                <w:szCs w:val="18"/>
                <w:lang w:eastAsia="en-AU"/>
              </w:rPr>
              <w:t xml:space="preserve">The state Government entity is the person responsible for the plan. Multiple mining companies in the strategic assessment area are participating in the strategic assessment. Undertaking the strategic assessment will likely reduce the need for mining companies to seek individual approvals under the EPBC Act. Individual mining companies will be the beneficiaries of the approval. </w:t>
            </w:r>
          </w:p>
          <w:p w:rsidR="001A641D" w:rsidRDefault="001A641D" w:rsidP="001A641D">
            <w:pPr>
              <w:spacing w:after="0" w:line="240" w:lineRule="auto"/>
              <w:rPr>
                <w:sz w:val="18"/>
                <w:szCs w:val="18"/>
                <w:lang w:eastAsia="en-AU"/>
              </w:rPr>
            </w:pPr>
          </w:p>
          <w:p w:rsidR="001A641D" w:rsidRDefault="007E5C0A" w:rsidP="001A641D">
            <w:pPr>
              <w:spacing w:after="0" w:line="240" w:lineRule="auto"/>
              <w:rPr>
                <w:sz w:val="18"/>
                <w:szCs w:val="18"/>
              </w:rPr>
            </w:pPr>
            <w:r w:rsidRPr="00AC5C46">
              <w:rPr>
                <w:sz w:val="18"/>
                <w:szCs w:val="18"/>
                <w:lang w:eastAsia="en-AU"/>
              </w:rPr>
              <w:t xml:space="preserve">No consultancies are required </w:t>
            </w:r>
            <w:r w:rsidRPr="00AC5C46">
              <w:rPr>
                <w:sz w:val="18"/>
                <w:szCs w:val="18"/>
              </w:rPr>
              <w:t>for the assessment.</w:t>
            </w:r>
          </w:p>
          <w:p w:rsidR="001A641D" w:rsidRPr="0067320C" w:rsidRDefault="001A641D" w:rsidP="001A641D">
            <w:pPr>
              <w:spacing w:after="0" w:line="240" w:lineRule="auto"/>
              <w:rPr>
                <w:b/>
                <w:sz w:val="16"/>
                <w:szCs w:val="16"/>
              </w:rPr>
            </w:pP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1285" w:type="pct"/>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67320C" w:rsidRDefault="007E5C0A" w:rsidP="001A641D">
            <w:pPr>
              <w:jc w:val="center"/>
              <w:rPr>
                <w:b/>
                <w:sz w:val="16"/>
                <w:szCs w:val="16"/>
              </w:rPr>
            </w:pPr>
            <w:r>
              <w:rPr>
                <w:b/>
                <w:sz w:val="16"/>
                <w:szCs w:val="16"/>
              </w:rPr>
              <w:t>Step</w:t>
            </w:r>
          </w:p>
        </w:tc>
        <w:tc>
          <w:tcPr>
            <w:tcW w:w="2839" w:type="pct"/>
            <w:tcBorders>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67320C" w:rsidRDefault="007E5C0A" w:rsidP="001A641D">
            <w:pPr>
              <w:jc w:val="center"/>
              <w:rPr>
                <w:b/>
                <w:sz w:val="16"/>
                <w:szCs w:val="16"/>
              </w:rPr>
            </w:pPr>
            <w:r>
              <w:rPr>
                <w:b/>
                <w:sz w:val="16"/>
                <w:szCs w:val="16"/>
              </w:rPr>
              <w:t>R</w:t>
            </w:r>
            <w:r w:rsidRPr="0067320C">
              <w:rPr>
                <w:b/>
                <w:sz w:val="16"/>
                <w:szCs w:val="16"/>
              </w:rPr>
              <w:t xml:space="preserve">esources required during the </w:t>
            </w:r>
            <w:r>
              <w:rPr>
                <w:b/>
                <w:sz w:val="16"/>
                <w:szCs w:val="16"/>
              </w:rPr>
              <w:t xml:space="preserve">strategic </w:t>
            </w:r>
            <w:r w:rsidRPr="0067320C">
              <w:rPr>
                <w:b/>
                <w:sz w:val="16"/>
                <w:szCs w:val="16"/>
              </w:rPr>
              <w:t>assessment process</w:t>
            </w:r>
          </w:p>
        </w:tc>
        <w:tc>
          <w:tcPr>
            <w:tcW w:w="876" w:type="pct"/>
            <w:tcBorders>
              <w:left w:val="single" w:sz="4" w:space="0" w:color="548DD4" w:themeColor="text2" w:themeTint="99"/>
              <w:bottom w:val="single" w:sz="4" w:space="0" w:color="548DD4" w:themeColor="text2" w:themeTint="99"/>
            </w:tcBorders>
            <w:shd w:val="clear" w:color="auto" w:fill="8DB3E2" w:themeFill="text2" w:themeFillTint="66"/>
            <w:vAlign w:val="center"/>
          </w:tcPr>
          <w:p w:rsidR="001A641D" w:rsidRPr="0067320C" w:rsidRDefault="007E5C0A" w:rsidP="001A641D">
            <w:pPr>
              <w:jc w:val="center"/>
              <w:rPr>
                <w:b/>
                <w:sz w:val="16"/>
                <w:szCs w:val="16"/>
              </w:rPr>
            </w:pPr>
            <w:r>
              <w:rPr>
                <w:b/>
                <w:sz w:val="16"/>
                <w:szCs w:val="16"/>
              </w:rPr>
              <w:t>Fee</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1285" w:type="pct"/>
            <w:tcBorders>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Strategic agreement</w:t>
            </w:r>
          </w:p>
        </w:tc>
        <w:tc>
          <w:tcPr>
            <w:tcW w:w="2839" w:type="pct"/>
            <w:tcBorders>
              <w:left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36</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Director—20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10</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1 day</w:t>
            </w:r>
          </w:p>
        </w:tc>
        <w:tc>
          <w:tcPr>
            <w:tcW w:w="876" w:type="pct"/>
            <w:tcBorders>
              <w:left w:val="single" w:sz="4" w:space="0" w:color="548DD4" w:themeColor="text2" w:themeTint="99"/>
            </w:tcBorders>
            <w:vAlign w:val="center"/>
          </w:tcPr>
          <w:p w:rsidR="001A641D" w:rsidRPr="00A273B6" w:rsidRDefault="007E5C0A" w:rsidP="001A641D">
            <w:pPr>
              <w:jc w:val="center"/>
              <w:rPr>
                <w:sz w:val="18"/>
                <w:szCs w:val="16"/>
              </w:rPr>
            </w:pPr>
            <w:r>
              <w:rPr>
                <w:sz w:val="18"/>
                <w:szCs w:val="16"/>
              </w:rPr>
              <w:t>$39,195</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1285" w:type="pct"/>
            <w:tcBorders>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Terms of reference</w:t>
            </w:r>
          </w:p>
        </w:tc>
        <w:tc>
          <w:tcPr>
            <w:tcW w:w="2839" w:type="pct"/>
            <w:tcBorders>
              <w:left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10</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Director—7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3</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1 day</w:t>
            </w:r>
          </w:p>
        </w:tc>
        <w:tc>
          <w:tcPr>
            <w:tcW w:w="876" w:type="pct"/>
            <w:tcBorders>
              <w:left w:val="single" w:sz="4" w:space="0" w:color="548DD4" w:themeColor="text2" w:themeTint="99"/>
            </w:tcBorders>
            <w:vAlign w:val="center"/>
          </w:tcPr>
          <w:p w:rsidR="001A641D" w:rsidRPr="00A273B6" w:rsidRDefault="007E5C0A" w:rsidP="001A641D">
            <w:pPr>
              <w:jc w:val="center"/>
              <w:rPr>
                <w:sz w:val="18"/>
                <w:szCs w:val="16"/>
              </w:rPr>
            </w:pPr>
            <w:r>
              <w:rPr>
                <w:sz w:val="18"/>
                <w:szCs w:val="16"/>
              </w:rPr>
              <w:t>$12,755</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1285" w:type="pct"/>
            <w:tcBorders>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Draft Biodiversity Plan &amp; Strategic Assessment Report</w:t>
            </w:r>
          </w:p>
        </w:tc>
        <w:tc>
          <w:tcPr>
            <w:tcW w:w="2839" w:type="pct"/>
            <w:tcBorders>
              <w:left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80</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Director—47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23</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1 day</w:t>
            </w:r>
          </w:p>
        </w:tc>
        <w:tc>
          <w:tcPr>
            <w:tcW w:w="876" w:type="pct"/>
            <w:tcBorders>
              <w:left w:val="single" w:sz="4" w:space="0" w:color="548DD4" w:themeColor="text2" w:themeTint="99"/>
            </w:tcBorders>
            <w:vAlign w:val="center"/>
          </w:tcPr>
          <w:p w:rsidR="001A641D" w:rsidRPr="00A273B6" w:rsidRDefault="007E5C0A" w:rsidP="001A641D">
            <w:pPr>
              <w:jc w:val="center"/>
              <w:rPr>
                <w:sz w:val="18"/>
                <w:szCs w:val="16"/>
              </w:rPr>
            </w:pPr>
            <w:r>
              <w:rPr>
                <w:sz w:val="18"/>
                <w:szCs w:val="16"/>
              </w:rPr>
              <w:t>$88,084</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1285" w:type="pct"/>
            <w:tcBorders>
              <w:bottom w:val="single" w:sz="4" w:space="0" w:color="548DD4" w:themeColor="text2" w:themeTint="99"/>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Public consultation report</w:t>
            </w:r>
          </w:p>
        </w:tc>
        <w:tc>
          <w:tcPr>
            <w:tcW w:w="2839" w:type="pct"/>
            <w:tcBorders>
              <w:left w:val="single" w:sz="4" w:space="0" w:color="548DD4" w:themeColor="text2" w:themeTint="99"/>
              <w:bottom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20</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Director—7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3</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1 day</w:t>
            </w:r>
          </w:p>
        </w:tc>
        <w:tc>
          <w:tcPr>
            <w:tcW w:w="876" w:type="pct"/>
            <w:tcBorders>
              <w:left w:val="single" w:sz="4" w:space="0" w:color="548DD4" w:themeColor="text2" w:themeTint="99"/>
              <w:bottom w:val="single" w:sz="4" w:space="0" w:color="548DD4" w:themeColor="text2" w:themeTint="99"/>
            </w:tcBorders>
            <w:vAlign w:val="center"/>
          </w:tcPr>
          <w:p w:rsidR="001A641D" w:rsidRPr="00A273B6" w:rsidRDefault="007E5C0A" w:rsidP="001A641D">
            <w:pPr>
              <w:jc w:val="center"/>
              <w:rPr>
                <w:sz w:val="18"/>
                <w:szCs w:val="16"/>
              </w:rPr>
            </w:pPr>
            <w:r>
              <w:rPr>
                <w:sz w:val="18"/>
                <w:szCs w:val="16"/>
              </w:rPr>
              <w:t>$17,743</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1285" w:type="pct"/>
            <w:tcBorders>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Final Biodiversity Plan &amp; Strategic Assessment Report</w:t>
            </w:r>
          </w:p>
        </w:tc>
        <w:tc>
          <w:tcPr>
            <w:tcW w:w="2839" w:type="pct"/>
            <w:tcBorders>
              <w:left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20</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Director—13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7</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1 day</w:t>
            </w:r>
          </w:p>
        </w:tc>
        <w:tc>
          <w:tcPr>
            <w:tcW w:w="876" w:type="pct"/>
            <w:tcBorders>
              <w:left w:val="single" w:sz="4" w:space="0" w:color="548DD4" w:themeColor="text2" w:themeTint="99"/>
            </w:tcBorders>
            <w:vAlign w:val="center"/>
          </w:tcPr>
          <w:p w:rsidR="001A641D" w:rsidRPr="00A273B6" w:rsidRDefault="007E5C0A" w:rsidP="001A641D">
            <w:pPr>
              <w:jc w:val="center"/>
              <w:rPr>
                <w:sz w:val="18"/>
                <w:szCs w:val="16"/>
              </w:rPr>
            </w:pPr>
            <w:r>
              <w:rPr>
                <w:sz w:val="18"/>
                <w:szCs w:val="16"/>
              </w:rPr>
              <w:t>$24,479</w:t>
            </w:r>
          </w:p>
        </w:tc>
      </w:tr>
      <w:tr w:rsidR="00397365" w:rsidTr="001A641D">
        <w:trPr>
          <w:cnfStyle w:val="000000100000" w:firstRow="0" w:lastRow="0" w:firstColumn="0" w:lastColumn="0" w:oddVBand="0" w:evenVBand="0" w:oddHBand="1" w:evenHBand="0" w:firstRowFirstColumn="0" w:firstRowLastColumn="0" w:lastRowFirstColumn="0" w:lastRowLastColumn="0"/>
          <w:cantSplit/>
        </w:trPr>
        <w:tc>
          <w:tcPr>
            <w:tcW w:w="1285" w:type="pct"/>
            <w:tcBorders>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Endorsed Biodiversity Plan</w:t>
            </w:r>
          </w:p>
        </w:tc>
        <w:tc>
          <w:tcPr>
            <w:tcW w:w="2839" w:type="pct"/>
            <w:tcBorders>
              <w:left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35</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Director—20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10</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2 days</w:t>
            </w:r>
          </w:p>
        </w:tc>
        <w:tc>
          <w:tcPr>
            <w:tcW w:w="876" w:type="pct"/>
            <w:tcBorders>
              <w:left w:val="single" w:sz="4" w:space="0" w:color="548DD4" w:themeColor="text2" w:themeTint="99"/>
            </w:tcBorders>
            <w:vAlign w:val="center"/>
          </w:tcPr>
          <w:p w:rsidR="001A641D" w:rsidRPr="00A273B6" w:rsidRDefault="007E5C0A" w:rsidP="001A641D">
            <w:pPr>
              <w:jc w:val="center"/>
              <w:rPr>
                <w:sz w:val="18"/>
                <w:szCs w:val="16"/>
              </w:rPr>
            </w:pPr>
            <w:r>
              <w:rPr>
                <w:sz w:val="18"/>
                <w:szCs w:val="16"/>
              </w:rPr>
              <w:t>$39,728</w:t>
            </w:r>
          </w:p>
        </w:tc>
      </w:tr>
      <w:tr w:rsidR="00397365" w:rsidTr="001A641D">
        <w:trPr>
          <w:cnfStyle w:val="000000010000" w:firstRow="0" w:lastRow="0" w:firstColumn="0" w:lastColumn="0" w:oddVBand="0" w:evenVBand="0" w:oddHBand="0" w:evenHBand="1" w:firstRowFirstColumn="0" w:firstRowLastColumn="0" w:lastRowFirstColumn="0" w:lastRowLastColumn="0"/>
          <w:cantSplit/>
        </w:trPr>
        <w:tc>
          <w:tcPr>
            <w:tcW w:w="1285" w:type="pct"/>
            <w:tcBorders>
              <w:right w:val="single" w:sz="4" w:space="0" w:color="548DD4" w:themeColor="text2" w:themeTint="99"/>
            </w:tcBorders>
            <w:vAlign w:val="center"/>
          </w:tcPr>
          <w:p w:rsidR="001A641D" w:rsidRPr="00075417" w:rsidRDefault="007E5C0A" w:rsidP="001A641D">
            <w:pPr>
              <w:spacing w:after="0" w:line="240" w:lineRule="auto"/>
              <w:rPr>
                <w:sz w:val="18"/>
                <w:szCs w:val="18"/>
              </w:rPr>
            </w:pPr>
            <w:r w:rsidRPr="00075417">
              <w:rPr>
                <w:sz w:val="18"/>
                <w:szCs w:val="18"/>
              </w:rPr>
              <w:t>Approval decision briefing</w:t>
            </w:r>
          </w:p>
          <w:p w:rsidR="001A641D" w:rsidRDefault="001A641D" w:rsidP="001A641D">
            <w:pPr>
              <w:spacing w:after="0" w:line="240" w:lineRule="auto"/>
              <w:rPr>
                <w:sz w:val="18"/>
                <w:szCs w:val="18"/>
              </w:rPr>
            </w:pPr>
          </w:p>
        </w:tc>
        <w:tc>
          <w:tcPr>
            <w:tcW w:w="2839" w:type="pct"/>
            <w:tcBorders>
              <w:left w:val="single" w:sz="4" w:space="0" w:color="548DD4" w:themeColor="text2" w:themeTint="99"/>
              <w:right w:val="single" w:sz="4" w:space="0" w:color="548DD4" w:themeColor="text2" w:themeTint="99"/>
            </w:tcBorders>
          </w:tcPr>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Assessment Officer—</w:t>
            </w:r>
            <w:r>
              <w:rPr>
                <w:sz w:val="18"/>
                <w:szCs w:val="18"/>
              </w:rPr>
              <w:t>20</w:t>
            </w:r>
            <w:r w:rsidRPr="003B4B28">
              <w:rPr>
                <w:sz w:val="18"/>
                <w:szCs w:val="18"/>
              </w:rPr>
              <w:t xml:space="preserve"> days</w:t>
            </w:r>
          </w:p>
          <w:p w:rsidR="001A641D" w:rsidRPr="003B4B28" w:rsidRDefault="007E5C0A" w:rsidP="001A641D">
            <w:pPr>
              <w:pStyle w:val="ListParagraph"/>
              <w:numPr>
                <w:ilvl w:val="0"/>
                <w:numId w:val="6"/>
              </w:numPr>
              <w:spacing w:after="0" w:line="240" w:lineRule="auto"/>
              <w:ind w:left="360"/>
              <w:contextualSpacing/>
              <w:rPr>
                <w:sz w:val="18"/>
                <w:szCs w:val="18"/>
              </w:rPr>
            </w:pPr>
            <w:r>
              <w:rPr>
                <w:sz w:val="18"/>
                <w:szCs w:val="18"/>
              </w:rPr>
              <w:t xml:space="preserve">Assistant Director—13 </w:t>
            </w:r>
            <w:r w:rsidRPr="003B4B28">
              <w:rPr>
                <w:sz w:val="18"/>
                <w:szCs w:val="18"/>
              </w:rPr>
              <w:t>days</w:t>
            </w:r>
          </w:p>
          <w:p w:rsidR="001A641D" w:rsidRPr="003B4B28" w:rsidRDefault="007E5C0A" w:rsidP="001A641D">
            <w:pPr>
              <w:pStyle w:val="ListParagraph"/>
              <w:numPr>
                <w:ilvl w:val="0"/>
                <w:numId w:val="6"/>
              </w:numPr>
              <w:spacing w:after="0" w:line="240" w:lineRule="auto"/>
              <w:ind w:left="360"/>
              <w:contextualSpacing/>
              <w:rPr>
                <w:sz w:val="18"/>
                <w:szCs w:val="18"/>
              </w:rPr>
            </w:pPr>
            <w:r w:rsidRPr="003B4B28">
              <w:rPr>
                <w:sz w:val="18"/>
                <w:szCs w:val="18"/>
              </w:rPr>
              <w:t>Director—</w:t>
            </w:r>
            <w:r>
              <w:rPr>
                <w:sz w:val="18"/>
                <w:szCs w:val="18"/>
              </w:rPr>
              <w:t>7</w:t>
            </w:r>
            <w:r w:rsidRPr="003B4B28">
              <w:rPr>
                <w:sz w:val="18"/>
                <w:szCs w:val="18"/>
              </w:rPr>
              <w:t xml:space="preserve"> days</w:t>
            </w:r>
          </w:p>
          <w:p w:rsidR="001A641D" w:rsidRPr="0090088F" w:rsidRDefault="007E5C0A" w:rsidP="001A641D">
            <w:pPr>
              <w:pStyle w:val="ListParagraph"/>
              <w:numPr>
                <w:ilvl w:val="0"/>
                <w:numId w:val="6"/>
              </w:numPr>
              <w:spacing w:after="0" w:line="240" w:lineRule="auto"/>
              <w:ind w:left="360"/>
              <w:contextualSpacing/>
              <w:rPr>
                <w:sz w:val="18"/>
                <w:szCs w:val="16"/>
                <w:lang w:eastAsia="en-AU"/>
              </w:rPr>
            </w:pPr>
            <w:r>
              <w:rPr>
                <w:sz w:val="18"/>
                <w:szCs w:val="18"/>
              </w:rPr>
              <w:t>SES</w:t>
            </w:r>
            <w:r w:rsidRPr="003B4B28">
              <w:rPr>
                <w:sz w:val="18"/>
                <w:szCs w:val="18"/>
              </w:rPr>
              <w:t xml:space="preserve"> – </w:t>
            </w:r>
            <w:r>
              <w:rPr>
                <w:sz w:val="18"/>
                <w:szCs w:val="18"/>
              </w:rPr>
              <w:t>2 days</w:t>
            </w:r>
          </w:p>
        </w:tc>
        <w:tc>
          <w:tcPr>
            <w:tcW w:w="876" w:type="pct"/>
            <w:tcBorders>
              <w:left w:val="single" w:sz="4" w:space="0" w:color="548DD4" w:themeColor="text2" w:themeTint="99"/>
            </w:tcBorders>
            <w:vAlign w:val="center"/>
          </w:tcPr>
          <w:p w:rsidR="001A641D" w:rsidRPr="00A273B6" w:rsidRDefault="007E5C0A" w:rsidP="001A641D">
            <w:pPr>
              <w:jc w:val="center"/>
              <w:rPr>
                <w:sz w:val="18"/>
                <w:szCs w:val="16"/>
              </w:rPr>
            </w:pPr>
            <w:r>
              <w:rPr>
                <w:sz w:val="18"/>
                <w:szCs w:val="16"/>
              </w:rPr>
              <w:t>$25,510</w:t>
            </w:r>
          </w:p>
        </w:tc>
      </w:tr>
      <w:tr w:rsidR="00397365" w:rsidTr="001A641D">
        <w:tblPrEx>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PrEx>
        <w:trPr>
          <w:cnfStyle w:val="000000100000" w:firstRow="0" w:lastRow="0" w:firstColumn="0" w:lastColumn="0" w:oddVBand="0" w:evenVBand="0" w:oddHBand="1" w:evenHBand="0" w:firstRowFirstColumn="0" w:firstRowLastColumn="0" w:lastRowFirstColumn="0" w:lastRowLastColumn="0"/>
          <w:cantSplit/>
        </w:trPr>
        <w:tc>
          <w:tcPr>
            <w:tcW w:w="4124" w:type="pct"/>
            <w:gridSpan w:val="2"/>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C6D9F1" w:themeFill="text2" w:themeFillTint="33"/>
            <w:vAlign w:val="center"/>
          </w:tcPr>
          <w:p w:rsidR="001A641D" w:rsidRPr="00F730E3" w:rsidRDefault="007E5C0A" w:rsidP="001A641D">
            <w:pPr>
              <w:jc w:val="right"/>
              <w:rPr>
                <w:caps/>
                <w:sz w:val="20"/>
                <w:szCs w:val="20"/>
              </w:rPr>
            </w:pPr>
            <w:r>
              <w:rPr>
                <w:caps/>
                <w:sz w:val="20"/>
                <w:szCs w:val="20"/>
              </w:rPr>
              <w:t>total</w:t>
            </w:r>
            <w:r w:rsidRPr="00F730E3">
              <w:rPr>
                <w:caps/>
                <w:sz w:val="20"/>
                <w:szCs w:val="20"/>
              </w:rPr>
              <w:t xml:space="preserve"> </w:t>
            </w:r>
            <w:r>
              <w:rPr>
                <w:caps/>
                <w:sz w:val="20"/>
                <w:szCs w:val="20"/>
              </w:rPr>
              <w:t>fees</w:t>
            </w:r>
          </w:p>
        </w:tc>
        <w:tc>
          <w:tcPr>
            <w:tcW w:w="876" w:type="pct"/>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C6D9F1" w:themeFill="text2" w:themeFillTint="33"/>
            <w:vAlign w:val="center"/>
          </w:tcPr>
          <w:p w:rsidR="001A641D" w:rsidRPr="00FC28FE" w:rsidRDefault="007E5C0A" w:rsidP="001A641D">
            <w:pPr>
              <w:jc w:val="center"/>
              <w:rPr>
                <w:sz w:val="20"/>
                <w:szCs w:val="20"/>
              </w:rPr>
            </w:pPr>
            <w:r w:rsidRPr="00FC28FE">
              <w:rPr>
                <w:sz w:val="20"/>
                <w:szCs w:val="20"/>
              </w:rPr>
              <w:t>$</w:t>
            </w:r>
            <w:r>
              <w:t>247,494</w:t>
            </w:r>
          </w:p>
        </w:tc>
      </w:tr>
    </w:tbl>
    <w:p w:rsidR="001A641D" w:rsidRDefault="001A641D" w:rsidP="001A641D">
      <w:pPr>
        <w:pStyle w:val="ListParagraph"/>
        <w:numPr>
          <w:ilvl w:val="0"/>
          <w:numId w:val="0"/>
        </w:numPr>
      </w:pPr>
    </w:p>
    <w:p w:rsidR="001A641D" w:rsidRDefault="007E5C0A">
      <w:pPr>
        <w:spacing w:after="0" w:line="240" w:lineRule="auto"/>
        <w:rPr>
          <w:rFonts w:cs="Arial"/>
          <w:b/>
          <w:i/>
        </w:rPr>
      </w:pPr>
      <w:bookmarkStart w:id="2037" w:name="_Toc379530384"/>
      <w:r>
        <w:br w:type="page"/>
      </w:r>
    </w:p>
    <w:p w:rsidR="001A641D" w:rsidRDefault="007E5C0A" w:rsidP="001A641D">
      <w:pPr>
        <w:pStyle w:val="Heading3"/>
        <w:ind w:left="0" w:firstLine="0"/>
      </w:pPr>
      <w:bookmarkStart w:id="2038" w:name="_Toc256000368"/>
      <w:bookmarkStart w:id="2039" w:name="_Toc256000260"/>
      <w:bookmarkStart w:id="2040" w:name="_Toc256000152"/>
      <w:bookmarkStart w:id="2041" w:name="_Toc256000044"/>
      <w:bookmarkStart w:id="2042" w:name="_Toc458170548"/>
      <w:r>
        <w:t>Post approval management plan and contingent activity fees (strategic assessments)</w:t>
      </w:r>
      <w:bookmarkEnd w:id="2038"/>
      <w:bookmarkEnd w:id="2039"/>
      <w:bookmarkEnd w:id="2040"/>
      <w:bookmarkEnd w:id="2041"/>
      <w:bookmarkEnd w:id="2042"/>
    </w:p>
    <w:p w:rsidR="001A641D" w:rsidRDefault="007E5C0A" w:rsidP="001A641D">
      <w:r>
        <w:t>In circumstances where a policy, plan or program has been endorsed by the Minister, and the policy, plan or program or the strategic assessment approval provides for subsequent plans to manage impacts on matters of national environmental significance to be assessed and approved by the Minister, the Minister may consult with the applicant on the case by case fees to be paid for this assessment work.</w:t>
      </w:r>
    </w:p>
    <w:p w:rsidR="001A641D" w:rsidRPr="003A2049" w:rsidRDefault="007E5C0A" w:rsidP="001A641D">
      <w:r>
        <w:t>In addition, the Minister may consult with the applicant on the case by case fees to be paid for an additional strategic assessment approval under Part 10 of the EPBC Act, a variation to conditions of approval, or a variation of a post approval action management plan under conditions of approval.</w:t>
      </w:r>
    </w:p>
    <w:p w:rsidR="001A641D" w:rsidRPr="003B4038" w:rsidRDefault="007E5C0A" w:rsidP="001A641D">
      <w:pPr>
        <w:pStyle w:val="Heading3"/>
        <w:ind w:left="0" w:firstLine="0"/>
      </w:pPr>
      <w:bookmarkStart w:id="2043" w:name="_Toc387064838"/>
      <w:bookmarkStart w:id="2044" w:name="_Toc387065050"/>
      <w:bookmarkStart w:id="2045" w:name="_Toc387065256"/>
      <w:bookmarkStart w:id="2046" w:name="_Toc387065467"/>
      <w:bookmarkStart w:id="2047" w:name="_Toc387065673"/>
      <w:bookmarkStart w:id="2048" w:name="_Toc387065878"/>
      <w:bookmarkStart w:id="2049" w:name="_Toc387066081"/>
      <w:bookmarkStart w:id="2050" w:name="_Toc387066270"/>
      <w:bookmarkStart w:id="2051" w:name="_Toc387069506"/>
      <w:bookmarkStart w:id="2052" w:name="_Toc387069693"/>
      <w:bookmarkStart w:id="2053" w:name="_Toc387069902"/>
      <w:bookmarkStart w:id="2054" w:name="_Toc387070101"/>
      <w:bookmarkStart w:id="2055" w:name="_Toc387072366"/>
      <w:bookmarkStart w:id="2056" w:name="_Toc387072577"/>
      <w:bookmarkStart w:id="2057" w:name="_Toc387392606"/>
      <w:bookmarkStart w:id="2058" w:name="_Toc456102865"/>
      <w:bookmarkStart w:id="2059" w:name="_Toc456103598"/>
      <w:bookmarkStart w:id="2060" w:name="_Toc456104312"/>
      <w:bookmarkStart w:id="2061" w:name="_Toc456105025"/>
      <w:bookmarkStart w:id="2062" w:name="_Toc456105737"/>
      <w:bookmarkStart w:id="2063" w:name="_Toc456106431"/>
      <w:bookmarkStart w:id="2064" w:name="_Toc456107131"/>
      <w:bookmarkStart w:id="2065" w:name="_Toc456166807"/>
      <w:bookmarkStart w:id="2066" w:name="_Toc456168567"/>
      <w:bookmarkStart w:id="2067" w:name="_Toc456178699"/>
      <w:bookmarkStart w:id="2068" w:name="_Toc456179230"/>
      <w:bookmarkStart w:id="2069" w:name="_Toc456179768"/>
      <w:bookmarkStart w:id="2070" w:name="_Toc456180304"/>
      <w:bookmarkStart w:id="2071" w:name="_Toc456180840"/>
      <w:bookmarkStart w:id="2072" w:name="_Toc456181376"/>
      <w:bookmarkStart w:id="2073" w:name="_Toc456181913"/>
      <w:bookmarkStart w:id="2074" w:name="_Toc456182451"/>
      <w:bookmarkStart w:id="2075" w:name="_Toc456182986"/>
      <w:bookmarkStart w:id="2076" w:name="_Toc456183521"/>
      <w:bookmarkStart w:id="2077" w:name="_Toc456184056"/>
      <w:bookmarkStart w:id="2078" w:name="_Toc456184587"/>
      <w:bookmarkStart w:id="2079" w:name="_Toc456185120"/>
      <w:bookmarkStart w:id="2080" w:name="_Toc456185717"/>
      <w:bookmarkStart w:id="2081" w:name="_Toc456186249"/>
      <w:bookmarkStart w:id="2082" w:name="_Toc456186781"/>
      <w:bookmarkStart w:id="2083" w:name="_Toc456361093"/>
      <w:bookmarkStart w:id="2084" w:name="_Toc456364802"/>
      <w:bookmarkStart w:id="2085" w:name="_Toc456366021"/>
      <w:bookmarkStart w:id="2086" w:name="_Toc456366649"/>
      <w:bookmarkStart w:id="2087" w:name="_Toc456367276"/>
      <w:bookmarkStart w:id="2088" w:name="_Toc456367908"/>
      <w:bookmarkStart w:id="2089" w:name="_Toc456368536"/>
      <w:bookmarkStart w:id="2090" w:name="_Toc456369218"/>
      <w:bookmarkStart w:id="2091" w:name="_Toc456369896"/>
      <w:bookmarkStart w:id="2092" w:name="_Toc456370573"/>
      <w:bookmarkStart w:id="2093" w:name="_Toc456371250"/>
      <w:bookmarkStart w:id="2094" w:name="_Toc456517265"/>
      <w:bookmarkStart w:id="2095" w:name="_Toc456102866"/>
      <w:bookmarkStart w:id="2096" w:name="_Toc456103599"/>
      <w:bookmarkStart w:id="2097" w:name="_Toc456104313"/>
      <w:bookmarkStart w:id="2098" w:name="_Toc456105026"/>
      <w:bookmarkStart w:id="2099" w:name="_Toc456105738"/>
      <w:bookmarkStart w:id="2100" w:name="_Toc456106432"/>
      <w:bookmarkStart w:id="2101" w:name="_Toc456107132"/>
      <w:bookmarkStart w:id="2102" w:name="_Toc456166808"/>
      <w:bookmarkStart w:id="2103" w:name="_Toc456168568"/>
      <w:bookmarkStart w:id="2104" w:name="_Toc456178700"/>
      <w:bookmarkStart w:id="2105" w:name="_Toc456179231"/>
      <w:bookmarkStart w:id="2106" w:name="_Toc456179769"/>
      <w:bookmarkStart w:id="2107" w:name="_Toc456180305"/>
      <w:bookmarkStart w:id="2108" w:name="_Toc456180841"/>
      <w:bookmarkStart w:id="2109" w:name="_Toc456181377"/>
      <w:bookmarkStart w:id="2110" w:name="_Toc456181914"/>
      <w:bookmarkStart w:id="2111" w:name="_Toc456182452"/>
      <w:bookmarkStart w:id="2112" w:name="_Toc456182987"/>
      <w:bookmarkStart w:id="2113" w:name="_Toc456183522"/>
      <w:bookmarkStart w:id="2114" w:name="_Toc456184057"/>
      <w:bookmarkStart w:id="2115" w:name="_Toc456184588"/>
      <w:bookmarkStart w:id="2116" w:name="_Toc456185121"/>
      <w:bookmarkStart w:id="2117" w:name="_Toc456185718"/>
      <w:bookmarkStart w:id="2118" w:name="_Toc456186250"/>
      <w:bookmarkStart w:id="2119" w:name="_Toc456186782"/>
      <w:bookmarkStart w:id="2120" w:name="_Toc456361094"/>
      <w:bookmarkStart w:id="2121" w:name="_Toc456364803"/>
      <w:bookmarkStart w:id="2122" w:name="_Toc456366022"/>
      <w:bookmarkStart w:id="2123" w:name="_Toc456366650"/>
      <w:bookmarkStart w:id="2124" w:name="_Toc456367277"/>
      <w:bookmarkStart w:id="2125" w:name="_Toc456367909"/>
      <w:bookmarkStart w:id="2126" w:name="_Toc456368537"/>
      <w:bookmarkStart w:id="2127" w:name="_Toc456369219"/>
      <w:bookmarkStart w:id="2128" w:name="_Toc456369897"/>
      <w:bookmarkStart w:id="2129" w:name="_Toc456370574"/>
      <w:bookmarkStart w:id="2130" w:name="_Toc456371251"/>
      <w:bookmarkStart w:id="2131" w:name="_Toc456517266"/>
      <w:bookmarkStart w:id="2132" w:name="_Toc387064840"/>
      <w:bookmarkStart w:id="2133" w:name="_Toc387065052"/>
      <w:bookmarkStart w:id="2134" w:name="_Toc387065258"/>
      <w:bookmarkStart w:id="2135" w:name="_Toc387065469"/>
      <w:bookmarkStart w:id="2136" w:name="_Toc387065675"/>
      <w:bookmarkStart w:id="2137" w:name="_Toc387065880"/>
      <w:bookmarkStart w:id="2138" w:name="_Toc387066083"/>
      <w:bookmarkStart w:id="2139" w:name="_Toc387066272"/>
      <w:bookmarkStart w:id="2140" w:name="_Toc387069508"/>
      <w:bookmarkStart w:id="2141" w:name="_Toc387069695"/>
      <w:bookmarkStart w:id="2142" w:name="_Toc387069904"/>
      <w:bookmarkStart w:id="2143" w:name="_Toc387070103"/>
      <w:bookmarkStart w:id="2144" w:name="_Toc387072368"/>
      <w:bookmarkStart w:id="2145" w:name="_Toc387072579"/>
      <w:bookmarkStart w:id="2146" w:name="_Toc387392608"/>
      <w:bookmarkStart w:id="2147" w:name="_Toc387064841"/>
      <w:bookmarkStart w:id="2148" w:name="_Toc387065053"/>
      <w:bookmarkStart w:id="2149" w:name="_Toc387065259"/>
      <w:bookmarkStart w:id="2150" w:name="_Toc387065470"/>
      <w:bookmarkStart w:id="2151" w:name="_Toc387065676"/>
      <w:bookmarkStart w:id="2152" w:name="_Toc387065881"/>
      <w:bookmarkStart w:id="2153" w:name="_Toc387066084"/>
      <w:bookmarkStart w:id="2154" w:name="_Toc387066273"/>
      <w:bookmarkStart w:id="2155" w:name="_Toc387069509"/>
      <w:bookmarkStart w:id="2156" w:name="_Toc387069696"/>
      <w:bookmarkStart w:id="2157" w:name="_Toc387069905"/>
      <w:bookmarkStart w:id="2158" w:name="_Toc387070104"/>
      <w:bookmarkStart w:id="2159" w:name="_Toc387072369"/>
      <w:bookmarkStart w:id="2160" w:name="_Toc387072580"/>
      <w:bookmarkStart w:id="2161" w:name="_Toc387392609"/>
      <w:bookmarkStart w:id="2162" w:name="_Toc256000369"/>
      <w:bookmarkStart w:id="2163" w:name="_Toc256000261"/>
      <w:bookmarkStart w:id="2164" w:name="_Toc256000153"/>
      <w:bookmarkStart w:id="2165" w:name="_Toc256000045"/>
      <w:bookmarkStart w:id="2166" w:name="_Ref387064718"/>
      <w:bookmarkStart w:id="2167" w:name="_Toc458170549"/>
      <w:bookmarkEnd w:id="2037"/>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r w:rsidRPr="003B4038">
        <w:t>Exemptions</w:t>
      </w:r>
      <w:r>
        <w:t>, refunds</w:t>
      </w:r>
      <w:r w:rsidRPr="003B4038">
        <w:t xml:space="preserve"> and waivers (strategic assessments)</w:t>
      </w:r>
      <w:bookmarkEnd w:id="2162"/>
      <w:bookmarkEnd w:id="2163"/>
      <w:bookmarkEnd w:id="2164"/>
      <w:bookmarkEnd w:id="2165"/>
      <w:bookmarkEnd w:id="2166"/>
      <w:bookmarkEnd w:id="2167"/>
    </w:p>
    <w:p w:rsidR="001A641D" w:rsidRPr="000523CF" w:rsidRDefault="007E5C0A" w:rsidP="001A641D">
      <w:r w:rsidRPr="003B4038">
        <w:t>There are no exemptions</w:t>
      </w:r>
      <w:r>
        <w:t>, refunds</w:t>
      </w:r>
      <w:r w:rsidRPr="003B4038">
        <w:t xml:space="preserve"> or fee waivers available for strategic assessments.</w:t>
      </w:r>
      <w:r w:rsidRPr="00B528B6">
        <w:t xml:space="preserve"> </w:t>
      </w:r>
      <w:r>
        <w:t xml:space="preserve">As detailed in </w:t>
      </w:r>
      <w:r w:rsidRPr="000523CF">
        <w:t xml:space="preserve">section </w:t>
      </w:r>
      <w:r w:rsidR="00FF3730">
        <w:fldChar w:fldCharType="begin"/>
      </w:r>
      <w:r w:rsidR="00FF3730">
        <w:instrText xml:space="preserve"> REF _Ref457986228 \r \h  \* MERGEFORMAT </w:instrText>
      </w:r>
      <w:r w:rsidR="00FF3730">
        <w:fldChar w:fldCharType="separate"/>
      </w:r>
      <w:r w:rsidR="00FF3730">
        <w:t>4.1.2</w:t>
      </w:r>
      <w:r w:rsidR="00FF3730">
        <w:fldChar w:fldCharType="end"/>
      </w:r>
      <w:r w:rsidRPr="000523CF">
        <w:t xml:space="preserve"> above, the Department will consider whether a strategic assessment is suitable for budget funding or cost recovery, if it is suitable for budget funding then no fees will be payable.</w:t>
      </w:r>
    </w:p>
    <w:p w:rsidR="001A641D" w:rsidRPr="000523CF" w:rsidRDefault="007E5C0A" w:rsidP="001A641D">
      <w:pPr>
        <w:pStyle w:val="Heading3"/>
        <w:ind w:left="0" w:firstLine="0"/>
      </w:pPr>
      <w:bookmarkStart w:id="2168" w:name="_Toc256000370"/>
      <w:bookmarkStart w:id="2169" w:name="_Toc256000262"/>
      <w:bookmarkStart w:id="2170" w:name="_Toc256000154"/>
      <w:bookmarkStart w:id="2171" w:name="_Toc256000046"/>
      <w:bookmarkStart w:id="2172" w:name="_Toc458170550"/>
      <w:r w:rsidRPr="000523CF">
        <w:t>Reconsideration of strategic assessment fees</w:t>
      </w:r>
      <w:bookmarkEnd w:id="2168"/>
      <w:bookmarkEnd w:id="2169"/>
      <w:bookmarkEnd w:id="2170"/>
      <w:bookmarkEnd w:id="2171"/>
      <w:bookmarkEnd w:id="2172"/>
    </w:p>
    <w:p w:rsidR="001A641D" w:rsidRDefault="007E5C0A" w:rsidP="001A641D">
      <w:r w:rsidRPr="000523CF">
        <w:t xml:space="preserve">There are no processes to reconsider fees for strategic assessments as fees are set on a case by case basis. As detailed in section </w:t>
      </w:r>
      <w:r w:rsidR="00FF3730">
        <w:fldChar w:fldCharType="begin"/>
      </w:r>
      <w:r w:rsidR="00FF3730">
        <w:instrText xml:space="preserve"> REF _Ref4579</w:instrText>
      </w:r>
      <w:r w:rsidR="00FF3730">
        <w:instrText xml:space="preserve">86245 \r \h  \* MERGEFORMAT </w:instrText>
      </w:r>
      <w:r w:rsidR="00FF3730">
        <w:fldChar w:fldCharType="separate"/>
      </w:r>
      <w:r w:rsidR="00FF3730">
        <w:t>4.3.1</w:t>
      </w:r>
      <w:r w:rsidR="00FF3730">
        <w:fldChar w:fldCharType="end"/>
      </w:r>
      <w:r w:rsidRPr="000523CF">
        <w:t xml:space="preserve"> above, the</w:t>
      </w:r>
      <w:r>
        <w:t xml:space="preserve"> Department and the applicant will agree the fees for a cost recovered strategic assessment prior to it commencing, which provides the applicant an opportunity to question the way these fees are calculated.</w:t>
      </w:r>
    </w:p>
    <w:p w:rsidR="001A641D" w:rsidRDefault="007E5C0A">
      <w:pPr>
        <w:spacing w:after="0" w:line="240" w:lineRule="auto"/>
        <w:rPr>
          <w:rFonts w:cs="Arial"/>
          <w:b/>
        </w:rPr>
      </w:pPr>
      <w:bookmarkStart w:id="2173" w:name="_Toc456102889"/>
      <w:bookmarkStart w:id="2174" w:name="_Toc456103622"/>
      <w:bookmarkStart w:id="2175" w:name="_Toc456104336"/>
      <w:bookmarkStart w:id="2176" w:name="_Toc456105049"/>
      <w:bookmarkStart w:id="2177" w:name="_Toc456105761"/>
      <w:bookmarkStart w:id="2178" w:name="_Toc456106455"/>
      <w:bookmarkStart w:id="2179" w:name="_Toc456107155"/>
      <w:bookmarkStart w:id="2180" w:name="_Toc456166831"/>
      <w:bookmarkStart w:id="2181" w:name="_Toc456168591"/>
      <w:bookmarkStart w:id="2182" w:name="_Toc456178723"/>
      <w:bookmarkStart w:id="2183" w:name="_Toc456179254"/>
      <w:bookmarkStart w:id="2184" w:name="_Toc456179792"/>
      <w:bookmarkStart w:id="2185" w:name="_Toc456180328"/>
      <w:bookmarkStart w:id="2186" w:name="_Toc456180864"/>
      <w:bookmarkStart w:id="2187" w:name="_Toc456181400"/>
      <w:bookmarkStart w:id="2188" w:name="_Toc456181937"/>
      <w:bookmarkStart w:id="2189" w:name="_Toc456182475"/>
      <w:bookmarkStart w:id="2190" w:name="_Toc456183010"/>
      <w:bookmarkStart w:id="2191" w:name="_Toc456183545"/>
      <w:bookmarkStart w:id="2192" w:name="_Toc456184080"/>
      <w:bookmarkStart w:id="2193" w:name="_Toc456184611"/>
      <w:bookmarkStart w:id="2194" w:name="_Toc456185144"/>
      <w:bookmarkStart w:id="2195" w:name="_Toc456185741"/>
      <w:bookmarkStart w:id="2196" w:name="_Toc456186273"/>
      <w:bookmarkStart w:id="2197" w:name="_Toc456186805"/>
      <w:bookmarkStart w:id="2198" w:name="_Toc456361117"/>
      <w:bookmarkStart w:id="2199" w:name="_Toc456364826"/>
      <w:bookmarkStart w:id="2200" w:name="_Toc456366045"/>
      <w:bookmarkStart w:id="2201" w:name="_Toc456366673"/>
      <w:bookmarkStart w:id="2202" w:name="_Toc456367300"/>
      <w:bookmarkStart w:id="2203" w:name="_Toc456367932"/>
      <w:bookmarkStart w:id="2204" w:name="_Toc456368560"/>
      <w:bookmarkStart w:id="2205" w:name="_Toc456369242"/>
      <w:bookmarkStart w:id="2206" w:name="_Toc456369919"/>
      <w:bookmarkStart w:id="2207" w:name="_Toc456370596"/>
      <w:bookmarkStart w:id="2208" w:name="_Toc456371273"/>
      <w:bookmarkStart w:id="2209" w:name="_Toc456517288"/>
      <w:bookmarkStart w:id="2210" w:name="_Toc456102898"/>
      <w:bookmarkStart w:id="2211" w:name="_Toc456103631"/>
      <w:bookmarkStart w:id="2212" w:name="_Toc456104345"/>
      <w:bookmarkStart w:id="2213" w:name="_Toc456105058"/>
      <w:bookmarkStart w:id="2214" w:name="_Toc456105770"/>
      <w:bookmarkStart w:id="2215" w:name="_Toc456106464"/>
      <w:bookmarkStart w:id="2216" w:name="_Toc456107164"/>
      <w:bookmarkStart w:id="2217" w:name="_Toc456166840"/>
      <w:bookmarkStart w:id="2218" w:name="_Toc456168600"/>
      <w:bookmarkStart w:id="2219" w:name="_Toc456178732"/>
      <w:bookmarkStart w:id="2220" w:name="_Toc456179263"/>
      <w:bookmarkStart w:id="2221" w:name="_Toc456179801"/>
      <w:bookmarkStart w:id="2222" w:name="_Toc456180337"/>
      <w:bookmarkStart w:id="2223" w:name="_Toc456180873"/>
      <w:bookmarkStart w:id="2224" w:name="_Toc456181409"/>
      <w:bookmarkStart w:id="2225" w:name="_Toc456181946"/>
      <w:bookmarkStart w:id="2226" w:name="_Toc456182484"/>
      <w:bookmarkStart w:id="2227" w:name="_Toc456183019"/>
      <w:bookmarkStart w:id="2228" w:name="_Toc456183554"/>
      <w:bookmarkStart w:id="2229" w:name="_Toc456184089"/>
      <w:bookmarkStart w:id="2230" w:name="_Toc456184620"/>
      <w:bookmarkStart w:id="2231" w:name="_Toc456185153"/>
      <w:bookmarkStart w:id="2232" w:name="_Toc456185750"/>
      <w:bookmarkStart w:id="2233" w:name="_Toc456186282"/>
      <w:bookmarkStart w:id="2234" w:name="_Toc456186814"/>
      <w:bookmarkStart w:id="2235" w:name="_Toc456361126"/>
      <w:bookmarkStart w:id="2236" w:name="_Toc456364835"/>
      <w:bookmarkStart w:id="2237" w:name="_Toc456366054"/>
      <w:bookmarkStart w:id="2238" w:name="_Toc456366682"/>
      <w:bookmarkStart w:id="2239" w:name="_Toc456367309"/>
      <w:bookmarkStart w:id="2240" w:name="_Toc456367941"/>
      <w:bookmarkStart w:id="2241" w:name="_Toc456368569"/>
      <w:bookmarkStart w:id="2242" w:name="_Toc456369251"/>
      <w:bookmarkStart w:id="2243" w:name="_Toc456369928"/>
      <w:bookmarkStart w:id="2244" w:name="_Toc456370605"/>
      <w:bookmarkStart w:id="2245" w:name="_Toc456371282"/>
      <w:bookmarkStart w:id="2246" w:name="_Toc456517297"/>
      <w:bookmarkStart w:id="2247" w:name="_Toc456102907"/>
      <w:bookmarkStart w:id="2248" w:name="_Toc456103640"/>
      <w:bookmarkStart w:id="2249" w:name="_Toc456104354"/>
      <w:bookmarkStart w:id="2250" w:name="_Toc456105067"/>
      <w:bookmarkStart w:id="2251" w:name="_Toc456105779"/>
      <w:bookmarkStart w:id="2252" w:name="_Toc456106473"/>
      <w:bookmarkStart w:id="2253" w:name="_Toc456107173"/>
      <w:bookmarkStart w:id="2254" w:name="_Toc456166849"/>
      <w:bookmarkStart w:id="2255" w:name="_Toc456168609"/>
      <w:bookmarkStart w:id="2256" w:name="_Toc456178741"/>
      <w:bookmarkStart w:id="2257" w:name="_Toc456179272"/>
      <w:bookmarkStart w:id="2258" w:name="_Toc456179810"/>
      <w:bookmarkStart w:id="2259" w:name="_Toc456180346"/>
      <w:bookmarkStart w:id="2260" w:name="_Toc456180882"/>
      <w:bookmarkStart w:id="2261" w:name="_Toc456181418"/>
      <w:bookmarkStart w:id="2262" w:name="_Toc456181955"/>
      <w:bookmarkStart w:id="2263" w:name="_Toc456182493"/>
      <w:bookmarkStart w:id="2264" w:name="_Toc456183028"/>
      <w:bookmarkStart w:id="2265" w:name="_Toc456183563"/>
      <w:bookmarkStart w:id="2266" w:name="_Toc456184098"/>
      <w:bookmarkStart w:id="2267" w:name="_Toc456184629"/>
      <w:bookmarkStart w:id="2268" w:name="_Toc456185162"/>
      <w:bookmarkStart w:id="2269" w:name="_Toc456185759"/>
      <w:bookmarkStart w:id="2270" w:name="_Toc456186291"/>
      <w:bookmarkStart w:id="2271" w:name="_Toc456186823"/>
      <w:bookmarkStart w:id="2272" w:name="_Toc456361135"/>
      <w:bookmarkStart w:id="2273" w:name="_Toc456364844"/>
      <w:bookmarkStart w:id="2274" w:name="_Toc456366063"/>
      <w:bookmarkStart w:id="2275" w:name="_Toc456366691"/>
      <w:bookmarkStart w:id="2276" w:name="_Toc456367318"/>
      <w:bookmarkStart w:id="2277" w:name="_Toc456367950"/>
      <w:bookmarkStart w:id="2278" w:name="_Toc456368578"/>
      <w:bookmarkStart w:id="2279" w:name="_Toc456369260"/>
      <w:bookmarkStart w:id="2280" w:name="_Toc456369937"/>
      <w:bookmarkStart w:id="2281" w:name="_Toc456370614"/>
      <w:bookmarkStart w:id="2282" w:name="_Toc456371291"/>
      <w:bookmarkStart w:id="2283" w:name="_Toc456517306"/>
      <w:bookmarkStart w:id="2284" w:name="_Toc456102916"/>
      <w:bookmarkStart w:id="2285" w:name="_Toc456103649"/>
      <w:bookmarkStart w:id="2286" w:name="_Toc456104363"/>
      <w:bookmarkStart w:id="2287" w:name="_Toc456105076"/>
      <w:bookmarkStart w:id="2288" w:name="_Toc456105788"/>
      <w:bookmarkStart w:id="2289" w:name="_Toc456106482"/>
      <w:bookmarkStart w:id="2290" w:name="_Toc456107182"/>
      <w:bookmarkStart w:id="2291" w:name="_Toc456166858"/>
      <w:bookmarkStart w:id="2292" w:name="_Toc456168618"/>
      <w:bookmarkStart w:id="2293" w:name="_Toc456178750"/>
      <w:bookmarkStart w:id="2294" w:name="_Toc456179281"/>
      <w:bookmarkStart w:id="2295" w:name="_Toc456179819"/>
      <w:bookmarkStart w:id="2296" w:name="_Toc456180355"/>
      <w:bookmarkStart w:id="2297" w:name="_Toc456180891"/>
      <w:bookmarkStart w:id="2298" w:name="_Toc456181427"/>
      <w:bookmarkStart w:id="2299" w:name="_Toc456181964"/>
      <w:bookmarkStart w:id="2300" w:name="_Toc456182502"/>
      <w:bookmarkStart w:id="2301" w:name="_Toc456183037"/>
      <w:bookmarkStart w:id="2302" w:name="_Toc456183572"/>
      <w:bookmarkStart w:id="2303" w:name="_Toc456184107"/>
      <w:bookmarkStart w:id="2304" w:name="_Toc456184638"/>
      <w:bookmarkStart w:id="2305" w:name="_Toc456185171"/>
      <w:bookmarkStart w:id="2306" w:name="_Toc456185768"/>
      <w:bookmarkStart w:id="2307" w:name="_Toc456186300"/>
      <w:bookmarkStart w:id="2308" w:name="_Toc456186832"/>
      <w:bookmarkStart w:id="2309" w:name="_Toc456361144"/>
      <w:bookmarkStart w:id="2310" w:name="_Toc456364853"/>
      <w:bookmarkStart w:id="2311" w:name="_Toc456366072"/>
      <w:bookmarkStart w:id="2312" w:name="_Toc456366700"/>
      <w:bookmarkStart w:id="2313" w:name="_Toc456367327"/>
      <w:bookmarkStart w:id="2314" w:name="_Toc456367959"/>
      <w:bookmarkStart w:id="2315" w:name="_Toc456368587"/>
      <w:bookmarkStart w:id="2316" w:name="_Toc456369269"/>
      <w:bookmarkStart w:id="2317" w:name="_Toc456369946"/>
      <w:bookmarkStart w:id="2318" w:name="_Toc456370623"/>
      <w:bookmarkStart w:id="2319" w:name="_Toc456371300"/>
      <w:bookmarkStart w:id="2320" w:name="_Toc456517315"/>
      <w:bookmarkStart w:id="2321" w:name="_Toc456102925"/>
      <w:bookmarkStart w:id="2322" w:name="_Toc456103658"/>
      <w:bookmarkStart w:id="2323" w:name="_Toc456104372"/>
      <w:bookmarkStart w:id="2324" w:name="_Toc456105085"/>
      <w:bookmarkStart w:id="2325" w:name="_Toc456105797"/>
      <w:bookmarkStart w:id="2326" w:name="_Toc456106491"/>
      <w:bookmarkStart w:id="2327" w:name="_Toc456107191"/>
      <w:bookmarkStart w:id="2328" w:name="_Toc456166867"/>
      <w:bookmarkStart w:id="2329" w:name="_Toc456168627"/>
      <w:bookmarkStart w:id="2330" w:name="_Toc456178759"/>
      <w:bookmarkStart w:id="2331" w:name="_Toc456179290"/>
      <w:bookmarkStart w:id="2332" w:name="_Toc456179828"/>
      <w:bookmarkStart w:id="2333" w:name="_Toc456180364"/>
      <w:bookmarkStart w:id="2334" w:name="_Toc456180900"/>
      <w:bookmarkStart w:id="2335" w:name="_Toc456181436"/>
      <w:bookmarkStart w:id="2336" w:name="_Toc456181973"/>
      <w:bookmarkStart w:id="2337" w:name="_Toc456182511"/>
      <w:bookmarkStart w:id="2338" w:name="_Toc456183046"/>
      <w:bookmarkStart w:id="2339" w:name="_Toc456183581"/>
      <w:bookmarkStart w:id="2340" w:name="_Toc456184116"/>
      <w:bookmarkStart w:id="2341" w:name="_Toc456184647"/>
      <w:bookmarkStart w:id="2342" w:name="_Toc456185180"/>
      <w:bookmarkStart w:id="2343" w:name="_Toc456185777"/>
      <w:bookmarkStart w:id="2344" w:name="_Toc456186309"/>
      <w:bookmarkStart w:id="2345" w:name="_Toc456186841"/>
      <w:bookmarkStart w:id="2346" w:name="_Toc456361153"/>
      <w:bookmarkStart w:id="2347" w:name="_Toc456364862"/>
      <w:bookmarkStart w:id="2348" w:name="_Toc456366081"/>
      <w:bookmarkStart w:id="2349" w:name="_Toc456366709"/>
      <w:bookmarkStart w:id="2350" w:name="_Toc456367336"/>
      <w:bookmarkStart w:id="2351" w:name="_Toc456367968"/>
      <w:bookmarkStart w:id="2352" w:name="_Toc456368596"/>
      <w:bookmarkStart w:id="2353" w:name="_Toc456369278"/>
      <w:bookmarkStart w:id="2354" w:name="_Toc456369955"/>
      <w:bookmarkStart w:id="2355" w:name="_Toc456370632"/>
      <w:bookmarkStart w:id="2356" w:name="_Toc456371309"/>
      <w:bookmarkStart w:id="2357" w:name="_Toc456517324"/>
      <w:bookmarkStart w:id="2358" w:name="_Toc456102934"/>
      <w:bookmarkStart w:id="2359" w:name="_Toc456103667"/>
      <w:bookmarkStart w:id="2360" w:name="_Toc456104381"/>
      <w:bookmarkStart w:id="2361" w:name="_Toc456105094"/>
      <w:bookmarkStart w:id="2362" w:name="_Toc456105806"/>
      <w:bookmarkStart w:id="2363" w:name="_Toc456106500"/>
      <w:bookmarkStart w:id="2364" w:name="_Toc456107200"/>
      <w:bookmarkStart w:id="2365" w:name="_Toc456166876"/>
      <w:bookmarkStart w:id="2366" w:name="_Toc456168636"/>
      <w:bookmarkStart w:id="2367" w:name="_Toc456178768"/>
      <w:bookmarkStart w:id="2368" w:name="_Toc456179299"/>
      <w:bookmarkStart w:id="2369" w:name="_Toc456179837"/>
      <w:bookmarkStart w:id="2370" w:name="_Toc456180373"/>
      <w:bookmarkStart w:id="2371" w:name="_Toc456180909"/>
      <w:bookmarkStart w:id="2372" w:name="_Toc456181445"/>
      <w:bookmarkStart w:id="2373" w:name="_Toc456181982"/>
      <w:bookmarkStart w:id="2374" w:name="_Toc456182520"/>
      <w:bookmarkStart w:id="2375" w:name="_Toc456183055"/>
      <w:bookmarkStart w:id="2376" w:name="_Toc456183590"/>
      <w:bookmarkStart w:id="2377" w:name="_Toc456184125"/>
      <w:bookmarkStart w:id="2378" w:name="_Toc456184656"/>
      <w:bookmarkStart w:id="2379" w:name="_Toc456185189"/>
      <w:bookmarkStart w:id="2380" w:name="_Toc456185786"/>
      <w:bookmarkStart w:id="2381" w:name="_Toc456186318"/>
      <w:bookmarkStart w:id="2382" w:name="_Toc456186850"/>
      <w:bookmarkStart w:id="2383" w:name="_Toc456361162"/>
      <w:bookmarkStart w:id="2384" w:name="_Toc456364871"/>
      <w:bookmarkStart w:id="2385" w:name="_Toc456366090"/>
      <w:bookmarkStart w:id="2386" w:name="_Toc456366718"/>
      <w:bookmarkStart w:id="2387" w:name="_Toc456367345"/>
      <w:bookmarkStart w:id="2388" w:name="_Toc456367977"/>
      <w:bookmarkStart w:id="2389" w:name="_Toc456368605"/>
      <w:bookmarkStart w:id="2390" w:name="_Toc456369287"/>
      <w:bookmarkStart w:id="2391" w:name="_Toc456369964"/>
      <w:bookmarkStart w:id="2392" w:name="_Toc456370641"/>
      <w:bookmarkStart w:id="2393" w:name="_Toc456371318"/>
      <w:bookmarkStart w:id="2394" w:name="_Toc456517333"/>
      <w:bookmarkStart w:id="2395" w:name="_Toc456102943"/>
      <w:bookmarkStart w:id="2396" w:name="_Toc456103676"/>
      <w:bookmarkStart w:id="2397" w:name="_Toc456104390"/>
      <w:bookmarkStart w:id="2398" w:name="_Toc456105103"/>
      <w:bookmarkStart w:id="2399" w:name="_Toc456105815"/>
      <w:bookmarkStart w:id="2400" w:name="_Toc456106509"/>
      <w:bookmarkStart w:id="2401" w:name="_Toc456107209"/>
      <w:bookmarkStart w:id="2402" w:name="_Toc456166885"/>
      <w:bookmarkStart w:id="2403" w:name="_Toc456168645"/>
      <w:bookmarkStart w:id="2404" w:name="_Toc456178777"/>
      <w:bookmarkStart w:id="2405" w:name="_Toc456179308"/>
      <w:bookmarkStart w:id="2406" w:name="_Toc456179846"/>
      <w:bookmarkStart w:id="2407" w:name="_Toc456180382"/>
      <w:bookmarkStart w:id="2408" w:name="_Toc456180918"/>
      <w:bookmarkStart w:id="2409" w:name="_Toc456181454"/>
      <w:bookmarkStart w:id="2410" w:name="_Toc456181991"/>
      <w:bookmarkStart w:id="2411" w:name="_Toc456182529"/>
      <w:bookmarkStart w:id="2412" w:name="_Toc456183064"/>
      <w:bookmarkStart w:id="2413" w:name="_Toc456183599"/>
      <w:bookmarkStart w:id="2414" w:name="_Toc456184134"/>
      <w:bookmarkStart w:id="2415" w:name="_Toc456184665"/>
      <w:bookmarkStart w:id="2416" w:name="_Toc456185198"/>
      <w:bookmarkStart w:id="2417" w:name="_Toc456185795"/>
      <w:bookmarkStart w:id="2418" w:name="_Toc456186327"/>
      <w:bookmarkStart w:id="2419" w:name="_Toc456186859"/>
      <w:bookmarkStart w:id="2420" w:name="_Toc456361171"/>
      <w:bookmarkStart w:id="2421" w:name="_Toc456364880"/>
      <w:bookmarkStart w:id="2422" w:name="_Toc456366099"/>
      <w:bookmarkStart w:id="2423" w:name="_Toc456366727"/>
      <w:bookmarkStart w:id="2424" w:name="_Toc456367354"/>
      <w:bookmarkStart w:id="2425" w:name="_Toc456367986"/>
      <w:bookmarkStart w:id="2426" w:name="_Toc456368614"/>
      <w:bookmarkStart w:id="2427" w:name="_Toc456369296"/>
      <w:bookmarkStart w:id="2428" w:name="_Toc456369973"/>
      <w:bookmarkStart w:id="2429" w:name="_Toc456370650"/>
      <w:bookmarkStart w:id="2430" w:name="_Toc456371327"/>
      <w:bookmarkStart w:id="2431" w:name="_Toc456517342"/>
      <w:bookmarkStart w:id="2432" w:name="_Toc456102952"/>
      <w:bookmarkStart w:id="2433" w:name="_Toc456103685"/>
      <w:bookmarkStart w:id="2434" w:name="_Toc456104399"/>
      <w:bookmarkStart w:id="2435" w:name="_Toc456105112"/>
      <w:bookmarkStart w:id="2436" w:name="_Toc456105824"/>
      <w:bookmarkStart w:id="2437" w:name="_Toc456106518"/>
      <w:bookmarkStart w:id="2438" w:name="_Toc456107218"/>
      <w:bookmarkStart w:id="2439" w:name="_Toc456166894"/>
      <w:bookmarkStart w:id="2440" w:name="_Toc456168654"/>
      <w:bookmarkStart w:id="2441" w:name="_Toc456178786"/>
      <w:bookmarkStart w:id="2442" w:name="_Toc456179317"/>
      <w:bookmarkStart w:id="2443" w:name="_Toc456179855"/>
      <w:bookmarkStart w:id="2444" w:name="_Toc456180391"/>
      <w:bookmarkStart w:id="2445" w:name="_Toc456180927"/>
      <w:bookmarkStart w:id="2446" w:name="_Toc456181463"/>
      <w:bookmarkStart w:id="2447" w:name="_Toc456182000"/>
      <w:bookmarkStart w:id="2448" w:name="_Toc456182538"/>
      <w:bookmarkStart w:id="2449" w:name="_Toc456183073"/>
      <w:bookmarkStart w:id="2450" w:name="_Toc456183608"/>
      <w:bookmarkStart w:id="2451" w:name="_Toc456184143"/>
      <w:bookmarkStart w:id="2452" w:name="_Toc456184674"/>
      <w:bookmarkStart w:id="2453" w:name="_Toc456185207"/>
      <w:bookmarkStart w:id="2454" w:name="_Toc456185804"/>
      <w:bookmarkStart w:id="2455" w:name="_Toc456186336"/>
      <w:bookmarkStart w:id="2456" w:name="_Toc456186868"/>
      <w:bookmarkStart w:id="2457" w:name="_Toc456361180"/>
      <w:bookmarkStart w:id="2458" w:name="_Toc456364889"/>
      <w:bookmarkStart w:id="2459" w:name="_Toc456366108"/>
      <w:bookmarkStart w:id="2460" w:name="_Toc456366736"/>
      <w:bookmarkStart w:id="2461" w:name="_Toc456367363"/>
      <w:bookmarkStart w:id="2462" w:name="_Toc456367995"/>
      <w:bookmarkStart w:id="2463" w:name="_Toc456368623"/>
      <w:bookmarkStart w:id="2464" w:name="_Toc456369305"/>
      <w:bookmarkStart w:id="2465" w:name="_Toc456369982"/>
      <w:bookmarkStart w:id="2466" w:name="_Toc456370659"/>
      <w:bookmarkStart w:id="2467" w:name="_Toc456371336"/>
      <w:bookmarkStart w:id="2468" w:name="_Toc456517351"/>
      <w:bookmarkStart w:id="2469" w:name="_Toc456102969"/>
      <w:bookmarkStart w:id="2470" w:name="_Toc456103702"/>
      <w:bookmarkStart w:id="2471" w:name="_Toc456104416"/>
      <w:bookmarkStart w:id="2472" w:name="_Toc456105129"/>
      <w:bookmarkStart w:id="2473" w:name="_Toc456105841"/>
      <w:bookmarkStart w:id="2474" w:name="_Toc456106535"/>
      <w:bookmarkStart w:id="2475" w:name="_Toc456107235"/>
      <w:bookmarkStart w:id="2476" w:name="_Toc456166911"/>
      <w:bookmarkStart w:id="2477" w:name="_Toc456168671"/>
      <w:bookmarkStart w:id="2478" w:name="_Toc456178803"/>
      <w:bookmarkStart w:id="2479" w:name="_Toc456179334"/>
      <w:bookmarkStart w:id="2480" w:name="_Toc456179872"/>
      <w:bookmarkStart w:id="2481" w:name="_Toc456180408"/>
      <w:bookmarkStart w:id="2482" w:name="_Toc456180944"/>
      <w:bookmarkStart w:id="2483" w:name="_Toc456181480"/>
      <w:bookmarkStart w:id="2484" w:name="_Toc456182017"/>
      <w:bookmarkStart w:id="2485" w:name="_Toc456182555"/>
      <w:bookmarkStart w:id="2486" w:name="_Toc456183090"/>
      <w:bookmarkStart w:id="2487" w:name="_Toc456183625"/>
      <w:bookmarkStart w:id="2488" w:name="_Toc456184160"/>
      <w:bookmarkStart w:id="2489" w:name="_Toc456184691"/>
      <w:bookmarkStart w:id="2490" w:name="_Toc456185224"/>
      <w:bookmarkStart w:id="2491" w:name="_Toc456185821"/>
      <w:bookmarkStart w:id="2492" w:name="_Toc456186353"/>
      <w:bookmarkStart w:id="2493" w:name="_Toc456186885"/>
      <w:bookmarkStart w:id="2494" w:name="_Toc456361197"/>
      <w:bookmarkStart w:id="2495" w:name="_Toc456364906"/>
      <w:bookmarkStart w:id="2496" w:name="_Toc456366125"/>
      <w:bookmarkStart w:id="2497" w:name="_Toc456366753"/>
      <w:bookmarkStart w:id="2498" w:name="_Toc456367380"/>
      <w:bookmarkStart w:id="2499" w:name="_Toc456368012"/>
      <w:bookmarkStart w:id="2500" w:name="_Toc456368640"/>
      <w:bookmarkStart w:id="2501" w:name="_Toc456369322"/>
      <w:bookmarkStart w:id="2502" w:name="_Toc456369999"/>
      <w:bookmarkStart w:id="2503" w:name="_Toc456370676"/>
      <w:bookmarkStart w:id="2504" w:name="_Toc456371353"/>
      <w:bookmarkStart w:id="2505" w:name="_Toc456517368"/>
      <w:bookmarkStart w:id="2506" w:name="_Toc456102977"/>
      <w:bookmarkStart w:id="2507" w:name="_Toc456103710"/>
      <w:bookmarkStart w:id="2508" w:name="_Toc456104424"/>
      <w:bookmarkStart w:id="2509" w:name="_Toc456105137"/>
      <w:bookmarkStart w:id="2510" w:name="_Toc456105849"/>
      <w:bookmarkStart w:id="2511" w:name="_Toc456106543"/>
      <w:bookmarkStart w:id="2512" w:name="_Toc456107243"/>
      <w:bookmarkStart w:id="2513" w:name="_Toc456166919"/>
      <w:bookmarkStart w:id="2514" w:name="_Toc456168679"/>
      <w:bookmarkStart w:id="2515" w:name="_Toc456178811"/>
      <w:bookmarkStart w:id="2516" w:name="_Toc456179342"/>
      <w:bookmarkStart w:id="2517" w:name="_Toc456179880"/>
      <w:bookmarkStart w:id="2518" w:name="_Toc456180416"/>
      <w:bookmarkStart w:id="2519" w:name="_Toc456180952"/>
      <w:bookmarkStart w:id="2520" w:name="_Toc456181488"/>
      <w:bookmarkStart w:id="2521" w:name="_Toc456182025"/>
      <w:bookmarkStart w:id="2522" w:name="_Toc456182563"/>
      <w:bookmarkStart w:id="2523" w:name="_Toc456183098"/>
      <w:bookmarkStart w:id="2524" w:name="_Toc456183633"/>
      <w:bookmarkStart w:id="2525" w:name="_Toc456184168"/>
      <w:bookmarkStart w:id="2526" w:name="_Toc456184699"/>
      <w:bookmarkStart w:id="2527" w:name="_Toc456185232"/>
      <w:bookmarkStart w:id="2528" w:name="_Toc456185829"/>
      <w:bookmarkStart w:id="2529" w:name="_Toc456186361"/>
      <w:bookmarkStart w:id="2530" w:name="_Toc456186893"/>
      <w:bookmarkStart w:id="2531" w:name="_Toc456361205"/>
      <w:bookmarkStart w:id="2532" w:name="_Toc456364914"/>
      <w:bookmarkStart w:id="2533" w:name="_Toc456366133"/>
      <w:bookmarkStart w:id="2534" w:name="_Toc456366761"/>
      <w:bookmarkStart w:id="2535" w:name="_Toc456367388"/>
      <w:bookmarkStart w:id="2536" w:name="_Toc456368020"/>
      <w:bookmarkStart w:id="2537" w:name="_Toc456368648"/>
      <w:bookmarkStart w:id="2538" w:name="_Toc456369330"/>
      <w:bookmarkStart w:id="2539" w:name="_Toc456370007"/>
      <w:bookmarkStart w:id="2540" w:name="_Toc456370684"/>
      <w:bookmarkStart w:id="2541" w:name="_Toc456371361"/>
      <w:bookmarkStart w:id="2542" w:name="_Toc456517376"/>
      <w:bookmarkStart w:id="2543" w:name="_Toc456102985"/>
      <w:bookmarkStart w:id="2544" w:name="_Toc456103718"/>
      <w:bookmarkStart w:id="2545" w:name="_Toc456104432"/>
      <w:bookmarkStart w:id="2546" w:name="_Toc456105145"/>
      <w:bookmarkStart w:id="2547" w:name="_Toc456105857"/>
      <w:bookmarkStart w:id="2548" w:name="_Toc456106551"/>
      <w:bookmarkStart w:id="2549" w:name="_Toc456107251"/>
      <w:bookmarkStart w:id="2550" w:name="_Toc456166927"/>
      <w:bookmarkStart w:id="2551" w:name="_Toc456168687"/>
      <w:bookmarkStart w:id="2552" w:name="_Toc456178819"/>
      <w:bookmarkStart w:id="2553" w:name="_Toc456179350"/>
      <w:bookmarkStart w:id="2554" w:name="_Toc456179888"/>
      <w:bookmarkStart w:id="2555" w:name="_Toc456180424"/>
      <w:bookmarkStart w:id="2556" w:name="_Toc456180960"/>
      <w:bookmarkStart w:id="2557" w:name="_Toc456181496"/>
      <w:bookmarkStart w:id="2558" w:name="_Toc456182033"/>
      <w:bookmarkStart w:id="2559" w:name="_Toc456182571"/>
      <w:bookmarkStart w:id="2560" w:name="_Toc456183106"/>
      <w:bookmarkStart w:id="2561" w:name="_Toc456183641"/>
      <w:bookmarkStart w:id="2562" w:name="_Toc456184176"/>
      <w:bookmarkStart w:id="2563" w:name="_Toc456184707"/>
      <w:bookmarkStart w:id="2564" w:name="_Toc456185240"/>
      <w:bookmarkStart w:id="2565" w:name="_Toc456185837"/>
      <w:bookmarkStart w:id="2566" w:name="_Toc456186369"/>
      <w:bookmarkStart w:id="2567" w:name="_Toc456186901"/>
      <w:bookmarkStart w:id="2568" w:name="_Toc456361213"/>
      <w:bookmarkStart w:id="2569" w:name="_Toc456364922"/>
      <w:bookmarkStart w:id="2570" w:name="_Toc456366141"/>
      <w:bookmarkStart w:id="2571" w:name="_Toc456366769"/>
      <w:bookmarkStart w:id="2572" w:name="_Toc456367396"/>
      <w:bookmarkStart w:id="2573" w:name="_Toc456368028"/>
      <w:bookmarkStart w:id="2574" w:name="_Toc456368656"/>
      <w:bookmarkStart w:id="2575" w:name="_Toc456369338"/>
      <w:bookmarkStart w:id="2576" w:name="_Toc456370015"/>
      <w:bookmarkStart w:id="2577" w:name="_Toc456370692"/>
      <w:bookmarkStart w:id="2578" w:name="_Toc456371369"/>
      <w:bookmarkStart w:id="2579" w:name="_Toc456517384"/>
      <w:bookmarkStart w:id="2580" w:name="_Toc456102993"/>
      <w:bookmarkStart w:id="2581" w:name="_Toc456103726"/>
      <w:bookmarkStart w:id="2582" w:name="_Toc456104440"/>
      <w:bookmarkStart w:id="2583" w:name="_Toc456105153"/>
      <w:bookmarkStart w:id="2584" w:name="_Toc456105865"/>
      <w:bookmarkStart w:id="2585" w:name="_Toc456106559"/>
      <w:bookmarkStart w:id="2586" w:name="_Toc456107259"/>
      <w:bookmarkStart w:id="2587" w:name="_Toc456166935"/>
      <w:bookmarkStart w:id="2588" w:name="_Toc456168695"/>
      <w:bookmarkStart w:id="2589" w:name="_Toc456178827"/>
      <w:bookmarkStart w:id="2590" w:name="_Toc456179358"/>
      <w:bookmarkStart w:id="2591" w:name="_Toc456179896"/>
      <w:bookmarkStart w:id="2592" w:name="_Toc456180432"/>
      <w:bookmarkStart w:id="2593" w:name="_Toc456180968"/>
      <w:bookmarkStart w:id="2594" w:name="_Toc456181504"/>
      <w:bookmarkStart w:id="2595" w:name="_Toc456182041"/>
      <w:bookmarkStart w:id="2596" w:name="_Toc456182579"/>
      <w:bookmarkStart w:id="2597" w:name="_Toc456183114"/>
      <w:bookmarkStart w:id="2598" w:name="_Toc456183649"/>
      <w:bookmarkStart w:id="2599" w:name="_Toc456184184"/>
      <w:bookmarkStart w:id="2600" w:name="_Toc456184715"/>
      <w:bookmarkStart w:id="2601" w:name="_Toc456185248"/>
      <w:bookmarkStart w:id="2602" w:name="_Toc456185845"/>
      <w:bookmarkStart w:id="2603" w:name="_Toc456186377"/>
      <w:bookmarkStart w:id="2604" w:name="_Toc456186909"/>
      <w:bookmarkStart w:id="2605" w:name="_Toc456361221"/>
      <w:bookmarkStart w:id="2606" w:name="_Toc456364930"/>
      <w:bookmarkStart w:id="2607" w:name="_Toc456366149"/>
      <w:bookmarkStart w:id="2608" w:name="_Toc456366777"/>
      <w:bookmarkStart w:id="2609" w:name="_Toc456367404"/>
      <w:bookmarkStart w:id="2610" w:name="_Toc456368036"/>
      <w:bookmarkStart w:id="2611" w:name="_Toc456368664"/>
      <w:bookmarkStart w:id="2612" w:name="_Toc456369346"/>
      <w:bookmarkStart w:id="2613" w:name="_Toc456370023"/>
      <w:bookmarkStart w:id="2614" w:name="_Toc456370700"/>
      <w:bookmarkStart w:id="2615" w:name="_Toc456371377"/>
      <w:bookmarkStart w:id="2616" w:name="_Toc456517392"/>
      <w:bookmarkStart w:id="2617" w:name="_Toc456103002"/>
      <w:bookmarkStart w:id="2618" w:name="_Toc456103735"/>
      <w:bookmarkStart w:id="2619" w:name="_Toc456104449"/>
      <w:bookmarkStart w:id="2620" w:name="_Toc456105162"/>
      <w:bookmarkStart w:id="2621" w:name="_Toc456105874"/>
      <w:bookmarkStart w:id="2622" w:name="_Toc456106568"/>
      <w:bookmarkStart w:id="2623" w:name="_Toc456107268"/>
      <w:bookmarkStart w:id="2624" w:name="_Toc456166944"/>
      <w:bookmarkStart w:id="2625" w:name="_Toc456168704"/>
      <w:bookmarkStart w:id="2626" w:name="_Toc456178836"/>
      <w:bookmarkStart w:id="2627" w:name="_Toc456179367"/>
      <w:bookmarkStart w:id="2628" w:name="_Toc456179905"/>
      <w:bookmarkStart w:id="2629" w:name="_Toc456180441"/>
      <w:bookmarkStart w:id="2630" w:name="_Toc456180977"/>
      <w:bookmarkStart w:id="2631" w:name="_Toc456181513"/>
      <w:bookmarkStart w:id="2632" w:name="_Toc456182050"/>
      <w:bookmarkStart w:id="2633" w:name="_Toc456182588"/>
      <w:bookmarkStart w:id="2634" w:name="_Toc456183123"/>
      <w:bookmarkStart w:id="2635" w:name="_Toc456183658"/>
      <w:bookmarkStart w:id="2636" w:name="_Toc456184193"/>
      <w:bookmarkStart w:id="2637" w:name="_Toc456184724"/>
      <w:bookmarkStart w:id="2638" w:name="_Toc456185257"/>
      <w:bookmarkStart w:id="2639" w:name="_Toc456185854"/>
      <w:bookmarkStart w:id="2640" w:name="_Toc456186386"/>
      <w:bookmarkStart w:id="2641" w:name="_Toc456186918"/>
      <w:bookmarkStart w:id="2642" w:name="_Toc456361230"/>
      <w:bookmarkStart w:id="2643" w:name="_Toc456364939"/>
      <w:bookmarkStart w:id="2644" w:name="_Toc456366158"/>
      <w:bookmarkStart w:id="2645" w:name="_Toc456366786"/>
      <w:bookmarkStart w:id="2646" w:name="_Toc456367413"/>
      <w:bookmarkStart w:id="2647" w:name="_Toc456368045"/>
      <w:bookmarkStart w:id="2648" w:name="_Toc456368673"/>
      <w:bookmarkStart w:id="2649" w:name="_Toc456369355"/>
      <w:bookmarkStart w:id="2650" w:name="_Toc456370032"/>
      <w:bookmarkStart w:id="2651" w:name="_Toc456370709"/>
      <w:bookmarkStart w:id="2652" w:name="_Toc456371386"/>
      <w:bookmarkStart w:id="2653" w:name="_Toc456517401"/>
      <w:bookmarkStart w:id="2654" w:name="_Toc456103011"/>
      <w:bookmarkStart w:id="2655" w:name="_Toc456103744"/>
      <w:bookmarkStart w:id="2656" w:name="_Toc456104458"/>
      <w:bookmarkStart w:id="2657" w:name="_Toc456105171"/>
      <w:bookmarkStart w:id="2658" w:name="_Toc456105883"/>
      <w:bookmarkStart w:id="2659" w:name="_Toc456106577"/>
      <w:bookmarkStart w:id="2660" w:name="_Toc456107277"/>
      <w:bookmarkStart w:id="2661" w:name="_Toc456166953"/>
      <w:bookmarkStart w:id="2662" w:name="_Toc456168713"/>
      <w:bookmarkStart w:id="2663" w:name="_Toc456178845"/>
      <w:bookmarkStart w:id="2664" w:name="_Toc456179376"/>
      <w:bookmarkStart w:id="2665" w:name="_Toc456179914"/>
      <w:bookmarkStart w:id="2666" w:name="_Toc456180450"/>
      <w:bookmarkStart w:id="2667" w:name="_Toc456180986"/>
      <w:bookmarkStart w:id="2668" w:name="_Toc456181522"/>
      <w:bookmarkStart w:id="2669" w:name="_Toc456182059"/>
      <w:bookmarkStart w:id="2670" w:name="_Toc456182597"/>
      <w:bookmarkStart w:id="2671" w:name="_Toc456183132"/>
      <w:bookmarkStart w:id="2672" w:name="_Toc456183667"/>
      <w:bookmarkStart w:id="2673" w:name="_Toc456184202"/>
      <w:bookmarkStart w:id="2674" w:name="_Toc456184733"/>
      <w:bookmarkStart w:id="2675" w:name="_Toc456185266"/>
      <w:bookmarkStart w:id="2676" w:name="_Toc456185863"/>
      <w:bookmarkStart w:id="2677" w:name="_Toc456186395"/>
      <w:bookmarkStart w:id="2678" w:name="_Toc456186927"/>
      <w:bookmarkStart w:id="2679" w:name="_Toc456361239"/>
      <w:bookmarkStart w:id="2680" w:name="_Toc456364948"/>
      <w:bookmarkStart w:id="2681" w:name="_Toc456366167"/>
      <w:bookmarkStart w:id="2682" w:name="_Toc456366795"/>
      <w:bookmarkStart w:id="2683" w:name="_Toc456367422"/>
      <w:bookmarkStart w:id="2684" w:name="_Toc456368054"/>
      <w:bookmarkStart w:id="2685" w:name="_Toc456368682"/>
      <w:bookmarkStart w:id="2686" w:name="_Toc456369364"/>
      <w:bookmarkStart w:id="2687" w:name="_Toc456370041"/>
      <w:bookmarkStart w:id="2688" w:name="_Toc456370718"/>
      <w:bookmarkStart w:id="2689" w:name="_Toc456371395"/>
      <w:bookmarkStart w:id="2690" w:name="_Toc456517410"/>
      <w:bookmarkStart w:id="2691" w:name="_Toc456103019"/>
      <w:bookmarkStart w:id="2692" w:name="_Toc456103752"/>
      <w:bookmarkStart w:id="2693" w:name="_Toc456104466"/>
      <w:bookmarkStart w:id="2694" w:name="_Toc456105179"/>
      <w:bookmarkStart w:id="2695" w:name="_Toc456105891"/>
      <w:bookmarkStart w:id="2696" w:name="_Toc456106585"/>
      <w:bookmarkStart w:id="2697" w:name="_Toc456107285"/>
      <w:bookmarkStart w:id="2698" w:name="_Toc456166961"/>
      <w:bookmarkStart w:id="2699" w:name="_Toc456168721"/>
      <w:bookmarkStart w:id="2700" w:name="_Toc456178853"/>
      <w:bookmarkStart w:id="2701" w:name="_Toc456179384"/>
      <w:bookmarkStart w:id="2702" w:name="_Toc456179922"/>
      <w:bookmarkStart w:id="2703" w:name="_Toc456180458"/>
      <w:bookmarkStart w:id="2704" w:name="_Toc456180994"/>
      <w:bookmarkStart w:id="2705" w:name="_Toc456181530"/>
      <w:bookmarkStart w:id="2706" w:name="_Toc456182067"/>
      <w:bookmarkStart w:id="2707" w:name="_Toc456182605"/>
      <w:bookmarkStart w:id="2708" w:name="_Toc456183140"/>
      <w:bookmarkStart w:id="2709" w:name="_Toc456183675"/>
      <w:bookmarkStart w:id="2710" w:name="_Toc456184210"/>
      <w:bookmarkStart w:id="2711" w:name="_Toc456184741"/>
      <w:bookmarkStart w:id="2712" w:name="_Toc456185274"/>
      <w:bookmarkStart w:id="2713" w:name="_Toc456185871"/>
      <w:bookmarkStart w:id="2714" w:name="_Toc456186403"/>
      <w:bookmarkStart w:id="2715" w:name="_Toc456186935"/>
      <w:bookmarkStart w:id="2716" w:name="_Toc456361247"/>
      <w:bookmarkStart w:id="2717" w:name="_Toc456364956"/>
      <w:bookmarkStart w:id="2718" w:name="_Toc456366175"/>
      <w:bookmarkStart w:id="2719" w:name="_Toc456366803"/>
      <w:bookmarkStart w:id="2720" w:name="_Toc456367430"/>
      <w:bookmarkStart w:id="2721" w:name="_Toc456368062"/>
      <w:bookmarkStart w:id="2722" w:name="_Toc456368690"/>
      <w:bookmarkStart w:id="2723" w:name="_Toc456369372"/>
      <w:bookmarkStart w:id="2724" w:name="_Toc456370049"/>
      <w:bookmarkStart w:id="2725" w:name="_Toc456370726"/>
      <w:bookmarkStart w:id="2726" w:name="_Toc456371403"/>
      <w:bookmarkStart w:id="2727" w:name="_Toc456517418"/>
      <w:bookmarkStart w:id="2728" w:name="_Toc456103028"/>
      <w:bookmarkStart w:id="2729" w:name="_Toc456103761"/>
      <w:bookmarkStart w:id="2730" w:name="_Toc456104475"/>
      <w:bookmarkStart w:id="2731" w:name="_Toc456105188"/>
      <w:bookmarkStart w:id="2732" w:name="_Toc456105900"/>
      <w:bookmarkStart w:id="2733" w:name="_Toc456106594"/>
      <w:bookmarkStart w:id="2734" w:name="_Toc456107294"/>
      <w:bookmarkStart w:id="2735" w:name="_Toc456166970"/>
      <w:bookmarkStart w:id="2736" w:name="_Toc456168730"/>
      <w:bookmarkStart w:id="2737" w:name="_Toc456178862"/>
      <w:bookmarkStart w:id="2738" w:name="_Toc456179393"/>
      <w:bookmarkStart w:id="2739" w:name="_Toc456179931"/>
      <w:bookmarkStart w:id="2740" w:name="_Toc456180467"/>
      <w:bookmarkStart w:id="2741" w:name="_Toc456181003"/>
      <w:bookmarkStart w:id="2742" w:name="_Toc456181539"/>
      <w:bookmarkStart w:id="2743" w:name="_Toc456182076"/>
      <w:bookmarkStart w:id="2744" w:name="_Toc456182614"/>
      <w:bookmarkStart w:id="2745" w:name="_Toc456183149"/>
      <w:bookmarkStart w:id="2746" w:name="_Toc456183684"/>
      <w:bookmarkStart w:id="2747" w:name="_Toc456184219"/>
      <w:bookmarkStart w:id="2748" w:name="_Toc456184750"/>
      <w:bookmarkStart w:id="2749" w:name="_Toc456185283"/>
      <w:bookmarkStart w:id="2750" w:name="_Toc456185880"/>
      <w:bookmarkStart w:id="2751" w:name="_Toc456186412"/>
      <w:bookmarkStart w:id="2752" w:name="_Toc456186944"/>
      <w:bookmarkStart w:id="2753" w:name="_Toc456361256"/>
      <w:bookmarkStart w:id="2754" w:name="_Toc456364965"/>
      <w:bookmarkStart w:id="2755" w:name="_Toc456366184"/>
      <w:bookmarkStart w:id="2756" w:name="_Toc456366812"/>
      <w:bookmarkStart w:id="2757" w:name="_Toc456367439"/>
      <w:bookmarkStart w:id="2758" w:name="_Toc456368071"/>
      <w:bookmarkStart w:id="2759" w:name="_Toc456368699"/>
      <w:bookmarkStart w:id="2760" w:name="_Toc456369381"/>
      <w:bookmarkStart w:id="2761" w:name="_Toc456370058"/>
      <w:bookmarkStart w:id="2762" w:name="_Toc456370735"/>
      <w:bookmarkStart w:id="2763" w:name="_Toc456371412"/>
      <w:bookmarkStart w:id="2764" w:name="_Toc456517427"/>
      <w:bookmarkStart w:id="2765" w:name="_Toc456103036"/>
      <w:bookmarkStart w:id="2766" w:name="_Toc456103769"/>
      <w:bookmarkStart w:id="2767" w:name="_Toc456104483"/>
      <w:bookmarkStart w:id="2768" w:name="_Toc456105196"/>
      <w:bookmarkStart w:id="2769" w:name="_Toc456105908"/>
      <w:bookmarkStart w:id="2770" w:name="_Toc456106602"/>
      <w:bookmarkStart w:id="2771" w:name="_Toc456107302"/>
      <w:bookmarkStart w:id="2772" w:name="_Toc456166978"/>
      <w:bookmarkStart w:id="2773" w:name="_Toc456168738"/>
      <w:bookmarkStart w:id="2774" w:name="_Toc456178870"/>
      <w:bookmarkStart w:id="2775" w:name="_Toc456179401"/>
      <w:bookmarkStart w:id="2776" w:name="_Toc456179939"/>
      <w:bookmarkStart w:id="2777" w:name="_Toc456180475"/>
      <w:bookmarkStart w:id="2778" w:name="_Toc456181011"/>
      <w:bookmarkStart w:id="2779" w:name="_Toc456181547"/>
      <w:bookmarkStart w:id="2780" w:name="_Toc456182084"/>
      <w:bookmarkStart w:id="2781" w:name="_Toc456182622"/>
      <w:bookmarkStart w:id="2782" w:name="_Toc456183157"/>
      <w:bookmarkStart w:id="2783" w:name="_Toc456183692"/>
      <w:bookmarkStart w:id="2784" w:name="_Toc456184227"/>
      <w:bookmarkStart w:id="2785" w:name="_Toc456184758"/>
      <w:bookmarkStart w:id="2786" w:name="_Toc456185291"/>
      <w:bookmarkStart w:id="2787" w:name="_Toc456185888"/>
      <w:bookmarkStart w:id="2788" w:name="_Toc456186420"/>
      <w:bookmarkStart w:id="2789" w:name="_Toc456186952"/>
      <w:bookmarkStart w:id="2790" w:name="_Toc456361264"/>
      <w:bookmarkStart w:id="2791" w:name="_Toc456364973"/>
      <w:bookmarkStart w:id="2792" w:name="_Toc456366192"/>
      <w:bookmarkStart w:id="2793" w:name="_Toc456366820"/>
      <w:bookmarkStart w:id="2794" w:name="_Toc456367447"/>
      <w:bookmarkStart w:id="2795" w:name="_Toc456368079"/>
      <w:bookmarkStart w:id="2796" w:name="_Toc456368707"/>
      <w:bookmarkStart w:id="2797" w:name="_Toc456369389"/>
      <w:bookmarkStart w:id="2798" w:name="_Toc456370066"/>
      <w:bookmarkStart w:id="2799" w:name="_Toc456370743"/>
      <w:bookmarkStart w:id="2800" w:name="_Toc456371420"/>
      <w:bookmarkStart w:id="2801" w:name="_Toc456517435"/>
      <w:bookmarkStart w:id="2802" w:name="_Toc456103044"/>
      <w:bookmarkStart w:id="2803" w:name="_Toc456103777"/>
      <w:bookmarkStart w:id="2804" w:name="_Toc456104491"/>
      <w:bookmarkStart w:id="2805" w:name="_Toc456105204"/>
      <w:bookmarkStart w:id="2806" w:name="_Toc456105916"/>
      <w:bookmarkStart w:id="2807" w:name="_Toc456106610"/>
      <w:bookmarkStart w:id="2808" w:name="_Toc456107310"/>
      <w:bookmarkStart w:id="2809" w:name="_Toc456166986"/>
      <w:bookmarkStart w:id="2810" w:name="_Toc456168746"/>
      <w:bookmarkStart w:id="2811" w:name="_Toc456178878"/>
      <w:bookmarkStart w:id="2812" w:name="_Toc456179409"/>
      <w:bookmarkStart w:id="2813" w:name="_Toc456179947"/>
      <w:bookmarkStart w:id="2814" w:name="_Toc456180483"/>
      <w:bookmarkStart w:id="2815" w:name="_Toc456181019"/>
      <w:bookmarkStart w:id="2816" w:name="_Toc456181555"/>
      <w:bookmarkStart w:id="2817" w:name="_Toc456182092"/>
      <w:bookmarkStart w:id="2818" w:name="_Toc456182630"/>
      <w:bookmarkStart w:id="2819" w:name="_Toc456183165"/>
      <w:bookmarkStart w:id="2820" w:name="_Toc456183700"/>
      <w:bookmarkStart w:id="2821" w:name="_Toc456184235"/>
      <w:bookmarkStart w:id="2822" w:name="_Toc456184766"/>
      <w:bookmarkStart w:id="2823" w:name="_Toc456185299"/>
      <w:bookmarkStart w:id="2824" w:name="_Toc456185896"/>
      <w:bookmarkStart w:id="2825" w:name="_Toc456186428"/>
      <w:bookmarkStart w:id="2826" w:name="_Toc456186960"/>
      <w:bookmarkStart w:id="2827" w:name="_Toc456361272"/>
      <w:bookmarkStart w:id="2828" w:name="_Toc456364981"/>
      <w:bookmarkStart w:id="2829" w:name="_Toc456366200"/>
      <w:bookmarkStart w:id="2830" w:name="_Toc456366828"/>
      <w:bookmarkStart w:id="2831" w:name="_Toc456367455"/>
      <w:bookmarkStart w:id="2832" w:name="_Toc456368087"/>
      <w:bookmarkStart w:id="2833" w:name="_Toc456368715"/>
      <w:bookmarkStart w:id="2834" w:name="_Toc456369397"/>
      <w:bookmarkStart w:id="2835" w:name="_Toc456370074"/>
      <w:bookmarkStart w:id="2836" w:name="_Toc456370751"/>
      <w:bookmarkStart w:id="2837" w:name="_Toc456371428"/>
      <w:bookmarkStart w:id="2838" w:name="_Toc456517443"/>
      <w:bookmarkStart w:id="2839" w:name="_Toc456103053"/>
      <w:bookmarkStart w:id="2840" w:name="_Toc456103786"/>
      <w:bookmarkStart w:id="2841" w:name="_Toc456104500"/>
      <w:bookmarkStart w:id="2842" w:name="_Toc456105213"/>
      <w:bookmarkStart w:id="2843" w:name="_Toc456105925"/>
      <w:bookmarkStart w:id="2844" w:name="_Toc456106619"/>
      <w:bookmarkStart w:id="2845" w:name="_Toc456107319"/>
      <w:bookmarkStart w:id="2846" w:name="_Toc456166995"/>
      <w:bookmarkStart w:id="2847" w:name="_Toc456168755"/>
      <w:bookmarkStart w:id="2848" w:name="_Toc456178887"/>
      <w:bookmarkStart w:id="2849" w:name="_Toc456179418"/>
      <w:bookmarkStart w:id="2850" w:name="_Toc456179956"/>
      <w:bookmarkStart w:id="2851" w:name="_Toc456180492"/>
      <w:bookmarkStart w:id="2852" w:name="_Toc456181028"/>
      <w:bookmarkStart w:id="2853" w:name="_Toc456181564"/>
      <w:bookmarkStart w:id="2854" w:name="_Toc456182101"/>
      <w:bookmarkStart w:id="2855" w:name="_Toc456182639"/>
      <w:bookmarkStart w:id="2856" w:name="_Toc456183174"/>
      <w:bookmarkStart w:id="2857" w:name="_Toc456183709"/>
      <w:bookmarkStart w:id="2858" w:name="_Toc456184244"/>
      <w:bookmarkStart w:id="2859" w:name="_Toc456184775"/>
      <w:bookmarkStart w:id="2860" w:name="_Toc456185308"/>
      <w:bookmarkStart w:id="2861" w:name="_Toc456185905"/>
      <w:bookmarkStart w:id="2862" w:name="_Toc456186437"/>
      <w:bookmarkStart w:id="2863" w:name="_Toc456186969"/>
      <w:bookmarkStart w:id="2864" w:name="_Toc456361281"/>
      <w:bookmarkStart w:id="2865" w:name="_Toc456364990"/>
      <w:bookmarkStart w:id="2866" w:name="_Toc456366209"/>
      <w:bookmarkStart w:id="2867" w:name="_Toc456366837"/>
      <w:bookmarkStart w:id="2868" w:name="_Toc456367464"/>
      <w:bookmarkStart w:id="2869" w:name="_Toc456368096"/>
      <w:bookmarkStart w:id="2870" w:name="_Toc456368724"/>
      <w:bookmarkStart w:id="2871" w:name="_Toc456369406"/>
      <w:bookmarkStart w:id="2872" w:name="_Toc456370083"/>
      <w:bookmarkStart w:id="2873" w:name="_Toc456370760"/>
      <w:bookmarkStart w:id="2874" w:name="_Toc456371437"/>
      <w:bookmarkStart w:id="2875" w:name="_Toc456517452"/>
      <w:bookmarkStart w:id="2876" w:name="_Toc456103061"/>
      <w:bookmarkStart w:id="2877" w:name="_Toc456103794"/>
      <w:bookmarkStart w:id="2878" w:name="_Toc456104508"/>
      <w:bookmarkStart w:id="2879" w:name="_Toc456105221"/>
      <w:bookmarkStart w:id="2880" w:name="_Toc456105933"/>
      <w:bookmarkStart w:id="2881" w:name="_Toc456106627"/>
      <w:bookmarkStart w:id="2882" w:name="_Toc456107327"/>
      <w:bookmarkStart w:id="2883" w:name="_Toc456167003"/>
      <w:bookmarkStart w:id="2884" w:name="_Toc456168763"/>
      <w:bookmarkStart w:id="2885" w:name="_Toc456178895"/>
      <w:bookmarkStart w:id="2886" w:name="_Toc456179426"/>
      <w:bookmarkStart w:id="2887" w:name="_Toc456179964"/>
      <w:bookmarkStart w:id="2888" w:name="_Toc456180500"/>
      <w:bookmarkStart w:id="2889" w:name="_Toc456181036"/>
      <w:bookmarkStart w:id="2890" w:name="_Toc456181572"/>
      <w:bookmarkStart w:id="2891" w:name="_Toc456182109"/>
      <w:bookmarkStart w:id="2892" w:name="_Toc456182647"/>
      <w:bookmarkStart w:id="2893" w:name="_Toc456183182"/>
      <w:bookmarkStart w:id="2894" w:name="_Toc456183717"/>
      <w:bookmarkStart w:id="2895" w:name="_Toc456184252"/>
      <w:bookmarkStart w:id="2896" w:name="_Toc456184783"/>
      <w:bookmarkStart w:id="2897" w:name="_Toc456185316"/>
      <w:bookmarkStart w:id="2898" w:name="_Toc456185913"/>
      <w:bookmarkStart w:id="2899" w:name="_Toc456186445"/>
      <w:bookmarkStart w:id="2900" w:name="_Toc456186977"/>
      <w:bookmarkStart w:id="2901" w:name="_Toc456361289"/>
      <w:bookmarkStart w:id="2902" w:name="_Toc456364998"/>
      <w:bookmarkStart w:id="2903" w:name="_Toc456366217"/>
      <w:bookmarkStart w:id="2904" w:name="_Toc456366845"/>
      <w:bookmarkStart w:id="2905" w:name="_Toc456367472"/>
      <w:bookmarkStart w:id="2906" w:name="_Toc456368104"/>
      <w:bookmarkStart w:id="2907" w:name="_Toc456368732"/>
      <w:bookmarkStart w:id="2908" w:name="_Toc456369414"/>
      <w:bookmarkStart w:id="2909" w:name="_Toc456370091"/>
      <w:bookmarkStart w:id="2910" w:name="_Toc456370768"/>
      <w:bookmarkStart w:id="2911" w:name="_Toc456371445"/>
      <w:bookmarkStart w:id="2912" w:name="_Toc456517460"/>
      <w:bookmarkStart w:id="2913" w:name="_Toc456103070"/>
      <w:bookmarkStart w:id="2914" w:name="_Toc456103803"/>
      <w:bookmarkStart w:id="2915" w:name="_Toc456104517"/>
      <w:bookmarkStart w:id="2916" w:name="_Toc456105230"/>
      <w:bookmarkStart w:id="2917" w:name="_Toc456105942"/>
      <w:bookmarkStart w:id="2918" w:name="_Toc456106636"/>
      <w:bookmarkStart w:id="2919" w:name="_Toc456107336"/>
      <w:bookmarkStart w:id="2920" w:name="_Toc456167012"/>
      <w:bookmarkStart w:id="2921" w:name="_Toc456168772"/>
      <w:bookmarkStart w:id="2922" w:name="_Toc456178904"/>
      <w:bookmarkStart w:id="2923" w:name="_Toc456179435"/>
      <w:bookmarkStart w:id="2924" w:name="_Toc456179973"/>
      <w:bookmarkStart w:id="2925" w:name="_Toc456180509"/>
      <w:bookmarkStart w:id="2926" w:name="_Toc456181045"/>
      <w:bookmarkStart w:id="2927" w:name="_Toc456181581"/>
      <w:bookmarkStart w:id="2928" w:name="_Toc456182118"/>
      <w:bookmarkStart w:id="2929" w:name="_Toc456182656"/>
      <w:bookmarkStart w:id="2930" w:name="_Toc456183191"/>
      <w:bookmarkStart w:id="2931" w:name="_Toc456183726"/>
      <w:bookmarkStart w:id="2932" w:name="_Toc456184261"/>
      <w:bookmarkStart w:id="2933" w:name="_Toc456184792"/>
      <w:bookmarkStart w:id="2934" w:name="_Toc456185325"/>
      <w:bookmarkStart w:id="2935" w:name="_Toc456185922"/>
      <w:bookmarkStart w:id="2936" w:name="_Toc456186454"/>
      <w:bookmarkStart w:id="2937" w:name="_Toc456186986"/>
      <w:bookmarkStart w:id="2938" w:name="_Toc456361298"/>
      <w:bookmarkStart w:id="2939" w:name="_Toc456365007"/>
      <w:bookmarkStart w:id="2940" w:name="_Toc456366226"/>
      <w:bookmarkStart w:id="2941" w:name="_Toc456366854"/>
      <w:bookmarkStart w:id="2942" w:name="_Toc456367481"/>
      <w:bookmarkStart w:id="2943" w:name="_Toc456368113"/>
      <w:bookmarkStart w:id="2944" w:name="_Toc456368741"/>
      <w:bookmarkStart w:id="2945" w:name="_Toc456369423"/>
      <w:bookmarkStart w:id="2946" w:name="_Toc456370100"/>
      <w:bookmarkStart w:id="2947" w:name="_Toc456370777"/>
      <w:bookmarkStart w:id="2948" w:name="_Toc456371454"/>
      <w:bookmarkStart w:id="2949" w:name="_Toc456517469"/>
      <w:bookmarkStart w:id="2950" w:name="_Toc456103078"/>
      <w:bookmarkStart w:id="2951" w:name="_Toc456103811"/>
      <w:bookmarkStart w:id="2952" w:name="_Toc456104525"/>
      <w:bookmarkStart w:id="2953" w:name="_Toc456105238"/>
      <w:bookmarkStart w:id="2954" w:name="_Toc456105950"/>
      <w:bookmarkStart w:id="2955" w:name="_Toc456106644"/>
      <w:bookmarkStart w:id="2956" w:name="_Toc456107344"/>
      <w:bookmarkStart w:id="2957" w:name="_Toc456167020"/>
      <w:bookmarkStart w:id="2958" w:name="_Toc456168780"/>
      <w:bookmarkStart w:id="2959" w:name="_Toc456178912"/>
      <w:bookmarkStart w:id="2960" w:name="_Toc456179443"/>
      <w:bookmarkStart w:id="2961" w:name="_Toc456179981"/>
      <w:bookmarkStart w:id="2962" w:name="_Toc456180517"/>
      <w:bookmarkStart w:id="2963" w:name="_Toc456181053"/>
      <w:bookmarkStart w:id="2964" w:name="_Toc456181589"/>
      <w:bookmarkStart w:id="2965" w:name="_Toc456182126"/>
      <w:bookmarkStart w:id="2966" w:name="_Toc456182664"/>
      <w:bookmarkStart w:id="2967" w:name="_Toc456183199"/>
      <w:bookmarkStart w:id="2968" w:name="_Toc456183734"/>
      <w:bookmarkStart w:id="2969" w:name="_Toc456184269"/>
      <w:bookmarkStart w:id="2970" w:name="_Toc456184800"/>
      <w:bookmarkStart w:id="2971" w:name="_Toc456185333"/>
      <w:bookmarkStart w:id="2972" w:name="_Toc456185930"/>
      <w:bookmarkStart w:id="2973" w:name="_Toc456186462"/>
      <w:bookmarkStart w:id="2974" w:name="_Toc456186994"/>
      <w:bookmarkStart w:id="2975" w:name="_Toc456361306"/>
      <w:bookmarkStart w:id="2976" w:name="_Toc456365015"/>
      <w:bookmarkStart w:id="2977" w:name="_Toc456366234"/>
      <w:bookmarkStart w:id="2978" w:name="_Toc456366862"/>
      <w:bookmarkStart w:id="2979" w:name="_Toc456367489"/>
      <w:bookmarkStart w:id="2980" w:name="_Toc456368121"/>
      <w:bookmarkStart w:id="2981" w:name="_Toc456368749"/>
      <w:bookmarkStart w:id="2982" w:name="_Toc456369431"/>
      <w:bookmarkStart w:id="2983" w:name="_Toc456370108"/>
      <w:bookmarkStart w:id="2984" w:name="_Toc456370785"/>
      <w:bookmarkStart w:id="2985" w:name="_Toc456371462"/>
      <w:bookmarkStart w:id="2986" w:name="_Toc456517477"/>
      <w:bookmarkStart w:id="2987" w:name="_Toc456103087"/>
      <w:bookmarkStart w:id="2988" w:name="_Toc456103820"/>
      <w:bookmarkStart w:id="2989" w:name="_Toc456104534"/>
      <w:bookmarkStart w:id="2990" w:name="_Toc456105247"/>
      <w:bookmarkStart w:id="2991" w:name="_Toc456105959"/>
      <w:bookmarkStart w:id="2992" w:name="_Toc456106653"/>
      <w:bookmarkStart w:id="2993" w:name="_Toc456107353"/>
      <w:bookmarkStart w:id="2994" w:name="_Toc456167029"/>
      <w:bookmarkStart w:id="2995" w:name="_Toc456168789"/>
      <w:bookmarkStart w:id="2996" w:name="_Toc456178921"/>
      <w:bookmarkStart w:id="2997" w:name="_Toc456179452"/>
      <w:bookmarkStart w:id="2998" w:name="_Toc456179990"/>
      <w:bookmarkStart w:id="2999" w:name="_Toc456180526"/>
      <w:bookmarkStart w:id="3000" w:name="_Toc456181062"/>
      <w:bookmarkStart w:id="3001" w:name="_Toc456181598"/>
      <w:bookmarkStart w:id="3002" w:name="_Toc456182135"/>
      <w:bookmarkStart w:id="3003" w:name="_Toc456182673"/>
      <w:bookmarkStart w:id="3004" w:name="_Toc456183208"/>
      <w:bookmarkStart w:id="3005" w:name="_Toc456183743"/>
      <w:bookmarkStart w:id="3006" w:name="_Toc456184278"/>
      <w:bookmarkStart w:id="3007" w:name="_Toc456184809"/>
      <w:bookmarkStart w:id="3008" w:name="_Toc456185342"/>
      <w:bookmarkStart w:id="3009" w:name="_Toc456185939"/>
      <w:bookmarkStart w:id="3010" w:name="_Toc456186471"/>
      <w:bookmarkStart w:id="3011" w:name="_Toc456187003"/>
      <w:bookmarkStart w:id="3012" w:name="_Toc456361315"/>
      <w:bookmarkStart w:id="3013" w:name="_Toc456365024"/>
      <w:bookmarkStart w:id="3014" w:name="_Toc456366243"/>
      <w:bookmarkStart w:id="3015" w:name="_Toc456366871"/>
      <w:bookmarkStart w:id="3016" w:name="_Toc456367498"/>
      <w:bookmarkStart w:id="3017" w:name="_Toc456368130"/>
      <w:bookmarkStart w:id="3018" w:name="_Toc456368758"/>
      <w:bookmarkStart w:id="3019" w:name="_Toc456369440"/>
      <w:bookmarkStart w:id="3020" w:name="_Toc456370117"/>
      <w:bookmarkStart w:id="3021" w:name="_Toc456370794"/>
      <w:bookmarkStart w:id="3022" w:name="_Toc456371471"/>
      <w:bookmarkStart w:id="3023" w:name="_Toc456517486"/>
      <w:bookmarkStart w:id="3024" w:name="_Toc456103123"/>
      <w:bookmarkStart w:id="3025" w:name="_Toc456103856"/>
      <w:bookmarkStart w:id="3026" w:name="_Toc456104570"/>
      <w:bookmarkStart w:id="3027" w:name="_Toc456105283"/>
      <w:bookmarkStart w:id="3028" w:name="_Toc456105995"/>
      <w:bookmarkStart w:id="3029" w:name="_Toc456106689"/>
      <w:bookmarkStart w:id="3030" w:name="_Toc456107389"/>
      <w:bookmarkStart w:id="3031" w:name="_Toc456167065"/>
      <w:bookmarkStart w:id="3032" w:name="_Toc456168825"/>
      <w:bookmarkStart w:id="3033" w:name="_Toc456178957"/>
      <w:bookmarkStart w:id="3034" w:name="_Toc456179488"/>
      <w:bookmarkStart w:id="3035" w:name="_Toc456180026"/>
      <w:bookmarkStart w:id="3036" w:name="_Toc456180562"/>
      <w:bookmarkStart w:id="3037" w:name="_Toc456181098"/>
      <w:bookmarkStart w:id="3038" w:name="_Toc456181634"/>
      <w:bookmarkStart w:id="3039" w:name="_Toc456182171"/>
      <w:bookmarkStart w:id="3040" w:name="_Toc456182709"/>
      <w:bookmarkStart w:id="3041" w:name="_Toc456183244"/>
      <w:bookmarkStart w:id="3042" w:name="_Toc456183779"/>
      <w:bookmarkStart w:id="3043" w:name="_Toc456184314"/>
      <w:bookmarkStart w:id="3044" w:name="_Toc456184845"/>
      <w:bookmarkStart w:id="3045" w:name="_Toc456185378"/>
      <w:bookmarkStart w:id="3046" w:name="_Toc456185975"/>
      <w:bookmarkStart w:id="3047" w:name="_Toc456186507"/>
      <w:bookmarkStart w:id="3048" w:name="_Toc456187039"/>
      <w:bookmarkStart w:id="3049" w:name="_Toc456361351"/>
      <w:bookmarkStart w:id="3050" w:name="_Toc456365060"/>
      <w:bookmarkStart w:id="3051" w:name="_Toc456366279"/>
      <w:bookmarkStart w:id="3052" w:name="_Toc456366907"/>
      <w:bookmarkStart w:id="3053" w:name="_Toc456367534"/>
      <w:bookmarkStart w:id="3054" w:name="_Toc456368166"/>
      <w:bookmarkStart w:id="3055" w:name="_Toc456368794"/>
      <w:bookmarkStart w:id="3056" w:name="_Toc456369476"/>
      <w:bookmarkStart w:id="3057" w:name="_Toc456370153"/>
      <w:bookmarkStart w:id="3058" w:name="_Toc456370830"/>
      <w:bookmarkStart w:id="3059" w:name="_Toc456371507"/>
      <w:bookmarkStart w:id="3060" w:name="_Toc456517522"/>
      <w:bookmarkStart w:id="3061" w:name="_Toc456103127"/>
      <w:bookmarkStart w:id="3062" w:name="_Toc456103860"/>
      <w:bookmarkStart w:id="3063" w:name="_Toc456104574"/>
      <w:bookmarkStart w:id="3064" w:name="_Toc456105287"/>
      <w:bookmarkStart w:id="3065" w:name="_Toc456105999"/>
      <w:bookmarkStart w:id="3066" w:name="_Toc456106693"/>
      <w:bookmarkStart w:id="3067" w:name="_Toc456107393"/>
      <w:bookmarkStart w:id="3068" w:name="_Toc456167069"/>
      <w:bookmarkStart w:id="3069" w:name="_Toc456168829"/>
      <w:bookmarkStart w:id="3070" w:name="_Toc456178961"/>
      <w:bookmarkStart w:id="3071" w:name="_Toc456179492"/>
      <w:bookmarkStart w:id="3072" w:name="_Toc456180030"/>
      <w:bookmarkStart w:id="3073" w:name="_Toc456180566"/>
      <w:bookmarkStart w:id="3074" w:name="_Toc456181102"/>
      <w:bookmarkStart w:id="3075" w:name="_Toc456181638"/>
      <w:bookmarkStart w:id="3076" w:name="_Toc456182175"/>
      <w:bookmarkStart w:id="3077" w:name="_Toc456182713"/>
      <w:bookmarkStart w:id="3078" w:name="_Toc456183248"/>
      <w:bookmarkStart w:id="3079" w:name="_Toc456183783"/>
      <w:bookmarkStart w:id="3080" w:name="_Toc456184318"/>
      <w:bookmarkStart w:id="3081" w:name="_Toc456184849"/>
      <w:bookmarkStart w:id="3082" w:name="_Toc456185382"/>
      <w:bookmarkStart w:id="3083" w:name="_Toc456185979"/>
      <w:bookmarkStart w:id="3084" w:name="_Toc456186511"/>
      <w:bookmarkStart w:id="3085" w:name="_Toc456187043"/>
      <w:bookmarkStart w:id="3086" w:name="_Toc456361355"/>
      <w:bookmarkStart w:id="3087" w:name="_Toc456365064"/>
      <w:bookmarkStart w:id="3088" w:name="_Toc456366283"/>
      <w:bookmarkStart w:id="3089" w:name="_Toc456366911"/>
      <w:bookmarkStart w:id="3090" w:name="_Toc456367538"/>
      <w:bookmarkStart w:id="3091" w:name="_Toc456368170"/>
      <w:bookmarkStart w:id="3092" w:name="_Toc456368798"/>
      <w:bookmarkStart w:id="3093" w:name="_Toc456369480"/>
      <w:bookmarkStart w:id="3094" w:name="_Toc456370157"/>
      <w:bookmarkStart w:id="3095" w:name="_Toc456370834"/>
      <w:bookmarkStart w:id="3096" w:name="_Toc456371511"/>
      <w:bookmarkStart w:id="3097" w:name="_Toc456517526"/>
      <w:bookmarkStart w:id="3098" w:name="_Toc456103129"/>
      <w:bookmarkStart w:id="3099" w:name="_Toc456103862"/>
      <w:bookmarkStart w:id="3100" w:name="_Toc456104576"/>
      <w:bookmarkStart w:id="3101" w:name="_Toc456105289"/>
      <w:bookmarkStart w:id="3102" w:name="_Toc456106001"/>
      <w:bookmarkStart w:id="3103" w:name="_Toc456106695"/>
      <w:bookmarkStart w:id="3104" w:name="_Toc456107395"/>
      <w:bookmarkStart w:id="3105" w:name="_Toc456167071"/>
      <w:bookmarkStart w:id="3106" w:name="_Toc456168831"/>
      <w:bookmarkStart w:id="3107" w:name="_Toc456178963"/>
      <w:bookmarkStart w:id="3108" w:name="_Toc456179494"/>
      <w:bookmarkStart w:id="3109" w:name="_Toc456180032"/>
      <w:bookmarkStart w:id="3110" w:name="_Toc456180568"/>
      <w:bookmarkStart w:id="3111" w:name="_Toc456181104"/>
      <w:bookmarkStart w:id="3112" w:name="_Toc456181640"/>
      <w:bookmarkStart w:id="3113" w:name="_Toc456182177"/>
      <w:bookmarkStart w:id="3114" w:name="_Toc456182715"/>
      <w:bookmarkStart w:id="3115" w:name="_Toc456183250"/>
      <w:bookmarkStart w:id="3116" w:name="_Toc456183785"/>
      <w:bookmarkStart w:id="3117" w:name="_Toc456184320"/>
      <w:bookmarkStart w:id="3118" w:name="_Toc456184851"/>
      <w:bookmarkStart w:id="3119" w:name="_Toc456185384"/>
      <w:bookmarkStart w:id="3120" w:name="_Toc456185981"/>
      <w:bookmarkStart w:id="3121" w:name="_Toc456186513"/>
      <w:bookmarkStart w:id="3122" w:name="_Toc456187045"/>
      <w:bookmarkStart w:id="3123" w:name="_Toc456361357"/>
      <w:bookmarkStart w:id="3124" w:name="_Toc456365066"/>
      <w:bookmarkStart w:id="3125" w:name="_Toc456366285"/>
      <w:bookmarkStart w:id="3126" w:name="_Toc456366913"/>
      <w:bookmarkStart w:id="3127" w:name="_Toc456367540"/>
      <w:bookmarkStart w:id="3128" w:name="_Toc456368172"/>
      <w:bookmarkStart w:id="3129" w:name="_Toc456368800"/>
      <w:bookmarkStart w:id="3130" w:name="_Toc456369482"/>
      <w:bookmarkStart w:id="3131" w:name="_Toc456370159"/>
      <w:bookmarkStart w:id="3132" w:name="_Toc456370836"/>
      <w:bookmarkStart w:id="3133" w:name="_Toc456371513"/>
      <w:bookmarkStart w:id="3134" w:name="_Toc456517528"/>
      <w:bookmarkStart w:id="3135" w:name="_Toc456103138"/>
      <w:bookmarkStart w:id="3136" w:name="_Toc456103871"/>
      <w:bookmarkStart w:id="3137" w:name="_Toc456104585"/>
      <w:bookmarkStart w:id="3138" w:name="_Toc456105298"/>
      <w:bookmarkStart w:id="3139" w:name="_Toc456106010"/>
      <w:bookmarkStart w:id="3140" w:name="_Toc456106704"/>
      <w:bookmarkStart w:id="3141" w:name="_Toc456107404"/>
      <w:bookmarkStart w:id="3142" w:name="_Toc456167080"/>
      <w:bookmarkStart w:id="3143" w:name="_Toc456178972"/>
      <w:bookmarkStart w:id="3144" w:name="_Toc456179503"/>
      <w:bookmarkStart w:id="3145" w:name="_Toc456180041"/>
      <w:bookmarkStart w:id="3146" w:name="_Toc456180577"/>
      <w:bookmarkStart w:id="3147" w:name="_Toc456181113"/>
      <w:bookmarkStart w:id="3148" w:name="_Toc456181649"/>
      <w:bookmarkStart w:id="3149" w:name="_Toc456182186"/>
      <w:bookmarkStart w:id="3150" w:name="_Toc456182724"/>
      <w:bookmarkStart w:id="3151" w:name="_Toc456183259"/>
      <w:bookmarkStart w:id="3152" w:name="_Toc456183794"/>
      <w:bookmarkStart w:id="3153" w:name="_Toc456184329"/>
      <w:bookmarkStart w:id="3154" w:name="_Toc456184860"/>
      <w:bookmarkStart w:id="3155" w:name="_Toc456185393"/>
      <w:bookmarkStart w:id="3156" w:name="_Toc456185990"/>
      <w:bookmarkStart w:id="3157" w:name="_Toc456186522"/>
      <w:bookmarkStart w:id="3158" w:name="_Toc456187054"/>
      <w:bookmarkStart w:id="3159" w:name="_Toc456361366"/>
      <w:bookmarkStart w:id="3160" w:name="_Toc456365075"/>
      <w:bookmarkStart w:id="3161" w:name="_Toc456366294"/>
      <w:bookmarkStart w:id="3162" w:name="_Toc456366922"/>
      <w:bookmarkStart w:id="3163" w:name="_Toc456367549"/>
      <w:bookmarkStart w:id="3164" w:name="_Toc456368181"/>
      <w:bookmarkStart w:id="3165" w:name="_Toc456368809"/>
      <w:bookmarkStart w:id="3166" w:name="_Toc456369491"/>
      <w:bookmarkStart w:id="3167" w:name="_Toc456370168"/>
      <w:bookmarkStart w:id="3168" w:name="_Toc456370845"/>
      <w:bookmarkStart w:id="3169" w:name="_Toc456371522"/>
      <w:bookmarkStart w:id="3170" w:name="_Toc456517537"/>
      <w:bookmarkStart w:id="3171" w:name="_Toc456103281"/>
      <w:bookmarkStart w:id="3172" w:name="_Toc456104014"/>
      <w:bookmarkStart w:id="3173" w:name="_Toc456104728"/>
      <w:bookmarkStart w:id="3174" w:name="_Toc456105441"/>
      <w:bookmarkStart w:id="3175" w:name="_Toc456106153"/>
      <w:bookmarkStart w:id="3176" w:name="_Toc456106847"/>
      <w:bookmarkStart w:id="3177" w:name="_Toc456107547"/>
      <w:bookmarkStart w:id="3178" w:name="_Toc456167223"/>
      <w:bookmarkStart w:id="3179" w:name="_Toc456179115"/>
      <w:bookmarkStart w:id="3180" w:name="_Toc456179646"/>
      <w:bookmarkStart w:id="3181" w:name="_Toc456180184"/>
      <w:bookmarkStart w:id="3182" w:name="_Toc456180720"/>
      <w:bookmarkStart w:id="3183" w:name="_Toc456181256"/>
      <w:bookmarkStart w:id="3184" w:name="_Toc456181792"/>
      <w:bookmarkStart w:id="3185" w:name="_Toc456182329"/>
      <w:bookmarkStart w:id="3186" w:name="_Toc456182867"/>
      <w:bookmarkStart w:id="3187" w:name="_Toc456183402"/>
      <w:bookmarkStart w:id="3188" w:name="_Toc456183937"/>
      <w:bookmarkStart w:id="3189" w:name="_Toc456184472"/>
      <w:bookmarkStart w:id="3190" w:name="_Toc456185003"/>
      <w:bookmarkStart w:id="3191" w:name="_Toc456185536"/>
      <w:bookmarkStart w:id="3192" w:name="_Toc456186133"/>
      <w:bookmarkStart w:id="3193" w:name="_Toc456186665"/>
      <w:bookmarkStart w:id="3194" w:name="_Toc456187197"/>
      <w:bookmarkStart w:id="3195" w:name="_Toc456361509"/>
      <w:bookmarkStart w:id="3196" w:name="_Toc456365218"/>
      <w:bookmarkStart w:id="3197" w:name="_Toc456366437"/>
      <w:bookmarkStart w:id="3198" w:name="_Toc456367065"/>
      <w:bookmarkStart w:id="3199" w:name="_Toc456367692"/>
      <w:bookmarkStart w:id="3200" w:name="_Toc456368324"/>
      <w:bookmarkStart w:id="3201" w:name="_Toc456368952"/>
      <w:bookmarkStart w:id="3202" w:name="_Toc456369634"/>
      <w:bookmarkStart w:id="3203" w:name="_Toc456370311"/>
      <w:bookmarkStart w:id="3204" w:name="_Toc456370988"/>
      <w:bookmarkStart w:id="3205" w:name="_Toc456371665"/>
      <w:bookmarkStart w:id="3206" w:name="_Toc456517680"/>
      <w:bookmarkStart w:id="3207" w:name="_Toc456103290"/>
      <w:bookmarkStart w:id="3208" w:name="_Toc456104023"/>
      <w:bookmarkStart w:id="3209" w:name="_Toc456104737"/>
      <w:bookmarkStart w:id="3210" w:name="_Toc456105450"/>
      <w:bookmarkStart w:id="3211" w:name="_Toc456106162"/>
      <w:bookmarkStart w:id="3212" w:name="_Toc456106856"/>
      <w:bookmarkStart w:id="3213" w:name="_Toc456107556"/>
      <w:bookmarkStart w:id="3214" w:name="_Toc456167232"/>
      <w:bookmarkStart w:id="3215" w:name="_Toc456179124"/>
      <w:bookmarkStart w:id="3216" w:name="_Toc456179655"/>
      <w:bookmarkStart w:id="3217" w:name="_Toc456180193"/>
      <w:bookmarkStart w:id="3218" w:name="_Toc456180729"/>
      <w:bookmarkStart w:id="3219" w:name="_Toc456181265"/>
      <w:bookmarkStart w:id="3220" w:name="_Toc456181801"/>
      <w:bookmarkStart w:id="3221" w:name="_Toc456182338"/>
      <w:bookmarkStart w:id="3222" w:name="_Toc456182876"/>
      <w:bookmarkStart w:id="3223" w:name="_Toc456183411"/>
      <w:bookmarkStart w:id="3224" w:name="_Toc456183946"/>
      <w:bookmarkStart w:id="3225" w:name="_Toc456184481"/>
      <w:bookmarkStart w:id="3226" w:name="_Toc456185012"/>
      <w:bookmarkStart w:id="3227" w:name="_Toc456185545"/>
      <w:bookmarkStart w:id="3228" w:name="_Toc456186142"/>
      <w:bookmarkStart w:id="3229" w:name="_Toc456186674"/>
      <w:bookmarkStart w:id="3230" w:name="_Toc456187206"/>
      <w:bookmarkStart w:id="3231" w:name="_Toc456361518"/>
      <w:bookmarkStart w:id="3232" w:name="_Toc456365227"/>
      <w:bookmarkStart w:id="3233" w:name="_Toc456366446"/>
      <w:bookmarkStart w:id="3234" w:name="_Toc456367074"/>
      <w:bookmarkStart w:id="3235" w:name="_Toc456367701"/>
      <w:bookmarkStart w:id="3236" w:name="_Toc456368333"/>
      <w:bookmarkStart w:id="3237" w:name="_Toc456368961"/>
      <w:bookmarkStart w:id="3238" w:name="_Toc456369643"/>
      <w:bookmarkStart w:id="3239" w:name="_Toc456370320"/>
      <w:bookmarkStart w:id="3240" w:name="_Toc456370997"/>
      <w:bookmarkStart w:id="3241" w:name="_Toc456371674"/>
      <w:bookmarkStart w:id="3242" w:name="_Toc456517689"/>
      <w:bookmarkEnd w:id="1994"/>
      <w:bookmarkEnd w:id="1995"/>
      <w:bookmarkEnd w:id="1996"/>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r>
        <w:br w:type="page"/>
      </w:r>
    </w:p>
    <w:p w:rsidR="001A641D" w:rsidRDefault="007E5C0A" w:rsidP="001A641D">
      <w:pPr>
        <w:pStyle w:val="Heading1"/>
      </w:pPr>
      <w:bookmarkStart w:id="3243" w:name="_Toc256000371"/>
      <w:bookmarkStart w:id="3244" w:name="_Toc256000263"/>
      <w:bookmarkStart w:id="3245" w:name="_Toc256000155"/>
      <w:bookmarkStart w:id="3246" w:name="_Toc256000047"/>
      <w:bookmarkStart w:id="3247" w:name="_Toc458170551"/>
      <w:r>
        <w:t>RISK ASSESSMENT</w:t>
      </w:r>
      <w:bookmarkEnd w:id="3243"/>
      <w:bookmarkEnd w:id="3244"/>
      <w:bookmarkEnd w:id="3245"/>
      <w:bookmarkEnd w:id="3246"/>
      <w:bookmarkEnd w:id="3247"/>
    </w:p>
    <w:p w:rsidR="001A641D" w:rsidRPr="000209BC" w:rsidRDefault="007E5C0A" w:rsidP="001A641D">
      <w:r w:rsidRPr="000209BC">
        <w:t xml:space="preserve">The most likely risks </w:t>
      </w:r>
      <w:r>
        <w:t>are</w:t>
      </w:r>
      <w:r w:rsidRPr="000209BC">
        <w:t>:</w:t>
      </w:r>
    </w:p>
    <w:p w:rsidR="001A641D" w:rsidRDefault="007E5C0A">
      <w:pPr>
        <w:pStyle w:val="ListBullet"/>
      </w:pPr>
      <w:r>
        <w:t>c</w:t>
      </w:r>
      <w:r w:rsidRPr="000209BC">
        <w:t>ost recovery fees creating a disincentive to refer projects to the Department, necessitating an increase in compliance costs and undermining the cost recovery arrangements</w:t>
      </w:r>
      <w:r>
        <w:t>;</w:t>
      </w:r>
    </w:p>
    <w:p w:rsidR="001A641D" w:rsidRDefault="007E5C0A">
      <w:pPr>
        <w:pStyle w:val="ListBullet"/>
      </w:pPr>
      <w:r>
        <w:t>i</w:t>
      </w:r>
      <w:r w:rsidRPr="000209BC">
        <w:t xml:space="preserve">nherent risks in implementing </w:t>
      </w:r>
      <w:r>
        <w:t>amended</w:t>
      </w:r>
      <w:r w:rsidRPr="000209BC">
        <w:t xml:space="preserve"> and complex cost recovery arrangements</w:t>
      </w:r>
      <w:r>
        <w:t xml:space="preserve">; </w:t>
      </w:r>
    </w:p>
    <w:p w:rsidR="001A641D" w:rsidRDefault="007E5C0A">
      <w:pPr>
        <w:pStyle w:val="ListBullet"/>
      </w:pPr>
      <w:r>
        <w:t>m</w:t>
      </w:r>
      <w:r w:rsidRPr="000209BC">
        <w:t>isunderstanding of how fees are calculated, which could manifest in errors in how these fees are calculated and stakeholder concern</w:t>
      </w:r>
      <w:r>
        <w:t>; and</w:t>
      </w:r>
    </w:p>
    <w:p w:rsidR="001A641D" w:rsidRDefault="007E5C0A">
      <w:pPr>
        <w:pStyle w:val="ListBullet"/>
      </w:pPr>
      <w:r>
        <w:t>stakeholder concern resulting from limited consultation on the fee changes</w:t>
      </w:r>
      <w:r w:rsidRPr="000209BC">
        <w:t>.</w:t>
      </w:r>
    </w:p>
    <w:p w:rsidR="001A641D" w:rsidRPr="000209BC" w:rsidRDefault="007E5C0A" w:rsidP="001A641D">
      <w:r w:rsidRPr="000209BC">
        <w:t xml:space="preserve">The Department </w:t>
      </w:r>
      <w:r>
        <w:t>is</w:t>
      </w:r>
      <w:r w:rsidRPr="000209BC">
        <w:t xml:space="preserve"> </w:t>
      </w:r>
      <w:r>
        <w:t>managing</w:t>
      </w:r>
      <w:r w:rsidRPr="000209BC">
        <w:t xml:space="preserve"> these risks by:</w:t>
      </w:r>
    </w:p>
    <w:p w:rsidR="001A641D" w:rsidRDefault="007E5C0A">
      <w:pPr>
        <w:pStyle w:val="ListBullet"/>
      </w:pPr>
      <w:r>
        <w:t>p</w:t>
      </w:r>
      <w:r w:rsidRPr="000209BC">
        <w:t xml:space="preserve">roviding exemptions for </w:t>
      </w:r>
      <w:r>
        <w:t xml:space="preserve">individuals and </w:t>
      </w:r>
      <w:r w:rsidRPr="000209BC">
        <w:t xml:space="preserve">small businesses, as </w:t>
      </w:r>
      <w:r>
        <w:t xml:space="preserve">individuals and </w:t>
      </w:r>
      <w:r w:rsidRPr="000209BC">
        <w:t>small businesses are the most likely to find cost recovery fees a disincentive to refer</w:t>
      </w:r>
      <w:r>
        <w:t>;</w:t>
      </w:r>
    </w:p>
    <w:p w:rsidR="001A641D" w:rsidRDefault="007E5C0A">
      <w:pPr>
        <w:pStyle w:val="ListBullet"/>
      </w:pPr>
      <w:r>
        <w:t>p</w:t>
      </w:r>
      <w:r w:rsidRPr="000209BC">
        <w:t>roviding gui</w:t>
      </w:r>
      <w:r>
        <w:t>dance material and training to departmental</w:t>
      </w:r>
      <w:r w:rsidRPr="000209BC">
        <w:t xml:space="preserve"> staff</w:t>
      </w:r>
      <w:r>
        <w:t xml:space="preserve">; </w:t>
      </w:r>
    </w:p>
    <w:p w:rsidR="001A641D" w:rsidRDefault="007E5C0A">
      <w:pPr>
        <w:pStyle w:val="ListBullet"/>
      </w:pPr>
      <w:r>
        <w:t>providing tools and guidance material to departmental</w:t>
      </w:r>
      <w:r w:rsidRPr="000209BC">
        <w:t xml:space="preserve"> staff and </w:t>
      </w:r>
      <w:r>
        <w:t>applicant</w:t>
      </w:r>
      <w:r w:rsidRPr="000209BC">
        <w:t xml:space="preserve">s on how </w:t>
      </w:r>
      <w:r>
        <w:t xml:space="preserve">the revised </w:t>
      </w:r>
      <w:r w:rsidRPr="000209BC">
        <w:t>fees are calculated</w:t>
      </w:r>
      <w:r>
        <w:t>; and</w:t>
      </w:r>
    </w:p>
    <w:p w:rsidR="001A641D" w:rsidRDefault="007E5C0A">
      <w:pPr>
        <w:pStyle w:val="ListBullet"/>
      </w:pPr>
      <w:r>
        <w:t>implementing transitional arrangements that ensure no applicants are worse off as a result of the changes to fees</w:t>
      </w:r>
      <w:r w:rsidRPr="000209BC">
        <w:t>.</w:t>
      </w:r>
    </w:p>
    <w:p w:rsidR="001A641D" w:rsidRDefault="007E5C0A">
      <w:r>
        <w:t xml:space="preserve">Impacts on the community are limited to businesses and individuals who undertake actions which require referral under the EPBC Act. The amount of fees payable will vary according to the complexity of the project and small businesses and individuals may be eligible for an exemption from fees. These charges will have a moderate impact on those people affected. </w:t>
      </w:r>
    </w:p>
    <w:p w:rsidR="001A641D" w:rsidRDefault="007E5C0A">
      <w:r>
        <w:t>Section 6 below provides detail on the stakeholder consultation that has been carried out. The risk of stakeholders not understanding the process or having issues with implementation can be addressed through:</w:t>
      </w:r>
    </w:p>
    <w:p w:rsidR="001A641D" w:rsidRDefault="007E5C0A">
      <w:pPr>
        <w:pStyle w:val="ListBullet"/>
      </w:pPr>
      <w:r>
        <w:t>ensuring that efficient business systems are in place to manage cost recovery;</w:t>
      </w:r>
    </w:p>
    <w:p w:rsidR="001A641D" w:rsidRDefault="007E5C0A">
      <w:pPr>
        <w:pStyle w:val="ListBullet"/>
      </w:pPr>
      <w:r>
        <w:t>communicating with stakeholders about the policy and the basis for fee calculations; and</w:t>
      </w:r>
    </w:p>
    <w:p w:rsidR="001A641D" w:rsidRDefault="007E5C0A">
      <w:pPr>
        <w:pStyle w:val="ListBullet"/>
      </w:pPr>
      <w:r>
        <w:t>reporting on non-financial performance indicators to show the Department’s commitment to improving processes.</w:t>
      </w:r>
    </w:p>
    <w:p w:rsidR="001A641D" w:rsidRDefault="007E5C0A">
      <w:pPr>
        <w:spacing w:after="0" w:line="240" w:lineRule="auto"/>
        <w:rPr>
          <w:rFonts w:cs="Arial"/>
          <w:b/>
        </w:rPr>
      </w:pPr>
      <w:r>
        <w:br w:type="page"/>
      </w:r>
    </w:p>
    <w:p w:rsidR="001A641D" w:rsidRPr="00DC1EA2" w:rsidRDefault="007E5C0A" w:rsidP="001A641D">
      <w:pPr>
        <w:pStyle w:val="Heading1"/>
      </w:pPr>
      <w:bookmarkStart w:id="3248" w:name="_Toc256000372"/>
      <w:bookmarkStart w:id="3249" w:name="_Toc256000264"/>
      <w:bookmarkStart w:id="3250" w:name="_Toc256000156"/>
      <w:bookmarkStart w:id="3251" w:name="_Toc256000048"/>
      <w:bookmarkStart w:id="3252" w:name="_Toc458170552"/>
      <w:r w:rsidRPr="00DC1EA2">
        <w:t>STAKEHOLDER ENGAGEMENT</w:t>
      </w:r>
      <w:bookmarkEnd w:id="3248"/>
      <w:bookmarkEnd w:id="3249"/>
      <w:bookmarkEnd w:id="3250"/>
      <w:bookmarkEnd w:id="3251"/>
      <w:bookmarkEnd w:id="3252"/>
    </w:p>
    <w:p w:rsidR="001A641D" w:rsidRDefault="007E5C0A" w:rsidP="001A641D">
      <w:r w:rsidRPr="00655DBD">
        <w:t xml:space="preserve">The Department has </w:t>
      </w:r>
      <w:r>
        <w:t>engaged with stakeholders</w:t>
      </w:r>
      <w:r w:rsidRPr="00655DBD">
        <w:t xml:space="preserve"> on cost recovery arrangements at a number of </w:t>
      </w:r>
      <w:r>
        <w:t>points during its development and implementation</w:t>
      </w:r>
      <w:r w:rsidRPr="00655DBD">
        <w:t xml:space="preserve">. </w:t>
      </w:r>
      <w:r w:rsidRPr="000209BC">
        <w:t xml:space="preserve">The Department will continue to keep stakeholders informed </w:t>
      </w:r>
      <w:r>
        <w:t>about the implementation of cost recovery measures.</w:t>
      </w:r>
    </w:p>
    <w:p w:rsidR="001A641D" w:rsidRDefault="007E5C0A" w:rsidP="001A641D">
      <w:r>
        <w:t>Implementation of the revised cost recovery arrangements outlined in this document has been focussed on passing on cost reductions and administrative improvements as quickly as possible to proponents. This document is being published ahead of the commencement of the new arrangements, along with relevant communication materials and targeted correspondence, to ensure existing and new applicants are aware of the changes and how they may be affected.</w:t>
      </w:r>
    </w:p>
    <w:p w:rsidR="001A641D" w:rsidRDefault="007E5C0A" w:rsidP="001A641D">
      <w:r>
        <w:t xml:space="preserve">Communication materials can be found on the Department’s website (see </w:t>
      </w:r>
      <w:hyperlink r:id="rId30" w:history="1">
        <w:r w:rsidRPr="004368B4">
          <w:rPr>
            <w:rStyle w:val="Hyperlink"/>
            <w:color w:val="0000FF"/>
            <w:u w:val="single"/>
          </w:rPr>
          <w:t>www.environment.gov.au/epbc/cost-recovery</w:t>
        </w:r>
      </w:hyperlink>
      <w:r>
        <w:t>), including factsheets and frequently asked questions. The Department has also established a cost recovery mailbox (</w:t>
      </w:r>
      <w:hyperlink r:id="rId31" w:history="1">
        <w:r w:rsidRPr="00D66096">
          <w:rPr>
            <w:rStyle w:val="Hyperlink"/>
          </w:rPr>
          <w:t>epbc.costrecovery@environment.gov.au</w:t>
        </w:r>
      </w:hyperlink>
      <w:r>
        <w:t>) for ongoing feedback on the cost recovery arrangements.</w:t>
      </w:r>
    </w:p>
    <w:p w:rsidR="001A641D" w:rsidRDefault="007E5C0A" w:rsidP="001A641D">
      <w:pPr>
        <w:pStyle w:val="Heading2"/>
      </w:pPr>
      <w:bookmarkStart w:id="3253" w:name="_Toc256000373"/>
      <w:bookmarkStart w:id="3254" w:name="_Toc256000265"/>
      <w:bookmarkStart w:id="3255" w:name="_Toc256000157"/>
      <w:bookmarkStart w:id="3256" w:name="_Toc256000049"/>
      <w:bookmarkStart w:id="3257" w:name="_Ref457987306"/>
      <w:bookmarkStart w:id="3258" w:name="_Ref457987317"/>
      <w:bookmarkStart w:id="3259" w:name="_Toc458170553"/>
      <w:r>
        <w:t>Updates to CRIS</w:t>
      </w:r>
      <w:bookmarkEnd w:id="3253"/>
      <w:bookmarkEnd w:id="3254"/>
      <w:bookmarkEnd w:id="3255"/>
      <w:bookmarkEnd w:id="3256"/>
      <w:bookmarkEnd w:id="3257"/>
      <w:bookmarkEnd w:id="3258"/>
      <w:bookmarkEnd w:id="3259"/>
    </w:p>
    <w:p w:rsidR="001A641D" w:rsidRDefault="007E5C0A" w:rsidP="001A641D">
      <w:r>
        <w:t>This CRIS is a living document, and will be updated as needed. This version of the CRIS was updated following a review of the cost recovery arrangements by the Department in 2016. The review included consideration of:</w:t>
      </w:r>
    </w:p>
    <w:p w:rsidR="001A641D" w:rsidRPr="00BF10D6" w:rsidRDefault="007E5C0A" w:rsidP="001A641D">
      <w:pPr>
        <w:pStyle w:val="ListBullet"/>
      </w:pPr>
      <w:r w:rsidRPr="00C74770">
        <w:t xml:space="preserve">efficiencies to the system that have been gained through changes to </w:t>
      </w:r>
      <w:r>
        <w:t>departmental</w:t>
      </w:r>
      <w:r w:rsidRPr="00C74770">
        <w:t xml:space="preserve"> processes</w:t>
      </w:r>
      <w:r>
        <w:t>;</w:t>
      </w:r>
    </w:p>
    <w:p w:rsidR="001A641D" w:rsidRDefault="007E5C0A" w:rsidP="001A641D">
      <w:pPr>
        <w:pStyle w:val="ListBullet"/>
      </w:pPr>
      <w:r w:rsidRPr="00C74770">
        <w:t>the costs of providing regulatory services to determine the efficiency, cost effectiveness and appropriateness of cost recovery</w:t>
      </w:r>
      <w:r>
        <w:t>;</w:t>
      </w:r>
      <w:r w:rsidRPr="00C74770">
        <w:t xml:space="preserve"> and</w:t>
      </w:r>
    </w:p>
    <w:p w:rsidR="001A641D" w:rsidRDefault="007E5C0A" w:rsidP="001A641D">
      <w:pPr>
        <w:pStyle w:val="ListBullet"/>
      </w:pPr>
      <w:r w:rsidRPr="00C74770">
        <w:t>whether fees, or administrative aspects of cost recovery, require</w:t>
      </w:r>
      <w:r>
        <w:t>d</w:t>
      </w:r>
      <w:r w:rsidRPr="00C74770">
        <w:t xml:space="preserve"> re-evaluation.</w:t>
      </w:r>
    </w:p>
    <w:p w:rsidR="001A641D" w:rsidRDefault="007E5C0A" w:rsidP="001A641D">
      <w:bookmarkStart w:id="3260" w:name="_Toc343850222"/>
      <w:r>
        <w:t>The changes resulting from this review are reflected in this CRIS. These changes include:</w:t>
      </w:r>
    </w:p>
    <w:p w:rsidR="001A641D" w:rsidRDefault="007E5C0A" w:rsidP="001A641D">
      <w:pPr>
        <w:pStyle w:val="ListParagraph"/>
        <w:numPr>
          <w:ilvl w:val="0"/>
          <w:numId w:val="13"/>
        </w:numPr>
        <w:rPr>
          <w:lang w:val="en-US"/>
        </w:rPr>
      </w:pPr>
      <w:r>
        <w:rPr>
          <w:lang w:val="en-US"/>
        </w:rPr>
        <w:t>Reductions in base fees for each assessment approach, reductions in set fees for referrals and post approval activities and reductions in set fees for contingent activities, to reflect the reduced costs of providing these services more efficiently;</w:t>
      </w:r>
    </w:p>
    <w:p w:rsidR="001A641D" w:rsidRDefault="007E5C0A" w:rsidP="001A641D">
      <w:pPr>
        <w:pStyle w:val="ListParagraph"/>
        <w:numPr>
          <w:ilvl w:val="0"/>
          <w:numId w:val="13"/>
        </w:numPr>
        <w:rPr>
          <w:lang w:val="en-US"/>
        </w:rPr>
      </w:pPr>
      <w:r>
        <w:rPr>
          <w:lang w:val="en-US"/>
        </w:rPr>
        <w:t>Fees for additional contingent activities: variations to proposals, transfers of approvals to new approval holders and extensions to approval expiry dates;</w:t>
      </w:r>
    </w:p>
    <w:p w:rsidR="001A641D" w:rsidRDefault="007E5C0A" w:rsidP="001A641D">
      <w:pPr>
        <w:pStyle w:val="ListParagraph"/>
        <w:numPr>
          <w:ilvl w:val="0"/>
          <w:numId w:val="13"/>
        </w:numPr>
        <w:rPr>
          <w:lang w:val="en-US"/>
        </w:rPr>
      </w:pPr>
      <w:r>
        <w:rPr>
          <w:lang w:val="en-US"/>
        </w:rPr>
        <w:t>Updates to the complexity fees and methods of determining complexity, to better reflect the effort required to assess projects with different characteristics;</w:t>
      </w:r>
    </w:p>
    <w:p w:rsidR="001A641D" w:rsidRDefault="007E5C0A" w:rsidP="001A641D">
      <w:pPr>
        <w:pStyle w:val="ListParagraph"/>
        <w:numPr>
          <w:ilvl w:val="0"/>
          <w:numId w:val="13"/>
        </w:numPr>
        <w:rPr>
          <w:lang w:val="en-US"/>
        </w:rPr>
      </w:pPr>
      <w:r>
        <w:rPr>
          <w:lang w:val="en-US"/>
        </w:rPr>
        <w:t>Updates to the proportions of base and complexity fees to be paid at each fee stage, to better reflect the effort required to undertake each stage;</w:t>
      </w:r>
    </w:p>
    <w:p w:rsidR="001A641D" w:rsidRDefault="007E5C0A" w:rsidP="001A641D">
      <w:pPr>
        <w:pStyle w:val="ListParagraph"/>
        <w:numPr>
          <w:ilvl w:val="0"/>
          <w:numId w:val="13"/>
        </w:numPr>
        <w:rPr>
          <w:lang w:val="en-US"/>
        </w:rPr>
      </w:pPr>
      <w:r>
        <w:rPr>
          <w:lang w:val="en-US"/>
        </w:rPr>
        <w:t xml:space="preserve">Updates to the definition of some assessment stages, to improve clarity and better align with the assessment process; </w:t>
      </w:r>
    </w:p>
    <w:p w:rsidR="001A641D" w:rsidRDefault="007E5C0A" w:rsidP="001A641D">
      <w:pPr>
        <w:pStyle w:val="ListParagraph"/>
        <w:numPr>
          <w:ilvl w:val="0"/>
          <w:numId w:val="13"/>
        </w:numPr>
        <w:rPr>
          <w:lang w:val="en-US"/>
        </w:rPr>
      </w:pPr>
      <w:r>
        <w:rPr>
          <w:lang w:val="en-US"/>
        </w:rPr>
        <w:t>Updates to the definitions for contingent fees for additional information requests, to improve clarity and ensure proponents are not charged when information is requested from a third party (for example a state or territory government);</w:t>
      </w:r>
    </w:p>
    <w:p w:rsidR="001A641D" w:rsidRDefault="007E5C0A" w:rsidP="001A641D">
      <w:pPr>
        <w:pStyle w:val="ListParagraph"/>
        <w:keepNext/>
        <w:numPr>
          <w:ilvl w:val="0"/>
          <w:numId w:val="13"/>
        </w:numPr>
        <w:ind w:left="714" w:hanging="357"/>
        <w:rPr>
          <w:lang w:val="en-US"/>
        </w:rPr>
      </w:pPr>
      <w:r>
        <w:rPr>
          <w:lang w:val="en-US"/>
        </w:rPr>
        <w:t>Improvements to administrative processes to enable:</w:t>
      </w:r>
    </w:p>
    <w:p w:rsidR="001A641D" w:rsidRDefault="007E5C0A" w:rsidP="001A641D">
      <w:pPr>
        <w:pStyle w:val="ListParagraph"/>
        <w:numPr>
          <w:ilvl w:val="1"/>
          <w:numId w:val="13"/>
        </w:numPr>
        <w:rPr>
          <w:lang w:val="en-US"/>
        </w:rPr>
      </w:pPr>
      <w:r>
        <w:rPr>
          <w:lang w:val="en-US"/>
        </w:rPr>
        <w:t xml:space="preserve">incorrect fee schedules to be amended; </w:t>
      </w:r>
    </w:p>
    <w:p w:rsidR="001A641D" w:rsidRDefault="007E5C0A" w:rsidP="001A641D">
      <w:pPr>
        <w:pStyle w:val="ListParagraph"/>
        <w:numPr>
          <w:ilvl w:val="1"/>
          <w:numId w:val="13"/>
        </w:numPr>
        <w:rPr>
          <w:lang w:val="en-US"/>
        </w:rPr>
      </w:pPr>
      <w:r>
        <w:rPr>
          <w:lang w:val="en-US"/>
        </w:rPr>
        <w:t xml:space="preserve">referral fees to be refunded in limited circumstances; </w:t>
      </w:r>
    </w:p>
    <w:p w:rsidR="001A641D" w:rsidRDefault="007E5C0A" w:rsidP="001A641D">
      <w:pPr>
        <w:pStyle w:val="ListParagraph"/>
        <w:numPr>
          <w:ilvl w:val="1"/>
          <w:numId w:val="13"/>
        </w:numPr>
        <w:rPr>
          <w:lang w:val="en-US"/>
        </w:rPr>
      </w:pPr>
      <w:r>
        <w:rPr>
          <w:lang w:val="en-US"/>
        </w:rPr>
        <w:t>the recalculation of complexity fees to occur at the most appropriate stage of the process; and</w:t>
      </w:r>
    </w:p>
    <w:p w:rsidR="001A641D" w:rsidRDefault="007E5C0A" w:rsidP="001A641D">
      <w:pPr>
        <w:pStyle w:val="ListParagraph"/>
        <w:numPr>
          <w:ilvl w:val="1"/>
          <w:numId w:val="13"/>
        </w:numPr>
        <w:rPr>
          <w:lang w:val="en-US"/>
        </w:rPr>
      </w:pPr>
      <w:r>
        <w:rPr>
          <w:lang w:val="en-US"/>
        </w:rPr>
        <w:t>better clarity around potential claims for fee exemptions; and</w:t>
      </w:r>
    </w:p>
    <w:p w:rsidR="001A641D" w:rsidRPr="008435AA" w:rsidRDefault="007E5C0A" w:rsidP="001A641D">
      <w:pPr>
        <w:pStyle w:val="ListParagraph"/>
        <w:numPr>
          <w:ilvl w:val="0"/>
          <w:numId w:val="13"/>
        </w:numPr>
        <w:rPr>
          <w:lang w:val="en-US"/>
        </w:rPr>
      </w:pPr>
      <w:r>
        <w:rPr>
          <w:lang w:val="en-US"/>
        </w:rPr>
        <w:t>Transitional arrangements for projects currently under assessment to move onto the new fee structures.</w:t>
      </w:r>
    </w:p>
    <w:p w:rsidR="001A641D" w:rsidRPr="009B6DC0" w:rsidRDefault="007E5C0A" w:rsidP="001A641D">
      <w:pPr>
        <w:pStyle w:val="Heading2"/>
      </w:pPr>
      <w:bookmarkStart w:id="3261" w:name="_Toc256000374"/>
      <w:bookmarkStart w:id="3262" w:name="_Toc256000266"/>
      <w:bookmarkStart w:id="3263" w:name="_Toc256000158"/>
      <w:bookmarkStart w:id="3264" w:name="_Toc256000050"/>
      <w:bookmarkStart w:id="3265" w:name="_Toc458170554"/>
      <w:bookmarkEnd w:id="3260"/>
      <w:r>
        <w:t>Future amendments to cost recovery arrangements</w:t>
      </w:r>
      <w:bookmarkEnd w:id="3261"/>
      <w:bookmarkEnd w:id="3262"/>
      <w:bookmarkEnd w:id="3263"/>
      <w:bookmarkEnd w:id="3264"/>
      <w:bookmarkEnd w:id="3265"/>
    </w:p>
    <w:p w:rsidR="001A641D" w:rsidRDefault="007E5C0A" w:rsidP="001A641D">
      <w:r>
        <w:t>T</w:t>
      </w:r>
      <w:r w:rsidRPr="00FC12C4">
        <w:t xml:space="preserve">he </w:t>
      </w:r>
      <w:r>
        <w:t>D</w:t>
      </w:r>
      <w:r w:rsidRPr="00FC12C4">
        <w:t xml:space="preserve">epartment </w:t>
      </w:r>
      <w:r>
        <w:t xml:space="preserve">is committed to reviewing fees as significant improvements are made to the assessment process, to ensure the costs reflect the benefits of increased efficiency. The Department </w:t>
      </w:r>
      <w:r w:rsidRPr="00FC12C4">
        <w:t>will involv</w:t>
      </w:r>
      <w:r>
        <w:t>e</w:t>
      </w:r>
      <w:r w:rsidRPr="00FC12C4">
        <w:t xml:space="preserve"> stakeholders in </w:t>
      </w:r>
      <w:r>
        <w:t>any significant</w:t>
      </w:r>
      <w:r w:rsidRPr="00FC12C4">
        <w:t xml:space="preserve"> </w:t>
      </w:r>
      <w:r>
        <w:t>review of cost recovery arrangements.</w:t>
      </w:r>
    </w:p>
    <w:p w:rsidR="001A641D" w:rsidRDefault="007E5C0A" w:rsidP="001A641D">
      <w:pPr>
        <w:rPr>
          <w:lang w:val="en-US"/>
        </w:rPr>
      </w:pPr>
      <w:r>
        <w:rPr>
          <w:lang w:val="en-US"/>
        </w:rPr>
        <w:t>Consultation on specific issues is planned in 2017, to ensure that the arrangements are well understood by proponents and take account of ongoing streamlining. Specific aspects proposed for consultation include:</w:t>
      </w:r>
    </w:p>
    <w:p w:rsidR="001A641D" w:rsidRPr="00DF20E2" w:rsidRDefault="007E5C0A" w:rsidP="001A641D">
      <w:pPr>
        <w:pStyle w:val="ListBullet"/>
        <w:rPr>
          <w:lang w:val="en-US"/>
        </w:rPr>
      </w:pPr>
      <w:r>
        <w:rPr>
          <w:lang w:val="en-US"/>
        </w:rPr>
        <w:t xml:space="preserve">Post approval activities, in particular action management plans. </w:t>
      </w:r>
      <w:r>
        <w:t>This will include consideration of new fees that could facilitate the procurement of expert advice to inform action management plans, with the agreement of the approval holder;</w:t>
      </w:r>
    </w:p>
    <w:p w:rsidR="001A641D" w:rsidRPr="00DF20E2" w:rsidRDefault="007E5C0A" w:rsidP="001A641D">
      <w:pPr>
        <w:pStyle w:val="ListBullet"/>
        <w:rPr>
          <w:lang w:val="en-US"/>
        </w:rPr>
      </w:pPr>
      <w:r w:rsidRPr="00DF20E2">
        <w:t xml:space="preserve">Refinements to small business exemption criteria, to ensure these arrangements apply only to </w:t>
      </w:r>
      <w:r w:rsidRPr="00DF20E2">
        <w:rPr>
          <w:szCs w:val="24"/>
        </w:rPr>
        <w:t>businesses where assessment fees would significantly impede business operations</w:t>
      </w:r>
      <w:r>
        <w:rPr>
          <w:szCs w:val="24"/>
        </w:rPr>
        <w:t>; and</w:t>
      </w:r>
    </w:p>
    <w:p w:rsidR="001A641D" w:rsidRPr="00DF20E2" w:rsidRDefault="007E5C0A" w:rsidP="001A641D">
      <w:pPr>
        <w:pStyle w:val="ListBullet"/>
        <w:rPr>
          <w:lang w:val="en-US"/>
        </w:rPr>
      </w:pPr>
      <w:r w:rsidRPr="00DF20E2">
        <w:rPr>
          <w:szCs w:val="24"/>
        </w:rPr>
        <w:t>Cost recovery arrangements for strategic assessments.</w:t>
      </w:r>
    </w:p>
    <w:p w:rsidR="001A641D" w:rsidRDefault="007E5C0A" w:rsidP="001A641D">
      <w:pPr>
        <w:pStyle w:val="ListBullet"/>
        <w:numPr>
          <w:ilvl w:val="0"/>
          <w:numId w:val="0"/>
        </w:numPr>
      </w:pPr>
      <w:r w:rsidRPr="00B86E16">
        <w:t xml:space="preserve">The schedule of fees will </w:t>
      </w:r>
      <w:r>
        <w:t xml:space="preserve">also </w:t>
      </w:r>
      <w:r w:rsidRPr="00B86E16">
        <w:t xml:space="preserve">be updated </w:t>
      </w:r>
      <w:r>
        <w:t>from time to time</w:t>
      </w:r>
      <w:r w:rsidRPr="00B86E16">
        <w:t xml:space="preserve"> to reflect increases to the cost base, such as wage increases.</w:t>
      </w:r>
    </w:p>
    <w:p w:rsidR="001A641D" w:rsidRDefault="001A641D" w:rsidP="001A641D"/>
    <w:p w:rsidR="001A641D" w:rsidRDefault="001A641D"/>
    <w:p w:rsidR="001A641D" w:rsidRDefault="007E5C0A">
      <w:pPr>
        <w:spacing w:after="0" w:line="240" w:lineRule="auto"/>
        <w:rPr>
          <w:rFonts w:cs="Arial"/>
          <w:b/>
        </w:rPr>
      </w:pPr>
      <w:r>
        <w:br w:type="page"/>
      </w:r>
    </w:p>
    <w:p w:rsidR="001A641D" w:rsidRDefault="007E5C0A" w:rsidP="001A641D">
      <w:pPr>
        <w:pStyle w:val="Heading1"/>
      </w:pPr>
      <w:bookmarkStart w:id="3266" w:name="_Toc256000375"/>
      <w:bookmarkStart w:id="3267" w:name="_Toc256000267"/>
      <w:bookmarkStart w:id="3268" w:name="_Toc256000159"/>
      <w:bookmarkStart w:id="3269" w:name="_Toc256000051"/>
      <w:bookmarkStart w:id="3270" w:name="_Ref457912483"/>
      <w:bookmarkStart w:id="3271" w:name="_Toc458170555"/>
      <w:r>
        <w:t>FINANCIAL ESTIMATES</w:t>
      </w:r>
      <w:bookmarkEnd w:id="3266"/>
      <w:bookmarkEnd w:id="3267"/>
      <w:bookmarkEnd w:id="3268"/>
      <w:bookmarkEnd w:id="3269"/>
      <w:bookmarkEnd w:id="3270"/>
      <w:bookmarkEnd w:id="3271"/>
    </w:p>
    <w:p w:rsidR="001A641D" w:rsidRDefault="007E5C0A" w:rsidP="001A641D">
      <w:pPr>
        <w:pStyle w:val="Heading2"/>
      </w:pPr>
      <w:bookmarkStart w:id="3272" w:name="_Toc387064818"/>
      <w:bookmarkStart w:id="3273" w:name="_Toc387065030"/>
      <w:bookmarkStart w:id="3274" w:name="_Toc387065236"/>
      <w:bookmarkStart w:id="3275" w:name="_Toc387065447"/>
      <w:bookmarkStart w:id="3276" w:name="_Toc387065653"/>
      <w:bookmarkStart w:id="3277" w:name="_Toc387065858"/>
      <w:bookmarkStart w:id="3278" w:name="_Toc387066061"/>
      <w:bookmarkStart w:id="3279" w:name="_Toc387066250"/>
      <w:bookmarkStart w:id="3280" w:name="_Toc387069486"/>
      <w:bookmarkStart w:id="3281" w:name="_Toc387069673"/>
      <w:bookmarkStart w:id="3282" w:name="_Toc387069882"/>
      <w:bookmarkStart w:id="3283" w:name="_Toc387070081"/>
      <w:bookmarkStart w:id="3284" w:name="_Toc387072346"/>
      <w:bookmarkStart w:id="3285" w:name="_Toc387072557"/>
      <w:bookmarkStart w:id="3286" w:name="_Toc387392585"/>
      <w:bookmarkStart w:id="3287" w:name="_Toc256000376"/>
      <w:bookmarkStart w:id="3288" w:name="_Toc256000268"/>
      <w:bookmarkStart w:id="3289" w:name="_Toc256000160"/>
      <w:bookmarkStart w:id="3290" w:name="_Toc256000052"/>
      <w:bookmarkStart w:id="3291" w:name="_Toc458170556"/>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t>Volume and/or demand assumptions – environmental impact assessments</w:t>
      </w:r>
      <w:bookmarkEnd w:id="3287"/>
      <w:bookmarkEnd w:id="3288"/>
      <w:bookmarkEnd w:id="3289"/>
      <w:bookmarkEnd w:id="3290"/>
      <w:bookmarkEnd w:id="3291"/>
    </w:p>
    <w:p w:rsidR="001A641D" w:rsidRDefault="007E5C0A" w:rsidP="001A641D">
      <w:r w:rsidRPr="00FC12C4">
        <w:t xml:space="preserve">The </w:t>
      </w:r>
      <w:r w:rsidRPr="00862D1A">
        <w:t xml:space="preserve">regulatory process </w:t>
      </w:r>
      <w:r>
        <w:t>for</w:t>
      </w:r>
      <w:r w:rsidRPr="00862D1A">
        <w:t xml:space="preserve"> environmental impact assessments under the EPBC Act has been </w:t>
      </w:r>
      <w:r w:rsidRPr="00E00159">
        <w:t>operating since July 2000.</w:t>
      </w:r>
      <w:r w:rsidRPr="00862D1A">
        <w:t xml:space="preserve"> Over this period, the number of referrals received by the Department has </w:t>
      </w:r>
      <w:r>
        <w:t xml:space="preserve">fluctuated significantly; </w:t>
      </w:r>
      <w:r w:rsidRPr="00862D1A">
        <w:t>increas</w:t>
      </w:r>
      <w:r>
        <w:t>ing</w:t>
      </w:r>
      <w:r w:rsidRPr="00862D1A">
        <w:t xml:space="preserve"> from 309 in 2001-02 to 439 in 2012-13</w:t>
      </w:r>
      <w:r>
        <w:t>, then reducing to 223 in 2014-</w:t>
      </w:r>
      <w:r w:rsidRPr="000523CF">
        <w:t xml:space="preserve">15 (see </w:t>
      </w:r>
      <w:r w:rsidR="00FF3730">
        <w:fldChar w:fldCharType="begin"/>
      </w:r>
      <w:r w:rsidR="00FF3730">
        <w:instrText xml:space="preserve"> REF _Ref457912548 \h  \* MERGEFORMAT </w:instrText>
      </w:r>
      <w:r w:rsidR="00FF3730">
        <w:fldChar w:fldCharType="separate"/>
      </w:r>
      <w:r w:rsidR="00FF3730">
        <w:t>Figure 1</w:t>
      </w:r>
      <w:r w:rsidR="00FF3730">
        <w:fldChar w:fldCharType="end"/>
      </w:r>
      <w:r w:rsidRPr="000523CF">
        <w:t xml:space="preserve"> on page </w:t>
      </w:r>
      <w:r w:rsidR="003366B4">
        <w:fldChar w:fldCharType="begin"/>
      </w:r>
      <w:r>
        <w:instrText xml:space="preserve"> PAGEREF _Ref457913215 \h </w:instrText>
      </w:r>
      <w:r w:rsidR="003366B4">
        <w:fldChar w:fldCharType="separate"/>
      </w:r>
      <w:r w:rsidR="00FF3730">
        <w:rPr>
          <w:noProof/>
        </w:rPr>
        <w:t>7</w:t>
      </w:r>
      <w:r w:rsidR="003366B4">
        <w:fldChar w:fldCharType="end"/>
      </w:r>
      <w:r w:rsidRPr="000523CF">
        <w:t>). In recent</w:t>
      </w:r>
      <w:r>
        <w:t xml:space="preserve"> years the Department has undertaken significant streamlining initiatives that have reduced referral numbers, such as the strategic assessment of the offshore petroleum regulator, NOPSEMA, which means the Department no longer receives referrals for offshore petroleum actions. Over this time </w:t>
      </w:r>
      <w:r w:rsidRPr="00FC12C4">
        <w:t xml:space="preserve">the complexity of </w:t>
      </w:r>
      <w:r>
        <w:t xml:space="preserve">referred </w:t>
      </w:r>
      <w:r w:rsidRPr="00FC12C4">
        <w:t xml:space="preserve">projects has </w:t>
      </w:r>
      <w:r>
        <w:t xml:space="preserve">also </w:t>
      </w:r>
      <w:r w:rsidRPr="00FC12C4">
        <w:t>increas</w:t>
      </w:r>
      <w:r>
        <w:t>ed</w:t>
      </w:r>
      <w:r w:rsidRPr="00FC12C4">
        <w:t xml:space="preserve">. </w:t>
      </w:r>
    </w:p>
    <w:p w:rsidR="001A641D" w:rsidRDefault="007E5C0A" w:rsidP="001A641D">
      <w:pPr>
        <w:pStyle w:val="ListParagraph"/>
        <w:numPr>
          <w:ilvl w:val="0"/>
          <w:numId w:val="0"/>
        </w:numPr>
      </w:pPr>
      <w:r>
        <w:t xml:space="preserve">To </w:t>
      </w:r>
      <w:r w:rsidRPr="007B2389">
        <w:t xml:space="preserve">provide an estimate </w:t>
      </w:r>
      <w:r>
        <w:t>of</w:t>
      </w:r>
      <w:r w:rsidRPr="007B2389">
        <w:t xml:space="preserve"> the demand</w:t>
      </w:r>
      <w:r>
        <w:t xml:space="preserve"> for the 2016-17 financial year</w:t>
      </w:r>
      <w:r w:rsidRPr="007B2389">
        <w:t>, the Department assumed that the expected number of referrals, assessments and approvals/post-approvals</w:t>
      </w:r>
      <w:r>
        <w:t xml:space="preserve"> </w:t>
      </w:r>
      <w:r w:rsidRPr="007B2389">
        <w:t xml:space="preserve">under the EPBC </w:t>
      </w:r>
      <w:r>
        <w:t xml:space="preserve">Act </w:t>
      </w:r>
      <w:r w:rsidRPr="007B2389">
        <w:t xml:space="preserve">will be </w:t>
      </w:r>
      <w:r>
        <w:t xml:space="preserve">broadly </w:t>
      </w:r>
      <w:r w:rsidRPr="007B2389">
        <w:t xml:space="preserve">similar to the period </w:t>
      </w:r>
      <w:r>
        <w:t>from 1 October 2014 (the commencement of cost recovery) to 30 September 2015.</w:t>
      </w:r>
      <w:r w:rsidRPr="00FC12C4">
        <w:t xml:space="preserve"> </w:t>
      </w:r>
      <w:r>
        <w:t>However, the following adjustments have been made to the historic numbers in determining the estimated demand for the 2016-17 financial year:</w:t>
      </w:r>
    </w:p>
    <w:p w:rsidR="001A641D" w:rsidRPr="007B46C5" w:rsidRDefault="007E5C0A" w:rsidP="001A641D">
      <w:pPr>
        <w:pStyle w:val="ListBullet"/>
      </w:pPr>
      <w:r w:rsidRPr="007B46C5">
        <w:t>The numbers of referrals</w:t>
      </w:r>
      <w:r>
        <w:t xml:space="preserve"> and subsequent assessments</w:t>
      </w:r>
      <w:r w:rsidRPr="007B46C5">
        <w:t xml:space="preserve"> have been </w:t>
      </w:r>
      <w:r>
        <w:t>adjusted based on later trends to compensate</w:t>
      </w:r>
      <w:r w:rsidRPr="007B46C5">
        <w:t xml:space="preserve"> </w:t>
      </w:r>
      <w:r>
        <w:t xml:space="preserve">for </w:t>
      </w:r>
      <w:r w:rsidRPr="007B46C5">
        <w:t xml:space="preserve">lower referral numbers during the first full year of cost recovery. </w:t>
      </w:r>
    </w:p>
    <w:p w:rsidR="001A641D" w:rsidRPr="007B46C5" w:rsidRDefault="007E5C0A" w:rsidP="001A641D">
      <w:pPr>
        <w:pStyle w:val="ListBullet"/>
      </w:pPr>
      <w:r w:rsidRPr="007B46C5">
        <w:t xml:space="preserve">The </w:t>
      </w:r>
      <w:r>
        <w:t xml:space="preserve">number of cost recoverable </w:t>
      </w:r>
      <w:r w:rsidRPr="007B46C5">
        <w:t>referral</w:t>
      </w:r>
      <w:r>
        <w:t>s</w:t>
      </w:r>
      <w:r w:rsidRPr="007B46C5">
        <w:t xml:space="preserve"> and assessment</w:t>
      </w:r>
      <w:r>
        <w:t>s</w:t>
      </w:r>
      <w:r w:rsidRPr="007B46C5">
        <w:t xml:space="preserve"> has been </w:t>
      </w:r>
      <w:r>
        <w:t>adjusted</w:t>
      </w:r>
      <w:r w:rsidRPr="007B46C5">
        <w:t xml:space="preserve"> to </w:t>
      </w:r>
      <w:r>
        <w:t>reflect the forecast number of</w:t>
      </w:r>
      <w:r w:rsidRPr="007B46C5">
        <w:t xml:space="preserve"> exemptions from cost recovery for individuals and small businesses</w:t>
      </w:r>
      <w:r w:rsidRPr="007B46C5">
        <w:rPr>
          <w:color w:val="000000" w:themeColor="text1"/>
        </w:rPr>
        <w:t>.</w:t>
      </w:r>
    </w:p>
    <w:p w:rsidR="001A641D" w:rsidRDefault="007E5C0A" w:rsidP="001A641D">
      <w:r w:rsidRPr="00E00159">
        <w:t xml:space="preserve">Environmental impact assessments are usually not concluded within one financial year. Therefore, the volume of activities in any year </w:t>
      </w:r>
      <w:r>
        <w:t>will</w:t>
      </w:r>
      <w:r w:rsidRPr="00E00159">
        <w:t xml:space="preserve"> include new referrals and assessments </w:t>
      </w:r>
      <w:r>
        <w:t>and</w:t>
      </w:r>
      <w:r w:rsidRPr="00E00159">
        <w:t xml:space="preserve"> assessments continu</w:t>
      </w:r>
      <w:r>
        <w:t>ing</w:t>
      </w:r>
      <w:r w:rsidRPr="00E00159">
        <w:t xml:space="preserve"> from previous years</w:t>
      </w:r>
      <w:r>
        <w:t>.</w:t>
      </w:r>
      <w:r w:rsidRPr="00E00159">
        <w:t xml:space="preserve"> </w:t>
      </w:r>
      <w:r>
        <w:t>This</w:t>
      </w:r>
      <w:r w:rsidRPr="00E00159">
        <w:t xml:space="preserve"> </w:t>
      </w:r>
      <w:r>
        <w:t xml:space="preserve">will </w:t>
      </w:r>
      <w:r w:rsidRPr="00E00159">
        <w:t xml:space="preserve">result in progressive increases </w:t>
      </w:r>
      <w:r>
        <w:t xml:space="preserve">in the number of proposed actions subject to cost recovery </w:t>
      </w:r>
      <w:r w:rsidRPr="00E00159">
        <w:t xml:space="preserve">each year as more </w:t>
      </w:r>
      <w:r>
        <w:t>actions</w:t>
      </w:r>
      <w:r w:rsidRPr="00E00159">
        <w:t xml:space="preserve"> move through the various stages of assessment</w:t>
      </w:r>
      <w:r>
        <w:t>.</w:t>
      </w:r>
      <w:r w:rsidRPr="00E00159">
        <w:t xml:space="preserve">  Similarly, the number of post-approval action management plan </w:t>
      </w:r>
      <w:r>
        <w:t>evaluations</w:t>
      </w:r>
      <w:r w:rsidRPr="00E00159">
        <w:t xml:space="preserve"> </w:t>
      </w:r>
      <w:r>
        <w:t xml:space="preserve">will </w:t>
      </w:r>
      <w:r w:rsidRPr="00E00159">
        <w:t>increas</w:t>
      </w:r>
      <w:r>
        <w:t>e</w:t>
      </w:r>
      <w:r w:rsidRPr="00E00159">
        <w:t xml:space="preserve"> each year as more projects are approved</w:t>
      </w:r>
      <w:r>
        <w:t xml:space="preserve">. This increase is expected to plateau by </w:t>
      </w:r>
      <w:r w:rsidRPr="00324839">
        <w:t>2019</w:t>
      </w:r>
      <w:r w:rsidRPr="00324839">
        <w:noBreakHyphen/>
        <w:t>20</w:t>
      </w:r>
      <w:r>
        <w:t xml:space="preserve">, as it is assumed all projects under assessment at this time will have been referred under the cost recovery arrangements (i.e. referred after 14 </w:t>
      </w:r>
      <w:r w:rsidRPr="000523CF">
        <w:t xml:space="preserve">May 2014). The activity represented in </w:t>
      </w:r>
      <w:r w:rsidR="00FF3730">
        <w:fldChar w:fldCharType="begin"/>
      </w:r>
      <w:r w:rsidR="00FF3730">
        <w:instrText xml:space="preserve"> REF _Ref458075848 </w:instrText>
      </w:r>
      <w:r w:rsidR="00FF3730">
        <w:instrText xml:space="preserve">\h  \* MERGEFORMAT </w:instrText>
      </w:r>
      <w:r w:rsidR="00FF3730">
        <w:fldChar w:fldCharType="separate"/>
      </w:r>
      <w:r w:rsidR="00FF3730">
        <w:t>Table 19</w:t>
      </w:r>
      <w:r w:rsidR="00FF3730">
        <w:fldChar w:fldCharType="end"/>
      </w:r>
      <w:r w:rsidRPr="000523CF">
        <w:t xml:space="preserve"> and </w:t>
      </w:r>
      <w:r w:rsidR="00FF3730">
        <w:fldChar w:fldCharType="begin"/>
      </w:r>
      <w:r w:rsidR="00FF3730">
        <w:instrText xml:space="preserve"> REF _Ref457986350 \h  \* MERGEFORMAT </w:instrText>
      </w:r>
      <w:r w:rsidR="00FF3730">
        <w:fldChar w:fldCharType="separate"/>
      </w:r>
      <w:r w:rsidR="00FF3730">
        <w:t xml:space="preserve">Table </w:t>
      </w:r>
      <w:r w:rsidR="00FF3730">
        <w:rPr>
          <w:noProof/>
        </w:rPr>
        <w:t>20</w:t>
      </w:r>
      <w:r w:rsidR="00FF3730">
        <w:fldChar w:fldCharType="end"/>
      </w:r>
      <w:r w:rsidRPr="000523CF">
        <w:t xml:space="preserve"> below forms the basis of the forecast re</w:t>
      </w:r>
      <w:r w:rsidRPr="00E00159">
        <w:t>venue and expenses.</w:t>
      </w:r>
    </w:p>
    <w:p w:rsidR="001A641D" w:rsidRDefault="001A641D" w:rsidP="001A641D">
      <w:pPr>
        <w:spacing w:after="0" w:line="240" w:lineRule="auto"/>
      </w:pPr>
    </w:p>
    <w:p w:rsidR="001A641D" w:rsidRDefault="007E5C0A">
      <w:pPr>
        <w:spacing w:after="0" w:line="240" w:lineRule="auto"/>
        <w:rPr>
          <w:rFonts w:asciiTheme="minorHAnsi" w:eastAsia="Times New Roman" w:hAnsiTheme="minorHAnsi" w:cstheme="minorHAnsi"/>
          <w:b/>
          <w:bCs/>
          <w:color w:val="4F81BD" w:themeColor="accent1"/>
          <w:sz w:val="20"/>
          <w:szCs w:val="20"/>
        </w:rPr>
      </w:pPr>
      <w:bookmarkStart w:id="3292" w:name="_Ref457986341"/>
      <w:r>
        <w:br w:type="page"/>
      </w:r>
    </w:p>
    <w:p w:rsidR="001A641D" w:rsidRPr="000523CF" w:rsidRDefault="001A641D" w:rsidP="001A641D">
      <w:pPr>
        <w:pStyle w:val="Caption"/>
        <w:spacing w:after="0"/>
        <w:rPr>
          <w:sz w:val="2"/>
          <w:szCs w:val="2"/>
        </w:rPr>
      </w:pPr>
    </w:p>
    <w:p w:rsidR="001A641D" w:rsidRDefault="007E5C0A" w:rsidP="001A641D">
      <w:pPr>
        <w:pStyle w:val="Caption"/>
        <w:keepNext/>
      </w:pPr>
      <w:bookmarkStart w:id="3293" w:name="_Ref458075848"/>
      <w:bookmarkStart w:id="3294" w:name="_Toc256000428"/>
      <w:bookmarkStart w:id="3295" w:name="_Toc256000320"/>
      <w:bookmarkStart w:id="3296" w:name="_Toc256000212"/>
      <w:bookmarkStart w:id="3297" w:name="_Toc256000104"/>
      <w:bookmarkStart w:id="3298" w:name="_Toc458170607"/>
      <w:r>
        <w:t xml:space="preserve">Table </w:t>
      </w:r>
      <w:r w:rsidR="003366B4">
        <w:fldChar w:fldCharType="begin"/>
      </w:r>
      <w:r>
        <w:instrText xml:space="preserve"> SEQ Table \* ARABIC </w:instrText>
      </w:r>
      <w:r w:rsidR="003366B4">
        <w:fldChar w:fldCharType="separate"/>
      </w:r>
      <w:r w:rsidR="00FF3730">
        <w:rPr>
          <w:noProof/>
        </w:rPr>
        <w:t>19</w:t>
      </w:r>
      <w:r w:rsidR="003366B4">
        <w:rPr>
          <w:noProof/>
        </w:rPr>
        <w:fldChar w:fldCharType="end"/>
      </w:r>
      <w:bookmarkEnd w:id="3292"/>
      <w:bookmarkEnd w:id="3293"/>
      <w:r>
        <w:t>. Referrals, a</w:t>
      </w:r>
      <w:r w:rsidRPr="006B2AB9">
        <w:t xml:space="preserve">ssessments </w:t>
      </w:r>
      <w:r>
        <w:t xml:space="preserve">and post approval management plans </w:t>
      </w:r>
      <w:r w:rsidRPr="006B2AB9">
        <w:t>– estimated activity volume.</w:t>
      </w:r>
      <w:bookmarkEnd w:id="3294"/>
      <w:bookmarkEnd w:id="3295"/>
      <w:bookmarkEnd w:id="3296"/>
      <w:bookmarkEnd w:id="3297"/>
      <w:bookmarkEnd w:id="3298"/>
    </w:p>
    <w:tbl>
      <w:tblPr>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912"/>
        <w:gridCol w:w="4551"/>
        <w:gridCol w:w="32"/>
        <w:gridCol w:w="1066"/>
        <w:gridCol w:w="24"/>
        <w:gridCol w:w="1074"/>
        <w:gridCol w:w="16"/>
        <w:gridCol w:w="1082"/>
        <w:gridCol w:w="8"/>
        <w:gridCol w:w="1090"/>
      </w:tblGrid>
      <w:tr w:rsidR="00397365" w:rsidTr="001A641D">
        <w:trPr>
          <w:tblHeader/>
        </w:trPr>
        <w:tc>
          <w:tcPr>
            <w:tcW w:w="2788" w:type="pct"/>
            <w:gridSpan w:val="3"/>
            <w:vMerge w:val="restart"/>
            <w:tcBorders>
              <w:top w:val="single" w:sz="4" w:space="0" w:color="548DD4" w:themeColor="text2" w:themeTint="99"/>
              <w:left w:val="single" w:sz="4" w:space="0" w:color="548DD4" w:themeColor="text2" w:themeTint="99"/>
              <w:right w:val="single" w:sz="4" w:space="0" w:color="548DD4" w:themeColor="text2" w:themeTint="99"/>
            </w:tcBorders>
            <w:shd w:val="clear" w:color="auto" w:fill="8DB3E2" w:themeFill="text2" w:themeFillTint="66"/>
            <w:vAlign w:val="center"/>
            <w:hideMark/>
          </w:tcPr>
          <w:p w:rsidR="001A641D" w:rsidRDefault="007E5C0A" w:rsidP="001A641D">
            <w:pPr>
              <w:keepNext/>
              <w:spacing w:before="120" w:after="120"/>
              <w:jc w:val="center"/>
              <w:rPr>
                <w:b/>
                <w:sz w:val="20"/>
                <w:szCs w:val="20"/>
              </w:rPr>
            </w:pPr>
            <w:r>
              <w:br w:type="page"/>
            </w:r>
            <w:r w:rsidRPr="009B257F">
              <w:rPr>
                <w:b/>
                <w:sz w:val="20"/>
                <w:szCs w:val="20"/>
              </w:rPr>
              <w:t>Activity</w:t>
            </w:r>
          </w:p>
        </w:tc>
        <w:tc>
          <w:tcPr>
            <w:tcW w:w="2212" w:type="pct"/>
            <w:gridSpan w:val="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1A641D" w:rsidRPr="00C10D3C" w:rsidRDefault="007E5C0A" w:rsidP="001A641D">
            <w:pPr>
              <w:keepNext/>
              <w:spacing w:before="120" w:after="120"/>
              <w:jc w:val="center"/>
              <w:rPr>
                <w:b/>
                <w:sz w:val="20"/>
                <w:szCs w:val="20"/>
              </w:rPr>
            </w:pPr>
            <w:r w:rsidRPr="00C10D3C">
              <w:rPr>
                <w:b/>
                <w:sz w:val="20"/>
                <w:szCs w:val="20"/>
              </w:rPr>
              <w:t>Estimated activity volume</w:t>
            </w:r>
          </w:p>
        </w:tc>
      </w:tr>
      <w:tr w:rsidR="00397365" w:rsidTr="001A641D">
        <w:trPr>
          <w:tblHeader/>
        </w:trPr>
        <w:tc>
          <w:tcPr>
            <w:tcW w:w="2788" w:type="pct"/>
            <w:gridSpan w:val="3"/>
            <w:vMerge/>
            <w:tcBorders>
              <w:left w:val="single" w:sz="4" w:space="0" w:color="548DD4" w:themeColor="text2" w:themeTint="99"/>
              <w:right w:val="single" w:sz="4" w:space="0" w:color="548DD4" w:themeColor="text2" w:themeTint="99"/>
            </w:tcBorders>
            <w:shd w:val="clear" w:color="auto" w:fill="8DB3E2" w:themeFill="text2" w:themeFillTint="66"/>
            <w:vAlign w:val="center"/>
            <w:hideMark/>
          </w:tcPr>
          <w:p w:rsidR="001A641D" w:rsidRDefault="001A641D" w:rsidP="001A641D">
            <w:pPr>
              <w:keepNext/>
              <w:spacing w:before="120" w:after="120"/>
              <w:jc w:val="center"/>
            </w:pP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noWrap/>
            <w:vAlign w:val="center"/>
            <w:hideMark/>
          </w:tcPr>
          <w:p w:rsidR="001A641D" w:rsidRPr="00C10D3C" w:rsidRDefault="007E5C0A" w:rsidP="001A641D">
            <w:pPr>
              <w:keepNext/>
              <w:spacing w:before="120" w:after="120"/>
              <w:jc w:val="center"/>
              <w:rPr>
                <w:b/>
                <w:sz w:val="20"/>
                <w:szCs w:val="20"/>
              </w:rPr>
            </w:pPr>
            <w:r>
              <w:rPr>
                <w:b/>
                <w:sz w:val="20"/>
                <w:szCs w:val="20"/>
              </w:rPr>
              <w:t>2016-17</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264DA" w:rsidRDefault="007E5C0A" w:rsidP="001A641D">
            <w:pPr>
              <w:keepNext/>
              <w:spacing w:before="120" w:after="120"/>
              <w:jc w:val="center"/>
              <w:rPr>
                <w:b/>
                <w:sz w:val="20"/>
                <w:szCs w:val="20"/>
              </w:rPr>
            </w:pPr>
            <w:r w:rsidRPr="00A264DA">
              <w:rPr>
                <w:b/>
                <w:sz w:val="20"/>
                <w:szCs w:val="20"/>
              </w:rPr>
              <w:t>2017-18</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264DA" w:rsidRDefault="007E5C0A" w:rsidP="001A641D">
            <w:pPr>
              <w:keepNext/>
              <w:spacing w:before="120" w:after="120"/>
              <w:jc w:val="center"/>
              <w:rPr>
                <w:b/>
                <w:sz w:val="20"/>
                <w:szCs w:val="20"/>
              </w:rPr>
            </w:pPr>
            <w:r w:rsidRPr="00A264DA">
              <w:rPr>
                <w:b/>
                <w:sz w:val="20"/>
                <w:szCs w:val="20"/>
              </w:rPr>
              <w:t>2018-19</w:t>
            </w:r>
          </w:p>
        </w:tc>
        <w:tc>
          <w:tcPr>
            <w:tcW w:w="5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264DA" w:rsidRDefault="007E5C0A" w:rsidP="001A641D">
            <w:pPr>
              <w:keepNext/>
              <w:spacing w:before="120" w:after="120"/>
              <w:jc w:val="center"/>
              <w:rPr>
                <w:b/>
                <w:sz w:val="20"/>
                <w:szCs w:val="20"/>
              </w:rPr>
            </w:pPr>
            <w:r w:rsidRPr="00A264DA">
              <w:rPr>
                <w:b/>
                <w:sz w:val="20"/>
                <w:szCs w:val="20"/>
              </w:rPr>
              <w:t>2019-20</w:t>
            </w:r>
          </w:p>
        </w:tc>
      </w:tr>
      <w:tr w:rsidR="00397365" w:rsidTr="001A641D">
        <w:trPr>
          <w:trHeight w:val="300"/>
        </w:trPr>
        <w:tc>
          <w:tcPr>
            <w:tcW w:w="5000" w:type="pct"/>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Pr="002814BE" w:rsidRDefault="007E5C0A" w:rsidP="001A641D">
            <w:pPr>
              <w:spacing w:before="120" w:after="120"/>
              <w:jc w:val="center"/>
              <w:rPr>
                <w:color w:val="7030A0"/>
                <w:sz w:val="20"/>
                <w:szCs w:val="20"/>
                <w:highlight w:val="yellow"/>
              </w:rPr>
            </w:pPr>
            <w:r>
              <w:rPr>
                <w:sz w:val="20"/>
                <w:szCs w:val="20"/>
              </w:rPr>
              <w:t>Referrals</w:t>
            </w:r>
          </w:p>
        </w:tc>
      </w:tr>
      <w:tr w:rsidR="00397365" w:rsidTr="001A641D">
        <w:tblPrEx>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Ex>
        <w:trPr>
          <w:trHeight w:val="300"/>
        </w:trPr>
        <w:tc>
          <w:tcPr>
            <w:tcW w:w="2772"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bottom"/>
            <w:hideMark/>
          </w:tcPr>
          <w:p w:rsidR="001A641D" w:rsidRPr="007F4911" w:rsidRDefault="007E5C0A" w:rsidP="001A641D">
            <w:pPr>
              <w:rPr>
                <w:sz w:val="20"/>
                <w:szCs w:val="20"/>
              </w:rPr>
            </w:pPr>
            <w:r w:rsidRPr="00572863">
              <w:rPr>
                <w:sz w:val="20"/>
                <w:szCs w:val="20"/>
              </w:rPr>
              <w:t xml:space="preserve">Referrals </w:t>
            </w:r>
          </w:p>
        </w:tc>
        <w:tc>
          <w:tcPr>
            <w:tcW w:w="557"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rsidR="001A641D" w:rsidRPr="00183651" w:rsidRDefault="007E5C0A" w:rsidP="001A641D">
            <w:pPr>
              <w:jc w:val="center"/>
              <w:rPr>
                <w:sz w:val="20"/>
                <w:szCs w:val="20"/>
              </w:rPr>
            </w:pPr>
            <w:r w:rsidRPr="00183651">
              <w:rPr>
                <w:sz w:val="20"/>
                <w:szCs w:val="20"/>
              </w:rPr>
              <w:t>233</w:t>
            </w:r>
          </w:p>
        </w:tc>
        <w:tc>
          <w:tcPr>
            <w:tcW w:w="557"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jc w:val="center"/>
              <w:rPr>
                <w:sz w:val="20"/>
                <w:szCs w:val="20"/>
              </w:rPr>
            </w:pPr>
            <w:r w:rsidRPr="00A264DA">
              <w:rPr>
                <w:sz w:val="20"/>
                <w:szCs w:val="20"/>
              </w:rPr>
              <w:t>233</w:t>
            </w:r>
          </w:p>
        </w:tc>
        <w:tc>
          <w:tcPr>
            <w:tcW w:w="557"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jc w:val="center"/>
              <w:rPr>
                <w:sz w:val="20"/>
                <w:szCs w:val="20"/>
              </w:rPr>
            </w:pPr>
            <w:r w:rsidRPr="00A264DA">
              <w:rPr>
                <w:sz w:val="20"/>
                <w:szCs w:val="20"/>
              </w:rPr>
              <w:t>233</w:t>
            </w:r>
          </w:p>
        </w:tc>
        <w:tc>
          <w:tcPr>
            <w:tcW w:w="557"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jc w:val="center"/>
              <w:rPr>
                <w:sz w:val="20"/>
                <w:szCs w:val="20"/>
              </w:rPr>
            </w:pPr>
            <w:r w:rsidRPr="00A264DA">
              <w:rPr>
                <w:sz w:val="20"/>
                <w:szCs w:val="20"/>
              </w:rPr>
              <w:t>233</w:t>
            </w:r>
          </w:p>
        </w:tc>
      </w:tr>
      <w:tr w:rsidR="00397365" w:rsidTr="001A641D">
        <w:trPr>
          <w:trHeight w:val="300"/>
        </w:trPr>
        <w:tc>
          <w:tcPr>
            <w:tcW w:w="5000" w:type="pct"/>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center"/>
            <w:hideMark/>
          </w:tcPr>
          <w:p w:rsidR="001A641D" w:rsidRPr="002814BE" w:rsidRDefault="007E5C0A" w:rsidP="001A641D">
            <w:pPr>
              <w:spacing w:before="120" w:after="120"/>
              <w:jc w:val="center"/>
              <w:rPr>
                <w:color w:val="7030A0"/>
                <w:sz w:val="20"/>
                <w:szCs w:val="20"/>
                <w:highlight w:val="yellow"/>
              </w:rPr>
            </w:pPr>
            <w:r w:rsidRPr="00817780">
              <w:rPr>
                <w:sz w:val="20"/>
                <w:szCs w:val="20"/>
              </w:rPr>
              <w:t>Assessment on referral information</w:t>
            </w:r>
          </w:p>
        </w:tc>
      </w:tr>
      <w:tr w:rsidR="00397365" w:rsidTr="001A641D">
        <w:trPr>
          <w:trHeight w:val="300"/>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1A641D" w:rsidRDefault="007E5C0A" w:rsidP="001A641D">
            <w:pPr>
              <w:spacing w:before="120" w:after="120"/>
              <w:rPr>
                <w:sz w:val="20"/>
                <w:szCs w:val="20"/>
              </w:rPr>
            </w:pPr>
            <w:r w:rsidRPr="00817780">
              <w:rPr>
                <w:sz w:val="20"/>
                <w:szCs w:val="20"/>
              </w:rPr>
              <w:t xml:space="preserve">Stage1    </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Pr>
                <w:sz w:val="20"/>
                <w:szCs w:val="20"/>
              </w:rPr>
              <w:t>Prepare and publish draft recommendation report</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rPr>
            </w:pPr>
            <w:r w:rsidRPr="00183651">
              <w:rPr>
                <w:sz w:val="20"/>
                <w:szCs w:val="20"/>
              </w:rPr>
              <w:t>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r>
      <w:tr w:rsidR="00397365" w:rsidTr="001A641D">
        <w:trPr>
          <w:trHeight w:val="300"/>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1A641D" w:rsidRDefault="007E5C0A" w:rsidP="001A641D">
            <w:pPr>
              <w:spacing w:before="120" w:after="120"/>
              <w:rPr>
                <w:sz w:val="20"/>
                <w:szCs w:val="20"/>
              </w:rPr>
            </w:pPr>
            <w:r w:rsidRPr="00817780">
              <w:rPr>
                <w:sz w:val="20"/>
                <w:szCs w:val="20"/>
              </w:rPr>
              <w:t>Stage 2</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Pr>
                <w:sz w:val="20"/>
                <w:szCs w:val="20"/>
              </w:rPr>
              <w:t>Review comments and finalise recommendation report</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rPr>
            </w:pPr>
            <w:r w:rsidRPr="00183651">
              <w:rPr>
                <w:sz w:val="20"/>
                <w:szCs w:val="20"/>
              </w:rPr>
              <w:t>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r>
      <w:tr w:rsidR="00397365" w:rsidTr="001A641D">
        <w:trPr>
          <w:trHeight w:val="300"/>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vAlign w:val="center"/>
            <w:hideMark/>
          </w:tcPr>
          <w:p w:rsidR="001A641D" w:rsidRDefault="007E5C0A" w:rsidP="001A641D">
            <w:pPr>
              <w:spacing w:before="120" w:after="120"/>
              <w:rPr>
                <w:sz w:val="20"/>
                <w:szCs w:val="20"/>
              </w:rPr>
            </w:pPr>
            <w:r w:rsidRPr="00817780">
              <w:rPr>
                <w:sz w:val="20"/>
                <w:szCs w:val="20"/>
              </w:rPr>
              <w:t>Stage 3</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tcPr>
          <w:p w:rsidR="001A641D" w:rsidRDefault="007E5C0A" w:rsidP="001A641D">
            <w:pPr>
              <w:spacing w:before="120" w:after="120"/>
              <w:rPr>
                <w:sz w:val="20"/>
                <w:szCs w:val="20"/>
              </w:rPr>
            </w:pPr>
            <w:r>
              <w:rPr>
                <w:sz w:val="20"/>
                <w:szCs w:val="20"/>
              </w:rPr>
              <w:t>Proposed and final decision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jc w:val="center"/>
              <w:rPr>
                <w:sz w:val="20"/>
                <w:szCs w:val="20"/>
              </w:rPr>
            </w:pPr>
            <w:r w:rsidRPr="00183651">
              <w:rPr>
                <w:sz w:val="20"/>
                <w:szCs w:val="20"/>
              </w:rPr>
              <w:t>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0</w:t>
            </w:r>
          </w:p>
        </w:tc>
      </w:tr>
      <w:tr w:rsidR="00397365" w:rsidTr="001A641D">
        <w:trPr>
          <w:trHeight w:val="300"/>
        </w:trPr>
        <w:tc>
          <w:tcPr>
            <w:tcW w:w="5000" w:type="pct"/>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1A641D" w:rsidRPr="002814BE" w:rsidRDefault="007E5C0A" w:rsidP="001A641D">
            <w:pPr>
              <w:spacing w:before="120" w:after="120"/>
              <w:jc w:val="center"/>
              <w:rPr>
                <w:color w:val="7030A0"/>
                <w:sz w:val="20"/>
                <w:szCs w:val="20"/>
                <w:highlight w:val="yellow"/>
              </w:rPr>
            </w:pPr>
            <w:r w:rsidRPr="00817780">
              <w:rPr>
                <w:sz w:val="20"/>
                <w:szCs w:val="20"/>
              </w:rPr>
              <w:t xml:space="preserve">Preliminary documentation </w:t>
            </w:r>
          </w:p>
        </w:tc>
      </w:tr>
      <w:tr w:rsidR="00397365" w:rsidTr="001A641D">
        <w:trPr>
          <w:trHeight w:val="325"/>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1</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Determine information requirements</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57</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57</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57</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57</w:t>
            </w:r>
          </w:p>
        </w:tc>
      </w:tr>
      <w:tr w:rsidR="00397365" w:rsidTr="001A641D">
        <w:trPr>
          <w:trHeight w:val="506"/>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2</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Review draft assessment documentation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51</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54</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55</w:t>
            </w:r>
          </w:p>
        </w:tc>
        <w:tc>
          <w:tcPr>
            <w:tcW w:w="5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55</w:t>
            </w:r>
          </w:p>
        </w:tc>
      </w:tr>
      <w:tr w:rsidR="00397365" w:rsidTr="001A641D">
        <w:trPr>
          <w:trHeight w:val="316"/>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3</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sidRPr="00817780">
              <w:rPr>
                <w:sz w:val="20"/>
                <w:szCs w:val="20"/>
              </w:rPr>
              <w:t xml:space="preserve">Review </w:t>
            </w:r>
            <w:r>
              <w:rPr>
                <w:sz w:val="20"/>
                <w:szCs w:val="20"/>
              </w:rPr>
              <w:t>final assessment documentation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45</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52</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52</w:t>
            </w:r>
          </w:p>
        </w:tc>
      </w:tr>
      <w:tr w:rsidR="00397365" w:rsidTr="001A641D">
        <w:trPr>
          <w:trHeight w:val="519"/>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4</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Prepare</w:t>
            </w:r>
            <w:r w:rsidRPr="00817780">
              <w:rPr>
                <w:sz w:val="20"/>
                <w:szCs w:val="20"/>
              </w:rPr>
              <w:t xml:space="preserve"> recommendation report,  </w:t>
            </w:r>
            <w:r>
              <w:rPr>
                <w:sz w:val="20"/>
                <w:szCs w:val="20"/>
              </w:rPr>
              <w:t>proposed</w:t>
            </w:r>
            <w:r w:rsidRPr="00817780">
              <w:rPr>
                <w:sz w:val="20"/>
                <w:szCs w:val="20"/>
              </w:rPr>
              <w:t xml:space="preserve"> and final decision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45</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52</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52</w:t>
            </w:r>
          </w:p>
        </w:tc>
      </w:tr>
      <w:tr w:rsidR="00397365" w:rsidTr="001A641D">
        <w:trPr>
          <w:trHeight w:val="300"/>
        </w:trPr>
        <w:tc>
          <w:tcPr>
            <w:tcW w:w="5000" w:type="pct"/>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1A641D" w:rsidRPr="002814BE" w:rsidRDefault="007E5C0A" w:rsidP="001A641D">
            <w:pPr>
              <w:spacing w:before="120" w:after="120"/>
              <w:jc w:val="center"/>
              <w:rPr>
                <w:color w:val="7030A0"/>
                <w:sz w:val="20"/>
                <w:szCs w:val="20"/>
                <w:highlight w:val="yellow"/>
              </w:rPr>
            </w:pPr>
            <w:r>
              <w:rPr>
                <w:sz w:val="20"/>
                <w:szCs w:val="20"/>
              </w:rPr>
              <w:t>Environmental impact statement/Public environment</w:t>
            </w:r>
            <w:r w:rsidRPr="00817780">
              <w:rPr>
                <w:sz w:val="20"/>
                <w:szCs w:val="20"/>
              </w:rPr>
              <w:t xml:space="preserve"> report</w:t>
            </w:r>
          </w:p>
        </w:tc>
      </w:tr>
      <w:tr w:rsidR="00397365" w:rsidTr="001A641D">
        <w:trPr>
          <w:trHeight w:val="300"/>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1</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Determine information requirements</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8</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8</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8</w:t>
            </w:r>
          </w:p>
        </w:tc>
        <w:tc>
          <w:tcPr>
            <w:tcW w:w="5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8</w:t>
            </w:r>
          </w:p>
        </w:tc>
      </w:tr>
      <w:tr w:rsidR="00397365" w:rsidTr="001A641D">
        <w:trPr>
          <w:trHeight w:val="507"/>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2</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Review draft assessment documentation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6</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7</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7</w:t>
            </w:r>
          </w:p>
        </w:tc>
        <w:tc>
          <w:tcPr>
            <w:tcW w:w="5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7</w:t>
            </w:r>
          </w:p>
        </w:tc>
      </w:tr>
      <w:tr w:rsidR="00397365" w:rsidTr="001A641D">
        <w:trPr>
          <w:trHeight w:val="300"/>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3</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sidRPr="00817780">
              <w:rPr>
                <w:sz w:val="20"/>
                <w:szCs w:val="20"/>
              </w:rPr>
              <w:t xml:space="preserve">Review </w:t>
            </w:r>
            <w:r>
              <w:rPr>
                <w:sz w:val="20"/>
                <w:szCs w:val="20"/>
              </w:rPr>
              <w:t>final assessment documentation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5</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w:t>
            </w:r>
          </w:p>
        </w:tc>
        <w:tc>
          <w:tcPr>
            <w:tcW w:w="5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w:t>
            </w:r>
          </w:p>
        </w:tc>
      </w:tr>
      <w:tr w:rsidR="00397365" w:rsidTr="001A641D">
        <w:trPr>
          <w:trHeight w:val="532"/>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4</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sidRPr="00F64587">
              <w:rPr>
                <w:sz w:val="20"/>
                <w:szCs w:val="20"/>
              </w:rPr>
              <w:t>Prepare recommendation report, proposed and final decision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2</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w:t>
            </w:r>
          </w:p>
        </w:tc>
        <w:tc>
          <w:tcPr>
            <w:tcW w:w="553"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w:t>
            </w:r>
          </w:p>
        </w:tc>
      </w:tr>
      <w:tr w:rsidR="00397365" w:rsidTr="001A641D">
        <w:trPr>
          <w:trHeight w:val="300"/>
        </w:trPr>
        <w:tc>
          <w:tcPr>
            <w:tcW w:w="5000" w:type="pct"/>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1A641D" w:rsidRPr="002814BE" w:rsidRDefault="007E5C0A" w:rsidP="001A641D">
            <w:pPr>
              <w:spacing w:before="120" w:after="120"/>
              <w:jc w:val="center"/>
              <w:rPr>
                <w:color w:val="7030A0"/>
                <w:sz w:val="20"/>
                <w:szCs w:val="20"/>
                <w:highlight w:val="yellow"/>
              </w:rPr>
            </w:pPr>
            <w:r w:rsidRPr="00183651">
              <w:rPr>
                <w:sz w:val="20"/>
                <w:szCs w:val="20"/>
              </w:rPr>
              <w:t>Bilateral agreement / Accredited assessment</w:t>
            </w:r>
          </w:p>
        </w:tc>
      </w:tr>
      <w:tr w:rsidR="00397365" w:rsidTr="001A641D">
        <w:trPr>
          <w:trHeight w:val="300"/>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1</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Review terms of reference</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25</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25</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25</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25</w:t>
            </w:r>
          </w:p>
        </w:tc>
      </w:tr>
      <w:tr w:rsidR="00397365" w:rsidTr="001A641D">
        <w:trPr>
          <w:trHeight w:val="492"/>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2</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Review draft assessment documentation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16</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20</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22</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22</w:t>
            </w:r>
          </w:p>
        </w:tc>
      </w:tr>
      <w:tr w:rsidR="00397365" w:rsidTr="001A641D">
        <w:trPr>
          <w:trHeight w:val="414"/>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3</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sidRPr="00817780">
              <w:rPr>
                <w:sz w:val="20"/>
                <w:szCs w:val="20"/>
              </w:rPr>
              <w:t xml:space="preserve">Review </w:t>
            </w:r>
            <w:r>
              <w:rPr>
                <w:sz w:val="20"/>
                <w:szCs w:val="20"/>
              </w:rPr>
              <w:t>final assessment documentation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6</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12</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16</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18</w:t>
            </w:r>
          </w:p>
        </w:tc>
      </w:tr>
      <w:tr w:rsidR="00397365" w:rsidTr="001A641D">
        <w:trPr>
          <w:trHeight w:val="337"/>
        </w:trPr>
        <w:tc>
          <w:tcPr>
            <w:tcW w:w="463"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auto"/>
            <w:noWrap/>
            <w:vAlign w:val="center"/>
            <w:hideMark/>
          </w:tcPr>
          <w:p w:rsidR="001A641D" w:rsidRDefault="007E5C0A" w:rsidP="001A641D">
            <w:pPr>
              <w:spacing w:before="120" w:after="120"/>
              <w:jc w:val="center"/>
              <w:rPr>
                <w:sz w:val="20"/>
                <w:szCs w:val="20"/>
              </w:rPr>
            </w:pPr>
            <w:r w:rsidRPr="00817780">
              <w:rPr>
                <w:sz w:val="20"/>
                <w:szCs w:val="20"/>
              </w:rPr>
              <w:t>Stage 4</w:t>
            </w:r>
          </w:p>
        </w:tc>
        <w:tc>
          <w:tcPr>
            <w:tcW w:w="2325"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rPr>
                <w:sz w:val="20"/>
                <w:szCs w:val="20"/>
              </w:rPr>
            </w:pPr>
            <w:r>
              <w:rPr>
                <w:sz w:val="20"/>
                <w:szCs w:val="20"/>
              </w:rPr>
              <w:t>P</w:t>
            </w:r>
            <w:r w:rsidRPr="008B4649">
              <w:rPr>
                <w:sz w:val="20"/>
                <w:szCs w:val="20"/>
              </w:rPr>
              <w:t>repare proposed and final decision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6</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12</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16</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18</w:t>
            </w:r>
          </w:p>
        </w:tc>
      </w:tr>
      <w:tr w:rsidR="00397365" w:rsidTr="001A641D">
        <w:trPr>
          <w:trHeight w:val="300"/>
        </w:trPr>
        <w:tc>
          <w:tcPr>
            <w:tcW w:w="5000" w:type="pct"/>
            <w:gridSpan w:val="10"/>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noWrap/>
            <w:vAlign w:val="bottom"/>
            <w:hideMark/>
          </w:tcPr>
          <w:p w:rsidR="001A641D" w:rsidRPr="002814BE" w:rsidRDefault="007E5C0A" w:rsidP="001A641D">
            <w:pPr>
              <w:spacing w:before="120" w:after="120"/>
              <w:jc w:val="center"/>
              <w:rPr>
                <w:color w:val="7030A0"/>
                <w:sz w:val="20"/>
                <w:szCs w:val="20"/>
                <w:highlight w:val="yellow"/>
              </w:rPr>
            </w:pPr>
            <w:r>
              <w:rPr>
                <w:sz w:val="20"/>
                <w:szCs w:val="20"/>
              </w:rPr>
              <w:t>Post approval action management plans</w:t>
            </w:r>
          </w:p>
        </w:tc>
      </w:tr>
      <w:tr w:rsidR="00397365" w:rsidTr="001A641D">
        <w:tblPrEx>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PrEx>
        <w:trPr>
          <w:trHeight w:val="330"/>
        </w:trPr>
        <w:tc>
          <w:tcPr>
            <w:tcW w:w="2788"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Default="007E5C0A" w:rsidP="001A641D">
            <w:pPr>
              <w:spacing w:before="120" w:after="120"/>
              <w:ind w:left="360"/>
              <w:rPr>
                <w:sz w:val="20"/>
                <w:szCs w:val="20"/>
              </w:rPr>
            </w:pPr>
            <w:r>
              <w:rPr>
                <w:sz w:val="20"/>
                <w:szCs w:val="20"/>
              </w:rPr>
              <w:t>Evaluation of new action management plan</w:t>
            </w:r>
          </w:p>
        </w:tc>
        <w:tc>
          <w:tcPr>
            <w:tcW w:w="553" w:type="pct"/>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35</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63</w:t>
            </w:r>
          </w:p>
        </w:tc>
        <w:tc>
          <w:tcPr>
            <w:tcW w:w="553"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83</w:t>
            </w:r>
          </w:p>
        </w:tc>
        <w:tc>
          <w:tcPr>
            <w:tcW w:w="553" w:type="pct"/>
            <w:tcBorders>
              <w:top w:val="single" w:sz="4" w:space="0" w:color="548DD4" w:themeColor="text2" w:themeTint="99"/>
              <w:left w:val="nil"/>
              <w:bottom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115</w:t>
            </w:r>
          </w:p>
        </w:tc>
      </w:tr>
    </w:tbl>
    <w:p w:rsidR="001A641D" w:rsidRDefault="007E5C0A" w:rsidP="001A641D">
      <w:pPr>
        <w:pStyle w:val="Caption"/>
        <w:keepNext/>
      </w:pPr>
      <w:bookmarkStart w:id="3299" w:name="_Ref457986350"/>
      <w:bookmarkStart w:id="3300" w:name="_Toc256000429"/>
      <w:bookmarkStart w:id="3301" w:name="_Toc256000321"/>
      <w:bookmarkStart w:id="3302" w:name="_Toc256000213"/>
      <w:bookmarkStart w:id="3303" w:name="_Toc256000105"/>
      <w:bookmarkStart w:id="3304" w:name="_Toc458170608"/>
      <w:bookmarkStart w:id="3305" w:name="_Toc344895164"/>
      <w:bookmarkStart w:id="3306" w:name="_Ref344903542"/>
      <w:bookmarkStart w:id="3307" w:name="_Ref344987350"/>
      <w:bookmarkStart w:id="3308" w:name="_Ref344987360"/>
      <w:bookmarkStart w:id="3309" w:name="_Toc346285340"/>
      <w:r>
        <w:t xml:space="preserve">Table </w:t>
      </w:r>
      <w:r w:rsidR="003366B4">
        <w:fldChar w:fldCharType="begin"/>
      </w:r>
      <w:r>
        <w:instrText xml:space="preserve"> SEQ Table \* ARABIC </w:instrText>
      </w:r>
      <w:r w:rsidR="003366B4">
        <w:fldChar w:fldCharType="separate"/>
      </w:r>
      <w:r w:rsidR="00FF3730">
        <w:rPr>
          <w:noProof/>
        </w:rPr>
        <w:t>20</w:t>
      </w:r>
      <w:r w:rsidR="003366B4">
        <w:rPr>
          <w:noProof/>
        </w:rPr>
        <w:fldChar w:fldCharType="end"/>
      </w:r>
      <w:bookmarkEnd w:id="3299"/>
      <w:r>
        <w:t xml:space="preserve">. </w:t>
      </w:r>
      <w:r w:rsidRPr="00250128">
        <w:t xml:space="preserve">Contingent </w:t>
      </w:r>
      <w:r>
        <w:t>activities</w:t>
      </w:r>
      <w:r w:rsidRPr="00250128">
        <w:t xml:space="preserve"> – estimated activity volume.</w:t>
      </w:r>
      <w:bookmarkEnd w:id="3300"/>
      <w:bookmarkEnd w:id="3301"/>
      <w:bookmarkEnd w:id="3302"/>
      <w:bookmarkEnd w:id="3303"/>
      <w:bookmarkEnd w:id="3304"/>
    </w:p>
    <w:tbl>
      <w:tblPr>
        <w:tblW w:w="5000" w:type="pct"/>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tblBorders>
        <w:tblLook w:val="04A0" w:firstRow="1" w:lastRow="0" w:firstColumn="1" w:lastColumn="0" w:noHBand="0" w:noVBand="1"/>
      </w:tblPr>
      <w:tblGrid>
        <w:gridCol w:w="5354"/>
        <w:gridCol w:w="1126"/>
        <w:gridCol w:w="1125"/>
        <w:gridCol w:w="1125"/>
        <w:gridCol w:w="1125"/>
      </w:tblGrid>
      <w:tr w:rsidR="00397365" w:rsidTr="001A641D">
        <w:trPr>
          <w:cantSplit/>
          <w:trHeight w:val="300"/>
          <w:tblHeader/>
        </w:trPr>
        <w:tc>
          <w:tcPr>
            <w:tcW w:w="2716" w:type="pct"/>
            <w:vMerge w:val="restart"/>
            <w:tcBorders>
              <w:right w:val="single" w:sz="4" w:space="0" w:color="548DD4" w:themeColor="text2" w:themeTint="99"/>
            </w:tcBorders>
            <w:shd w:val="clear" w:color="auto" w:fill="8DB3E2" w:themeFill="text2" w:themeFillTint="66"/>
            <w:vAlign w:val="center"/>
            <w:hideMark/>
          </w:tcPr>
          <w:p w:rsidR="001A641D" w:rsidRDefault="007E5C0A" w:rsidP="001A641D">
            <w:pPr>
              <w:spacing w:before="120" w:after="120"/>
              <w:jc w:val="center"/>
              <w:rPr>
                <w:b/>
                <w:sz w:val="20"/>
                <w:szCs w:val="20"/>
              </w:rPr>
            </w:pPr>
            <w:r w:rsidRPr="00183651">
              <w:rPr>
                <w:b/>
                <w:sz w:val="20"/>
                <w:szCs w:val="20"/>
              </w:rPr>
              <w:t>Activity</w:t>
            </w:r>
          </w:p>
        </w:tc>
        <w:tc>
          <w:tcPr>
            <w:tcW w:w="2284" w:type="pct"/>
            <w:gridSpan w:val="4"/>
            <w:tcBorders>
              <w:left w:val="single" w:sz="4" w:space="0" w:color="548DD4" w:themeColor="text2" w:themeTint="99"/>
              <w:bottom w:val="single" w:sz="4" w:space="0" w:color="548DD4" w:themeColor="text2" w:themeTint="99"/>
            </w:tcBorders>
            <w:shd w:val="clear" w:color="auto" w:fill="8DB3E2" w:themeFill="text2" w:themeFillTint="66"/>
            <w:noWrap/>
            <w:vAlign w:val="center"/>
            <w:hideMark/>
          </w:tcPr>
          <w:p w:rsidR="001A641D" w:rsidRPr="00183651" w:rsidRDefault="007E5C0A" w:rsidP="001A641D">
            <w:pPr>
              <w:spacing w:before="120" w:after="120"/>
              <w:jc w:val="center"/>
              <w:rPr>
                <w:b/>
                <w:sz w:val="20"/>
                <w:szCs w:val="20"/>
              </w:rPr>
            </w:pPr>
            <w:r w:rsidRPr="00183651">
              <w:rPr>
                <w:b/>
                <w:sz w:val="20"/>
                <w:szCs w:val="20"/>
              </w:rPr>
              <w:t>Estimated activity volume</w:t>
            </w:r>
          </w:p>
        </w:tc>
      </w:tr>
      <w:tr w:rsidR="00397365" w:rsidTr="001A641D">
        <w:trPr>
          <w:trHeight w:val="300"/>
          <w:tblHeader/>
        </w:trPr>
        <w:tc>
          <w:tcPr>
            <w:tcW w:w="2716" w:type="pct"/>
            <w:vMerge/>
            <w:tcBorders>
              <w:right w:val="single" w:sz="4" w:space="0" w:color="548DD4" w:themeColor="text2" w:themeTint="99"/>
            </w:tcBorders>
            <w:shd w:val="clear" w:color="auto" w:fill="8DB3E2" w:themeFill="text2" w:themeFillTint="66"/>
            <w:vAlign w:val="center"/>
            <w:hideMark/>
          </w:tcPr>
          <w:p w:rsidR="001A641D" w:rsidRDefault="001A641D" w:rsidP="001A641D">
            <w:pPr>
              <w:spacing w:before="120" w:after="120"/>
              <w:jc w:val="center"/>
              <w:rPr>
                <w:b/>
                <w:sz w:val="20"/>
                <w:szCs w:val="20"/>
              </w:rPr>
            </w:pPr>
          </w:p>
        </w:tc>
        <w:tc>
          <w:tcPr>
            <w:tcW w:w="571" w:type="pct"/>
            <w:tcBorders>
              <w:top w:val="single" w:sz="4" w:space="0" w:color="548DD4" w:themeColor="text2" w:themeTint="99"/>
              <w:left w:val="single" w:sz="4" w:space="0" w:color="548DD4" w:themeColor="text2" w:themeTint="99"/>
            </w:tcBorders>
            <w:shd w:val="clear" w:color="auto" w:fill="8DB3E2" w:themeFill="text2" w:themeFillTint="66"/>
            <w:noWrap/>
            <w:vAlign w:val="center"/>
            <w:hideMark/>
          </w:tcPr>
          <w:p w:rsidR="001A641D" w:rsidRDefault="007E5C0A" w:rsidP="001A641D">
            <w:pPr>
              <w:spacing w:before="120" w:after="120"/>
              <w:jc w:val="center"/>
              <w:rPr>
                <w:rFonts w:cs="Arial"/>
                <w:b/>
                <w:sz w:val="20"/>
                <w:szCs w:val="20"/>
                <w:highlight w:val="yellow"/>
              </w:rPr>
            </w:pPr>
            <w:r w:rsidRPr="00183651">
              <w:rPr>
                <w:rFonts w:cs="Arial"/>
                <w:b/>
                <w:sz w:val="20"/>
                <w:szCs w:val="20"/>
              </w:rPr>
              <w:t>2016-17</w:t>
            </w:r>
          </w:p>
        </w:tc>
        <w:tc>
          <w:tcPr>
            <w:tcW w:w="571" w:type="pct"/>
            <w:tcBorders>
              <w:top w:val="single" w:sz="4" w:space="0" w:color="548DD4" w:themeColor="text2" w:themeTint="99"/>
              <w:left w:val="single" w:sz="4" w:space="0" w:color="548DD4" w:themeColor="text2" w:themeTint="99"/>
            </w:tcBorders>
            <w:shd w:val="clear" w:color="auto" w:fill="8DB3E2" w:themeFill="text2" w:themeFillTint="66"/>
          </w:tcPr>
          <w:p w:rsidR="001A641D" w:rsidRPr="00A264DA" w:rsidRDefault="007E5C0A" w:rsidP="001A641D">
            <w:pPr>
              <w:spacing w:before="120" w:after="120"/>
              <w:jc w:val="center"/>
              <w:rPr>
                <w:rFonts w:cs="Arial"/>
                <w:b/>
                <w:sz w:val="20"/>
                <w:szCs w:val="20"/>
              </w:rPr>
            </w:pPr>
            <w:r w:rsidRPr="00A264DA">
              <w:rPr>
                <w:rFonts w:cs="Arial"/>
                <w:b/>
                <w:sz w:val="20"/>
                <w:szCs w:val="20"/>
              </w:rPr>
              <w:t>2017-18</w:t>
            </w:r>
          </w:p>
        </w:tc>
        <w:tc>
          <w:tcPr>
            <w:tcW w:w="571" w:type="pct"/>
            <w:tcBorders>
              <w:top w:val="single" w:sz="4" w:space="0" w:color="548DD4" w:themeColor="text2" w:themeTint="99"/>
              <w:left w:val="single" w:sz="4" w:space="0" w:color="548DD4" w:themeColor="text2" w:themeTint="99"/>
            </w:tcBorders>
            <w:shd w:val="clear" w:color="auto" w:fill="8DB3E2" w:themeFill="text2" w:themeFillTint="66"/>
          </w:tcPr>
          <w:p w:rsidR="001A641D" w:rsidRPr="00A264DA" w:rsidRDefault="007E5C0A" w:rsidP="001A641D">
            <w:pPr>
              <w:spacing w:before="120" w:after="120"/>
              <w:jc w:val="center"/>
              <w:rPr>
                <w:rFonts w:cs="Arial"/>
                <w:b/>
                <w:sz w:val="20"/>
                <w:szCs w:val="20"/>
              </w:rPr>
            </w:pPr>
            <w:r w:rsidRPr="00A264DA">
              <w:rPr>
                <w:rFonts w:cs="Arial"/>
                <w:b/>
                <w:sz w:val="20"/>
                <w:szCs w:val="20"/>
              </w:rPr>
              <w:t>2018-19</w:t>
            </w:r>
          </w:p>
        </w:tc>
        <w:tc>
          <w:tcPr>
            <w:tcW w:w="571" w:type="pct"/>
            <w:tcBorders>
              <w:top w:val="single" w:sz="4" w:space="0" w:color="548DD4" w:themeColor="text2" w:themeTint="99"/>
              <w:left w:val="single" w:sz="4" w:space="0" w:color="548DD4" w:themeColor="text2" w:themeTint="99"/>
            </w:tcBorders>
            <w:shd w:val="clear" w:color="auto" w:fill="8DB3E2" w:themeFill="text2" w:themeFillTint="66"/>
          </w:tcPr>
          <w:p w:rsidR="001A641D" w:rsidRPr="00A264DA" w:rsidRDefault="007E5C0A" w:rsidP="001A641D">
            <w:pPr>
              <w:spacing w:before="120" w:after="120"/>
              <w:jc w:val="center"/>
              <w:rPr>
                <w:rFonts w:cs="Arial"/>
                <w:b/>
                <w:sz w:val="20"/>
                <w:szCs w:val="20"/>
              </w:rPr>
            </w:pPr>
            <w:r w:rsidRPr="00A264DA">
              <w:rPr>
                <w:rFonts w:cs="Arial"/>
                <w:b/>
                <w:sz w:val="20"/>
                <w:szCs w:val="20"/>
              </w:rPr>
              <w:t>2019-20</w:t>
            </w:r>
          </w:p>
        </w:tc>
      </w:tr>
      <w:tr w:rsidR="00397365" w:rsidTr="001A641D">
        <w:trPr>
          <w:trHeight w:val="300"/>
          <w:tblHeader/>
        </w:trPr>
        <w:tc>
          <w:tcPr>
            <w:tcW w:w="5000" w:type="pct"/>
            <w:gridSpan w:val="5"/>
            <w:shd w:val="clear" w:color="auto" w:fill="B8CCE4" w:themeFill="accent1" w:themeFillTint="66"/>
            <w:vAlign w:val="center"/>
            <w:hideMark/>
          </w:tcPr>
          <w:p w:rsidR="001A641D" w:rsidRPr="00CB01C0" w:rsidRDefault="007E5C0A" w:rsidP="001A641D">
            <w:pPr>
              <w:spacing w:before="120" w:after="120"/>
              <w:rPr>
                <w:i/>
                <w:color w:val="7030A0"/>
                <w:sz w:val="20"/>
                <w:szCs w:val="20"/>
              </w:rPr>
            </w:pPr>
            <w:r w:rsidRPr="00183651">
              <w:rPr>
                <w:i/>
                <w:sz w:val="20"/>
                <w:szCs w:val="20"/>
              </w:rPr>
              <w:t xml:space="preserve">Assessment contingent </w:t>
            </w:r>
            <w:r>
              <w:rPr>
                <w:i/>
                <w:sz w:val="20"/>
                <w:szCs w:val="20"/>
              </w:rPr>
              <w:t>activities</w:t>
            </w:r>
          </w:p>
        </w:tc>
      </w:tr>
      <w:tr w:rsidR="00397365" w:rsidTr="001A641D">
        <w:trPr>
          <w:trHeight w:val="300"/>
          <w:tblHeader/>
        </w:trPr>
        <w:tc>
          <w:tcPr>
            <w:tcW w:w="2716" w:type="pct"/>
            <w:tcBorders>
              <w:right w:val="single" w:sz="4" w:space="0" w:color="548DD4" w:themeColor="text2" w:themeTint="99"/>
            </w:tcBorders>
            <w:shd w:val="clear" w:color="auto" w:fill="auto"/>
            <w:vAlign w:val="bottom"/>
            <w:hideMark/>
          </w:tcPr>
          <w:p w:rsidR="001A641D" w:rsidRDefault="007E5C0A" w:rsidP="001A641D">
            <w:pPr>
              <w:spacing w:before="120" w:after="120"/>
              <w:rPr>
                <w:rFonts w:cs="Arial"/>
                <w:color w:val="000000"/>
                <w:sz w:val="20"/>
                <w:szCs w:val="20"/>
              </w:rPr>
            </w:pPr>
            <w:r w:rsidRPr="00B04AF0">
              <w:rPr>
                <w:rFonts w:cs="Arial"/>
                <w:color w:val="000000"/>
                <w:sz w:val="20"/>
                <w:szCs w:val="20"/>
              </w:rPr>
              <w:t>Request additional information</w:t>
            </w:r>
            <w:r>
              <w:rPr>
                <w:rFonts w:cs="Arial"/>
                <w:color w:val="000000"/>
                <w:sz w:val="20"/>
                <w:szCs w:val="20"/>
              </w:rPr>
              <w:t xml:space="preserve"> </w:t>
            </w:r>
            <w:r>
              <w:rPr>
                <w:sz w:val="20"/>
                <w:szCs w:val="20"/>
                <w:lang w:eastAsia="en-AU"/>
              </w:rPr>
              <w:t>for referral or assessment approach decision or approval decision (assessment on referral information, preliminary documentation or bilateral/accredited assessment)</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14</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15</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19</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19</w:t>
            </w:r>
          </w:p>
        </w:tc>
      </w:tr>
      <w:tr w:rsidR="00397365" w:rsidTr="001A641D">
        <w:trPr>
          <w:trHeight w:val="300"/>
          <w:tblHeader/>
        </w:trPr>
        <w:tc>
          <w:tcPr>
            <w:tcW w:w="2716" w:type="pct"/>
            <w:tcBorders>
              <w:right w:val="single" w:sz="4" w:space="0" w:color="548DD4" w:themeColor="text2" w:themeTint="99"/>
            </w:tcBorders>
            <w:shd w:val="clear" w:color="auto" w:fill="auto"/>
            <w:vAlign w:val="bottom"/>
            <w:hideMark/>
          </w:tcPr>
          <w:p w:rsidR="001A641D" w:rsidRDefault="007E5C0A" w:rsidP="001A641D">
            <w:pPr>
              <w:spacing w:before="120" w:after="120"/>
              <w:rPr>
                <w:rFonts w:cs="Arial"/>
                <w:color w:val="000000"/>
                <w:sz w:val="20"/>
                <w:szCs w:val="20"/>
              </w:rPr>
            </w:pPr>
            <w:r w:rsidRPr="00B04AF0">
              <w:rPr>
                <w:rFonts w:cs="Arial"/>
                <w:color w:val="000000"/>
                <w:sz w:val="20"/>
                <w:szCs w:val="20"/>
              </w:rPr>
              <w:t>Request additional information</w:t>
            </w:r>
            <w:r>
              <w:rPr>
                <w:rFonts w:cs="Arial"/>
                <w:color w:val="000000"/>
                <w:sz w:val="20"/>
                <w:szCs w:val="20"/>
              </w:rPr>
              <w:t xml:space="preserve"> </w:t>
            </w:r>
            <w:r>
              <w:rPr>
                <w:sz w:val="20"/>
                <w:szCs w:val="20"/>
                <w:lang w:eastAsia="en-AU"/>
              </w:rPr>
              <w:t>for approval decision</w:t>
            </w:r>
            <w:r w:rsidRPr="00B04AF0">
              <w:rPr>
                <w:rFonts w:cs="Arial"/>
                <w:color w:val="000000"/>
                <w:sz w:val="20"/>
                <w:szCs w:val="20"/>
              </w:rPr>
              <w:t xml:space="preserve"> (environmental impact statement/public environment report)</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1</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3</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4</w:t>
            </w:r>
          </w:p>
        </w:tc>
      </w:tr>
      <w:tr w:rsidR="00397365" w:rsidTr="001A641D">
        <w:trPr>
          <w:trHeight w:val="300"/>
          <w:tblHeader/>
        </w:trPr>
        <w:tc>
          <w:tcPr>
            <w:tcW w:w="2716" w:type="pct"/>
            <w:tcBorders>
              <w:right w:val="single" w:sz="4" w:space="0" w:color="548DD4" w:themeColor="text2" w:themeTint="99"/>
            </w:tcBorders>
            <w:shd w:val="clear" w:color="auto" w:fill="auto"/>
            <w:vAlign w:val="bottom"/>
            <w:hideMark/>
          </w:tcPr>
          <w:p w:rsidR="001A641D" w:rsidRDefault="007E5C0A" w:rsidP="001A641D">
            <w:pPr>
              <w:spacing w:before="120" w:after="120"/>
              <w:rPr>
                <w:rFonts w:cs="Arial"/>
                <w:color w:val="000000"/>
                <w:sz w:val="20"/>
                <w:szCs w:val="20"/>
              </w:rPr>
            </w:pPr>
            <w:r w:rsidRPr="00A55F57">
              <w:rPr>
                <w:rFonts w:cs="Arial"/>
                <w:color w:val="000000"/>
                <w:sz w:val="20"/>
                <w:szCs w:val="20"/>
              </w:rPr>
              <w:t>Reconsideration of the controlled action decision at the applicant</w:t>
            </w:r>
            <w:r>
              <w:rPr>
                <w:rFonts w:cs="Arial"/>
                <w:color w:val="000000"/>
                <w:sz w:val="20"/>
                <w:szCs w:val="20"/>
              </w:rPr>
              <w:t>’</w:t>
            </w:r>
            <w:r w:rsidRPr="00A55F57">
              <w:rPr>
                <w:rFonts w:cs="Arial"/>
                <w:color w:val="000000"/>
                <w:sz w:val="20"/>
                <w:szCs w:val="20"/>
              </w:rPr>
              <w:t>s request</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3</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3</w:t>
            </w:r>
          </w:p>
        </w:tc>
      </w:tr>
      <w:tr w:rsidR="00397365" w:rsidTr="001A641D">
        <w:trPr>
          <w:trHeight w:val="300"/>
          <w:tblHeader/>
        </w:trPr>
        <w:tc>
          <w:tcPr>
            <w:tcW w:w="2716" w:type="pct"/>
            <w:tcBorders>
              <w:right w:val="single" w:sz="4" w:space="0" w:color="548DD4" w:themeColor="text2" w:themeTint="99"/>
            </w:tcBorders>
            <w:shd w:val="clear" w:color="auto" w:fill="auto"/>
            <w:vAlign w:val="bottom"/>
            <w:hideMark/>
          </w:tcPr>
          <w:p w:rsidR="001A641D" w:rsidRDefault="007E5C0A" w:rsidP="001A641D">
            <w:pPr>
              <w:spacing w:before="120" w:after="120"/>
              <w:rPr>
                <w:rFonts w:cs="Arial"/>
                <w:color w:val="000000"/>
                <w:sz w:val="20"/>
                <w:szCs w:val="20"/>
              </w:rPr>
            </w:pPr>
            <w:r>
              <w:rPr>
                <w:rFonts w:cs="Arial"/>
                <w:color w:val="000000"/>
                <w:sz w:val="20"/>
                <w:szCs w:val="20"/>
              </w:rPr>
              <w:t>Variation to proposed action</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14</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16</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18</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18</w:t>
            </w:r>
          </w:p>
        </w:tc>
      </w:tr>
      <w:tr w:rsidR="00397365" w:rsidTr="001A641D">
        <w:trPr>
          <w:trHeight w:val="300"/>
          <w:tblHeader/>
        </w:trPr>
        <w:tc>
          <w:tcPr>
            <w:tcW w:w="5000" w:type="pct"/>
            <w:gridSpan w:val="5"/>
            <w:shd w:val="clear" w:color="auto" w:fill="B8CCE4" w:themeFill="accent1" w:themeFillTint="66"/>
            <w:vAlign w:val="bottom"/>
            <w:hideMark/>
          </w:tcPr>
          <w:p w:rsidR="001A641D" w:rsidRPr="00CB01C0" w:rsidRDefault="007E5C0A" w:rsidP="001A641D">
            <w:pPr>
              <w:spacing w:before="120" w:after="120"/>
              <w:rPr>
                <w:i/>
                <w:color w:val="7030A0"/>
                <w:sz w:val="20"/>
                <w:szCs w:val="20"/>
              </w:rPr>
            </w:pPr>
            <w:r w:rsidRPr="00183651">
              <w:rPr>
                <w:i/>
                <w:sz w:val="20"/>
                <w:szCs w:val="20"/>
              </w:rPr>
              <w:t xml:space="preserve">Post approval contingent </w:t>
            </w:r>
            <w:r>
              <w:rPr>
                <w:i/>
                <w:sz w:val="20"/>
                <w:szCs w:val="20"/>
              </w:rPr>
              <w:t>activities</w:t>
            </w:r>
          </w:p>
        </w:tc>
      </w:tr>
      <w:tr w:rsidR="00397365" w:rsidTr="001A641D">
        <w:trPr>
          <w:trHeight w:val="300"/>
          <w:tblHeader/>
        </w:trPr>
        <w:tc>
          <w:tcPr>
            <w:tcW w:w="2716" w:type="pct"/>
            <w:tcBorders>
              <w:right w:val="single" w:sz="4" w:space="0" w:color="548DD4" w:themeColor="text2" w:themeTint="99"/>
            </w:tcBorders>
            <w:shd w:val="clear" w:color="auto" w:fill="auto"/>
            <w:vAlign w:val="center"/>
            <w:hideMark/>
          </w:tcPr>
          <w:p w:rsidR="001A641D" w:rsidRDefault="007E5C0A" w:rsidP="001A641D">
            <w:pPr>
              <w:spacing w:before="120" w:after="120"/>
              <w:rPr>
                <w:rFonts w:cs="Arial"/>
                <w:color w:val="000000"/>
                <w:sz w:val="20"/>
                <w:szCs w:val="20"/>
              </w:rPr>
            </w:pPr>
            <w:r w:rsidRPr="00B04AF0">
              <w:rPr>
                <w:rFonts w:cs="Arial"/>
                <w:color w:val="000000"/>
                <w:sz w:val="20"/>
                <w:szCs w:val="20"/>
              </w:rPr>
              <w:t>Variation of conditions</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12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27</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41</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62</w:t>
            </w:r>
          </w:p>
        </w:tc>
      </w:tr>
      <w:tr w:rsidR="00397365" w:rsidTr="001A641D">
        <w:trPr>
          <w:trHeight w:val="330"/>
          <w:tblHeader/>
        </w:trPr>
        <w:tc>
          <w:tcPr>
            <w:tcW w:w="2716" w:type="pct"/>
            <w:tcBorders>
              <w:right w:val="single" w:sz="4" w:space="0" w:color="548DD4" w:themeColor="text2" w:themeTint="99"/>
            </w:tcBorders>
            <w:shd w:val="clear" w:color="auto" w:fill="auto"/>
            <w:vAlign w:val="center"/>
            <w:hideMark/>
          </w:tcPr>
          <w:p w:rsidR="001A641D" w:rsidRDefault="007E5C0A" w:rsidP="001A641D">
            <w:pPr>
              <w:spacing w:before="120" w:after="120"/>
              <w:rPr>
                <w:rFonts w:cs="Arial"/>
                <w:color w:val="000000"/>
                <w:sz w:val="20"/>
                <w:szCs w:val="20"/>
              </w:rPr>
            </w:pPr>
            <w:r w:rsidRPr="00B04AF0">
              <w:rPr>
                <w:rFonts w:cs="Arial"/>
                <w:color w:val="000000"/>
                <w:sz w:val="20"/>
                <w:szCs w:val="20"/>
              </w:rPr>
              <w:t>Variation of a</w:t>
            </w:r>
            <w:r>
              <w:rPr>
                <w:rFonts w:cs="Arial"/>
                <w:color w:val="000000"/>
                <w:sz w:val="20"/>
                <w:szCs w:val="20"/>
              </w:rPr>
              <w:t>n</w:t>
            </w:r>
            <w:r w:rsidRPr="00B04AF0">
              <w:rPr>
                <w:rFonts w:cs="Arial"/>
                <w:color w:val="000000"/>
                <w:sz w:val="20"/>
                <w:szCs w:val="20"/>
              </w:rPr>
              <w:t xml:space="preserve"> action management plan under conditions of approval</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10</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13</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13</w:t>
            </w:r>
          </w:p>
        </w:tc>
      </w:tr>
      <w:tr w:rsidR="00397365" w:rsidTr="001A641D">
        <w:trPr>
          <w:trHeight w:val="330"/>
          <w:tblHeader/>
        </w:trPr>
        <w:tc>
          <w:tcPr>
            <w:tcW w:w="2716" w:type="pct"/>
            <w:tcBorders>
              <w:right w:val="single" w:sz="4" w:space="0" w:color="548DD4" w:themeColor="text2" w:themeTint="99"/>
            </w:tcBorders>
            <w:shd w:val="clear" w:color="auto" w:fill="auto"/>
            <w:vAlign w:val="center"/>
            <w:hideMark/>
          </w:tcPr>
          <w:p w:rsidR="001A641D" w:rsidRDefault="007E5C0A" w:rsidP="001A641D">
            <w:pPr>
              <w:spacing w:before="120" w:after="120"/>
              <w:rPr>
                <w:rFonts w:cs="Arial"/>
                <w:color w:val="000000"/>
                <w:sz w:val="20"/>
                <w:szCs w:val="20"/>
              </w:rPr>
            </w:pPr>
            <w:r w:rsidRPr="00B04AF0">
              <w:rPr>
                <w:rFonts w:cs="Arial"/>
                <w:color w:val="000000"/>
                <w:sz w:val="20"/>
                <w:szCs w:val="20"/>
              </w:rPr>
              <w:t>Administrative variation of a</w:t>
            </w:r>
            <w:r>
              <w:rPr>
                <w:rFonts w:cs="Arial"/>
                <w:color w:val="000000"/>
                <w:sz w:val="20"/>
                <w:szCs w:val="20"/>
              </w:rPr>
              <w:t>n</w:t>
            </w:r>
            <w:r w:rsidRPr="00B04AF0">
              <w:rPr>
                <w:rFonts w:cs="Arial"/>
                <w:color w:val="000000"/>
                <w:sz w:val="20"/>
                <w:szCs w:val="20"/>
              </w:rPr>
              <w:t xml:space="preserve"> action management plan under conditions of approval</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3</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4</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6</w:t>
            </w:r>
          </w:p>
        </w:tc>
      </w:tr>
      <w:tr w:rsidR="00397365" w:rsidTr="001A641D">
        <w:trPr>
          <w:trHeight w:val="330"/>
          <w:tblHeader/>
        </w:trPr>
        <w:tc>
          <w:tcPr>
            <w:tcW w:w="2716" w:type="pct"/>
            <w:tcBorders>
              <w:right w:val="single" w:sz="4" w:space="0" w:color="548DD4" w:themeColor="text2" w:themeTint="99"/>
            </w:tcBorders>
            <w:shd w:val="clear" w:color="auto" w:fill="auto"/>
            <w:vAlign w:val="center"/>
            <w:hideMark/>
          </w:tcPr>
          <w:p w:rsidR="001A641D" w:rsidRDefault="007E5C0A" w:rsidP="001A641D">
            <w:pPr>
              <w:spacing w:before="120" w:after="120"/>
              <w:rPr>
                <w:rFonts w:cs="Arial"/>
                <w:color w:val="000000"/>
                <w:sz w:val="20"/>
                <w:szCs w:val="20"/>
              </w:rPr>
            </w:pPr>
            <w:r>
              <w:rPr>
                <w:rFonts w:cs="Arial"/>
                <w:color w:val="000000"/>
                <w:sz w:val="20"/>
                <w:szCs w:val="20"/>
              </w:rPr>
              <w:t>Transfer of approval to new approval holder</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4</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5</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7</w:t>
            </w:r>
          </w:p>
        </w:tc>
      </w:tr>
      <w:tr w:rsidR="00397365" w:rsidTr="001A641D">
        <w:trPr>
          <w:trHeight w:val="330"/>
          <w:tblHeader/>
        </w:trPr>
        <w:tc>
          <w:tcPr>
            <w:tcW w:w="2716" w:type="pct"/>
            <w:tcBorders>
              <w:right w:val="single" w:sz="4" w:space="0" w:color="548DD4" w:themeColor="text2" w:themeTint="99"/>
            </w:tcBorders>
            <w:shd w:val="clear" w:color="auto" w:fill="auto"/>
            <w:vAlign w:val="center"/>
            <w:hideMark/>
          </w:tcPr>
          <w:p w:rsidR="001A641D" w:rsidRDefault="007E5C0A" w:rsidP="001A641D">
            <w:pPr>
              <w:spacing w:before="120" w:after="120"/>
              <w:rPr>
                <w:rFonts w:cs="Arial"/>
                <w:color w:val="000000"/>
                <w:sz w:val="20"/>
                <w:szCs w:val="20"/>
              </w:rPr>
            </w:pPr>
            <w:r>
              <w:rPr>
                <w:rFonts w:cs="Arial"/>
                <w:color w:val="000000"/>
                <w:sz w:val="20"/>
                <w:szCs w:val="20"/>
              </w:rPr>
              <w:t>Extension to approval expiry date</w:t>
            </w:r>
          </w:p>
        </w:tc>
        <w:tc>
          <w:tcPr>
            <w:tcW w:w="571" w:type="pct"/>
            <w:tcBorders>
              <w:left w:val="single" w:sz="4" w:space="0" w:color="548DD4" w:themeColor="text2" w:themeTint="99"/>
              <w:right w:val="single" w:sz="4" w:space="0" w:color="548DD4" w:themeColor="text2" w:themeTint="99"/>
            </w:tcBorders>
            <w:shd w:val="clear" w:color="auto" w:fill="auto"/>
            <w:noWrap/>
            <w:vAlign w:val="center"/>
            <w:hideMark/>
          </w:tcPr>
          <w:p w:rsidR="001A641D" w:rsidRPr="00A264DA" w:rsidRDefault="007E5C0A" w:rsidP="001A641D">
            <w:pPr>
              <w:spacing w:before="120" w:after="120"/>
              <w:jc w:val="center"/>
              <w:rPr>
                <w:sz w:val="20"/>
                <w:szCs w:val="20"/>
              </w:rPr>
            </w:pPr>
            <w:r w:rsidRPr="00A264DA">
              <w:rPr>
                <w:sz w:val="20"/>
                <w:szCs w:val="20"/>
              </w:rPr>
              <w:t>1</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2</w:t>
            </w:r>
          </w:p>
        </w:tc>
        <w:tc>
          <w:tcPr>
            <w:tcW w:w="571" w:type="pct"/>
            <w:tcBorders>
              <w:left w:val="single" w:sz="4" w:space="0" w:color="548DD4" w:themeColor="text2" w:themeTint="99"/>
              <w:righ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3</w:t>
            </w:r>
          </w:p>
        </w:tc>
        <w:tc>
          <w:tcPr>
            <w:tcW w:w="571" w:type="pct"/>
            <w:tcBorders>
              <w:left w:val="single" w:sz="4" w:space="0" w:color="548DD4" w:themeColor="text2" w:themeTint="99"/>
            </w:tcBorders>
            <w:vAlign w:val="center"/>
          </w:tcPr>
          <w:p w:rsidR="001A641D" w:rsidRPr="00A264DA" w:rsidRDefault="007E5C0A" w:rsidP="001A641D">
            <w:pPr>
              <w:spacing w:before="120" w:after="120"/>
              <w:jc w:val="center"/>
              <w:rPr>
                <w:sz w:val="20"/>
                <w:szCs w:val="20"/>
              </w:rPr>
            </w:pPr>
            <w:r w:rsidRPr="00A264DA">
              <w:rPr>
                <w:sz w:val="20"/>
                <w:szCs w:val="20"/>
              </w:rPr>
              <w:t>4</w:t>
            </w:r>
          </w:p>
        </w:tc>
      </w:tr>
    </w:tbl>
    <w:p w:rsidR="001A641D" w:rsidRPr="00652D85" w:rsidRDefault="001A641D" w:rsidP="001A641D"/>
    <w:p w:rsidR="001A641D" w:rsidRDefault="007E5C0A" w:rsidP="001A641D">
      <w:pPr>
        <w:pStyle w:val="Heading2"/>
      </w:pPr>
      <w:bookmarkStart w:id="3310" w:name="_Toc256000377"/>
      <w:bookmarkStart w:id="3311" w:name="_Toc256000269"/>
      <w:bookmarkStart w:id="3312" w:name="_Toc256000161"/>
      <w:bookmarkStart w:id="3313" w:name="_Toc256000053"/>
      <w:bookmarkStart w:id="3314" w:name="_Toc458170557"/>
      <w:bookmarkEnd w:id="3305"/>
      <w:bookmarkEnd w:id="3306"/>
      <w:bookmarkEnd w:id="3307"/>
      <w:bookmarkEnd w:id="3308"/>
      <w:bookmarkEnd w:id="3309"/>
      <w:r w:rsidRPr="00FC12C4">
        <w:t>Volume and/or demand assumptions</w:t>
      </w:r>
      <w:r>
        <w:t xml:space="preserve"> – strategic assessments</w:t>
      </w:r>
      <w:bookmarkEnd w:id="3310"/>
      <w:bookmarkEnd w:id="3311"/>
      <w:bookmarkEnd w:id="3312"/>
      <w:bookmarkEnd w:id="3313"/>
      <w:bookmarkEnd w:id="3314"/>
    </w:p>
    <w:p w:rsidR="001A641D" w:rsidRDefault="007E5C0A" w:rsidP="001A641D">
      <w:r w:rsidRPr="00FC12C4">
        <w:t xml:space="preserve">Demand for cost recovered strategic assessments under a ‘fee for service’ model is difficult to predict. </w:t>
      </w:r>
      <w:r w:rsidRPr="003B4038">
        <w:t>The Department will manage demand for budget funded strategic assessments by communicating the resource capacity to undertake additional assessments with stakeholders as pro</w:t>
      </w:r>
      <w:r>
        <w:t>ject</w:t>
      </w:r>
      <w:r w:rsidRPr="003B4038">
        <w:t xml:space="preserve">s come forward. Given the tendency for </w:t>
      </w:r>
      <w:r>
        <w:t>applicant</w:t>
      </w:r>
      <w:r w:rsidRPr="003B4038">
        <w:t xml:space="preserve">s of strategic assessments to engage early with the Department to negotiate a strategic assessment, this will provide sufficient lead time for the Department to manage demand for projects (both budget funded and cost recovered). </w:t>
      </w:r>
    </w:p>
    <w:p w:rsidR="001A641D" w:rsidRPr="003B4038" w:rsidRDefault="007E5C0A" w:rsidP="001A641D">
      <w:r>
        <w:t>There are no cost-recovered strategic assessments forecast for 2016-17.</w:t>
      </w:r>
    </w:p>
    <w:p w:rsidR="001A641D" w:rsidRDefault="007E5C0A">
      <w:pPr>
        <w:spacing w:after="0" w:line="240" w:lineRule="auto"/>
        <w:rPr>
          <w:rFonts w:cs="Arial"/>
          <w:b/>
        </w:rPr>
      </w:pPr>
      <w:bookmarkStart w:id="3315" w:name="_Toc343850280"/>
      <w:bookmarkStart w:id="3316" w:name="_Toc344895163"/>
      <w:bookmarkStart w:id="3317" w:name="_Toc346285339"/>
      <w:r>
        <w:br w:type="page"/>
      </w:r>
    </w:p>
    <w:p w:rsidR="001A641D" w:rsidRPr="00200CBE" w:rsidRDefault="007E5C0A" w:rsidP="001A641D">
      <w:pPr>
        <w:pStyle w:val="Heading2"/>
      </w:pPr>
      <w:bookmarkStart w:id="3318" w:name="_Toc256000378"/>
      <w:bookmarkStart w:id="3319" w:name="_Toc256000270"/>
      <w:bookmarkStart w:id="3320" w:name="_Toc256000162"/>
      <w:bookmarkStart w:id="3321" w:name="_Toc256000054"/>
      <w:bookmarkStart w:id="3322" w:name="_Toc458170558"/>
      <w:r w:rsidRPr="00200CBE">
        <w:t>Projected revenue and expenses</w:t>
      </w:r>
      <w:bookmarkEnd w:id="3315"/>
      <w:bookmarkEnd w:id="3316"/>
      <w:bookmarkEnd w:id="3317"/>
      <w:bookmarkEnd w:id="3318"/>
      <w:bookmarkEnd w:id="3319"/>
      <w:bookmarkEnd w:id="3320"/>
      <w:bookmarkEnd w:id="3321"/>
      <w:bookmarkEnd w:id="3322"/>
      <w:r w:rsidRPr="00200CBE">
        <w:t xml:space="preserve"> </w:t>
      </w:r>
    </w:p>
    <w:p w:rsidR="001A641D" w:rsidRDefault="007E5C0A" w:rsidP="001A641D">
      <w:pPr>
        <w:rPr>
          <w:color w:val="000000" w:themeColor="text1"/>
        </w:rPr>
      </w:pPr>
      <w:r w:rsidRPr="00200CBE">
        <w:t xml:space="preserve">Projected revenue and expenses are based on the cost/fee of each activity being applied to the forecast demand for relevant activity when statutory decision points (fee points) fall within a corresponding financial year. </w:t>
      </w:r>
      <w:r w:rsidRPr="000209BC">
        <w:t xml:space="preserve">Demand for </w:t>
      </w:r>
      <w:r>
        <w:t>2016-17</w:t>
      </w:r>
      <w:r w:rsidRPr="000209BC">
        <w:t xml:space="preserve"> is based on the activity volumes </w:t>
      </w:r>
      <w:r>
        <w:t>for the year ended 30 September 2015 (i.e. the first full year since the commencement of cost recovery), adjusted to take into account lower than average referral numbers during this first full year and a higher than expected number of exemptions from cost recovery for individuals and small businesses</w:t>
      </w:r>
      <w:r w:rsidRPr="000209BC">
        <w:rPr>
          <w:color w:val="000000" w:themeColor="text1"/>
        </w:rPr>
        <w:t>.</w:t>
      </w:r>
      <w:r>
        <w:rPr>
          <w:color w:val="000000" w:themeColor="text1"/>
        </w:rPr>
        <w:t xml:space="preserve"> </w:t>
      </w:r>
    </w:p>
    <w:p w:rsidR="001A641D" w:rsidRPr="00011D3F" w:rsidRDefault="007E5C0A" w:rsidP="001A641D">
      <w:r>
        <w:t>T</w:t>
      </w:r>
      <w:r w:rsidRPr="000A1DDA">
        <w:t xml:space="preserve">he forecast assumes </w:t>
      </w:r>
      <w:r>
        <w:t>some</w:t>
      </w:r>
      <w:r w:rsidRPr="000A1DDA">
        <w:t xml:space="preserve"> assessment approaches </w:t>
      </w:r>
      <w:r>
        <w:t>are likely to include</w:t>
      </w:r>
      <w:r w:rsidRPr="000A1DDA">
        <w:t xml:space="preserve"> </w:t>
      </w:r>
      <w:r>
        <w:t xml:space="preserve">greater amounts of </w:t>
      </w:r>
      <w:r w:rsidRPr="000A1DDA">
        <w:t>high</w:t>
      </w:r>
      <w:r>
        <w:t>er</w:t>
      </w:r>
      <w:r w:rsidRPr="000A1DDA">
        <w:t xml:space="preserve"> complexity </w:t>
      </w:r>
      <w:r>
        <w:t>projects than other assessment approaches</w:t>
      </w:r>
      <w:r w:rsidRPr="000A1DDA">
        <w:t>. The proportion of low</w:t>
      </w:r>
      <w:r>
        <w:t>est</w:t>
      </w:r>
      <w:r w:rsidRPr="000A1DDA">
        <w:t xml:space="preserve"> complexity (i.e. only base </w:t>
      </w:r>
      <w:r>
        <w:t>activities</w:t>
      </w:r>
      <w:r w:rsidRPr="000A1DDA">
        <w:t xml:space="preserve"> with </w:t>
      </w:r>
      <w:r>
        <w:t>minimal complexity</w:t>
      </w:r>
      <w:r w:rsidRPr="000A1DDA">
        <w:t>) and high</w:t>
      </w:r>
      <w:r>
        <w:t>er</w:t>
      </w:r>
      <w:r w:rsidRPr="000A1DDA">
        <w:t xml:space="preserve"> complexity</w:t>
      </w:r>
      <w:r>
        <w:t xml:space="preserve"> (i.e. projects with a number of complexity elements in addition to the base activities)</w:t>
      </w:r>
      <w:r w:rsidRPr="000A1DDA">
        <w:t xml:space="preserve"> assessments for each assessment approach has been assumed </w:t>
      </w:r>
      <w:r>
        <w:t xml:space="preserve">to be </w:t>
      </w:r>
      <w:r w:rsidRPr="000A1DDA">
        <w:t>as follows:</w:t>
      </w:r>
    </w:p>
    <w:p w:rsidR="001A641D" w:rsidRDefault="007E5C0A" w:rsidP="001A641D">
      <w:pPr>
        <w:pStyle w:val="ListBullet"/>
      </w:pPr>
      <w:r w:rsidRPr="000A1DDA">
        <w:t>Preliminary documentation assessments: 75% low</w:t>
      </w:r>
      <w:r>
        <w:t>est</w:t>
      </w:r>
      <w:r w:rsidRPr="000A1DDA">
        <w:t xml:space="preserve"> complexity, 25% high</w:t>
      </w:r>
      <w:r>
        <w:t>er</w:t>
      </w:r>
      <w:r w:rsidRPr="000A1DDA">
        <w:t xml:space="preserve"> complexity</w:t>
      </w:r>
    </w:p>
    <w:p w:rsidR="001A641D" w:rsidRDefault="007E5C0A" w:rsidP="001A641D">
      <w:pPr>
        <w:pStyle w:val="ListBullet"/>
      </w:pPr>
      <w:r>
        <w:t xml:space="preserve">Environmental Impact Statement (‘EIS’) / Public Environment Report (‘PER’) </w:t>
      </w:r>
      <w:r w:rsidRPr="000A1DDA">
        <w:t>assessments: 20% low</w:t>
      </w:r>
      <w:r>
        <w:t>est</w:t>
      </w:r>
      <w:r w:rsidRPr="000A1DDA">
        <w:t xml:space="preserve"> complexity, 80% high</w:t>
      </w:r>
      <w:r>
        <w:t>er</w:t>
      </w:r>
      <w:r w:rsidRPr="000A1DDA">
        <w:t xml:space="preserve"> complexity</w:t>
      </w:r>
    </w:p>
    <w:p w:rsidR="001A641D" w:rsidRDefault="007E5C0A" w:rsidP="001A641D">
      <w:pPr>
        <w:pStyle w:val="ListBullet"/>
      </w:pPr>
      <w:r w:rsidRPr="000A1DDA">
        <w:t>Bilateral agreement assessments: 60% low</w:t>
      </w:r>
      <w:r>
        <w:t>est</w:t>
      </w:r>
      <w:r w:rsidRPr="000A1DDA">
        <w:t xml:space="preserve"> complexity, 40% high</w:t>
      </w:r>
      <w:r>
        <w:t>er</w:t>
      </w:r>
      <w:r w:rsidRPr="000A1DDA">
        <w:t xml:space="preserve"> complexity</w:t>
      </w:r>
      <w:r>
        <w:t>.</w:t>
      </w:r>
    </w:p>
    <w:p w:rsidR="001A641D" w:rsidRDefault="007E5C0A" w:rsidP="001A641D">
      <w:r>
        <w:t>The total costs associated with assessing a project of higher complexity vary with assessment approach. Specifically, the total cost of assessing a higher complexity project by assessment on preliminary documentation is significantly lower than the total cost of assessing a higher complexity project using an EIS, PER or bilateral agreement assessment. Accordingly, the forecast has assumed that t</w:t>
      </w:r>
      <w:r w:rsidRPr="000A1DDA">
        <w:t xml:space="preserve">he cost of an assessment on preliminary documentation of </w:t>
      </w:r>
      <w:r>
        <w:t xml:space="preserve">a </w:t>
      </w:r>
      <w:r w:rsidRPr="000A1DDA">
        <w:t>high</w:t>
      </w:r>
      <w:r>
        <w:t>er</w:t>
      </w:r>
      <w:r w:rsidRPr="000A1DDA">
        <w:t xml:space="preserve"> complexity </w:t>
      </w:r>
      <w:r>
        <w:t xml:space="preserve">project </w:t>
      </w:r>
      <w:r w:rsidRPr="000A1DDA">
        <w:t xml:space="preserve">will </w:t>
      </w:r>
      <w:r>
        <w:t xml:space="preserve">be the same as the cost of assessing a </w:t>
      </w:r>
      <w:r w:rsidRPr="000A1DDA">
        <w:t>low</w:t>
      </w:r>
      <w:r>
        <w:t>est</w:t>
      </w:r>
      <w:r w:rsidRPr="000A1DDA">
        <w:t xml:space="preserve"> complexity </w:t>
      </w:r>
      <w:r>
        <w:t xml:space="preserve">project by an </w:t>
      </w:r>
      <w:r w:rsidRPr="000A1DDA">
        <w:t xml:space="preserve">EIS </w:t>
      </w:r>
      <w:r>
        <w:t>or</w:t>
      </w:r>
      <w:r w:rsidRPr="000A1DDA">
        <w:t xml:space="preserve"> PER assessment</w:t>
      </w:r>
      <w:r>
        <w:t xml:space="preserve"> method</w:t>
      </w:r>
      <w:r w:rsidRPr="000A1DDA">
        <w:t>.</w:t>
      </w:r>
    </w:p>
    <w:p w:rsidR="001A641D" w:rsidRPr="000523CF" w:rsidRDefault="007E5C0A" w:rsidP="001A641D">
      <w:r w:rsidRPr="00200CBE">
        <w:t xml:space="preserve">The volumes of post-approval management plans have been estimated based on the historical numbers </w:t>
      </w:r>
      <w:r w:rsidRPr="000523CF">
        <w:t>of post-approval action management plans which were included in approval conditions.</w:t>
      </w:r>
    </w:p>
    <w:p w:rsidR="001A641D" w:rsidRDefault="00FF3730" w:rsidP="001A641D">
      <w:r>
        <w:fldChar w:fldCharType="begin"/>
      </w:r>
      <w:r>
        <w:instrText xml:space="preserve"> REF _Ref457986388 \h  \* MERGEFORMAT </w:instrText>
      </w:r>
      <w:r>
        <w:fldChar w:fldCharType="separate"/>
      </w:r>
      <w:r>
        <w:t xml:space="preserve">Table </w:t>
      </w:r>
      <w:r>
        <w:rPr>
          <w:noProof/>
        </w:rPr>
        <w:t>21</w:t>
      </w:r>
      <w:r>
        <w:fldChar w:fldCharType="end"/>
      </w:r>
      <w:r w:rsidR="007E5C0A" w:rsidRPr="000523CF">
        <w:t xml:space="preserve"> and </w:t>
      </w:r>
      <w:r>
        <w:fldChar w:fldCharType="begin"/>
      </w:r>
      <w:r>
        <w:instrText xml:space="preserve"> REF _Ref458074316 \h  \* MERGEFORMAT </w:instrText>
      </w:r>
      <w:r>
        <w:fldChar w:fldCharType="separate"/>
      </w:r>
      <w:r>
        <w:t xml:space="preserve">Table </w:t>
      </w:r>
      <w:r>
        <w:rPr>
          <w:noProof/>
        </w:rPr>
        <w:t>22</w:t>
      </w:r>
      <w:r>
        <w:fldChar w:fldCharType="end"/>
      </w:r>
      <w:r w:rsidR="007E5C0A" w:rsidRPr="000523CF">
        <w:t xml:space="preserve"> below</w:t>
      </w:r>
      <w:r w:rsidR="007E5C0A" w:rsidRPr="000523CF">
        <w:rPr>
          <w:lang w:val="en-US"/>
        </w:rPr>
        <w:t xml:space="preserve"> outline forecast</w:t>
      </w:r>
      <w:r w:rsidR="007E5C0A" w:rsidRPr="00F36214">
        <w:rPr>
          <w:lang w:val="en-US"/>
        </w:rPr>
        <w:t xml:space="preserve"> expenses and revenue for environmental impact assessments.</w:t>
      </w:r>
      <w:r w:rsidR="007E5C0A" w:rsidRPr="00F36214">
        <w:t xml:space="preserve"> </w:t>
      </w:r>
    </w:p>
    <w:p w:rsidR="001A641D" w:rsidRPr="001018D0" w:rsidRDefault="007E5C0A" w:rsidP="001A641D">
      <w:r w:rsidRPr="001018D0">
        <w:t>The expenses and revenue presented in this CRIS do not include strategic assessments due to the variable nature of the resources required to conduct a strategic assessment. The Minister will determine on a case-by-case basis whether full or partial cost recovery is appropriate for a particular strategic assessment. Where it would be appropriate to apply cost recovery, the Minister would determine the expenses in consultation with the applicant prior to the commencement of the particular strategic assessment.</w:t>
      </w:r>
    </w:p>
    <w:p w:rsidR="001A641D" w:rsidRDefault="007E5C0A" w:rsidP="001A641D">
      <w:pPr>
        <w:pStyle w:val="Caption"/>
        <w:keepNext/>
      </w:pPr>
      <w:bookmarkStart w:id="3323" w:name="_Ref457986388"/>
      <w:bookmarkStart w:id="3324" w:name="_Toc256000430"/>
      <w:bookmarkStart w:id="3325" w:name="_Toc256000322"/>
      <w:bookmarkStart w:id="3326" w:name="_Toc256000214"/>
      <w:bookmarkStart w:id="3327" w:name="_Toc256000106"/>
      <w:bookmarkStart w:id="3328" w:name="_Toc458170609"/>
      <w:r>
        <w:t xml:space="preserve">Table </w:t>
      </w:r>
      <w:r w:rsidR="003366B4">
        <w:fldChar w:fldCharType="begin"/>
      </w:r>
      <w:r>
        <w:instrText xml:space="preserve"> SEQ Table \* ARABIC </w:instrText>
      </w:r>
      <w:r w:rsidR="003366B4">
        <w:fldChar w:fldCharType="separate"/>
      </w:r>
      <w:r w:rsidR="00FF3730">
        <w:rPr>
          <w:noProof/>
        </w:rPr>
        <w:t>21</w:t>
      </w:r>
      <w:r w:rsidR="003366B4">
        <w:rPr>
          <w:noProof/>
        </w:rPr>
        <w:fldChar w:fldCharType="end"/>
      </w:r>
      <w:bookmarkEnd w:id="3323"/>
      <w:r>
        <w:t>. Referral, a</w:t>
      </w:r>
      <w:r w:rsidRPr="001F2E75">
        <w:t>ssessment</w:t>
      </w:r>
      <w:r>
        <w:t xml:space="preserve"> and post approval management plan</w:t>
      </w:r>
      <w:r w:rsidRPr="001F2E75">
        <w:t xml:space="preserve"> activities (expenses and revenue summary)</w:t>
      </w:r>
      <w:bookmarkEnd w:id="3324"/>
      <w:bookmarkEnd w:id="3325"/>
      <w:bookmarkEnd w:id="3326"/>
      <w:bookmarkEnd w:id="3327"/>
      <w:bookmarkEnd w:id="3328"/>
    </w:p>
    <w:tbl>
      <w:tblPr>
        <w:tblW w:w="5000" w:type="pct"/>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Look w:val="04A0" w:firstRow="1" w:lastRow="0" w:firstColumn="1" w:lastColumn="0" w:noHBand="0" w:noVBand="1"/>
      </w:tblPr>
      <w:tblGrid>
        <w:gridCol w:w="2807"/>
        <w:gridCol w:w="26"/>
        <w:gridCol w:w="16"/>
        <w:gridCol w:w="378"/>
        <w:gridCol w:w="2135"/>
        <w:gridCol w:w="6"/>
        <w:gridCol w:w="39"/>
        <w:gridCol w:w="1080"/>
        <w:gridCol w:w="6"/>
        <w:gridCol w:w="47"/>
        <w:gridCol w:w="1072"/>
        <w:gridCol w:w="6"/>
        <w:gridCol w:w="57"/>
        <w:gridCol w:w="1062"/>
        <w:gridCol w:w="6"/>
        <w:gridCol w:w="65"/>
        <w:gridCol w:w="1047"/>
      </w:tblGrid>
      <w:tr w:rsidR="00397365" w:rsidTr="001A641D">
        <w:trPr>
          <w:cantSplit/>
          <w:tblHeader/>
        </w:trPr>
        <w:tc>
          <w:tcPr>
            <w:tcW w:w="2743" w:type="pct"/>
            <w:gridSpan w:val="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1A641D" w:rsidRDefault="007E5C0A" w:rsidP="001A641D">
            <w:pPr>
              <w:keepNext/>
              <w:widowControl w:val="0"/>
              <w:spacing w:before="120" w:after="120"/>
              <w:jc w:val="center"/>
              <w:rPr>
                <w:b/>
                <w:sz w:val="20"/>
                <w:szCs w:val="20"/>
                <w:lang w:eastAsia="en-AU"/>
              </w:rPr>
            </w:pPr>
            <w:r>
              <w:rPr>
                <w:b/>
                <w:sz w:val="20"/>
                <w:szCs w:val="20"/>
                <w:lang w:eastAsia="en-AU"/>
              </w:rPr>
              <w:t>A</w:t>
            </w:r>
            <w:r w:rsidRPr="00183651">
              <w:rPr>
                <w:b/>
                <w:sz w:val="20"/>
                <w:szCs w:val="20"/>
                <w:lang w:eastAsia="en-AU"/>
              </w:rPr>
              <w:t>ctivities</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hideMark/>
          </w:tcPr>
          <w:p w:rsidR="001A641D" w:rsidRDefault="007E5C0A" w:rsidP="001A641D">
            <w:pPr>
              <w:keepNext/>
              <w:widowControl w:val="0"/>
              <w:spacing w:after="0" w:line="240" w:lineRule="auto"/>
              <w:jc w:val="center"/>
              <w:rPr>
                <w:b/>
                <w:sz w:val="20"/>
                <w:szCs w:val="20"/>
                <w:lang w:eastAsia="en-AU"/>
              </w:rPr>
            </w:pPr>
            <w:r w:rsidRPr="00183651">
              <w:rPr>
                <w:b/>
                <w:sz w:val="20"/>
                <w:szCs w:val="20"/>
                <w:lang w:eastAsia="en-AU"/>
              </w:rPr>
              <w:t>2016-17</w:t>
            </w:r>
          </w:p>
          <w:p w:rsidR="001A641D" w:rsidRDefault="007E5C0A" w:rsidP="001A641D">
            <w:pPr>
              <w:keepNext/>
              <w:widowControl w:val="0"/>
              <w:spacing w:after="0" w:line="240" w:lineRule="auto"/>
              <w:jc w:val="center"/>
              <w:rPr>
                <w:b/>
                <w:sz w:val="20"/>
                <w:szCs w:val="20"/>
                <w:lang w:eastAsia="en-AU"/>
              </w:rPr>
            </w:pPr>
            <w:r w:rsidRPr="00183651">
              <w:rPr>
                <w:b/>
                <w:sz w:val="20"/>
                <w:szCs w:val="20"/>
                <w:lang w:eastAsia="en-AU"/>
              </w:rPr>
              <w:t>($mil)</w:t>
            </w:r>
          </w:p>
        </w:tc>
        <w:tc>
          <w:tcPr>
            <w:tcW w:w="576"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264DA" w:rsidRDefault="007E5C0A" w:rsidP="001A641D">
            <w:pPr>
              <w:keepNext/>
              <w:widowControl w:val="0"/>
              <w:spacing w:after="0" w:line="240" w:lineRule="auto"/>
              <w:jc w:val="center"/>
              <w:rPr>
                <w:b/>
                <w:sz w:val="20"/>
                <w:szCs w:val="20"/>
                <w:lang w:eastAsia="en-AU"/>
              </w:rPr>
            </w:pPr>
            <w:r w:rsidRPr="00A264DA">
              <w:rPr>
                <w:b/>
                <w:sz w:val="20"/>
                <w:szCs w:val="20"/>
                <w:lang w:eastAsia="en-AU"/>
              </w:rPr>
              <w:t>2017-18</w:t>
            </w:r>
          </w:p>
          <w:p w:rsidR="001A641D" w:rsidRPr="00A264DA" w:rsidRDefault="007E5C0A" w:rsidP="001A641D">
            <w:pPr>
              <w:keepNext/>
              <w:widowControl w:val="0"/>
              <w:spacing w:after="0" w:line="240" w:lineRule="auto"/>
              <w:jc w:val="center"/>
              <w:rPr>
                <w:b/>
                <w:sz w:val="20"/>
                <w:szCs w:val="20"/>
                <w:lang w:eastAsia="en-AU"/>
              </w:rPr>
            </w:pPr>
            <w:r w:rsidRPr="00A264DA">
              <w:rPr>
                <w:b/>
                <w:sz w:val="20"/>
                <w:szCs w:val="20"/>
                <w:lang w:eastAsia="en-AU"/>
              </w:rPr>
              <w:t>($mil)</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264DA" w:rsidRDefault="007E5C0A" w:rsidP="001A641D">
            <w:pPr>
              <w:keepNext/>
              <w:widowControl w:val="0"/>
              <w:spacing w:after="0" w:line="240" w:lineRule="auto"/>
              <w:jc w:val="center"/>
              <w:rPr>
                <w:b/>
                <w:sz w:val="20"/>
                <w:szCs w:val="20"/>
                <w:lang w:eastAsia="en-AU"/>
              </w:rPr>
            </w:pPr>
            <w:r w:rsidRPr="00A264DA">
              <w:rPr>
                <w:b/>
                <w:sz w:val="20"/>
                <w:szCs w:val="20"/>
                <w:lang w:eastAsia="en-AU"/>
              </w:rPr>
              <w:t>2018-19</w:t>
            </w:r>
          </w:p>
          <w:p w:rsidR="001A641D" w:rsidRPr="00A264DA" w:rsidRDefault="007E5C0A" w:rsidP="001A641D">
            <w:pPr>
              <w:keepNext/>
              <w:widowControl w:val="0"/>
              <w:spacing w:after="0" w:line="240" w:lineRule="auto"/>
              <w:jc w:val="center"/>
              <w:rPr>
                <w:b/>
                <w:sz w:val="20"/>
                <w:szCs w:val="20"/>
                <w:lang w:eastAsia="en-AU"/>
              </w:rPr>
            </w:pPr>
            <w:r w:rsidRPr="00A264DA">
              <w:rPr>
                <w:b/>
                <w:sz w:val="20"/>
                <w:szCs w:val="20"/>
                <w:lang w:eastAsia="en-AU"/>
              </w:rPr>
              <w:t>($mil)</w:t>
            </w:r>
          </w:p>
        </w:tc>
        <w:tc>
          <w:tcPr>
            <w:tcW w:w="531" w:type="pct"/>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8DB3E2" w:themeFill="text2" w:themeFillTint="66"/>
            <w:vAlign w:val="center"/>
          </w:tcPr>
          <w:p w:rsidR="001A641D" w:rsidRPr="00A264DA" w:rsidRDefault="007E5C0A" w:rsidP="001A641D">
            <w:pPr>
              <w:keepNext/>
              <w:widowControl w:val="0"/>
              <w:spacing w:after="0" w:line="240" w:lineRule="auto"/>
              <w:jc w:val="center"/>
              <w:rPr>
                <w:b/>
                <w:sz w:val="20"/>
                <w:szCs w:val="20"/>
                <w:lang w:eastAsia="en-AU"/>
              </w:rPr>
            </w:pPr>
            <w:r w:rsidRPr="00A264DA">
              <w:rPr>
                <w:b/>
                <w:sz w:val="20"/>
                <w:szCs w:val="20"/>
                <w:lang w:eastAsia="en-AU"/>
              </w:rPr>
              <w:t>2019-20</w:t>
            </w:r>
          </w:p>
          <w:p w:rsidR="001A641D" w:rsidRPr="00A264DA" w:rsidRDefault="007E5C0A" w:rsidP="001A641D">
            <w:pPr>
              <w:keepNext/>
              <w:widowControl w:val="0"/>
              <w:spacing w:after="0" w:line="240" w:lineRule="auto"/>
              <w:jc w:val="center"/>
              <w:rPr>
                <w:b/>
                <w:sz w:val="20"/>
                <w:szCs w:val="20"/>
                <w:lang w:eastAsia="en-AU"/>
              </w:rPr>
            </w:pPr>
            <w:r w:rsidRPr="00A264DA">
              <w:rPr>
                <w:b/>
                <w:sz w:val="20"/>
                <w:szCs w:val="20"/>
                <w:lang w:eastAsia="en-AU"/>
              </w:rPr>
              <w:t>($mil)</w:t>
            </w:r>
          </w:p>
        </w:tc>
      </w:tr>
      <w:tr w:rsidR="00397365" w:rsidTr="001A641D">
        <w:trPr>
          <w:cantSplit/>
        </w:trPr>
        <w:tc>
          <w:tcPr>
            <w:tcW w:w="5000" w:type="pct"/>
            <w:gridSpan w:val="1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1A641D" w:rsidRPr="00F36214" w:rsidRDefault="007E5C0A" w:rsidP="001A641D">
            <w:pPr>
              <w:keepNext/>
              <w:widowControl w:val="0"/>
              <w:spacing w:before="120" w:after="120"/>
              <w:rPr>
                <w:sz w:val="20"/>
                <w:szCs w:val="20"/>
                <w:lang w:eastAsia="en-AU"/>
              </w:rPr>
            </w:pPr>
            <w:r>
              <w:rPr>
                <w:sz w:val="20"/>
                <w:szCs w:val="20"/>
                <w:lang w:eastAsia="en-AU"/>
              </w:rPr>
              <w:t>Referrals</w:t>
            </w:r>
            <w:r w:rsidRPr="00F36214">
              <w:rPr>
                <w:sz w:val="20"/>
                <w:szCs w:val="20"/>
                <w:lang w:eastAsia="en-AU"/>
              </w:rPr>
              <w:t xml:space="preserve"> </w:t>
            </w:r>
          </w:p>
        </w:tc>
      </w:tr>
      <w:tr w:rsidR="00397365" w:rsidTr="001A641D">
        <w:tblPrEx>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Ex>
        <w:trPr>
          <w:trHeight w:val="87"/>
        </w:trPr>
        <w:tc>
          <w:tcPr>
            <w:tcW w:w="1424"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7E5C0A" w:rsidP="001A641D">
            <w:pPr>
              <w:keepNext/>
              <w:spacing w:before="120" w:after="120"/>
              <w:jc w:val="right"/>
              <w:rPr>
                <w:i/>
                <w:sz w:val="20"/>
                <w:szCs w:val="20"/>
                <w:lang w:eastAsia="en-AU"/>
              </w:rPr>
            </w:pPr>
            <w:r w:rsidRPr="00CF28C7">
              <w:rPr>
                <w:i/>
                <w:sz w:val="20"/>
                <w:szCs w:val="20"/>
                <w:lang w:eastAsia="en-AU"/>
              </w:rPr>
              <w:t> </w:t>
            </w:r>
          </w:p>
          <w:p w:rsidR="001A641D" w:rsidRDefault="007E5C0A" w:rsidP="001A641D">
            <w:pPr>
              <w:keepNext/>
              <w:spacing w:before="120" w:after="120"/>
              <w:jc w:val="right"/>
              <w:rPr>
                <w:i/>
                <w:sz w:val="20"/>
                <w:szCs w:val="20"/>
                <w:lang w:eastAsia="en-AU"/>
              </w:rPr>
            </w:pPr>
            <w:r w:rsidRPr="00CF28C7">
              <w:rPr>
                <w:i/>
                <w:sz w:val="20"/>
                <w:szCs w:val="20"/>
                <w:lang w:eastAsia="en-AU"/>
              </w:rPr>
              <w:t> Referrals</w:t>
            </w:r>
          </w:p>
          <w:p w:rsidR="001A641D" w:rsidRDefault="007E5C0A" w:rsidP="001A641D">
            <w:pPr>
              <w:keepNext/>
              <w:spacing w:before="120" w:after="120"/>
              <w:jc w:val="right"/>
              <w:rPr>
                <w:i/>
                <w:sz w:val="20"/>
                <w:szCs w:val="20"/>
                <w:lang w:eastAsia="en-AU"/>
              </w:rPr>
            </w:pPr>
            <w:r w:rsidRPr="00CF28C7">
              <w:rPr>
                <w:i/>
                <w:sz w:val="20"/>
                <w:szCs w:val="20"/>
                <w:lang w:eastAsia="en-AU"/>
              </w:rPr>
              <w:t> </w:t>
            </w:r>
          </w:p>
        </w:tc>
        <w:tc>
          <w:tcPr>
            <w:tcW w:w="1299" w:type="pct"/>
            <w:gridSpan w:val="5"/>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keepNext/>
              <w:spacing w:before="120" w:after="120"/>
              <w:rPr>
                <w:sz w:val="20"/>
                <w:szCs w:val="20"/>
                <w:lang w:eastAsia="en-AU"/>
              </w:rPr>
            </w:pPr>
            <w:r w:rsidRPr="008306E2">
              <w:rPr>
                <w:sz w:val="20"/>
                <w:szCs w:val="20"/>
                <w:lang w:eastAsia="en-AU"/>
              </w:rPr>
              <w:t>Expense</w:t>
            </w:r>
          </w:p>
        </w:tc>
        <w:tc>
          <w:tcPr>
            <w:tcW w:w="571" w:type="pct"/>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keepNext/>
              <w:spacing w:before="120" w:after="120"/>
              <w:jc w:val="center"/>
              <w:rPr>
                <w:sz w:val="20"/>
                <w:szCs w:val="20"/>
                <w:lang w:eastAsia="en-AU"/>
              </w:rPr>
            </w:pPr>
            <w:r w:rsidRPr="00183651">
              <w:rPr>
                <w:sz w:val="20"/>
                <w:szCs w:val="20"/>
                <w:lang w:eastAsia="en-AU"/>
              </w:rPr>
              <w:t>1.532</w:t>
            </w:r>
          </w:p>
        </w:tc>
        <w:tc>
          <w:tcPr>
            <w:tcW w:w="571" w:type="pct"/>
            <w:gridSpan w:val="3"/>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keepNext/>
              <w:spacing w:before="120" w:after="120"/>
              <w:jc w:val="center"/>
              <w:rPr>
                <w:sz w:val="20"/>
                <w:szCs w:val="20"/>
                <w:lang w:eastAsia="en-AU"/>
              </w:rPr>
            </w:pPr>
            <w:r w:rsidRPr="00A264DA">
              <w:rPr>
                <w:sz w:val="20"/>
                <w:szCs w:val="20"/>
                <w:lang w:eastAsia="en-AU"/>
              </w:rPr>
              <w:t>1.532</w:t>
            </w:r>
          </w:p>
        </w:tc>
        <w:tc>
          <w:tcPr>
            <w:tcW w:w="571" w:type="pct"/>
            <w:gridSpan w:val="3"/>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keepNext/>
              <w:spacing w:before="120" w:after="120"/>
              <w:jc w:val="center"/>
              <w:rPr>
                <w:sz w:val="20"/>
                <w:szCs w:val="20"/>
                <w:lang w:eastAsia="en-AU"/>
              </w:rPr>
            </w:pPr>
            <w:r w:rsidRPr="00A264DA">
              <w:rPr>
                <w:sz w:val="20"/>
                <w:szCs w:val="20"/>
                <w:lang w:eastAsia="en-AU"/>
              </w:rPr>
              <w:t>1.532</w:t>
            </w:r>
          </w:p>
        </w:tc>
        <w:tc>
          <w:tcPr>
            <w:tcW w:w="564" w:type="pct"/>
            <w:gridSpan w:val="2"/>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keepNext/>
              <w:spacing w:before="120" w:after="120"/>
              <w:jc w:val="center"/>
              <w:rPr>
                <w:sz w:val="20"/>
                <w:szCs w:val="20"/>
                <w:lang w:eastAsia="en-AU"/>
              </w:rPr>
            </w:pPr>
            <w:r w:rsidRPr="00A264DA">
              <w:rPr>
                <w:sz w:val="20"/>
                <w:szCs w:val="20"/>
                <w:lang w:eastAsia="en-AU"/>
              </w:rPr>
              <w:t>1.532</w:t>
            </w:r>
          </w:p>
        </w:tc>
      </w:tr>
      <w:tr w:rsidR="00397365" w:rsidTr="001A641D">
        <w:tblPrEx>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Ex>
        <w:trPr>
          <w:trHeight w:val="67"/>
        </w:trPr>
        <w:tc>
          <w:tcPr>
            <w:tcW w:w="1424"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keepNext/>
              <w:spacing w:before="120" w:after="120"/>
              <w:rPr>
                <w:sz w:val="18"/>
                <w:szCs w:val="18"/>
                <w:lang w:eastAsia="en-AU"/>
              </w:rPr>
            </w:pPr>
          </w:p>
        </w:tc>
        <w:tc>
          <w:tcPr>
            <w:tcW w:w="1299" w:type="pct"/>
            <w:gridSpan w:val="5"/>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keepNext/>
              <w:spacing w:before="120" w:after="120"/>
              <w:rPr>
                <w:sz w:val="20"/>
                <w:szCs w:val="20"/>
                <w:lang w:eastAsia="en-AU"/>
              </w:rPr>
            </w:pPr>
            <w:r w:rsidRPr="008306E2">
              <w:rPr>
                <w:sz w:val="20"/>
                <w:szCs w:val="20"/>
                <w:lang w:eastAsia="en-AU"/>
              </w:rPr>
              <w:t>Revenue</w:t>
            </w:r>
          </w:p>
        </w:tc>
        <w:tc>
          <w:tcPr>
            <w:tcW w:w="571" w:type="pct"/>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keepNext/>
              <w:spacing w:before="120" w:after="120"/>
              <w:jc w:val="center"/>
              <w:rPr>
                <w:sz w:val="20"/>
                <w:szCs w:val="20"/>
                <w:lang w:eastAsia="en-AU"/>
              </w:rPr>
            </w:pPr>
            <w:r w:rsidRPr="00183651">
              <w:rPr>
                <w:sz w:val="20"/>
                <w:szCs w:val="20"/>
                <w:lang w:eastAsia="en-AU"/>
              </w:rPr>
              <w:t>1.532</w:t>
            </w:r>
          </w:p>
        </w:tc>
        <w:tc>
          <w:tcPr>
            <w:tcW w:w="571" w:type="pct"/>
            <w:gridSpan w:val="3"/>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keepNext/>
              <w:spacing w:before="120" w:after="120"/>
              <w:jc w:val="center"/>
              <w:rPr>
                <w:sz w:val="20"/>
                <w:szCs w:val="20"/>
                <w:lang w:eastAsia="en-AU"/>
              </w:rPr>
            </w:pPr>
            <w:r w:rsidRPr="00A264DA">
              <w:rPr>
                <w:sz w:val="20"/>
                <w:szCs w:val="20"/>
                <w:lang w:eastAsia="en-AU"/>
              </w:rPr>
              <w:t>1.532</w:t>
            </w:r>
          </w:p>
        </w:tc>
        <w:tc>
          <w:tcPr>
            <w:tcW w:w="571" w:type="pct"/>
            <w:gridSpan w:val="3"/>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keepNext/>
              <w:spacing w:before="120" w:after="120"/>
              <w:jc w:val="center"/>
              <w:rPr>
                <w:sz w:val="20"/>
                <w:szCs w:val="20"/>
                <w:lang w:eastAsia="en-AU"/>
              </w:rPr>
            </w:pPr>
            <w:r w:rsidRPr="00A264DA">
              <w:rPr>
                <w:sz w:val="20"/>
                <w:szCs w:val="20"/>
                <w:lang w:eastAsia="en-AU"/>
              </w:rPr>
              <w:t>1.532</w:t>
            </w:r>
          </w:p>
        </w:tc>
        <w:tc>
          <w:tcPr>
            <w:tcW w:w="564" w:type="pct"/>
            <w:gridSpan w:val="2"/>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keepNext/>
              <w:spacing w:before="120" w:after="120"/>
              <w:jc w:val="center"/>
              <w:rPr>
                <w:sz w:val="20"/>
                <w:szCs w:val="20"/>
                <w:lang w:eastAsia="en-AU"/>
              </w:rPr>
            </w:pPr>
            <w:r w:rsidRPr="00A264DA">
              <w:rPr>
                <w:sz w:val="20"/>
                <w:szCs w:val="20"/>
                <w:lang w:eastAsia="en-AU"/>
              </w:rPr>
              <w:t>1.532</w:t>
            </w:r>
          </w:p>
        </w:tc>
      </w:tr>
      <w:tr w:rsidR="00397365" w:rsidTr="001A641D">
        <w:tblPrEx>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Ex>
        <w:trPr>
          <w:trHeight w:val="67"/>
        </w:trPr>
        <w:tc>
          <w:tcPr>
            <w:tcW w:w="1424"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18"/>
                <w:szCs w:val="18"/>
                <w:lang w:eastAsia="en-AU"/>
              </w:rPr>
            </w:pPr>
          </w:p>
        </w:tc>
        <w:tc>
          <w:tcPr>
            <w:tcW w:w="1299" w:type="pct"/>
            <w:gridSpan w:val="5"/>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8306E2">
              <w:rPr>
                <w:sz w:val="20"/>
                <w:szCs w:val="20"/>
                <w:lang w:eastAsia="en-AU"/>
              </w:rPr>
              <w:t>Balance +/-</w:t>
            </w:r>
          </w:p>
        </w:tc>
        <w:tc>
          <w:tcPr>
            <w:tcW w:w="571" w:type="pct"/>
            <w:gridSpan w:val="3"/>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183651">
              <w:rPr>
                <w:sz w:val="20"/>
                <w:szCs w:val="20"/>
                <w:lang w:eastAsia="en-AU"/>
              </w:rPr>
              <w:t>0</w:t>
            </w:r>
          </w:p>
        </w:tc>
        <w:tc>
          <w:tcPr>
            <w:tcW w:w="571" w:type="pct"/>
            <w:gridSpan w:val="3"/>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1" w:type="pct"/>
            <w:gridSpan w:val="3"/>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64" w:type="pct"/>
            <w:gridSpan w:val="2"/>
            <w:tcBorders>
              <w:top w:val="single" w:sz="8" w:space="0" w:color="548DD4" w:themeColor="text2" w:themeTint="99"/>
              <w:left w:val="nil"/>
              <w:bottom w:val="single" w:sz="8" w:space="0" w:color="548DD4" w:themeColor="text2" w:themeTint="99"/>
              <w:right w:val="single" w:sz="8" w:space="0" w:color="548DD4" w:themeColor="text2" w:themeTint="99"/>
            </w:tcBorders>
            <w:vAlign w:val="center"/>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cantSplit/>
        </w:trPr>
        <w:tc>
          <w:tcPr>
            <w:tcW w:w="5000" w:type="pct"/>
            <w:gridSpan w:val="1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1A641D" w:rsidRPr="00F36214" w:rsidRDefault="007E5C0A" w:rsidP="001A641D">
            <w:pPr>
              <w:widowControl w:val="0"/>
              <w:spacing w:before="120" w:after="120"/>
              <w:rPr>
                <w:sz w:val="20"/>
                <w:szCs w:val="20"/>
                <w:lang w:eastAsia="en-AU"/>
              </w:rPr>
            </w:pPr>
            <w:r w:rsidRPr="00F36214">
              <w:rPr>
                <w:sz w:val="20"/>
                <w:szCs w:val="20"/>
                <w:lang w:eastAsia="en-AU"/>
              </w:rPr>
              <w:t xml:space="preserve">Assessment on referral information </w:t>
            </w:r>
          </w:p>
        </w:tc>
      </w:tr>
      <w:tr w:rsidR="00397365" w:rsidTr="001A641D">
        <w:trPr>
          <w:cantSplit/>
        </w:trPr>
        <w:tc>
          <w:tcPr>
            <w:tcW w:w="1445" w:type="pct"/>
            <w:gridSpan w:val="3"/>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 1</w:t>
            </w:r>
          </w:p>
          <w:p w:rsidR="001A641D" w:rsidRDefault="007E5C0A" w:rsidP="001A641D">
            <w:pPr>
              <w:widowControl w:val="0"/>
              <w:spacing w:before="120" w:after="120"/>
              <w:jc w:val="right"/>
              <w:rPr>
                <w:i/>
                <w:sz w:val="20"/>
                <w:szCs w:val="20"/>
                <w:lang w:eastAsia="en-AU"/>
              </w:rPr>
            </w:pPr>
            <w:r w:rsidRPr="00F36214">
              <w:rPr>
                <w:i/>
                <w:sz w:val="20"/>
                <w:szCs w:val="20"/>
                <w:lang w:eastAsia="en-AU"/>
              </w:rPr>
              <w:t>Prepare and publish draft recommendation report</w:t>
            </w:r>
          </w:p>
          <w:p w:rsidR="001A641D" w:rsidRDefault="001A641D" w:rsidP="001A641D">
            <w:pPr>
              <w:widowControl w:val="0"/>
              <w:spacing w:before="120" w:after="120"/>
              <w:jc w:val="right"/>
              <w:rPr>
                <w:i/>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 2</w:t>
            </w:r>
          </w:p>
          <w:p w:rsidR="001A641D" w:rsidRDefault="007E5C0A" w:rsidP="001A641D">
            <w:pPr>
              <w:widowControl w:val="0"/>
              <w:spacing w:before="120" w:after="120"/>
              <w:jc w:val="right"/>
              <w:rPr>
                <w:sz w:val="20"/>
                <w:szCs w:val="20"/>
                <w:lang w:eastAsia="en-AU"/>
              </w:rPr>
            </w:pPr>
            <w:r>
              <w:rPr>
                <w:i/>
                <w:sz w:val="20"/>
                <w:szCs w:val="20"/>
                <w:lang w:eastAsia="en-AU"/>
              </w:rPr>
              <w:t>Review comments and finalise recommendation report</w:t>
            </w: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 3</w:t>
            </w:r>
            <w:r w:rsidRPr="00351A22">
              <w:rPr>
                <w:i/>
                <w:sz w:val="20"/>
                <w:szCs w:val="20"/>
                <w:lang w:eastAsia="en-AU"/>
              </w:rPr>
              <w:t xml:space="preserve"> </w:t>
            </w:r>
          </w:p>
          <w:p w:rsidR="001A641D" w:rsidRDefault="007E5C0A" w:rsidP="001A641D">
            <w:pPr>
              <w:widowControl w:val="0"/>
              <w:spacing w:before="120" w:after="120"/>
              <w:jc w:val="right"/>
              <w:rPr>
                <w:i/>
                <w:sz w:val="20"/>
                <w:szCs w:val="20"/>
                <w:lang w:eastAsia="en-AU"/>
              </w:rPr>
            </w:pPr>
            <w:r>
              <w:rPr>
                <w:i/>
                <w:sz w:val="20"/>
                <w:szCs w:val="20"/>
                <w:lang w:eastAsia="en-AU"/>
              </w:rPr>
              <w:t>Proposed and final decision</w:t>
            </w:r>
          </w:p>
          <w:p w:rsidR="001A641D" w:rsidRDefault="001A641D" w:rsidP="001A641D">
            <w:pPr>
              <w:widowControl w:val="0"/>
              <w:spacing w:before="120" w:after="120"/>
              <w:jc w:val="right"/>
              <w:rPr>
                <w:i/>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45" w:type="pct"/>
            <w:gridSpan w:val="3"/>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298" w:type="pct"/>
            <w:gridSpan w:val="4"/>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5000" w:type="pct"/>
            <w:gridSpan w:val="1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1A641D" w:rsidRPr="00F36214" w:rsidRDefault="007E5C0A" w:rsidP="001A641D">
            <w:pPr>
              <w:widowControl w:val="0"/>
              <w:spacing w:before="120" w:after="120"/>
              <w:rPr>
                <w:sz w:val="20"/>
                <w:szCs w:val="20"/>
                <w:lang w:eastAsia="en-AU"/>
              </w:rPr>
            </w:pPr>
            <w:r w:rsidRPr="00F36214">
              <w:rPr>
                <w:sz w:val="20"/>
                <w:szCs w:val="20"/>
                <w:lang w:eastAsia="en-AU"/>
              </w:rPr>
              <w:t xml:space="preserve">Preliminary documentation </w:t>
            </w:r>
          </w:p>
        </w:tc>
      </w:tr>
      <w:tr w:rsidR="00397365" w:rsidTr="001A641D">
        <w:trPr>
          <w:cantSplit/>
        </w:trPr>
        <w:tc>
          <w:tcPr>
            <w:tcW w:w="1437" w:type="pct"/>
            <w:gridSpan w:val="2"/>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 xml:space="preserve">Stage 1 </w:t>
            </w:r>
          </w:p>
          <w:p w:rsidR="001A641D" w:rsidRDefault="007E5C0A" w:rsidP="001A641D">
            <w:pPr>
              <w:widowControl w:val="0"/>
              <w:spacing w:before="120" w:after="120"/>
              <w:jc w:val="right"/>
              <w:rPr>
                <w:sz w:val="20"/>
                <w:szCs w:val="20"/>
                <w:lang w:eastAsia="en-AU"/>
              </w:rPr>
            </w:pPr>
            <w:r>
              <w:rPr>
                <w:i/>
                <w:sz w:val="20"/>
                <w:szCs w:val="20"/>
                <w:lang w:eastAsia="en-AU"/>
              </w:rPr>
              <w:t>Determine information requirements</w:t>
            </w: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r>
      <w:tr w:rsidR="00397365" w:rsidTr="001A641D">
        <w:trPr>
          <w:cantSplit/>
        </w:trPr>
        <w:tc>
          <w:tcPr>
            <w:tcW w:w="1437" w:type="pct"/>
            <w:gridSpan w:val="2"/>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sz w:val="20"/>
                <w:szCs w:val="20"/>
                <w:lang w:eastAsia="en-AU"/>
              </w:rPr>
            </w:pP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0.197</w:t>
            </w:r>
          </w:p>
        </w:tc>
      </w:tr>
      <w:tr w:rsidR="00397365" w:rsidTr="001A641D">
        <w:trPr>
          <w:cantSplit/>
        </w:trPr>
        <w:tc>
          <w:tcPr>
            <w:tcW w:w="1437" w:type="pct"/>
            <w:gridSpan w:val="2"/>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sz w:val="20"/>
                <w:szCs w:val="20"/>
                <w:lang w:eastAsia="en-AU"/>
              </w:rPr>
            </w:pP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37" w:type="pct"/>
            <w:gridSpan w:val="2"/>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 2</w:t>
            </w:r>
            <w:r w:rsidRPr="006F1F03">
              <w:rPr>
                <w:i/>
                <w:sz w:val="20"/>
                <w:szCs w:val="20"/>
                <w:lang w:eastAsia="en-AU"/>
              </w:rPr>
              <w:t xml:space="preserve"> </w:t>
            </w:r>
          </w:p>
          <w:p w:rsidR="001A641D" w:rsidRDefault="007E5C0A" w:rsidP="001A641D">
            <w:pPr>
              <w:widowControl w:val="0"/>
              <w:spacing w:before="120" w:after="120"/>
              <w:jc w:val="right"/>
              <w:rPr>
                <w:i/>
                <w:sz w:val="20"/>
                <w:szCs w:val="20"/>
                <w:lang w:eastAsia="en-AU"/>
              </w:rPr>
            </w:pPr>
            <w:r w:rsidRPr="006F1F03">
              <w:rPr>
                <w:i/>
                <w:sz w:val="20"/>
                <w:szCs w:val="20"/>
                <w:lang w:eastAsia="en-AU"/>
              </w:rPr>
              <w:t xml:space="preserve">Review </w:t>
            </w:r>
            <w:r>
              <w:rPr>
                <w:i/>
                <w:sz w:val="20"/>
                <w:szCs w:val="20"/>
                <w:lang w:eastAsia="en-AU"/>
              </w:rPr>
              <w:t>draft assessment documentation</w:t>
            </w: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0.225</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0.239</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0.243</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0.243</w:t>
            </w:r>
          </w:p>
        </w:tc>
      </w:tr>
      <w:tr w:rsidR="00397365" w:rsidTr="001A641D">
        <w:trPr>
          <w:cantSplit/>
        </w:trPr>
        <w:tc>
          <w:tcPr>
            <w:tcW w:w="1437" w:type="pct"/>
            <w:gridSpan w:val="2"/>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0.225</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0.239</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0.243</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0.243</w:t>
            </w:r>
          </w:p>
        </w:tc>
      </w:tr>
      <w:tr w:rsidR="00397365" w:rsidTr="001A641D">
        <w:trPr>
          <w:cantSplit/>
        </w:trPr>
        <w:tc>
          <w:tcPr>
            <w:tcW w:w="1437" w:type="pct"/>
            <w:gridSpan w:val="2"/>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437" w:type="pct"/>
            <w:gridSpan w:val="2"/>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Pr>
                <w:i/>
                <w:sz w:val="20"/>
                <w:szCs w:val="20"/>
                <w:lang w:eastAsia="en-AU"/>
              </w:rPr>
              <w:t>Stage </w:t>
            </w:r>
            <w:r w:rsidRPr="00F36214">
              <w:rPr>
                <w:i/>
                <w:sz w:val="20"/>
                <w:szCs w:val="20"/>
                <w:lang w:eastAsia="en-AU"/>
              </w:rPr>
              <w:t>3</w:t>
            </w:r>
            <w:r>
              <w:rPr>
                <w:i/>
                <w:sz w:val="20"/>
                <w:szCs w:val="20"/>
                <w:lang w:eastAsia="en-AU"/>
              </w:rPr>
              <w:t> </w:t>
            </w:r>
            <w:r w:rsidRPr="00F36214">
              <w:rPr>
                <w:i/>
                <w:sz w:val="20"/>
                <w:szCs w:val="20"/>
                <w:lang w:eastAsia="en-AU"/>
              </w:rPr>
              <w:t>&amp;</w:t>
            </w:r>
            <w:r>
              <w:rPr>
                <w:i/>
                <w:sz w:val="20"/>
                <w:szCs w:val="20"/>
                <w:lang w:eastAsia="en-AU"/>
              </w:rPr>
              <w:t> </w:t>
            </w:r>
            <w:r w:rsidRPr="00F36214">
              <w:rPr>
                <w:i/>
                <w:sz w:val="20"/>
                <w:szCs w:val="20"/>
                <w:lang w:eastAsia="en-AU"/>
              </w:rPr>
              <w:t>4</w:t>
            </w:r>
            <w:r w:rsidRPr="006F1F03">
              <w:rPr>
                <w:i/>
                <w:sz w:val="20"/>
                <w:szCs w:val="20"/>
                <w:lang w:eastAsia="en-AU"/>
              </w:rPr>
              <w:t xml:space="preserve"> </w:t>
            </w:r>
          </w:p>
          <w:p w:rsidR="001A641D" w:rsidRDefault="007E5C0A" w:rsidP="001A641D">
            <w:pPr>
              <w:widowControl w:val="0"/>
              <w:spacing w:before="120" w:after="120"/>
              <w:jc w:val="right"/>
              <w:rPr>
                <w:i/>
                <w:sz w:val="20"/>
                <w:szCs w:val="20"/>
                <w:lang w:eastAsia="en-AU"/>
              </w:rPr>
            </w:pPr>
            <w:r w:rsidRPr="006F1F03">
              <w:rPr>
                <w:i/>
                <w:sz w:val="20"/>
                <w:szCs w:val="20"/>
                <w:lang w:eastAsia="en-AU"/>
              </w:rPr>
              <w:t xml:space="preserve">Review </w:t>
            </w:r>
            <w:r>
              <w:rPr>
                <w:i/>
                <w:sz w:val="20"/>
                <w:szCs w:val="20"/>
                <w:lang w:eastAsia="en-AU"/>
              </w:rPr>
              <w:t>final assessment documentation; prepare recommendation report, proposed and final decision</w:t>
            </w: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0.769</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0.854</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0.888</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0.888</w:t>
            </w:r>
          </w:p>
        </w:tc>
      </w:tr>
      <w:tr w:rsidR="00397365" w:rsidTr="001A641D">
        <w:trPr>
          <w:cantSplit/>
        </w:trPr>
        <w:tc>
          <w:tcPr>
            <w:tcW w:w="1437" w:type="pct"/>
            <w:gridSpan w:val="2"/>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0.769</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0.854</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0.888</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0.888</w:t>
            </w:r>
          </w:p>
        </w:tc>
      </w:tr>
      <w:tr w:rsidR="00397365" w:rsidTr="001A641D">
        <w:trPr>
          <w:cantSplit/>
        </w:trPr>
        <w:tc>
          <w:tcPr>
            <w:tcW w:w="1437" w:type="pct"/>
            <w:gridSpan w:val="2"/>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306" w:type="pct"/>
            <w:gridSpan w:val="5"/>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5000" w:type="pct"/>
            <w:gridSpan w:val="17"/>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C6D9F1" w:themeFill="text2" w:themeFillTint="33"/>
            <w:vAlign w:val="bottom"/>
            <w:hideMark/>
          </w:tcPr>
          <w:p w:rsidR="001A641D" w:rsidRPr="00F36214" w:rsidRDefault="007E5C0A" w:rsidP="001A641D">
            <w:pPr>
              <w:keepNext/>
              <w:widowControl w:val="0"/>
              <w:spacing w:before="120" w:after="120"/>
              <w:rPr>
                <w:sz w:val="20"/>
                <w:szCs w:val="20"/>
                <w:lang w:eastAsia="en-AU"/>
              </w:rPr>
            </w:pPr>
            <w:r w:rsidRPr="00F36214">
              <w:rPr>
                <w:sz w:val="20"/>
                <w:szCs w:val="20"/>
                <w:lang w:eastAsia="en-AU"/>
              </w:rPr>
              <w:t>Environmental impact statement</w:t>
            </w:r>
            <w:r>
              <w:rPr>
                <w:sz w:val="20"/>
                <w:szCs w:val="20"/>
                <w:lang w:eastAsia="en-AU"/>
              </w:rPr>
              <w:t>/Public environment report</w:t>
            </w:r>
            <w:r w:rsidRPr="00F36214">
              <w:rPr>
                <w:sz w:val="20"/>
                <w:szCs w:val="20"/>
                <w:lang w:eastAsia="en-AU"/>
              </w:rPr>
              <w:t xml:space="preserve"> </w:t>
            </w:r>
          </w:p>
        </w:tc>
      </w:tr>
      <w:tr w:rsidR="00397365" w:rsidTr="001A641D">
        <w:trPr>
          <w:cantSplit/>
        </w:trPr>
        <w:tc>
          <w:tcPr>
            <w:tcW w:w="1637" w:type="pct"/>
            <w:gridSpan w:val="4"/>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 xml:space="preserve">Stage 1 </w:t>
            </w:r>
          </w:p>
          <w:p w:rsidR="001A641D" w:rsidRDefault="007E5C0A" w:rsidP="001A641D">
            <w:pPr>
              <w:widowControl w:val="0"/>
              <w:spacing w:before="120" w:after="120"/>
              <w:jc w:val="right"/>
              <w:rPr>
                <w:sz w:val="20"/>
                <w:szCs w:val="20"/>
                <w:lang w:eastAsia="en-AU"/>
              </w:rPr>
            </w:pPr>
            <w:r>
              <w:rPr>
                <w:i/>
                <w:sz w:val="20"/>
                <w:szCs w:val="20"/>
                <w:lang w:eastAsia="en-AU"/>
              </w:rPr>
              <w:t>Determine information requirements</w:t>
            </w: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r>
      <w:tr w:rsidR="00397365" w:rsidTr="001A641D">
        <w:trPr>
          <w:cantSplit/>
        </w:trPr>
        <w:tc>
          <w:tcPr>
            <w:tcW w:w="1637" w:type="pct"/>
            <w:gridSpan w:val="4"/>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0.100</w:t>
            </w:r>
          </w:p>
        </w:tc>
      </w:tr>
      <w:tr w:rsidR="00397365" w:rsidTr="001A641D">
        <w:trPr>
          <w:cantSplit/>
        </w:trPr>
        <w:tc>
          <w:tcPr>
            <w:tcW w:w="1637" w:type="pct"/>
            <w:gridSpan w:val="4"/>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637" w:type="pct"/>
            <w:gridSpan w:val="4"/>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 2</w:t>
            </w:r>
            <w:r w:rsidRPr="006F1F03">
              <w:rPr>
                <w:i/>
                <w:sz w:val="20"/>
                <w:szCs w:val="20"/>
                <w:lang w:eastAsia="en-AU"/>
              </w:rPr>
              <w:t xml:space="preserve"> </w:t>
            </w:r>
          </w:p>
          <w:p w:rsidR="001A641D" w:rsidRDefault="007E5C0A" w:rsidP="001A641D">
            <w:pPr>
              <w:widowControl w:val="0"/>
              <w:spacing w:before="120" w:after="120"/>
              <w:jc w:val="right"/>
              <w:rPr>
                <w:i/>
                <w:sz w:val="20"/>
                <w:szCs w:val="20"/>
                <w:lang w:eastAsia="en-AU"/>
              </w:rPr>
            </w:pPr>
            <w:r w:rsidRPr="006F1F03">
              <w:rPr>
                <w:i/>
                <w:sz w:val="20"/>
                <w:szCs w:val="20"/>
                <w:lang w:eastAsia="en-AU"/>
              </w:rPr>
              <w:t xml:space="preserve">Review </w:t>
            </w:r>
            <w:r>
              <w:rPr>
                <w:i/>
                <w:sz w:val="20"/>
                <w:szCs w:val="20"/>
                <w:lang w:eastAsia="en-AU"/>
              </w:rPr>
              <w:t>draft assessment documentation</w:t>
            </w: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0.107</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0.125</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0.125</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0.125</w:t>
            </w:r>
          </w:p>
        </w:tc>
      </w:tr>
      <w:tr w:rsidR="00397365" w:rsidTr="001A641D">
        <w:trPr>
          <w:cantSplit/>
        </w:trPr>
        <w:tc>
          <w:tcPr>
            <w:tcW w:w="1637" w:type="pct"/>
            <w:gridSpan w:val="4"/>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0.107</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0.125</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0.125</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0.125</w:t>
            </w:r>
          </w:p>
        </w:tc>
      </w:tr>
      <w:tr w:rsidR="00397365" w:rsidTr="001A641D">
        <w:trPr>
          <w:cantSplit/>
        </w:trPr>
        <w:tc>
          <w:tcPr>
            <w:tcW w:w="1637" w:type="pct"/>
            <w:gridSpan w:val="4"/>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637" w:type="pct"/>
            <w:gridSpan w:val="4"/>
            <w:vMerge w:val="restart"/>
            <w:tcBorders>
              <w:top w:val="single" w:sz="4" w:space="0" w:color="548DD4" w:themeColor="text2" w:themeTint="99"/>
              <w:left w:val="single" w:sz="4" w:space="0" w:color="548DD4" w:themeColor="text2" w:themeTint="99"/>
              <w:right w:val="nil"/>
            </w:tcBorders>
            <w:shd w:val="clear" w:color="auto" w:fill="auto"/>
            <w:hideMark/>
          </w:tcPr>
          <w:p w:rsidR="001A641D" w:rsidRDefault="007E5C0A" w:rsidP="001A641D">
            <w:pPr>
              <w:widowControl w:val="0"/>
              <w:spacing w:before="120" w:after="120"/>
              <w:jc w:val="right"/>
              <w:rPr>
                <w:i/>
                <w:sz w:val="20"/>
                <w:szCs w:val="20"/>
                <w:lang w:eastAsia="en-AU"/>
              </w:rPr>
            </w:pPr>
            <w:r>
              <w:rPr>
                <w:i/>
                <w:sz w:val="20"/>
                <w:szCs w:val="20"/>
                <w:lang w:eastAsia="en-AU"/>
              </w:rPr>
              <w:t>Stage </w:t>
            </w:r>
            <w:r w:rsidRPr="00F36214">
              <w:rPr>
                <w:i/>
                <w:sz w:val="20"/>
                <w:szCs w:val="20"/>
                <w:lang w:eastAsia="en-AU"/>
              </w:rPr>
              <w:t>3</w:t>
            </w:r>
            <w:r w:rsidRPr="006F1F03">
              <w:rPr>
                <w:i/>
                <w:sz w:val="20"/>
                <w:szCs w:val="20"/>
                <w:lang w:eastAsia="en-AU"/>
              </w:rPr>
              <w:t xml:space="preserve"> </w:t>
            </w:r>
          </w:p>
          <w:p w:rsidR="001A641D" w:rsidRDefault="007E5C0A" w:rsidP="001A641D">
            <w:pPr>
              <w:widowControl w:val="0"/>
              <w:spacing w:before="120" w:after="120"/>
              <w:jc w:val="right"/>
              <w:rPr>
                <w:i/>
                <w:sz w:val="20"/>
                <w:szCs w:val="20"/>
                <w:lang w:eastAsia="en-AU"/>
              </w:rPr>
            </w:pPr>
            <w:r w:rsidRPr="006F1F03">
              <w:rPr>
                <w:i/>
                <w:sz w:val="20"/>
                <w:szCs w:val="20"/>
                <w:lang w:eastAsia="en-AU"/>
              </w:rPr>
              <w:t xml:space="preserve">Review </w:t>
            </w:r>
            <w:r>
              <w:rPr>
                <w:i/>
                <w:sz w:val="20"/>
                <w:szCs w:val="20"/>
                <w:lang w:eastAsia="en-AU"/>
              </w:rPr>
              <w:t>final assessment documentation</w:t>
            </w: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0.193</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0.193</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0.232</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0.232</w:t>
            </w:r>
          </w:p>
        </w:tc>
      </w:tr>
      <w:tr w:rsidR="00397365" w:rsidTr="001A641D">
        <w:trPr>
          <w:cantSplit/>
        </w:trPr>
        <w:tc>
          <w:tcPr>
            <w:tcW w:w="1637" w:type="pct"/>
            <w:gridSpan w:val="4"/>
            <w:vMerge/>
            <w:tcBorders>
              <w:left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0.193</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0.193</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0.232</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0.232</w:t>
            </w:r>
          </w:p>
        </w:tc>
      </w:tr>
      <w:tr w:rsidR="00397365" w:rsidTr="001A641D">
        <w:trPr>
          <w:cantSplit/>
        </w:trPr>
        <w:tc>
          <w:tcPr>
            <w:tcW w:w="1637" w:type="pct"/>
            <w:gridSpan w:val="4"/>
            <w:vMerge/>
            <w:tcBorders>
              <w:left w:val="single" w:sz="4" w:space="0" w:color="548DD4" w:themeColor="text2" w:themeTint="99"/>
              <w:bottom w:val="single" w:sz="4" w:space="0" w:color="548DD4" w:themeColor="text2" w:themeTint="99"/>
              <w:right w:val="nil"/>
            </w:tcBorders>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rPr>
          <w:cantSplit/>
        </w:trPr>
        <w:tc>
          <w:tcPr>
            <w:tcW w:w="1637" w:type="pct"/>
            <w:gridSpan w:val="4"/>
            <w:vMerge w:val="restart"/>
            <w:tcBorders>
              <w:top w:val="single" w:sz="4" w:space="0" w:color="548DD4" w:themeColor="text2" w:themeTint="99"/>
              <w:left w:val="single" w:sz="4" w:space="0" w:color="548DD4" w:themeColor="text2" w:themeTint="99"/>
              <w:right w:val="nil"/>
            </w:tcBorders>
            <w:shd w:val="clear" w:color="auto" w:fill="auto"/>
            <w:vAlign w:val="bottom"/>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 4</w:t>
            </w:r>
            <w:r w:rsidRPr="006F1F03">
              <w:rPr>
                <w:i/>
                <w:sz w:val="20"/>
                <w:szCs w:val="20"/>
                <w:lang w:eastAsia="en-AU"/>
              </w:rPr>
              <w:t xml:space="preserve"> </w:t>
            </w:r>
          </w:p>
          <w:p w:rsidR="001A641D" w:rsidRPr="00D64508" w:rsidRDefault="007E5C0A" w:rsidP="001A641D">
            <w:pPr>
              <w:widowControl w:val="0"/>
              <w:spacing w:before="120" w:after="120"/>
              <w:jc w:val="right"/>
              <w:rPr>
                <w:i/>
                <w:sz w:val="20"/>
                <w:szCs w:val="20"/>
                <w:lang w:eastAsia="en-AU"/>
              </w:rPr>
            </w:pPr>
            <w:r>
              <w:rPr>
                <w:i/>
                <w:sz w:val="20"/>
                <w:szCs w:val="20"/>
                <w:lang w:eastAsia="en-AU"/>
              </w:rPr>
              <w:t>Prepare recommendation report, proposed and final decision</w:t>
            </w: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0.118</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0.295</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0.354</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0.354</w:t>
            </w:r>
          </w:p>
        </w:tc>
      </w:tr>
      <w:tr w:rsidR="00397365" w:rsidTr="001A641D">
        <w:trPr>
          <w:cantSplit/>
        </w:trPr>
        <w:tc>
          <w:tcPr>
            <w:tcW w:w="1637" w:type="pct"/>
            <w:gridSpan w:val="4"/>
            <w:vMerge/>
            <w:tcBorders>
              <w:left w:val="single" w:sz="4" w:space="0" w:color="548DD4" w:themeColor="text2" w:themeTint="99"/>
              <w:right w:val="nil"/>
            </w:tcBorders>
            <w:shd w:val="clear" w:color="auto" w:fill="auto"/>
            <w:vAlign w:val="bottom"/>
            <w:hideMark/>
          </w:tcPr>
          <w:p w:rsidR="001A641D" w:rsidRDefault="001A641D" w:rsidP="001A641D">
            <w:pPr>
              <w:widowControl w:val="0"/>
              <w:spacing w:before="120" w:after="120"/>
              <w:rPr>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0.118</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0.295</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0.354</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0.354</w:t>
            </w:r>
          </w:p>
        </w:tc>
      </w:tr>
      <w:tr w:rsidR="00397365" w:rsidTr="001A641D">
        <w:trPr>
          <w:cantSplit/>
        </w:trPr>
        <w:tc>
          <w:tcPr>
            <w:tcW w:w="1637" w:type="pct"/>
            <w:gridSpan w:val="4"/>
            <w:vMerge/>
            <w:tcBorders>
              <w:left w:val="single" w:sz="4" w:space="0" w:color="548DD4" w:themeColor="text2" w:themeTint="99"/>
              <w:bottom w:val="single" w:sz="4" w:space="0" w:color="548DD4" w:themeColor="text2" w:themeTint="99"/>
              <w:right w:val="nil"/>
            </w:tcBorders>
            <w:shd w:val="clear" w:color="auto" w:fill="auto"/>
            <w:vAlign w:val="bottom"/>
            <w:hideMark/>
          </w:tcPr>
          <w:p w:rsidR="001A641D" w:rsidRDefault="001A641D" w:rsidP="001A641D">
            <w:pPr>
              <w:widowControl w:val="0"/>
              <w:spacing w:before="120" w:after="120"/>
              <w:rPr>
                <w:sz w:val="20"/>
                <w:szCs w:val="20"/>
                <w:lang w:eastAsia="en-AU"/>
              </w:rPr>
            </w:pPr>
          </w:p>
        </w:tc>
        <w:tc>
          <w:tcPr>
            <w:tcW w:w="110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5000" w:type="pct"/>
            <w:gridSpan w:val="17"/>
            <w:shd w:val="clear" w:color="auto" w:fill="C6D9F1" w:themeFill="text2" w:themeFillTint="33"/>
            <w:vAlign w:val="bottom"/>
            <w:hideMark/>
          </w:tcPr>
          <w:p w:rsidR="001A641D" w:rsidRPr="00F36214" w:rsidRDefault="007E5C0A" w:rsidP="001A641D">
            <w:pPr>
              <w:widowControl w:val="0"/>
              <w:spacing w:before="120" w:after="120"/>
              <w:rPr>
                <w:sz w:val="20"/>
                <w:szCs w:val="20"/>
                <w:lang w:eastAsia="en-AU"/>
              </w:rPr>
            </w:pPr>
            <w:r w:rsidRPr="00F36214">
              <w:rPr>
                <w:sz w:val="20"/>
                <w:szCs w:val="20"/>
                <w:lang w:eastAsia="en-AU"/>
              </w:rPr>
              <w:t>Bilateral agreement / Accredited assessment</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1637" w:type="pct"/>
            <w:gridSpan w:val="4"/>
            <w:vMerge w:val="restart"/>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 xml:space="preserve">Stage 1 </w:t>
            </w:r>
          </w:p>
          <w:p w:rsidR="001A641D" w:rsidRDefault="007E5C0A" w:rsidP="001A641D">
            <w:pPr>
              <w:widowControl w:val="0"/>
              <w:spacing w:before="120" w:after="120"/>
              <w:jc w:val="right"/>
              <w:rPr>
                <w:i/>
                <w:sz w:val="20"/>
                <w:szCs w:val="20"/>
                <w:lang w:eastAsia="en-AU"/>
              </w:rPr>
            </w:pPr>
            <w:r>
              <w:rPr>
                <w:i/>
                <w:sz w:val="20"/>
                <w:szCs w:val="20"/>
                <w:lang w:eastAsia="en-AU"/>
              </w:rPr>
              <w:t>Review terms of reference</w:t>
            </w:r>
          </w:p>
        </w:tc>
        <w:tc>
          <w:tcPr>
            <w:tcW w:w="1106" w:type="pct"/>
            <w:gridSpan w:val="3"/>
            <w:tcBorders>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left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c>
          <w:tcPr>
            <w:tcW w:w="576"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c>
          <w:tcPr>
            <w:tcW w:w="575"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c>
          <w:tcPr>
            <w:tcW w:w="531" w:type="pct"/>
            <w:tcBorders>
              <w:lef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1637" w:type="pct"/>
            <w:gridSpan w:val="4"/>
            <w:vMerge/>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left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c>
          <w:tcPr>
            <w:tcW w:w="576"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c>
          <w:tcPr>
            <w:tcW w:w="575"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c>
          <w:tcPr>
            <w:tcW w:w="531" w:type="pct"/>
            <w:tcBorders>
              <w:lef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0.204</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1637" w:type="pct"/>
            <w:gridSpan w:val="4"/>
            <w:vMerge/>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left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lef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1637" w:type="pct"/>
            <w:gridSpan w:val="4"/>
            <w:vMerge w:val="restart"/>
            <w:shd w:val="clear" w:color="auto" w:fill="auto"/>
            <w:hideMark/>
          </w:tcPr>
          <w:p w:rsidR="001A641D" w:rsidRDefault="007E5C0A" w:rsidP="001A641D">
            <w:pPr>
              <w:widowControl w:val="0"/>
              <w:spacing w:before="120" w:after="120"/>
              <w:jc w:val="right"/>
              <w:rPr>
                <w:i/>
                <w:sz w:val="20"/>
                <w:szCs w:val="20"/>
                <w:lang w:eastAsia="en-AU"/>
              </w:rPr>
            </w:pPr>
            <w:r w:rsidRPr="00F36214">
              <w:rPr>
                <w:i/>
                <w:sz w:val="20"/>
                <w:szCs w:val="20"/>
                <w:lang w:eastAsia="en-AU"/>
              </w:rPr>
              <w:t>Stage</w:t>
            </w:r>
            <w:r>
              <w:rPr>
                <w:i/>
                <w:sz w:val="20"/>
                <w:szCs w:val="20"/>
                <w:lang w:eastAsia="en-AU"/>
              </w:rPr>
              <w:t>s</w:t>
            </w:r>
            <w:r w:rsidRPr="00F36214">
              <w:rPr>
                <w:i/>
                <w:sz w:val="20"/>
                <w:szCs w:val="20"/>
                <w:lang w:eastAsia="en-AU"/>
              </w:rPr>
              <w:t xml:space="preserve"> 2</w:t>
            </w:r>
            <w:r>
              <w:rPr>
                <w:i/>
                <w:sz w:val="20"/>
                <w:szCs w:val="20"/>
                <w:lang w:eastAsia="en-AU"/>
              </w:rPr>
              <w:t>, 3 &amp; 4</w:t>
            </w:r>
            <w:r w:rsidRPr="0060147A">
              <w:rPr>
                <w:i/>
                <w:sz w:val="20"/>
                <w:szCs w:val="20"/>
                <w:lang w:eastAsia="en-AU"/>
              </w:rPr>
              <w:t xml:space="preserve"> </w:t>
            </w:r>
          </w:p>
          <w:p w:rsidR="001A641D" w:rsidRDefault="007E5C0A" w:rsidP="001A641D">
            <w:pPr>
              <w:widowControl w:val="0"/>
              <w:spacing w:before="120" w:after="120"/>
              <w:jc w:val="right"/>
              <w:rPr>
                <w:i/>
                <w:sz w:val="20"/>
                <w:szCs w:val="20"/>
                <w:lang w:eastAsia="en-AU"/>
              </w:rPr>
            </w:pPr>
            <w:r w:rsidRPr="0060147A">
              <w:rPr>
                <w:i/>
                <w:sz w:val="20"/>
                <w:szCs w:val="20"/>
                <w:lang w:eastAsia="en-AU"/>
              </w:rPr>
              <w:t xml:space="preserve">Review </w:t>
            </w:r>
            <w:r>
              <w:rPr>
                <w:i/>
                <w:sz w:val="20"/>
                <w:szCs w:val="20"/>
                <w:lang w:eastAsia="en-AU"/>
              </w:rPr>
              <w:t xml:space="preserve">draft and </w:t>
            </w:r>
            <w:r w:rsidRPr="0060147A">
              <w:rPr>
                <w:i/>
                <w:sz w:val="20"/>
                <w:szCs w:val="20"/>
                <w:lang w:eastAsia="en-AU"/>
              </w:rPr>
              <w:t>final assessment documentation</w:t>
            </w:r>
            <w:r>
              <w:rPr>
                <w:i/>
                <w:sz w:val="20"/>
                <w:szCs w:val="20"/>
                <w:lang w:eastAsia="en-AU"/>
              </w:rPr>
              <w:t>; prepare proposed and final decision</w:t>
            </w:r>
          </w:p>
        </w:tc>
        <w:tc>
          <w:tcPr>
            <w:tcW w:w="1106" w:type="pct"/>
            <w:gridSpan w:val="3"/>
            <w:tcBorders>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Expense</w:t>
            </w:r>
          </w:p>
        </w:tc>
        <w:tc>
          <w:tcPr>
            <w:tcW w:w="575" w:type="pct"/>
            <w:gridSpan w:val="3"/>
            <w:tcBorders>
              <w:left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0.468</w:t>
            </w:r>
          </w:p>
        </w:tc>
        <w:tc>
          <w:tcPr>
            <w:tcW w:w="576"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0.814</w:t>
            </w:r>
          </w:p>
        </w:tc>
        <w:tc>
          <w:tcPr>
            <w:tcW w:w="575"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1.038</w:t>
            </w:r>
          </w:p>
        </w:tc>
        <w:tc>
          <w:tcPr>
            <w:tcW w:w="531" w:type="pct"/>
            <w:tcBorders>
              <w:lef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1.139</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1637" w:type="pct"/>
            <w:gridSpan w:val="4"/>
            <w:vMerge/>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Revenue</w:t>
            </w:r>
          </w:p>
        </w:tc>
        <w:tc>
          <w:tcPr>
            <w:tcW w:w="575" w:type="pct"/>
            <w:gridSpan w:val="3"/>
            <w:tcBorders>
              <w:left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0.468</w:t>
            </w:r>
          </w:p>
        </w:tc>
        <w:tc>
          <w:tcPr>
            <w:tcW w:w="576"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0.814</w:t>
            </w:r>
          </w:p>
        </w:tc>
        <w:tc>
          <w:tcPr>
            <w:tcW w:w="575"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1.038</w:t>
            </w:r>
          </w:p>
        </w:tc>
        <w:tc>
          <w:tcPr>
            <w:tcW w:w="531" w:type="pct"/>
            <w:tcBorders>
              <w:lef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1.139</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1637" w:type="pct"/>
            <w:gridSpan w:val="4"/>
            <w:vMerge/>
            <w:shd w:val="clear" w:color="auto" w:fill="auto"/>
            <w:hideMark/>
          </w:tcPr>
          <w:p w:rsidR="001A641D" w:rsidRDefault="001A641D" w:rsidP="001A641D">
            <w:pPr>
              <w:widowControl w:val="0"/>
              <w:spacing w:before="120" w:after="120"/>
              <w:jc w:val="right"/>
              <w:rPr>
                <w:i/>
                <w:sz w:val="20"/>
                <w:szCs w:val="20"/>
                <w:lang w:eastAsia="en-AU"/>
              </w:rPr>
            </w:pPr>
          </w:p>
        </w:tc>
        <w:tc>
          <w:tcPr>
            <w:tcW w:w="1106" w:type="pct"/>
            <w:gridSpan w:val="3"/>
            <w:tcBorders>
              <w:right w:val="single" w:sz="4" w:space="0" w:color="548DD4" w:themeColor="text2" w:themeTint="99"/>
            </w:tcBorders>
            <w:shd w:val="clear" w:color="auto" w:fill="auto"/>
            <w:vAlign w:val="bottom"/>
            <w:hideMark/>
          </w:tcPr>
          <w:p w:rsidR="001A641D" w:rsidRDefault="007E5C0A" w:rsidP="001A641D">
            <w:pPr>
              <w:widowControl w:val="0"/>
              <w:spacing w:before="120" w:after="120"/>
              <w:rPr>
                <w:sz w:val="20"/>
                <w:szCs w:val="20"/>
                <w:lang w:eastAsia="en-AU"/>
              </w:rPr>
            </w:pPr>
            <w:r w:rsidRPr="00F36214">
              <w:rPr>
                <w:sz w:val="20"/>
                <w:szCs w:val="20"/>
                <w:lang w:eastAsia="en-AU"/>
              </w:rPr>
              <w:t>Balance +/-</w:t>
            </w:r>
          </w:p>
        </w:tc>
        <w:tc>
          <w:tcPr>
            <w:tcW w:w="575" w:type="pct"/>
            <w:gridSpan w:val="3"/>
            <w:tcBorders>
              <w:left w:val="single" w:sz="4" w:space="0" w:color="548DD4" w:themeColor="text2" w:themeTint="99"/>
              <w:right w:val="single" w:sz="4" w:space="0" w:color="548DD4" w:themeColor="text2" w:themeTint="99"/>
            </w:tcBorders>
            <w:shd w:val="clear" w:color="auto" w:fill="auto"/>
            <w:vAlign w:val="center"/>
            <w:hideMark/>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6"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75" w:type="pct"/>
            <w:gridSpan w:val="3"/>
            <w:tcBorders>
              <w:left w:val="single" w:sz="4" w:space="0" w:color="548DD4" w:themeColor="text2" w:themeTint="99"/>
              <w:righ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c>
          <w:tcPr>
            <w:tcW w:w="531" w:type="pct"/>
            <w:tcBorders>
              <w:left w:val="single" w:sz="4" w:space="0" w:color="548DD4" w:themeColor="text2" w:themeTint="99"/>
            </w:tcBorders>
          </w:tcPr>
          <w:p w:rsidR="001A641D" w:rsidRPr="00A264DA" w:rsidRDefault="007E5C0A" w:rsidP="001A641D">
            <w:pPr>
              <w:widowControl w:val="0"/>
              <w:spacing w:before="120" w:after="120"/>
              <w:jc w:val="center"/>
              <w:rPr>
                <w:sz w:val="20"/>
                <w:szCs w:val="20"/>
                <w:lang w:eastAsia="en-AU"/>
              </w:rPr>
            </w:pPr>
            <w:r w:rsidRPr="00A264DA">
              <w:rPr>
                <w:sz w:val="20"/>
                <w:szCs w:val="20"/>
                <w:lang w:eastAsia="en-AU"/>
              </w:rPr>
              <w:t>0</w:t>
            </w:r>
          </w:p>
        </w:tc>
      </w:tr>
      <w:tr w:rsidR="00397365" w:rsidTr="001A641D">
        <w:tblPrEx>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nil"/>
          </w:tblBorders>
        </w:tblPrEx>
        <w:trPr>
          <w:cantSplit/>
        </w:trPr>
        <w:tc>
          <w:tcPr>
            <w:tcW w:w="5000" w:type="pct"/>
            <w:gridSpan w:val="17"/>
            <w:shd w:val="clear" w:color="auto" w:fill="C6D9F1" w:themeFill="text2" w:themeFillTint="33"/>
            <w:vAlign w:val="bottom"/>
            <w:hideMark/>
          </w:tcPr>
          <w:p w:rsidR="001A641D" w:rsidRPr="00F36214" w:rsidRDefault="007E5C0A" w:rsidP="001A641D">
            <w:pPr>
              <w:widowControl w:val="0"/>
              <w:spacing w:before="120" w:after="120"/>
              <w:rPr>
                <w:sz w:val="20"/>
                <w:szCs w:val="20"/>
                <w:lang w:eastAsia="en-AU"/>
              </w:rPr>
            </w:pPr>
            <w:r>
              <w:rPr>
                <w:sz w:val="20"/>
                <w:szCs w:val="20"/>
                <w:lang w:eastAsia="en-AU"/>
              </w:rPr>
              <w:t>Post approval action management plans</w:t>
            </w:r>
          </w:p>
        </w:tc>
      </w:tr>
      <w:tr w:rsidR="00397365" w:rsidTr="001A641D">
        <w:tblPrEx>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nil"/>
          </w:tblBorders>
        </w:tblPrEx>
        <w:trPr>
          <w:trHeight w:val="167"/>
        </w:trPr>
        <w:tc>
          <w:tcPr>
            <w:tcW w:w="1637" w:type="pct"/>
            <w:gridSpan w:val="4"/>
            <w:vMerge w:val="restart"/>
            <w:shd w:val="clear" w:color="auto" w:fill="auto"/>
            <w:vAlign w:val="center"/>
            <w:hideMark/>
          </w:tcPr>
          <w:p w:rsidR="001A641D" w:rsidRPr="00B50A54" w:rsidRDefault="007E5C0A" w:rsidP="001A641D">
            <w:pPr>
              <w:spacing w:before="120" w:after="120"/>
              <w:rPr>
                <w:sz w:val="20"/>
                <w:szCs w:val="20"/>
                <w:lang w:eastAsia="en-AU"/>
              </w:rPr>
            </w:pPr>
            <w:r>
              <w:rPr>
                <w:sz w:val="20"/>
                <w:szCs w:val="20"/>
                <w:lang w:eastAsia="en-AU"/>
              </w:rPr>
              <w:t>Evaluation of new action management plan</w:t>
            </w:r>
            <w:r w:rsidRPr="00B50A54">
              <w:rPr>
                <w:sz w:val="20"/>
                <w:szCs w:val="20"/>
                <w:lang w:eastAsia="en-AU"/>
              </w:rPr>
              <w:t xml:space="preserve"> </w:t>
            </w:r>
          </w:p>
        </w:tc>
        <w:tc>
          <w:tcPr>
            <w:tcW w:w="1083" w:type="pct"/>
            <w:tcBorders>
              <w:right w:val="single" w:sz="8"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1" w:type="pct"/>
            <w:gridSpan w:val="3"/>
            <w:tcBorders>
              <w:left w:val="single" w:sz="8" w:space="0" w:color="548DD4" w:themeColor="text2" w:themeTint="99"/>
              <w:right w:val="single" w:sz="8" w:space="0" w:color="548DD4" w:themeColor="text2" w:themeTint="99"/>
            </w:tcBorders>
            <w:shd w:val="clear" w:color="auto" w:fill="auto"/>
            <w:vAlign w:val="center"/>
            <w:hideMark/>
          </w:tcPr>
          <w:p w:rsidR="001A641D" w:rsidRPr="00A264DA" w:rsidRDefault="007E5C0A" w:rsidP="001A641D">
            <w:pPr>
              <w:spacing w:before="120" w:after="120"/>
              <w:jc w:val="center"/>
              <w:rPr>
                <w:sz w:val="20"/>
                <w:szCs w:val="20"/>
                <w:lang w:eastAsia="en-AU"/>
              </w:rPr>
            </w:pPr>
            <w:r w:rsidRPr="00A264DA">
              <w:rPr>
                <w:sz w:val="20"/>
                <w:szCs w:val="20"/>
                <w:lang w:eastAsia="en-AU"/>
              </w:rPr>
              <w:t>0.097</w:t>
            </w:r>
          </w:p>
        </w:tc>
        <w:tc>
          <w:tcPr>
            <w:tcW w:w="571" w:type="pct"/>
            <w:gridSpan w:val="3"/>
            <w:tcBorders>
              <w:left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0.172</w:t>
            </w:r>
          </w:p>
        </w:tc>
        <w:tc>
          <w:tcPr>
            <w:tcW w:w="571" w:type="pct"/>
            <w:gridSpan w:val="3"/>
            <w:tcBorders>
              <w:left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0.226</w:t>
            </w:r>
          </w:p>
        </w:tc>
        <w:tc>
          <w:tcPr>
            <w:tcW w:w="567" w:type="pct"/>
            <w:gridSpan w:val="3"/>
            <w:tcBorders>
              <w:lef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0.312</w:t>
            </w:r>
          </w:p>
        </w:tc>
      </w:tr>
      <w:tr w:rsidR="00397365" w:rsidTr="001A641D">
        <w:tblPrEx>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nil"/>
          </w:tblBorders>
        </w:tblPrEx>
        <w:trPr>
          <w:trHeight w:val="167"/>
        </w:trPr>
        <w:tc>
          <w:tcPr>
            <w:tcW w:w="1637" w:type="pct"/>
            <w:gridSpan w:val="4"/>
            <w:vMerge/>
            <w:shd w:val="clear" w:color="auto" w:fill="auto"/>
            <w:vAlign w:val="bottom"/>
            <w:hideMark/>
          </w:tcPr>
          <w:p w:rsidR="001A641D" w:rsidRDefault="001A641D" w:rsidP="001A641D">
            <w:pPr>
              <w:spacing w:before="120" w:after="120"/>
              <w:rPr>
                <w:sz w:val="20"/>
                <w:szCs w:val="20"/>
                <w:lang w:eastAsia="en-AU"/>
              </w:rPr>
            </w:pPr>
          </w:p>
        </w:tc>
        <w:tc>
          <w:tcPr>
            <w:tcW w:w="1083" w:type="pct"/>
            <w:tcBorders>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1" w:type="pct"/>
            <w:gridSpan w:val="3"/>
            <w:tcBorders>
              <w:left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0.097</w:t>
            </w:r>
          </w:p>
        </w:tc>
        <w:tc>
          <w:tcPr>
            <w:tcW w:w="571" w:type="pct"/>
            <w:gridSpan w:val="3"/>
            <w:tcBorders>
              <w:left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0.172</w:t>
            </w:r>
          </w:p>
        </w:tc>
        <w:tc>
          <w:tcPr>
            <w:tcW w:w="571" w:type="pct"/>
            <w:gridSpan w:val="3"/>
            <w:tcBorders>
              <w:left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0.226</w:t>
            </w:r>
          </w:p>
        </w:tc>
        <w:tc>
          <w:tcPr>
            <w:tcW w:w="567" w:type="pct"/>
            <w:gridSpan w:val="3"/>
            <w:tcBorders>
              <w:lef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0.312</w:t>
            </w:r>
          </w:p>
        </w:tc>
      </w:tr>
      <w:tr w:rsidR="00397365" w:rsidTr="001A641D">
        <w:tblPrEx>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8" w:space="0" w:color="548DD4" w:themeColor="text2" w:themeTint="99"/>
            <w:insideV w:val="nil"/>
          </w:tblBorders>
        </w:tblPrEx>
        <w:trPr>
          <w:trHeight w:val="167"/>
        </w:trPr>
        <w:tc>
          <w:tcPr>
            <w:tcW w:w="1637" w:type="pct"/>
            <w:gridSpan w:val="4"/>
            <w:vMerge/>
            <w:shd w:val="clear" w:color="auto" w:fill="auto"/>
            <w:vAlign w:val="bottom"/>
            <w:hideMark/>
          </w:tcPr>
          <w:p w:rsidR="001A641D" w:rsidRDefault="001A641D" w:rsidP="001A641D">
            <w:pPr>
              <w:spacing w:before="120" w:after="120"/>
              <w:rPr>
                <w:sz w:val="20"/>
                <w:szCs w:val="20"/>
                <w:lang w:eastAsia="en-AU"/>
              </w:rPr>
            </w:pPr>
          </w:p>
        </w:tc>
        <w:tc>
          <w:tcPr>
            <w:tcW w:w="1083" w:type="pct"/>
            <w:tcBorders>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1" w:type="pct"/>
            <w:gridSpan w:val="3"/>
            <w:tcBorders>
              <w:left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1" w:type="pct"/>
            <w:gridSpan w:val="3"/>
            <w:tcBorders>
              <w:left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1" w:type="pct"/>
            <w:gridSpan w:val="3"/>
            <w:tcBorders>
              <w:left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67" w:type="pct"/>
            <w:gridSpan w:val="3"/>
            <w:tcBorders>
              <w:lef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bl>
    <w:p w:rsidR="001A641D" w:rsidRDefault="001A641D" w:rsidP="001A641D">
      <w:pPr>
        <w:pStyle w:val="Caption"/>
      </w:pPr>
    </w:p>
    <w:p w:rsidR="001A641D" w:rsidRDefault="007E5C0A">
      <w:pPr>
        <w:spacing w:after="0" w:line="240" w:lineRule="auto"/>
        <w:rPr>
          <w:rFonts w:asciiTheme="minorHAnsi" w:eastAsia="Times New Roman" w:hAnsiTheme="minorHAnsi" w:cstheme="minorHAnsi"/>
          <w:b/>
          <w:bCs/>
          <w:color w:val="4F81BD" w:themeColor="accent1"/>
          <w:sz w:val="20"/>
          <w:szCs w:val="20"/>
        </w:rPr>
      </w:pPr>
      <w:bookmarkStart w:id="3329" w:name="_Ref457986397"/>
      <w:bookmarkStart w:id="3330" w:name="_Ref346283256"/>
      <w:r>
        <w:br w:type="page"/>
      </w:r>
    </w:p>
    <w:p w:rsidR="001A641D" w:rsidRDefault="007E5C0A" w:rsidP="001A641D">
      <w:pPr>
        <w:pStyle w:val="Caption"/>
        <w:keepNext/>
      </w:pPr>
      <w:bookmarkStart w:id="3331" w:name="_Ref458074316"/>
      <w:bookmarkStart w:id="3332" w:name="_Toc256000431"/>
      <w:bookmarkStart w:id="3333" w:name="_Toc256000323"/>
      <w:bookmarkStart w:id="3334" w:name="_Toc256000215"/>
      <w:bookmarkStart w:id="3335" w:name="_Toc256000107"/>
      <w:bookmarkStart w:id="3336" w:name="_Toc458170610"/>
      <w:r>
        <w:t xml:space="preserve">Table </w:t>
      </w:r>
      <w:r w:rsidR="003366B4">
        <w:fldChar w:fldCharType="begin"/>
      </w:r>
      <w:r>
        <w:instrText xml:space="preserve"> SEQ Table \* ARABIC </w:instrText>
      </w:r>
      <w:r w:rsidR="003366B4">
        <w:fldChar w:fldCharType="separate"/>
      </w:r>
      <w:r w:rsidR="00FF3730">
        <w:rPr>
          <w:noProof/>
        </w:rPr>
        <w:t>22</w:t>
      </w:r>
      <w:r w:rsidR="003366B4">
        <w:rPr>
          <w:noProof/>
        </w:rPr>
        <w:fldChar w:fldCharType="end"/>
      </w:r>
      <w:bookmarkEnd w:id="3329"/>
      <w:bookmarkEnd w:id="3331"/>
      <w:r>
        <w:t xml:space="preserve">. </w:t>
      </w:r>
      <w:r w:rsidRPr="006B5FA6">
        <w:t xml:space="preserve">Contingent </w:t>
      </w:r>
      <w:r>
        <w:t>activities</w:t>
      </w:r>
      <w:r w:rsidRPr="006B5FA6">
        <w:t xml:space="preserve"> (expenses and revenue summary)</w:t>
      </w:r>
      <w:bookmarkEnd w:id="3332"/>
      <w:bookmarkEnd w:id="3333"/>
      <w:bookmarkEnd w:id="3334"/>
      <w:bookmarkEnd w:id="3335"/>
      <w:bookmarkEnd w:id="3336"/>
    </w:p>
    <w:tbl>
      <w:tblPr>
        <w:tblW w:w="5000" w:type="pct"/>
        <w:tbl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insideH w:val="single" w:sz="8" w:space="0" w:color="5F497A" w:themeColor="accent4" w:themeShade="BF"/>
          <w:insideV w:val="single" w:sz="8" w:space="0" w:color="5F497A" w:themeColor="accent4" w:themeShade="BF"/>
        </w:tblBorders>
        <w:tblLook w:val="04A0" w:firstRow="1" w:lastRow="0" w:firstColumn="1" w:lastColumn="0" w:noHBand="0" w:noVBand="1"/>
      </w:tblPr>
      <w:tblGrid>
        <w:gridCol w:w="3371"/>
        <w:gridCol w:w="2028"/>
        <w:gridCol w:w="1135"/>
        <w:gridCol w:w="1135"/>
        <w:gridCol w:w="1133"/>
        <w:gridCol w:w="1053"/>
      </w:tblGrid>
      <w:tr w:rsidR="00397365" w:rsidTr="001A641D">
        <w:trPr>
          <w:trHeight w:val="668"/>
          <w:tblHeader/>
        </w:trPr>
        <w:tc>
          <w:tcPr>
            <w:tcW w:w="2739" w:type="pct"/>
            <w:gridSpan w:val="2"/>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1A641D" w:rsidRDefault="007E5C0A" w:rsidP="001A641D">
            <w:pPr>
              <w:keepNext/>
              <w:spacing w:before="120" w:after="120"/>
              <w:jc w:val="center"/>
              <w:rPr>
                <w:b/>
                <w:sz w:val="20"/>
                <w:szCs w:val="20"/>
                <w:lang w:eastAsia="en-AU"/>
              </w:rPr>
            </w:pPr>
            <w:r w:rsidRPr="00F36214">
              <w:rPr>
                <w:b/>
                <w:sz w:val="20"/>
                <w:szCs w:val="20"/>
                <w:lang w:eastAsia="en-AU"/>
              </w:rPr>
              <w:t xml:space="preserve">Contingent </w:t>
            </w:r>
            <w:r>
              <w:rPr>
                <w:b/>
                <w:sz w:val="20"/>
                <w:szCs w:val="20"/>
                <w:lang w:eastAsia="en-AU"/>
              </w:rPr>
              <w:t>activities</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1A641D" w:rsidRDefault="007E5C0A" w:rsidP="001A641D">
            <w:pPr>
              <w:spacing w:after="0" w:line="240" w:lineRule="auto"/>
              <w:jc w:val="center"/>
              <w:rPr>
                <w:b/>
                <w:sz w:val="20"/>
                <w:szCs w:val="20"/>
                <w:lang w:eastAsia="en-AU"/>
              </w:rPr>
            </w:pPr>
            <w:r w:rsidRPr="00183651">
              <w:rPr>
                <w:b/>
                <w:sz w:val="20"/>
                <w:szCs w:val="20"/>
                <w:lang w:eastAsia="en-AU"/>
              </w:rPr>
              <w:t>2016-17</w:t>
            </w:r>
          </w:p>
          <w:p w:rsidR="001A641D" w:rsidRDefault="007E5C0A" w:rsidP="001A641D">
            <w:pPr>
              <w:spacing w:after="0" w:line="240" w:lineRule="auto"/>
              <w:jc w:val="center"/>
              <w:rPr>
                <w:b/>
                <w:sz w:val="20"/>
                <w:szCs w:val="20"/>
                <w:lang w:eastAsia="en-AU"/>
              </w:rPr>
            </w:pPr>
            <w:r w:rsidRPr="00183651">
              <w:rPr>
                <w:b/>
                <w:sz w:val="20"/>
                <w:szCs w:val="20"/>
                <w:lang w:eastAsia="en-AU"/>
              </w:rPr>
              <w:t>($mil)</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2017-18</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c>
          <w:tcPr>
            <w:tcW w:w="5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2018-19</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c>
          <w:tcPr>
            <w:tcW w:w="53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2019-20</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r>
      <w:tr w:rsidR="00397365" w:rsidTr="001A641D">
        <w:trPr>
          <w:trHeight w:val="668"/>
        </w:trPr>
        <w:tc>
          <w:tcPr>
            <w:tcW w:w="5000" w:type="pct"/>
            <w:gridSpan w:val="6"/>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B8CCE4" w:themeFill="accent1" w:themeFillTint="66"/>
            <w:vAlign w:val="center"/>
            <w:hideMark/>
          </w:tcPr>
          <w:p w:rsidR="001A641D" w:rsidRPr="00B50A54" w:rsidRDefault="007E5C0A" w:rsidP="001A641D">
            <w:pPr>
              <w:keepNext/>
              <w:spacing w:before="120" w:after="120"/>
              <w:rPr>
                <w:b/>
                <w:i/>
                <w:sz w:val="20"/>
                <w:szCs w:val="20"/>
                <w:lang w:eastAsia="en-AU"/>
              </w:rPr>
            </w:pPr>
            <w:r w:rsidRPr="00B50A54">
              <w:rPr>
                <w:b/>
                <w:i/>
                <w:sz w:val="20"/>
                <w:szCs w:val="20"/>
                <w:lang w:eastAsia="en-AU"/>
              </w:rPr>
              <w:t xml:space="preserve">Assessment contingent </w:t>
            </w:r>
            <w:r>
              <w:rPr>
                <w:b/>
                <w:i/>
                <w:sz w:val="20"/>
                <w:szCs w:val="20"/>
                <w:lang w:eastAsia="en-AU"/>
              </w:rPr>
              <w:t>activities</w:t>
            </w:r>
          </w:p>
        </w:tc>
      </w:tr>
      <w:tr w:rsidR="00397365" w:rsidTr="001A641D">
        <w:trPr>
          <w:trHeight w:val="175"/>
        </w:trPr>
        <w:tc>
          <w:tcPr>
            <w:tcW w:w="1710"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7E5C0A" w:rsidP="001A641D">
            <w:pPr>
              <w:spacing w:before="120" w:after="120"/>
              <w:rPr>
                <w:sz w:val="20"/>
                <w:szCs w:val="20"/>
                <w:lang w:eastAsia="en-AU"/>
              </w:rPr>
            </w:pPr>
            <w:r w:rsidRPr="00F36214">
              <w:rPr>
                <w:sz w:val="20"/>
                <w:szCs w:val="20"/>
                <w:lang w:eastAsia="en-AU"/>
              </w:rPr>
              <w:t xml:space="preserve"> Request additional information </w:t>
            </w:r>
            <w:r>
              <w:rPr>
                <w:sz w:val="20"/>
                <w:szCs w:val="20"/>
                <w:lang w:eastAsia="en-AU"/>
              </w:rPr>
              <w:t>for referral or assessment approach decision or for approval decision (ARI, PD or bilateral/accredited assessment)</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0.024</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0.026</w:t>
            </w:r>
          </w:p>
        </w:tc>
        <w:tc>
          <w:tcPr>
            <w:tcW w:w="57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0.032</w:t>
            </w:r>
          </w:p>
        </w:tc>
        <w:tc>
          <w:tcPr>
            <w:tcW w:w="535"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0.032</w:t>
            </w:r>
          </w:p>
        </w:tc>
      </w:tr>
      <w:tr w:rsidR="00397365" w:rsidTr="001A641D">
        <w:trPr>
          <w:trHeight w:val="221"/>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0.024</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0.026</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0.032</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0.032</w:t>
            </w:r>
          </w:p>
        </w:tc>
      </w:tr>
      <w:tr w:rsidR="00397365" w:rsidTr="001A641D">
        <w:trPr>
          <w:trHeight w:val="253"/>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175"/>
        </w:trPr>
        <w:tc>
          <w:tcPr>
            <w:tcW w:w="1710"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7E5C0A" w:rsidP="001A641D">
            <w:pPr>
              <w:spacing w:before="120" w:after="120"/>
              <w:rPr>
                <w:sz w:val="20"/>
                <w:szCs w:val="20"/>
                <w:lang w:eastAsia="en-AU"/>
              </w:rPr>
            </w:pPr>
            <w:r w:rsidRPr="00F36214">
              <w:rPr>
                <w:sz w:val="20"/>
                <w:szCs w:val="20"/>
                <w:lang w:eastAsia="en-AU"/>
              </w:rPr>
              <w:t> Request additional information</w:t>
            </w:r>
            <w:r>
              <w:rPr>
                <w:sz w:val="20"/>
                <w:szCs w:val="20"/>
                <w:lang w:eastAsia="en-AU"/>
              </w:rPr>
              <w:t xml:space="preserve"> for approval decision</w:t>
            </w:r>
            <w:r w:rsidRPr="00F36214">
              <w:rPr>
                <w:sz w:val="20"/>
                <w:szCs w:val="20"/>
                <w:lang w:eastAsia="en-AU"/>
              </w:rPr>
              <w:t xml:space="preserve"> (</w:t>
            </w:r>
            <w:r>
              <w:rPr>
                <w:sz w:val="20"/>
                <w:szCs w:val="20"/>
                <w:lang w:eastAsia="en-AU"/>
              </w:rPr>
              <w:t>EIS or PER</w:t>
            </w:r>
            <w:r w:rsidRPr="00F36214">
              <w:rPr>
                <w:sz w:val="20"/>
                <w:szCs w:val="20"/>
                <w:lang w:eastAsia="en-AU"/>
              </w:rPr>
              <w:t>)</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0.007</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0.015</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0.022</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0.030</w:t>
            </w:r>
          </w:p>
        </w:tc>
      </w:tr>
      <w:tr w:rsidR="00397365" w:rsidTr="001A641D">
        <w:trPr>
          <w:trHeight w:val="207"/>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0.007</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0.015</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0.022</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0.030</w:t>
            </w:r>
          </w:p>
        </w:tc>
      </w:tr>
      <w:tr w:rsidR="00397365" w:rsidTr="001A641D">
        <w:trPr>
          <w:trHeight w:val="125"/>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203"/>
        </w:trPr>
        <w:tc>
          <w:tcPr>
            <w:tcW w:w="1710"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7E5C0A" w:rsidP="001A641D">
            <w:pPr>
              <w:spacing w:before="120" w:after="120"/>
              <w:rPr>
                <w:sz w:val="20"/>
                <w:szCs w:val="20"/>
                <w:lang w:eastAsia="en-AU"/>
              </w:rPr>
            </w:pPr>
            <w:r w:rsidRPr="00F36214">
              <w:rPr>
                <w:sz w:val="20"/>
                <w:szCs w:val="20"/>
                <w:lang w:eastAsia="en-AU"/>
              </w:rPr>
              <w:t> </w:t>
            </w:r>
          </w:p>
          <w:p w:rsidR="001A641D" w:rsidRDefault="007E5C0A" w:rsidP="001A641D">
            <w:pPr>
              <w:spacing w:before="120" w:after="120"/>
              <w:rPr>
                <w:sz w:val="20"/>
                <w:szCs w:val="20"/>
                <w:lang w:eastAsia="en-AU"/>
              </w:rPr>
            </w:pPr>
            <w:r w:rsidRPr="00A55F57">
              <w:rPr>
                <w:rFonts w:cs="Arial"/>
                <w:color w:val="000000"/>
                <w:sz w:val="20"/>
                <w:szCs w:val="20"/>
              </w:rPr>
              <w:t>Reconsideration of the controlled action decision at the applicant</w:t>
            </w:r>
            <w:r>
              <w:rPr>
                <w:rFonts w:cs="Arial"/>
                <w:color w:val="000000"/>
                <w:sz w:val="20"/>
                <w:szCs w:val="20"/>
              </w:rPr>
              <w:t>’</w:t>
            </w:r>
            <w:r w:rsidRPr="00A55F57">
              <w:rPr>
                <w:rFonts w:cs="Arial"/>
                <w:color w:val="000000"/>
                <w:sz w:val="20"/>
                <w:szCs w:val="20"/>
              </w:rPr>
              <w:t>s request</w:t>
            </w:r>
            <w:r w:rsidRPr="00F36214">
              <w:rPr>
                <w:sz w:val="20"/>
                <w:szCs w:val="20"/>
                <w:lang w:eastAsia="en-AU"/>
              </w:rPr>
              <w:t> </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0.013</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0.013</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0.020</w:t>
            </w:r>
          </w:p>
        </w:tc>
      </w:tr>
      <w:tr w:rsidR="00397365" w:rsidTr="001A641D">
        <w:trPr>
          <w:trHeight w:val="249"/>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0.013</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0.013</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0.020</w:t>
            </w:r>
          </w:p>
        </w:tc>
      </w:tr>
      <w:tr w:rsidR="00397365" w:rsidTr="001A641D">
        <w:trPr>
          <w:trHeight w:val="124"/>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124"/>
        </w:trPr>
        <w:tc>
          <w:tcPr>
            <w:tcW w:w="1710" w:type="pct"/>
            <w:vMerge w:val="restart"/>
            <w:tcBorders>
              <w:top w:val="single" w:sz="8" w:space="0" w:color="548DD4" w:themeColor="text2" w:themeTint="99"/>
              <w:left w:val="single" w:sz="8" w:space="0" w:color="548DD4" w:themeColor="text2" w:themeTint="99"/>
              <w:right w:val="nil"/>
            </w:tcBorders>
            <w:shd w:val="clear" w:color="auto" w:fill="auto"/>
            <w:hideMark/>
          </w:tcPr>
          <w:p w:rsidR="001A641D" w:rsidRDefault="007E5C0A" w:rsidP="001A641D">
            <w:pPr>
              <w:spacing w:before="120" w:after="120"/>
              <w:rPr>
                <w:sz w:val="20"/>
                <w:szCs w:val="20"/>
                <w:lang w:eastAsia="en-AU"/>
              </w:rPr>
            </w:pPr>
            <w:r w:rsidRPr="003078A3">
              <w:rPr>
                <w:sz w:val="20"/>
                <w:szCs w:val="20"/>
                <w:lang w:eastAsia="en-AU"/>
              </w:rPr>
              <w:t xml:space="preserve">Variation </w:t>
            </w:r>
            <w:r>
              <w:rPr>
                <w:sz w:val="20"/>
                <w:szCs w:val="20"/>
                <w:lang w:eastAsia="en-AU"/>
              </w:rPr>
              <w:t>to</w:t>
            </w:r>
            <w:r w:rsidRPr="003078A3">
              <w:rPr>
                <w:sz w:val="20"/>
                <w:szCs w:val="20"/>
                <w:lang w:eastAsia="en-AU"/>
              </w:rPr>
              <w:t xml:space="preserve"> proposed action</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0.019</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0.022</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0.024</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0.024</w:t>
            </w:r>
          </w:p>
        </w:tc>
      </w:tr>
      <w:tr w:rsidR="00397365" w:rsidTr="001A641D">
        <w:trPr>
          <w:trHeight w:val="124"/>
        </w:trPr>
        <w:tc>
          <w:tcPr>
            <w:tcW w:w="1710" w:type="pct"/>
            <w:vMerge/>
            <w:tcBorders>
              <w:left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0.019</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0.022</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0.024</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0.024</w:t>
            </w:r>
          </w:p>
        </w:tc>
      </w:tr>
      <w:tr w:rsidR="00397365" w:rsidTr="001A641D">
        <w:trPr>
          <w:trHeight w:val="124"/>
        </w:trPr>
        <w:tc>
          <w:tcPr>
            <w:tcW w:w="1710" w:type="pct"/>
            <w:vMerge/>
            <w:tcBorders>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124"/>
        </w:trPr>
        <w:tc>
          <w:tcPr>
            <w:tcW w:w="5000" w:type="pct"/>
            <w:gridSpan w:val="6"/>
            <w:tcBorders>
              <w:left w:val="single" w:sz="8" w:space="0" w:color="548DD4" w:themeColor="text2" w:themeTint="99"/>
              <w:bottom w:val="single" w:sz="8" w:space="0" w:color="548DD4" w:themeColor="text2" w:themeTint="99"/>
              <w:right w:val="single" w:sz="8" w:space="0" w:color="548DD4" w:themeColor="text2" w:themeTint="99"/>
            </w:tcBorders>
            <w:shd w:val="clear" w:color="auto" w:fill="B8CCE4" w:themeFill="accent1" w:themeFillTint="66"/>
            <w:hideMark/>
          </w:tcPr>
          <w:p w:rsidR="001A641D" w:rsidRPr="00B50A54" w:rsidRDefault="007E5C0A" w:rsidP="001A641D">
            <w:pPr>
              <w:keepNext/>
              <w:spacing w:before="120" w:after="120"/>
              <w:rPr>
                <w:b/>
                <w:i/>
                <w:sz w:val="20"/>
                <w:szCs w:val="20"/>
                <w:lang w:eastAsia="en-AU"/>
              </w:rPr>
            </w:pPr>
            <w:r w:rsidRPr="00B50A54">
              <w:rPr>
                <w:b/>
                <w:i/>
                <w:sz w:val="20"/>
                <w:szCs w:val="20"/>
                <w:lang w:eastAsia="en-AU"/>
              </w:rPr>
              <w:t xml:space="preserve">Post approval contingent </w:t>
            </w:r>
            <w:r>
              <w:rPr>
                <w:b/>
                <w:i/>
                <w:sz w:val="20"/>
                <w:szCs w:val="20"/>
                <w:lang w:eastAsia="en-AU"/>
              </w:rPr>
              <w:t>activities</w:t>
            </w:r>
          </w:p>
        </w:tc>
      </w:tr>
      <w:tr w:rsidR="00397365" w:rsidTr="001A641D">
        <w:trPr>
          <w:trHeight w:val="203"/>
        </w:trPr>
        <w:tc>
          <w:tcPr>
            <w:tcW w:w="1710"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7E5C0A" w:rsidP="001A641D">
            <w:pPr>
              <w:spacing w:before="120" w:after="120"/>
              <w:rPr>
                <w:sz w:val="20"/>
                <w:szCs w:val="20"/>
                <w:lang w:eastAsia="en-AU"/>
              </w:rPr>
            </w:pPr>
            <w:r w:rsidRPr="00F36214">
              <w:rPr>
                <w:sz w:val="20"/>
                <w:szCs w:val="20"/>
                <w:lang w:eastAsia="en-AU"/>
              </w:rPr>
              <w:t> </w:t>
            </w:r>
          </w:p>
          <w:p w:rsidR="001A641D" w:rsidRDefault="007E5C0A" w:rsidP="001A641D">
            <w:pPr>
              <w:spacing w:before="120" w:after="120"/>
              <w:rPr>
                <w:sz w:val="20"/>
                <w:szCs w:val="20"/>
                <w:lang w:eastAsia="en-AU"/>
              </w:rPr>
            </w:pPr>
            <w:r w:rsidRPr="00F36214">
              <w:rPr>
                <w:sz w:val="20"/>
                <w:szCs w:val="20"/>
                <w:lang w:eastAsia="en-AU"/>
              </w:rPr>
              <w:t> Variation of conditions</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0.032</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0.073</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0.110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0.167</w:t>
            </w:r>
          </w:p>
        </w:tc>
      </w:tr>
      <w:tr w:rsidR="00397365" w:rsidTr="001A641D">
        <w:trPr>
          <w:trHeight w:val="249"/>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0.032</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0.073</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0.110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0.167</w:t>
            </w:r>
          </w:p>
        </w:tc>
      </w:tr>
      <w:tr w:rsidR="00397365" w:rsidTr="001A641D">
        <w:trPr>
          <w:trHeight w:val="124"/>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203"/>
        </w:trPr>
        <w:tc>
          <w:tcPr>
            <w:tcW w:w="1710"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 xml:space="preserve">Variation of </w:t>
            </w:r>
            <w:r>
              <w:rPr>
                <w:sz w:val="20"/>
                <w:szCs w:val="20"/>
                <w:lang w:eastAsia="en-AU"/>
              </w:rPr>
              <w:t>an</w:t>
            </w:r>
            <w:r w:rsidRPr="00F36214">
              <w:rPr>
                <w:sz w:val="20"/>
                <w:szCs w:val="20"/>
                <w:lang w:eastAsia="en-AU"/>
              </w:rPr>
              <w:t xml:space="preserve"> action management plan under conditions of approval</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0.005</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0.027</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0.035</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0.035</w:t>
            </w:r>
          </w:p>
        </w:tc>
      </w:tr>
      <w:tr w:rsidR="00397365" w:rsidTr="001A641D">
        <w:trPr>
          <w:trHeight w:val="107"/>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0.005</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0.027</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0.035</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0.035</w:t>
            </w:r>
          </w:p>
        </w:tc>
      </w:tr>
      <w:tr w:rsidR="00397365" w:rsidTr="001A641D">
        <w:trPr>
          <w:trHeight w:val="167"/>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203"/>
        </w:trPr>
        <w:tc>
          <w:tcPr>
            <w:tcW w:w="1710" w:type="pct"/>
            <w:vMerge w:val="restart"/>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7E5C0A" w:rsidP="001A641D">
            <w:pPr>
              <w:spacing w:before="120" w:after="120"/>
              <w:rPr>
                <w:sz w:val="20"/>
                <w:szCs w:val="20"/>
                <w:lang w:eastAsia="en-AU"/>
              </w:rPr>
            </w:pPr>
            <w:r w:rsidRPr="00E9301A">
              <w:rPr>
                <w:sz w:val="20"/>
                <w:szCs w:val="20"/>
                <w:lang w:eastAsia="en-AU"/>
              </w:rPr>
              <w:t xml:space="preserve">Administrative variation of </w:t>
            </w:r>
            <w:r>
              <w:rPr>
                <w:sz w:val="20"/>
                <w:szCs w:val="20"/>
                <w:lang w:eastAsia="en-AU"/>
              </w:rPr>
              <w:t>an</w:t>
            </w:r>
            <w:r w:rsidRPr="00E9301A">
              <w:rPr>
                <w:sz w:val="20"/>
                <w:szCs w:val="20"/>
                <w:lang w:eastAsia="en-AU"/>
              </w:rPr>
              <w:t xml:space="preserve"> action management plan under conditions of approval</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0.001</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0.002</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0.003</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0.004</w:t>
            </w:r>
          </w:p>
        </w:tc>
      </w:tr>
      <w:tr w:rsidR="00397365" w:rsidTr="001A641D">
        <w:trPr>
          <w:trHeight w:val="107"/>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0.001</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0.002</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0.003</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0.004</w:t>
            </w:r>
          </w:p>
        </w:tc>
      </w:tr>
      <w:tr w:rsidR="00397365" w:rsidTr="001A641D">
        <w:trPr>
          <w:trHeight w:val="167"/>
        </w:trPr>
        <w:tc>
          <w:tcPr>
            <w:tcW w:w="1710" w:type="pct"/>
            <w:vMerge/>
            <w:tcBorders>
              <w:top w:val="single" w:sz="8" w:space="0" w:color="548DD4" w:themeColor="text2" w:themeTint="99"/>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167"/>
        </w:trPr>
        <w:tc>
          <w:tcPr>
            <w:tcW w:w="1710" w:type="pct"/>
            <w:vMerge w:val="restart"/>
            <w:tcBorders>
              <w:top w:val="single" w:sz="8" w:space="0" w:color="548DD4" w:themeColor="text2" w:themeTint="99"/>
              <w:left w:val="single" w:sz="8" w:space="0" w:color="548DD4" w:themeColor="text2" w:themeTint="99"/>
              <w:right w:val="nil"/>
            </w:tcBorders>
            <w:shd w:val="clear" w:color="auto" w:fill="auto"/>
            <w:vAlign w:val="bottom"/>
            <w:hideMark/>
          </w:tcPr>
          <w:p w:rsidR="001A641D" w:rsidRDefault="007E5C0A" w:rsidP="001A641D">
            <w:pPr>
              <w:keepNext/>
              <w:spacing w:before="120" w:after="120"/>
              <w:rPr>
                <w:sz w:val="20"/>
                <w:szCs w:val="20"/>
                <w:lang w:eastAsia="en-AU"/>
              </w:rPr>
            </w:pPr>
            <w:r>
              <w:rPr>
                <w:sz w:val="20"/>
                <w:szCs w:val="20"/>
                <w:lang w:eastAsia="en-AU"/>
              </w:rPr>
              <w:t>Transfer of approval to new approval holder</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keepNext/>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keepNext/>
              <w:spacing w:before="120" w:after="120"/>
              <w:jc w:val="center"/>
              <w:rPr>
                <w:sz w:val="20"/>
                <w:szCs w:val="20"/>
                <w:lang w:eastAsia="en-AU"/>
              </w:rPr>
            </w:pPr>
            <w:r w:rsidRPr="00A264DA">
              <w:rPr>
                <w:sz w:val="20"/>
                <w:szCs w:val="20"/>
                <w:lang w:eastAsia="en-AU"/>
              </w:rPr>
              <w:t>0.004</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keepNext/>
              <w:spacing w:before="120" w:after="120"/>
              <w:jc w:val="center"/>
              <w:rPr>
                <w:sz w:val="20"/>
                <w:szCs w:val="20"/>
                <w:lang w:eastAsia="en-AU"/>
              </w:rPr>
            </w:pPr>
            <w:r w:rsidRPr="00A264DA">
              <w:rPr>
                <w:sz w:val="20"/>
                <w:szCs w:val="20"/>
                <w:lang w:eastAsia="en-AU"/>
              </w:rPr>
              <w:t>0.008</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keepNext/>
              <w:spacing w:before="120" w:after="120"/>
              <w:jc w:val="center"/>
              <w:rPr>
                <w:sz w:val="20"/>
                <w:szCs w:val="20"/>
                <w:lang w:eastAsia="en-AU"/>
              </w:rPr>
            </w:pPr>
            <w:r w:rsidRPr="00A264DA">
              <w:rPr>
                <w:sz w:val="20"/>
                <w:szCs w:val="20"/>
                <w:lang w:eastAsia="en-AU"/>
              </w:rPr>
              <w:t>0.010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keepNext/>
              <w:spacing w:before="120" w:after="120"/>
              <w:jc w:val="center"/>
              <w:rPr>
                <w:sz w:val="20"/>
                <w:szCs w:val="20"/>
                <w:lang w:eastAsia="en-AU"/>
              </w:rPr>
            </w:pPr>
            <w:r w:rsidRPr="00A264DA">
              <w:rPr>
                <w:sz w:val="20"/>
                <w:szCs w:val="20"/>
                <w:lang w:eastAsia="en-AU"/>
              </w:rPr>
              <w:t>0.014</w:t>
            </w:r>
          </w:p>
        </w:tc>
      </w:tr>
      <w:tr w:rsidR="00397365" w:rsidTr="001A641D">
        <w:trPr>
          <w:trHeight w:val="167"/>
        </w:trPr>
        <w:tc>
          <w:tcPr>
            <w:tcW w:w="1710" w:type="pct"/>
            <w:vMerge/>
            <w:tcBorders>
              <w:left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0.004</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0.008</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0.014</w:t>
            </w:r>
          </w:p>
        </w:tc>
      </w:tr>
      <w:tr w:rsidR="00397365" w:rsidTr="001A641D">
        <w:trPr>
          <w:trHeight w:val="167"/>
        </w:trPr>
        <w:tc>
          <w:tcPr>
            <w:tcW w:w="1710" w:type="pct"/>
            <w:vMerge/>
            <w:tcBorders>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r w:rsidR="00397365" w:rsidTr="001A641D">
        <w:trPr>
          <w:trHeight w:val="167"/>
        </w:trPr>
        <w:tc>
          <w:tcPr>
            <w:tcW w:w="1710" w:type="pct"/>
            <w:vMerge w:val="restart"/>
            <w:tcBorders>
              <w:top w:val="single" w:sz="8" w:space="0" w:color="548DD4" w:themeColor="text2" w:themeTint="99"/>
              <w:left w:val="single" w:sz="8" w:space="0" w:color="548DD4" w:themeColor="text2" w:themeTint="99"/>
              <w:right w:val="nil"/>
            </w:tcBorders>
            <w:shd w:val="clear" w:color="auto" w:fill="auto"/>
            <w:vAlign w:val="bottom"/>
            <w:hideMark/>
          </w:tcPr>
          <w:p w:rsidR="001A641D" w:rsidRDefault="007E5C0A" w:rsidP="001A641D">
            <w:pPr>
              <w:spacing w:before="120" w:after="120"/>
              <w:rPr>
                <w:sz w:val="20"/>
                <w:szCs w:val="20"/>
                <w:lang w:eastAsia="en-AU"/>
              </w:rPr>
            </w:pPr>
            <w:r>
              <w:rPr>
                <w:sz w:val="20"/>
                <w:szCs w:val="20"/>
                <w:lang w:eastAsia="en-AU"/>
              </w:rPr>
              <w:t>E</w:t>
            </w:r>
            <w:r w:rsidRPr="00E9301A">
              <w:rPr>
                <w:sz w:val="20"/>
                <w:szCs w:val="20"/>
                <w:lang w:eastAsia="en-AU"/>
              </w:rPr>
              <w:t xml:space="preserve">xtension </w:t>
            </w:r>
            <w:r>
              <w:rPr>
                <w:sz w:val="20"/>
                <w:szCs w:val="20"/>
                <w:lang w:eastAsia="en-AU"/>
              </w:rPr>
              <w:t>to approval expiry date</w:t>
            </w: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Expense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0.003</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0.005</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0.008</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0.011</w:t>
            </w:r>
          </w:p>
        </w:tc>
      </w:tr>
      <w:tr w:rsidR="00397365" w:rsidTr="001A641D">
        <w:trPr>
          <w:trHeight w:val="167"/>
        </w:trPr>
        <w:tc>
          <w:tcPr>
            <w:tcW w:w="1710" w:type="pct"/>
            <w:vMerge/>
            <w:tcBorders>
              <w:left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Revenue</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0.003</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0.005</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0.008</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0.011</w:t>
            </w:r>
          </w:p>
        </w:tc>
      </w:tr>
      <w:tr w:rsidR="00397365" w:rsidTr="001A641D">
        <w:trPr>
          <w:trHeight w:val="167"/>
        </w:trPr>
        <w:tc>
          <w:tcPr>
            <w:tcW w:w="1710" w:type="pct"/>
            <w:vMerge/>
            <w:tcBorders>
              <w:left w:val="single" w:sz="8" w:space="0" w:color="548DD4" w:themeColor="text2" w:themeTint="99"/>
              <w:bottom w:val="single" w:sz="8" w:space="0" w:color="548DD4" w:themeColor="text2" w:themeTint="99"/>
              <w:right w:val="nil"/>
            </w:tcBorders>
            <w:shd w:val="clear" w:color="auto" w:fill="auto"/>
            <w:vAlign w:val="bottom"/>
            <w:hideMark/>
          </w:tcPr>
          <w:p w:rsidR="001A641D" w:rsidRDefault="001A641D" w:rsidP="001A641D">
            <w:pPr>
              <w:spacing w:before="120" w:after="120"/>
              <w:rPr>
                <w:sz w:val="20"/>
                <w:szCs w:val="20"/>
                <w:lang w:eastAsia="en-AU"/>
              </w:rPr>
            </w:pPr>
          </w:p>
        </w:tc>
        <w:tc>
          <w:tcPr>
            <w:tcW w:w="1028" w:type="pct"/>
            <w:tcBorders>
              <w:top w:val="single" w:sz="8" w:space="0" w:color="548DD4" w:themeColor="text2" w:themeTint="99"/>
              <w:left w:val="nil"/>
              <w:bottom w:val="single" w:sz="8" w:space="0" w:color="548DD4" w:themeColor="text2" w:themeTint="99"/>
              <w:right w:val="single" w:sz="8" w:space="0" w:color="548DD4" w:themeColor="text2" w:themeTint="99"/>
            </w:tcBorders>
            <w:shd w:val="clear" w:color="auto" w:fill="auto"/>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6"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35"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bl>
    <w:p w:rsidR="001A641D" w:rsidRPr="00F36214" w:rsidRDefault="001A641D" w:rsidP="001A641D">
      <w:pPr>
        <w:pStyle w:val="Caption"/>
        <w:keepNext/>
      </w:pPr>
    </w:p>
    <w:p w:rsidR="001A641D" w:rsidRDefault="007E5C0A" w:rsidP="001A641D">
      <w:pPr>
        <w:pStyle w:val="Caption"/>
        <w:keepNext/>
      </w:pPr>
      <w:bookmarkStart w:id="3337" w:name="_Ref457986401"/>
      <w:bookmarkStart w:id="3338" w:name="_Toc256000432"/>
      <w:bookmarkStart w:id="3339" w:name="_Toc256000324"/>
      <w:bookmarkStart w:id="3340" w:name="_Toc256000216"/>
      <w:bookmarkStart w:id="3341" w:name="_Toc256000108"/>
      <w:bookmarkStart w:id="3342" w:name="_Toc458170611"/>
      <w:bookmarkEnd w:id="3330"/>
      <w:r>
        <w:t xml:space="preserve">Table </w:t>
      </w:r>
      <w:r w:rsidR="003366B4">
        <w:fldChar w:fldCharType="begin"/>
      </w:r>
      <w:r>
        <w:instrText xml:space="preserve"> SEQ Table \* ARABIC </w:instrText>
      </w:r>
      <w:r w:rsidR="003366B4">
        <w:fldChar w:fldCharType="separate"/>
      </w:r>
      <w:r w:rsidR="00FF3730">
        <w:rPr>
          <w:noProof/>
        </w:rPr>
        <w:t>23</w:t>
      </w:r>
      <w:r w:rsidR="003366B4">
        <w:rPr>
          <w:noProof/>
        </w:rPr>
        <w:fldChar w:fldCharType="end"/>
      </w:r>
      <w:bookmarkEnd w:id="3337"/>
      <w:r>
        <w:t xml:space="preserve">. </w:t>
      </w:r>
      <w:r w:rsidRPr="00836D71">
        <w:t>Total en</w:t>
      </w:r>
      <w:r>
        <w:t>vironmental impact assessment activities</w:t>
      </w:r>
      <w:r w:rsidRPr="00836D71">
        <w:t xml:space="preserve"> (expenses and revenue summary)</w:t>
      </w:r>
      <w:bookmarkEnd w:id="3338"/>
      <w:bookmarkEnd w:id="3339"/>
      <w:bookmarkEnd w:id="3340"/>
      <w:bookmarkEnd w:id="3341"/>
      <w:bookmarkEnd w:id="3342"/>
    </w:p>
    <w:tbl>
      <w:tblPr>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5354"/>
        <w:gridCol w:w="1126"/>
        <w:gridCol w:w="1125"/>
        <w:gridCol w:w="1125"/>
        <w:gridCol w:w="1125"/>
      </w:tblGrid>
      <w:tr w:rsidR="00397365" w:rsidTr="001A641D">
        <w:trPr>
          <w:cantSplit/>
          <w:trHeight w:val="663"/>
          <w:tblHeader/>
        </w:trPr>
        <w:tc>
          <w:tcPr>
            <w:tcW w:w="2716" w:type="pct"/>
            <w:tcBorders>
              <w:top w:val="single" w:sz="8" w:space="0" w:color="548DD4" w:themeColor="text2" w:themeTint="99"/>
              <w:left w:val="single" w:sz="8" w:space="0" w:color="548DD4" w:themeColor="text2" w:themeTint="99"/>
              <w:bottom w:val="single" w:sz="8" w:space="0" w:color="548DD4" w:themeColor="text2" w:themeTint="99"/>
              <w:right w:val="single" w:sz="4" w:space="0" w:color="548DD4" w:themeColor="text2" w:themeTint="99"/>
            </w:tcBorders>
            <w:shd w:val="clear" w:color="auto" w:fill="8DB3E2" w:themeFill="text2" w:themeFillTint="66"/>
            <w:vAlign w:val="center"/>
            <w:hideMark/>
          </w:tcPr>
          <w:p w:rsidR="001A641D" w:rsidRDefault="007E5C0A" w:rsidP="001A641D">
            <w:pPr>
              <w:spacing w:before="120" w:after="120"/>
              <w:jc w:val="center"/>
              <w:rPr>
                <w:b/>
                <w:sz w:val="20"/>
                <w:szCs w:val="20"/>
                <w:lang w:eastAsia="en-AU"/>
              </w:rPr>
            </w:pPr>
            <w:r w:rsidRPr="00F36214">
              <w:rPr>
                <w:b/>
                <w:sz w:val="20"/>
                <w:szCs w:val="20"/>
                <w:lang w:eastAsia="en-AU"/>
              </w:rPr>
              <w:t>Environmental impact assessments (total)</w:t>
            </w:r>
            <w:r w:rsidRPr="00F36214">
              <w:rPr>
                <w:rStyle w:val="FootnoteReference"/>
                <w:rFonts w:ascii="Calibri" w:hAnsi="Calibri" w:cs="Calibri"/>
                <w:b/>
                <w:bCs/>
                <w:color w:val="000000"/>
                <w:sz w:val="20"/>
                <w:szCs w:val="20"/>
                <w:lang w:eastAsia="en-AU"/>
              </w:rPr>
              <w:t xml:space="preserve"> </w:t>
            </w:r>
            <w:r>
              <w:rPr>
                <w:rStyle w:val="FootnoteReference"/>
                <w:rFonts w:ascii="Calibri" w:hAnsi="Calibri" w:cs="Calibri"/>
                <w:b/>
                <w:bCs/>
                <w:color w:val="000000"/>
                <w:sz w:val="20"/>
                <w:szCs w:val="20"/>
                <w:lang w:eastAsia="en-AU"/>
              </w:rPr>
              <w:footnoteReference w:id="13"/>
            </w:r>
          </w:p>
        </w:tc>
        <w:tc>
          <w:tcPr>
            <w:tcW w:w="571" w:type="pct"/>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2016-17</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c>
          <w:tcPr>
            <w:tcW w:w="571" w:type="pct"/>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2017-18</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c>
          <w:tcPr>
            <w:tcW w:w="571" w:type="pct"/>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2018-19</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c>
          <w:tcPr>
            <w:tcW w:w="571" w:type="pct"/>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Pr="00A264DA" w:rsidRDefault="007E5C0A" w:rsidP="001A641D">
            <w:pPr>
              <w:spacing w:after="0" w:line="240" w:lineRule="auto"/>
              <w:jc w:val="center"/>
              <w:rPr>
                <w:b/>
                <w:sz w:val="20"/>
                <w:szCs w:val="20"/>
                <w:lang w:eastAsia="en-AU"/>
              </w:rPr>
            </w:pPr>
            <w:r w:rsidRPr="00A264DA">
              <w:rPr>
                <w:b/>
                <w:sz w:val="20"/>
                <w:szCs w:val="20"/>
                <w:lang w:eastAsia="en-AU"/>
              </w:rPr>
              <w:t>2019-20</w:t>
            </w:r>
          </w:p>
          <w:p w:rsidR="001A641D" w:rsidRPr="00A264DA" w:rsidRDefault="007E5C0A" w:rsidP="001A641D">
            <w:pPr>
              <w:spacing w:after="0" w:line="240" w:lineRule="auto"/>
              <w:jc w:val="center"/>
              <w:rPr>
                <w:b/>
                <w:sz w:val="20"/>
                <w:szCs w:val="20"/>
                <w:lang w:eastAsia="en-AU"/>
              </w:rPr>
            </w:pPr>
            <w:r w:rsidRPr="00A264DA">
              <w:rPr>
                <w:b/>
                <w:sz w:val="20"/>
                <w:szCs w:val="20"/>
                <w:lang w:eastAsia="en-AU"/>
              </w:rPr>
              <w:t>($mil)</w:t>
            </w:r>
          </w:p>
        </w:tc>
      </w:tr>
      <w:tr w:rsidR="00397365" w:rsidTr="001A641D">
        <w:trPr>
          <w:cantSplit/>
          <w:trHeight w:val="315"/>
          <w:tblHeader/>
        </w:trPr>
        <w:tc>
          <w:tcPr>
            <w:tcW w:w="271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F36214">
              <w:rPr>
                <w:sz w:val="20"/>
                <w:szCs w:val="20"/>
                <w:lang w:eastAsia="en-AU"/>
              </w:rPr>
              <w:t>Total projected expenses</w:t>
            </w:r>
          </w:p>
        </w:tc>
        <w:tc>
          <w:tcPr>
            <w:tcW w:w="571"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Pr="00A264DA" w:rsidRDefault="007E5C0A" w:rsidP="001A641D">
            <w:pPr>
              <w:spacing w:before="120" w:after="120"/>
              <w:jc w:val="center"/>
              <w:rPr>
                <w:sz w:val="20"/>
                <w:szCs w:val="20"/>
                <w:lang w:eastAsia="en-AU"/>
              </w:rPr>
            </w:pPr>
            <w:r w:rsidRPr="00A264DA">
              <w:rPr>
                <w:sz w:val="20"/>
                <w:szCs w:val="20"/>
                <w:lang w:eastAsia="en-AU"/>
              </w:rPr>
              <w:t>4.119</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4.915</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5.403</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5.662</w:t>
            </w:r>
          </w:p>
        </w:tc>
      </w:tr>
      <w:tr w:rsidR="00397365" w:rsidTr="001A641D">
        <w:trPr>
          <w:cantSplit/>
          <w:trHeight w:val="315"/>
          <w:tblHeader/>
        </w:trPr>
        <w:tc>
          <w:tcPr>
            <w:tcW w:w="271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F36214">
              <w:rPr>
                <w:sz w:val="20"/>
                <w:szCs w:val="20"/>
                <w:lang w:eastAsia="en-AU"/>
              </w:rPr>
              <w:t>Total projected revenue</w:t>
            </w:r>
          </w:p>
        </w:tc>
        <w:tc>
          <w:tcPr>
            <w:tcW w:w="571"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Pr="00A264DA" w:rsidRDefault="007E5C0A" w:rsidP="001A641D">
            <w:pPr>
              <w:spacing w:before="120" w:after="120"/>
              <w:jc w:val="center"/>
              <w:rPr>
                <w:sz w:val="20"/>
                <w:szCs w:val="20"/>
                <w:lang w:eastAsia="en-AU"/>
              </w:rPr>
            </w:pPr>
            <w:r w:rsidRPr="00A264DA">
              <w:rPr>
                <w:sz w:val="20"/>
                <w:szCs w:val="20"/>
                <w:lang w:eastAsia="en-AU"/>
              </w:rPr>
              <w:t>4.119</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4.915</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5.403</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5.662</w:t>
            </w:r>
          </w:p>
        </w:tc>
      </w:tr>
      <w:tr w:rsidR="00397365" w:rsidTr="001A641D">
        <w:trPr>
          <w:cantSplit/>
          <w:trHeight w:val="315"/>
          <w:tblHeader/>
        </w:trPr>
        <w:tc>
          <w:tcPr>
            <w:tcW w:w="2716"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vAlign w:val="bottom"/>
            <w:hideMark/>
          </w:tcPr>
          <w:p w:rsidR="001A641D" w:rsidRDefault="007E5C0A" w:rsidP="001A641D">
            <w:pPr>
              <w:spacing w:before="120" w:after="120"/>
              <w:rPr>
                <w:sz w:val="20"/>
                <w:szCs w:val="20"/>
                <w:lang w:eastAsia="en-AU"/>
              </w:rPr>
            </w:pPr>
            <w:r w:rsidRPr="00F36214">
              <w:rPr>
                <w:sz w:val="20"/>
                <w:szCs w:val="20"/>
                <w:lang w:eastAsia="en-AU"/>
              </w:rPr>
              <w:t>Balance +/-</w:t>
            </w:r>
          </w:p>
        </w:tc>
        <w:tc>
          <w:tcPr>
            <w:tcW w:w="571" w:type="pct"/>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vAlign w:val="bottom"/>
            <w:hideMark/>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c>
          <w:tcPr>
            <w:tcW w:w="571" w:type="pct"/>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A264DA" w:rsidRDefault="007E5C0A" w:rsidP="001A641D">
            <w:pPr>
              <w:spacing w:before="120" w:after="120"/>
              <w:jc w:val="center"/>
              <w:rPr>
                <w:sz w:val="20"/>
                <w:szCs w:val="20"/>
                <w:lang w:eastAsia="en-AU"/>
              </w:rPr>
            </w:pPr>
            <w:r w:rsidRPr="00A264DA">
              <w:rPr>
                <w:sz w:val="20"/>
                <w:szCs w:val="20"/>
                <w:lang w:eastAsia="en-AU"/>
              </w:rPr>
              <w:t>0</w:t>
            </w:r>
          </w:p>
        </w:tc>
      </w:tr>
    </w:tbl>
    <w:p w:rsidR="001A641D" w:rsidRDefault="001A641D" w:rsidP="001A641D">
      <w:pPr>
        <w:sectPr w:rsidR="001A641D" w:rsidSect="001A641D">
          <w:headerReference w:type="even" r:id="rId32"/>
          <w:headerReference w:type="default" r:id="rId33"/>
          <w:footerReference w:type="even" r:id="rId34"/>
          <w:footerReference w:type="default" r:id="rId35"/>
          <w:headerReference w:type="first" r:id="rId36"/>
          <w:footerReference w:type="first" r:id="rId37"/>
          <w:pgSz w:w="11906" w:h="16838"/>
          <w:pgMar w:top="992" w:right="1133" w:bottom="1440" w:left="1134" w:header="709" w:footer="709" w:gutter="0"/>
          <w:cols w:space="708"/>
          <w:docGrid w:linePitch="360"/>
        </w:sectPr>
      </w:pPr>
    </w:p>
    <w:p w:rsidR="001A641D" w:rsidRDefault="007E5C0A" w:rsidP="001A641D">
      <w:pPr>
        <w:pStyle w:val="Heading1"/>
      </w:pPr>
      <w:bookmarkStart w:id="3343" w:name="_Toc387064867"/>
      <w:bookmarkStart w:id="3344" w:name="_Toc387065079"/>
      <w:bookmarkStart w:id="3345" w:name="_Toc387065285"/>
      <w:bookmarkStart w:id="3346" w:name="_Toc387065496"/>
      <w:bookmarkStart w:id="3347" w:name="_Toc387065702"/>
      <w:bookmarkStart w:id="3348" w:name="_Toc387065907"/>
      <w:bookmarkStart w:id="3349" w:name="_Toc387066110"/>
      <w:bookmarkStart w:id="3350" w:name="_Toc387066299"/>
      <w:bookmarkStart w:id="3351" w:name="_Toc387069535"/>
      <w:bookmarkStart w:id="3352" w:name="_Toc387069722"/>
      <w:bookmarkStart w:id="3353" w:name="_Toc387069931"/>
      <w:bookmarkStart w:id="3354" w:name="_Toc387070130"/>
      <w:bookmarkStart w:id="3355" w:name="_Toc387072395"/>
      <w:bookmarkStart w:id="3356" w:name="_Toc387072606"/>
      <w:bookmarkStart w:id="3357" w:name="_Toc387392637"/>
      <w:bookmarkStart w:id="3358" w:name="_Toc256000379"/>
      <w:bookmarkStart w:id="3359" w:name="_Toc256000271"/>
      <w:bookmarkStart w:id="3360" w:name="_Toc256000163"/>
      <w:bookmarkStart w:id="3361" w:name="_Toc256000055"/>
      <w:bookmarkStart w:id="3362" w:name="_Toc458170559"/>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r>
        <w:t>FINANCIAL PERFORMANCE</w:t>
      </w:r>
      <w:bookmarkEnd w:id="3358"/>
      <w:bookmarkEnd w:id="3359"/>
      <w:bookmarkEnd w:id="3360"/>
      <w:bookmarkEnd w:id="3361"/>
      <w:bookmarkEnd w:id="3362"/>
    </w:p>
    <w:p w:rsidR="001A641D" w:rsidRDefault="007E5C0A" w:rsidP="001A641D">
      <w:pPr>
        <w:rPr>
          <w:lang w:eastAsia="en-AU"/>
        </w:rPr>
      </w:pPr>
      <w:r>
        <w:rPr>
          <w:lang w:eastAsia="en-AU"/>
        </w:rPr>
        <w:t xml:space="preserve">The financial performance of EPBC Act cost recovery during the 2014-15 and 2015-16 financial years have been </w:t>
      </w:r>
      <w:r w:rsidRPr="000523CF">
        <w:rPr>
          <w:lang w:eastAsia="en-AU"/>
        </w:rPr>
        <w:t xml:space="preserve">provided in </w:t>
      </w:r>
      <w:r w:rsidR="00FF3730">
        <w:fldChar w:fldCharType="begin"/>
      </w:r>
      <w:r w:rsidR="00FF3730">
        <w:instrText xml:space="preserve"> REF _Ref457986418 \h  \* MERGEFORMAT </w:instrText>
      </w:r>
      <w:r w:rsidR="00FF3730">
        <w:fldChar w:fldCharType="separate"/>
      </w:r>
      <w:r w:rsidR="00FF3730">
        <w:t xml:space="preserve">Table </w:t>
      </w:r>
      <w:r w:rsidR="00FF3730">
        <w:rPr>
          <w:noProof/>
        </w:rPr>
        <w:t>24</w:t>
      </w:r>
      <w:r w:rsidR="00FF3730">
        <w:fldChar w:fldCharType="end"/>
      </w:r>
      <w:r w:rsidRPr="000523CF">
        <w:rPr>
          <w:lang w:eastAsia="en-AU"/>
        </w:rPr>
        <w:t xml:space="preserve"> below.</w:t>
      </w:r>
      <w:r>
        <w:rPr>
          <w:lang w:eastAsia="en-AU"/>
        </w:rPr>
        <w:t xml:space="preserve"> These figures are based on the Department’s annual financial statements audited by the Australian National Audit Office.</w:t>
      </w:r>
    </w:p>
    <w:p w:rsidR="001A641D" w:rsidRDefault="007E5C0A" w:rsidP="001A641D">
      <w:pPr>
        <w:pStyle w:val="Caption"/>
        <w:keepNext/>
      </w:pPr>
      <w:bookmarkStart w:id="3363" w:name="_Ref457986418"/>
      <w:bookmarkStart w:id="3364" w:name="_Toc256000433"/>
      <w:bookmarkStart w:id="3365" w:name="_Toc256000325"/>
      <w:bookmarkStart w:id="3366" w:name="_Toc256000217"/>
      <w:bookmarkStart w:id="3367" w:name="_Toc256000109"/>
      <w:bookmarkStart w:id="3368" w:name="_Toc458170612"/>
      <w:r>
        <w:t xml:space="preserve">Table </w:t>
      </w:r>
      <w:r w:rsidR="003366B4">
        <w:fldChar w:fldCharType="begin"/>
      </w:r>
      <w:r>
        <w:instrText xml:space="preserve"> SEQ Table \* ARABIC </w:instrText>
      </w:r>
      <w:r w:rsidR="003366B4">
        <w:fldChar w:fldCharType="separate"/>
      </w:r>
      <w:r w:rsidR="00FF3730">
        <w:rPr>
          <w:noProof/>
        </w:rPr>
        <w:t>24</w:t>
      </w:r>
      <w:r w:rsidR="003366B4">
        <w:rPr>
          <w:noProof/>
        </w:rPr>
        <w:fldChar w:fldCharType="end"/>
      </w:r>
      <w:bookmarkEnd w:id="3363"/>
      <w:r>
        <w:t xml:space="preserve">. </w:t>
      </w:r>
      <w:r w:rsidRPr="00882F56">
        <w:t>Financial performance of EPBC Act cost recovery during the 2014-15 and 2015-16 financial years</w:t>
      </w:r>
      <w:bookmarkEnd w:id="3364"/>
      <w:bookmarkEnd w:id="3365"/>
      <w:bookmarkEnd w:id="3366"/>
      <w:bookmarkEnd w:id="3367"/>
      <w:bookmarkEnd w:id="3368"/>
    </w:p>
    <w:tbl>
      <w:tblPr>
        <w:tblW w:w="9764" w:type="dxa"/>
        <w:tblInd w:w="91" w:type="dxa"/>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4A0" w:firstRow="1" w:lastRow="0" w:firstColumn="1" w:lastColumn="0" w:noHBand="0" w:noVBand="1"/>
      </w:tblPr>
      <w:tblGrid>
        <w:gridCol w:w="3680"/>
        <w:gridCol w:w="3000"/>
        <w:gridCol w:w="3084"/>
      </w:tblGrid>
      <w:tr w:rsidR="00397365" w:rsidTr="001A641D">
        <w:trPr>
          <w:cantSplit/>
          <w:trHeight w:val="663"/>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4" w:space="0" w:color="548DD4" w:themeColor="text2" w:themeTint="99"/>
            </w:tcBorders>
            <w:shd w:val="clear" w:color="auto" w:fill="8DB3E2" w:themeFill="text2" w:themeFillTint="66"/>
            <w:vAlign w:val="center"/>
            <w:hideMark/>
          </w:tcPr>
          <w:p w:rsidR="001A641D" w:rsidRDefault="001A641D" w:rsidP="001A641D">
            <w:pPr>
              <w:spacing w:before="120" w:after="120"/>
              <w:jc w:val="center"/>
              <w:rPr>
                <w:b/>
                <w:sz w:val="20"/>
                <w:szCs w:val="20"/>
                <w:lang w:eastAsia="en-AU"/>
              </w:rPr>
            </w:pPr>
          </w:p>
        </w:tc>
        <w:tc>
          <w:tcPr>
            <w:tcW w:w="3000" w:type="dxa"/>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hideMark/>
          </w:tcPr>
          <w:p w:rsidR="001A641D" w:rsidRDefault="007E5C0A" w:rsidP="001A641D">
            <w:pPr>
              <w:spacing w:before="120" w:after="120"/>
              <w:jc w:val="center"/>
              <w:rPr>
                <w:b/>
                <w:sz w:val="20"/>
                <w:szCs w:val="20"/>
                <w:lang w:eastAsia="en-AU"/>
              </w:rPr>
            </w:pPr>
            <w:r w:rsidRPr="00FE48A6">
              <w:rPr>
                <w:b/>
                <w:sz w:val="20"/>
                <w:szCs w:val="20"/>
                <w:lang w:eastAsia="en-AU"/>
              </w:rPr>
              <w:t>2014-15 ($mil)</w:t>
            </w:r>
          </w:p>
        </w:tc>
        <w:tc>
          <w:tcPr>
            <w:tcW w:w="3084" w:type="dxa"/>
            <w:tcBorders>
              <w:top w:val="single" w:sz="8" w:space="0" w:color="548DD4" w:themeColor="text2" w:themeTint="99"/>
              <w:left w:val="single" w:sz="4" w:space="0" w:color="548DD4" w:themeColor="text2" w:themeTint="99"/>
              <w:bottom w:val="single" w:sz="8" w:space="0" w:color="548DD4" w:themeColor="text2" w:themeTint="99"/>
              <w:right w:val="single" w:sz="8" w:space="0" w:color="548DD4" w:themeColor="text2" w:themeTint="99"/>
            </w:tcBorders>
            <w:shd w:val="clear" w:color="auto" w:fill="8DB3E2" w:themeFill="text2" w:themeFillTint="66"/>
            <w:vAlign w:val="center"/>
          </w:tcPr>
          <w:p w:rsidR="001A641D" w:rsidRDefault="007E5C0A" w:rsidP="001A641D">
            <w:pPr>
              <w:spacing w:before="120" w:after="120"/>
              <w:jc w:val="center"/>
              <w:rPr>
                <w:b/>
                <w:sz w:val="20"/>
                <w:szCs w:val="20"/>
                <w:highlight w:val="yellow"/>
                <w:lang w:eastAsia="en-AU"/>
              </w:rPr>
            </w:pPr>
            <w:r w:rsidRPr="00904F55">
              <w:rPr>
                <w:b/>
                <w:sz w:val="20"/>
                <w:szCs w:val="20"/>
                <w:lang w:eastAsia="en-AU"/>
              </w:rPr>
              <w:t>2015-16 ($mil)</w:t>
            </w:r>
          </w:p>
        </w:tc>
      </w:tr>
      <w:tr w:rsidR="00397365" w:rsidTr="001A641D">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Total actual expenses</w:t>
            </w:r>
          </w:p>
        </w:tc>
        <w:tc>
          <w:tcPr>
            <w:tcW w:w="300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FE48A6">
              <w:rPr>
                <w:sz w:val="20"/>
                <w:szCs w:val="20"/>
                <w:lang w:eastAsia="en-AU"/>
              </w:rPr>
              <w:t>(1.972)</w:t>
            </w:r>
          </w:p>
        </w:tc>
        <w:tc>
          <w:tcPr>
            <w:tcW w:w="3084" w:type="dxa"/>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9C5031" w:rsidRDefault="007E5C0A" w:rsidP="001A641D">
            <w:pPr>
              <w:spacing w:before="120" w:after="120"/>
              <w:jc w:val="center"/>
              <w:rPr>
                <w:sz w:val="20"/>
                <w:szCs w:val="20"/>
                <w:highlight w:val="yellow"/>
                <w:lang w:eastAsia="en-AU"/>
              </w:rPr>
            </w:pPr>
            <w:r w:rsidRPr="009C5031">
              <w:rPr>
                <w:sz w:val="20"/>
                <w:szCs w:val="20"/>
                <w:lang w:eastAsia="en-AU"/>
              </w:rPr>
              <w:t>2.638</w:t>
            </w:r>
          </w:p>
        </w:tc>
      </w:tr>
      <w:tr w:rsidR="00397365" w:rsidTr="001A641D">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Total actual revenue</w:t>
            </w:r>
          </w:p>
        </w:tc>
        <w:tc>
          <w:tcPr>
            <w:tcW w:w="300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FE48A6">
              <w:rPr>
                <w:sz w:val="20"/>
                <w:szCs w:val="20"/>
                <w:lang w:eastAsia="en-AU"/>
              </w:rPr>
              <w:t>2.095</w:t>
            </w:r>
          </w:p>
        </w:tc>
        <w:tc>
          <w:tcPr>
            <w:tcW w:w="3084" w:type="dxa"/>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9C5031" w:rsidRDefault="007E5C0A" w:rsidP="001A641D">
            <w:pPr>
              <w:spacing w:before="120" w:after="120"/>
              <w:jc w:val="center"/>
              <w:rPr>
                <w:sz w:val="20"/>
                <w:szCs w:val="20"/>
                <w:highlight w:val="yellow"/>
                <w:lang w:eastAsia="en-AU"/>
              </w:rPr>
            </w:pPr>
            <w:r w:rsidRPr="009C5031">
              <w:rPr>
                <w:sz w:val="20"/>
                <w:szCs w:val="20"/>
                <w:lang w:eastAsia="en-AU"/>
              </w:rPr>
              <w:t>2.812</w:t>
            </w:r>
          </w:p>
        </w:tc>
      </w:tr>
      <w:tr w:rsidR="00397365" w:rsidTr="001A641D">
        <w:trPr>
          <w:cantSplit/>
          <w:trHeight w:val="315"/>
          <w:tblHeader/>
        </w:trPr>
        <w:tc>
          <w:tcPr>
            <w:tcW w:w="368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vAlign w:val="bottom"/>
            <w:hideMark/>
          </w:tcPr>
          <w:p w:rsidR="001A641D" w:rsidRDefault="007E5C0A" w:rsidP="001A641D">
            <w:pPr>
              <w:spacing w:before="120" w:after="120"/>
              <w:rPr>
                <w:sz w:val="20"/>
                <w:szCs w:val="20"/>
                <w:lang w:eastAsia="en-AU"/>
              </w:rPr>
            </w:pPr>
            <w:r>
              <w:rPr>
                <w:sz w:val="20"/>
                <w:szCs w:val="20"/>
                <w:lang w:eastAsia="en-AU"/>
              </w:rPr>
              <w:t>Balance +/-</w:t>
            </w:r>
          </w:p>
        </w:tc>
        <w:tc>
          <w:tcPr>
            <w:tcW w:w="3000" w:type="dxa"/>
            <w:tc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tcBorders>
            <w:shd w:val="clear" w:color="auto" w:fill="auto"/>
            <w:noWrap/>
            <w:vAlign w:val="bottom"/>
            <w:hideMark/>
          </w:tcPr>
          <w:p w:rsidR="001A641D" w:rsidRDefault="007E5C0A" w:rsidP="001A641D">
            <w:pPr>
              <w:spacing w:before="120" w:after="120"/>
              <w:jc w:val="center"/>
              <w:rPr>
                <w:sz w:val="20"/>
                <w:szCs w:val="20"/>
                <w:lang w:eastAsia="en-AU"/>
              </w:rPr>
            </w:pPr>
            <w:r w:rsidRPr="00FE48A6">
              <w:rPr>
                <w:sz w:val="20"/>
                <w:szCs w:val="20"/>
                <w:lang w:eastAsia="en-AU"/>
              </w:rPr>
              <w:t>0.123</w:t>
            </w:r>
          </w:p>
        </w:tc>
        <w:tc>
          <w:tcPr>
            <w:tcW w:w="3084" w:type="dxa"/>
            <w:tcBorders>
              <w:top w:val="single" w:sz="8" w:space="0" w:color="548DD4" w:themeColor="text2" w:themeTint="99"/>
              <w:left w:val="nil"/>
              <w:bottom w:val="single" w:sz="8" w:space="0" w:color="548DD4" w:themeColor="text2" w:themeTint="99"/>
              <w:right w:val="single" w:sz="8" w:space="0" w:color="548DD4" w:themeColor="text2" w:themeTint="99"/>
            </w:tcBorders>
          </w:tcPr>
          <w:p w:rsidR="001A641D" w:rsidRPr="009C5031" w:rsidRDefault="007E5C0A" w:rsidP="001A641D">
            <w:pPr>
              <w:spacing w:before="120" w:after="120"/>
              <w:jc w:val="center"/>
              <w:rPr>
                <w:sz w:val="20"/>
                <w:szCs w:val="20"/>
                <w:highlight w:val="yellow"/>
                <w:lang w:eastAsia="en-AU"/>
              </w:rPr>
            </w:pPr>
            <w:r w:rsidRPr="009C5031">
              <w:rPr>
                <w:sz w:val="20"/>
                <w:szCs w:val="20"/>
                <w:lang w:eastAsia="en-AU"/>
              </w:rPr>
              <w:t>0.174</w:t>
            </w:r>
          </w:p>
        </w:tc>
      </w:tr>
    </w:tbl>
    <w:p w:rsidR="001A641D" w:rsidRDefault="001A641D" w:rsidP="001A641D">
      <w:pPr>
        <w:rPr>
          <w:lang w:eastAsia="en-AU"/>
        </w:rPr>
      </w:pPr>
    </w:p>
    <w:p w:rsidR="001A641D" w:rsidRDefault="007E5C0A">
      <w:pPr>
        <w:spacing w:after="0" w:line="240" w:lineRule="auto"/>
        <w:rPr>
          <w:rFonts w:cs="Arial"/>
          <w:b/>
        </w:rPr>
      </w:pPr>
      <w:bookmarkStart w:id="3369" w:name="_Toc387064875"/>
      <w:bookmarkStart w:id="3370" w:name="_Toc387065087"/>
      <w:bookmarkStart w:id="3371" w:name="_Toc387065293"/>
      <w:bookmarkStart w:id="3372" w:name="_Toc387065504"/>
      <w:bookmarkStart w:id="3373" w:name="_Toc387065710"/>
      <w:bookmarkStart w:id="3374" w:name="_Toc387065915"/>
      <w:bookmarkStart w:id="3375" w:name="_Toc387066118"/>
      <w:bookmarkStart w:id="3376" w:name="_Toc387066307"/>
      <w:bookmarkStart w:id="3377" w:name="_Toc387069543"/>
      <w:bookmarkStart w:id="3378" w:name="_Toc387069730"/>
      <w:bookmarkStart w:id="3379" w:name="_Toc387069939"/>
      <w:bookmarkStart w:id="3380" w:name="_Toc387070138"/>
      <w:bookmarkStart w:id="3381" w:name="_Toc387072403"/>
      <w:bookmarkStart w:id="3382" w:name="_Toc387072614"/>
      <w:bookmarkStart w:id="3383" w:name="_Toc387392645"/>
      <w:bookmarkStart w:id="3384" w:name="_Toc387064881"/>
      <w:bookmarkStart w:id="3385" w:name="_Toc387065093"/>
      <w:bookmarkStart w:id="3386" w:name="_Toc387065299"/>
      <w:bookmarkStart w:id="3387" w:name="_Toc387065510"/>
      <w:bookmarkStart w:id="3388" w:name="_Toc387065716"/>
      <w:bookmarkStart w:id="3389" w:name="_Toc387065921"/>
      <w:bookmarkStart w:id="3390" w:name="_Toc387066124"/>
      <w:bookmarkStart w:id="3391" w:name="_Toc387066313"/>
      <w:bookmarkStart w:id="3392" w:name="_Toc387069549"/>
      <w:bookmarkStart w:id="3393" w:name="_Toc387069736"/>
      <w:bookmarkStart w:id="3394" w:name="_Toc387069945"/>
      <w:bookmarkStart w:id="3395" w:name="_Toc387070144"/>
      <w:bookmarkStart w:id="3396" w:name="_Toc387072409"/>
      <w:bookmarkStart w:id="3397" w:name="_Toc387072620"/>
      <w:bookmarkStart w:id="3398" w:name="_Toc387392651"/>
      <w:bookmarkStart w:id="3399" w:name="_Toc387064887"/>
      <w:bookmarkStart w:id="3400" w:name="_Toc387065099"/>
      <w:bookmarkStart w:id="3401" w:name="_Toc387065305"/>
      <w:bookmarkStart w:id="3402" w:name="_Toc387065516"/>
      <w:bookmarkStart w:id="3403" w:name="_Toc387065722"/>
      <w:bookmarkStart w:id="3404" w:name="_Toc387065927"/>
      <w:bookmarkStart w:id="3405" w:name="_Toc387066130"/>
      <w:bookmarkStart w:id="3406" w:name="_Toc387066319"/>
      <w:bookmarkStart w:id="3407" w:name="_Toc387069555"/>
      <w:bookmarkStart w:id="3408" w:name="_Toc387069742"/>
      <w:bookmarkStart w:id="3409" w:name="_Toc387069951"/>
      <w:bookmarkStart w:id="3410" w:name="_Toc387070150"/>
      <w:bookmarkStart w:id="3411" w:name="_Toc387072415"/>
      <w:bookmarkStart w:id="3412" w:name="_Toc387072626"/>
      <w:bookmarkStart w:id="3413" w:name="_Toc387392657"/>
      <w:bookmarkStart w:id="3414" w:name="_Toc387064895"/>
      <w:bookmarkStart w:id="3415" w:name="_Toc387065107"/>
      <w:bookmarkStart w:id="3416" w:name="_Toc387065313"/>
      <w:bookmarkStart w:id="3417" w:name="_Toc387065524"/>
      <w:bookmarkStart w:id="3418" w:name="_Toc387065730"/>
      <w:bookmarkStart w:id="3419" w:name="_Toc387065935"/>
      <w:bookmarkStart w:id="3420" w:name="_Toc387066138"/>
      <w:bookmarkStart w:id="3421" w:name="_Toc387066327"/>
      <w:bookmarkStart w:id="3422" w:name="_Toc387069563"/>
      <w:bookmarkStart w:id="3423" w:name="_Toc387069750"/>
      <w:bookmarkStart w:id="3424" w:name="_Toc387069959"/>
      <w:bookmarkStart w:id="3425" w:name="_Toc387070158"/>
      <w:bookmarkStart w:id="3426" w:name="_Toc387072423"/>
      <w:bookmarkStart w:id="3427" w:name="_Toc387072634"/>
      <w:bookmarkStart w:id="3428" w:name="_Toc387392665"/>
      <w:bookmarkStart w:id="3429" w:name="_Toc387064901"/>
      <w:bookmarkStart w:id="3430" w:name="_Toc387065113"/>
      <w:bookmarkStart w:id="3431" w:name="_Toc387065319"/>
      <w:bookmarkStart w:id="3432" w:name="_Toc387065530"/>
      <w:bookmarkStart w:id="3433" w:name="_Toc387065736"/>
      <w:bookmarkStart w:id="3434" w:name="_Toc387065941"/>
      <w:bookmarkStart w:id="3435" w:name="_Toc387066144"/>
      <w:bookmarkStart w:id="3436" w:name="_Toc387066333"/>
      <w:bookmarkStart w:id="3437" w:name="_Toc387069569"/>
      <w:bookmarkStart w:id="3438" w:name="_Toc387069756"/>
      <w:bookmarkStart w:id="3439" w:name="_Toc387069965"/>
      <w:bookmarkStart w:id="3440" w:name="_Toc387070164"/>
      <w:bookmarkStart w:id="3441" w:name="_Toc387072429"/>
      <w:bookmarkStart w:id="3442" w:name="_Toc387072640"/>
      <w:bookmarkStart w:id="3443" w:name="_Toc387392671"/>
      <w:bookmarkStart w:id="3444" w:name="_Toc387064907"/>
      <w:bookmarkStart w:id="3445" w:name="_Toc387065119"/>
      <w:bookmarkStart w:id="3446" w:name="_Toc387065325"/>
      <w:bookmarkStart w:id="3447" w:name="_Toc387065536"/>
      <w:bookmarkStart w:id="3448" w:name="_Toc387065742"/>
      <w:bookmarkStart w:id="3449" w:name="_Toc387065947"/>
      <w:bookmarkStart w:id="3450" w:name="_Toc387066150"/>
      <w:bookmarkStart w:id="3451" w:name="_Toc387066339"/>
      <w:bookmarkStart w:id="3452" w:name="_Toc387069575"/>
      <w:bookmarkStart w:id="3453" w:name="_Toc387069762"/>
      <w:bookmarkStart w:id="3454" w:name="_Toc387069971"/>
      <w:bookmarkStart w:id="3455" w:name="_Toc387070170"/>
      <w:bookmarkStart w:id="3456" w:name="_Toc387072435"/>
      <w:bookmarkStart w:id="3457" w:name="_Toc387072646"/>
      <w:bookmarkStart w:id="3458" w:name="_Toc387392677"/>
      <w:bookmarkStart w:id="3459" w:name="_Toc387064915"/>
      <w:bookmarkStart w:id="3460" w:name="_Toc387065127"/>
      <w:bookmarkStart w:id="3461" w:name="_Toc387065333"/>
      <w:bookmarkStart w:id="3462" w:name="_Toc387065544"/>
      <w:bookmarkStart w:id="3463" w:name="_Toc387065750"/>
      <w:bookmarkStart w:id="3464" w:name="_Toc387065955"/>
      <w:bookmarkStart w:id="3465" w:name="_Toc387066158"/>
      <w:bookmarkStart w:id="3466" w:name="_Toc387066347"/>
      <w:bookmarkStart w:id="3467" w:name="_Toc387069583"/>
      <w:bookmarkStart w:id="3468" w:name="_Toc387069770"/>
      <w:bookmarkStart w:id="3469" w:name="_Toc387069979"/>
      <w:bookmarkStart w:id="3470" w:name="_Toc387070178"/>
      <w:bookmarkStart w:id="3471" w:name="_Toc387072443"/>
      <w:bookmarkStart w:id="3472" w:name="_Toc387072654"/>
      <w:bookmarkStart w:id="3473" w:name="_Toc387392685"/>
      <w:bookmarkStart w:id="3474" w:name="_Toc387064921"/>
      <w:bookmarkStart w:id="3475" w:name="_Toc387065133"/>
      <w:bookmarkStart w:id="3476" w:name="_Toc387065339"/>
      <w:bookmarkStart w:id="3477" w:name="_Toc387065550"/>
      <w:bookmarkStart w:id="3478" w:name="_Toc387065756"/>
      <w:bookmarkStart w:id="3479" w:name="_Toc387065961"/>
      <w:bookmarkStart w:id="3480" w:name="_Toc387066164"/>
      <w:bookmarkStart w:id="3481" w:name="_Toc387066353"/>
      <w:bookmarkStart w:id="3482" w:name="_Toc387069589"/>
      <w:bookmarkStart w:id="3483" w:name="_Toc387069776"/>
      <w:bookmarkStart w:id="3484" w:name="_Toc387069985"/>
      <w:bookmarkStart w:id="3485" w:name="_Toc387070184"/>
      <w:bookmarkStart w:id="3486" w:name="_Toc387072449"/>
      <w:bookmarkStart w:id="3487" w:name="_Toc387072660"/>
      <w:bookmarkStart w:id="3488" w:name="_Toc387392691"/>
      <w:bookmarkStart w:id="3489" w:name="_Toc387064927"/>
      <w:bookmarkStart w:id="3490" w:name="_Toc387065139"/>
      <w:bookmarkStart w:id="3491" w:name="_Toc387065345"/>
      <w:bookmarkStart w:id="3492" w:name="_Toc387065556"/>
      <w:bookmarkStart w:id="3493" w:name="_Toc387065762"/>
      <w:bookmarkStart w:id="3494" w:name="_Toc387065967"/>
      <w:bookmarkStart w:id="3495" w:name="_Toc387066170"/>
      <w:bookmarkStart w:id="3496" w:name="_Toc387066359"/>
      <w:bookmarkStart w:id="3497" w:name="_Toc387069595"/>
      <w:bookmarkStart w:id="3498" w:name="_Toc387069782"/>
      <w:bookmarkStart w:id="3499" w:name="_Toc387069991"/>
      <w:bookmarkStart w:id="3500" w:name="_Toc387070190"/>
      <w:bookmarkStart w:id="3501" w:name="_Toc387072455"/>
      <w:bookmarkStart w:id="3502" w:name="_Toc387072666"/>
      <w:bookmarkStart w:id="3503" w:name="_Toc387392697"/>
      <w:bookmarkStart w:id="3504" w:name="_Toc387064933"/>
      <w:bookmarkStart w:id="3505" w:name="_Toc387065145"/>
      <w:bookmarkStart w:id="3506" w:name="_Toc387065351"/>
      <w:bookmarkStart w:id="3507" w:name="_Toc387065562"/>
      <w:bookmarkStart w:id="3508" w:name="_Toc387065768"/>
      <w:bookmarkStart w:id="3509" w:name="_Toc387065973"/>
      <w:bookmarkStart w:id="3510" w:name="_Toc387066176"/>
      <w:bookmarkStart w:id="3511" w:name="_Toc387066365"/>
      <w:bookmarkStart w:id="3512" w:name="_Toc387069601"/>
      <w:bookmarkStart w:id="3513" w:name="_Toc387069788"/>
      <w:bookmarkStart w:id="3514" w:name="_Toc387069997"/>
      <w:bookmarkStart w:id="3515" w:name="_Toc387070196"/>
      <w:bookmarkStart w:id="3516" w:name="_Toc387072461"/>
      <w:bookmarkStart w:id="3517" w:name="_Toc387072672"/>
      <w:bookmarkStart w:id="3518" w:name="_Toc387392703"/>
      <w:bookmarkStart w:id="3519" w:name="_Toc456103362"/>
      <w:bookmarkStart w:id="3520" w:name="_Toc456104095"/>
      <w:bookmarkStart w:id="3521" w:name="_Toc456104809"/>
      <w:bookmarkStart w:id="3522" w:name="_Toc456105522"/>
      <w:bookmarkStart w:id="3523" w:name="_Toc456106234"/>
      <w:bookmarkStart w:id="3524" w:name="_Toc456106928"/>
      <w:bookmarkStart w:id="3525" w:name="_Toc456107628"/>
      <w:bookmarkStart w:id="3526" w:name="_Toc456167304"/>
      <w:bookmarkStart w:id="3527" w:name="_Toc456168878"/>
      <w:bookmarkStart w:id="3528" w:name="_Toc456179145"/>
      <w:bookmarkStart w:id="3529" w:name="_Toc456179676"/>
      <w:bookmarkStart w:id="3530" w:name="_Toc456180214"/>
      <w:bookmarkStart w:id="3531" w:name="_Toc456180750"/>
      <w:bookmarkStart w:id="3532" w:name="_Toc456181286"/>
      <w:bookmarkStart w:id="3533" w:name="_Toc456181822"/>
      <w:bookmarkStart w:id="3534" w:name="_Toc456182359"/>
      <w:bookmarkStart w:id="3535" w:name="_Toc456182897"/>
      <w:bookmarkStart w:id="3536" w:name="_Toc456183432"/>
      <w:bookmarkStart w:id="3537" w:name="_Toc456183967"/>
      <w:bookmarkStart w:id="3538" w:name="_Toc456184502"/>
      <w:bookmarkStart w:id="3539" w:name="_Toc456185033"/>
      <w:bookmarkStart w:id="3540" w:name="_Toc456185566"/>
      <w:bookmarkStart w:id="3541" w:name="_Toc456186163"/>
      <w:bookmarkStart w:id="3542" w:name="_Toc456186695"/>
      <w:bookmarkStart w:id="3543" w:name="_Toc456187227"/>
      <w:bookmarkStart w:id="3544" w:name="_Toc456361538"/>
      <w:bookmarkStart w:id="3545" w:name="_Toc456365247"/>
      <w:bookmarkStart w:id="3546" w:name="_Toc456366466"/>
      <w:bookmarkStart w:id="3547" w:name="_Toc456367094"/>
      <w:bookmarkStart w:id="3548" w:name="_Toc456367721"/>
      <w:bookmarkStart w:id="3549" w:name="_Toc456368353"/>
      <w:bookmarkStart w:id="3550" w:name="_Toc456368982"/>
      <w:bookmarkStart w:id="3551" w:name="_Toc456369664"/>
      <w:bookmarkStart w:id="3552" w:name="_Toc456370342"/>
      <w:bookmarkStart w:id="3553" w:name="_Toc456371019"/>
      <w:bookmarkStart w:id="3554" w:name="_Toc456371696"/>
      <w:bookmarkStart w:id="3555" w:name="_Toc456517711"/>
      <w:bookmarkStart w:id="3556" w:name="_Toc387064939"/>
      <w:bookmarkStart w:id="3557" w:name="_Toc387065151"/>
      <w:bookmarkStart w:id="3558" w:name="_Toc387065357"/>
      <w:bookmarkStart w:id="3559" w:name="_Toc387065568"/>
      <w:bookmarkStart w:id="3560" w:name="_Toc387065774"/>
      <w:bookmarkStart w:id="3561" w:name="_Toc387065979"/>
      <w:bookmarkStart w:id="3562" w:name="_Toc387066182"/>
      <w:bookmarkStart w:id="3563" w:name="_Toc387066371"/>
      <w:bookmarkStart w:id="3564" w:name="_Toc387069607"/>
      <w:bookmarkStart w:id="3565" w:name="_Toc387069794"/>
      <w:bookmarkStart w:id="3566" w:name="_Toc387070003"/>
      <w:bookmarkStart w:id="3567" w:name="_Toc387070202"/>
      <w:bookmarkStart w:id="3568" w:name="_Toc387072467"/>
      <w:bookmarkStart w:id="3569" w:name="_Toc387072678"/>
      <w:bookmarkStart w:id="3570" w:name="_Toc387392709"/>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r>
        <w:br w:type="page"/>
      </w:r>
    </w:p>
    <w:p w:rsidR="001A641D" w:rsidRDefault="007E5C0A" w:rsidP="001A641D">
      <w:pPr>
        <w:pStyle w:val="Heading1"/>
      </w:pPr>
      <w:bookmarkStart w:id="3571" w:name="_Toc256000380"/>
      <w:bookmarkStart w:id="3572" w:name="_Toc256000272"/>
      <w:bookmarkStart w:id="3573" w:name="_Toc256000164"/>
      <w:bookmarkStart w:id="3574" w:name="_Toc256000056"/>
      <w:bookmarkStart w:id="3575" w:name="_Toc458170560"/>
      <w:r w:rsidRPr="00624D63">
        <w:t>NON- FINANCIAL PERFORMANCE</w:t>
      </w:r>
      <w:bookmarkEnd w:id="3571"/>
      <w:bookmarkEnd w:id="3572"/>
      <w:bookmarkEnd w:id="3573"/>
      <w:bookmarkEnd w:id="3574"/>
      <w:bookmarkEnd w:id="3575"/>
    </w:p>
    <w:p w:rsidR="001A641D" w:rsidRPr="008C680D" w:rsidRDefault="007E5C0A" w:rsidP="001A641D">
      <w:pPr>
        <w:pStyle w:val="Heading2"/>
      </w:pPr>
      <w:bookmarkStart w:id="3576" w:name="_Toc256000381"/>
      <w:bookmarkStart w:id="3577" w:name="_Toc256000273"/>
      <w:bookmarkStart w:id="3578" w:name="_Toc256000165"/>
      <w:bookmarkStart w:id="3579" w:name="_Toc256000057"/>
      <w:bookmarkStart w:id="3580" w:name="_Toc458170561"/>
      <w:r>
        <w:t>Non-financial performance indicators</w:t>
      </w:r>
      <w:bookmarkEnd w:id="3576"/>
      <w:bookmarkEnd w:id="3577"/>
      <w:bookmarkEnd w:id="3578"/>
      <w:bookmarkEnd w:id="3579"/>
      <w:bookmarkEnd w:id="3580"/>
    </w:p>
    <w:p w:rsidR="001A641D" w:rsidRDefault="007E5C0A">
      <w:r w:rsidRPr="001C4E84">
        <w:t>The EPBC Act includes statutory timeframes for almost all decisions. This includes timeframes for assessment and approval decisions. The processes for making these decisions wi</w:t>
      </w:r>
      <w:r>
        <w:t>ll now be cost recovered. The De</w:t>
      </w:r>
      <w:r w:rsidRPr="001C4E84">
        <w:t>partment will report, through updates to this CRIS, on</w:t>
      </w:r>
      <w:r>
        <w:t>:</w:t>
      </w:r>
      <w:r w:rsidRPr="001C4E84">
        <w:t xml:space="preserve"> </w:t>
      </w:r>
    </w:p>
    <w:p w:rsidR="001A641D" w:rsidRPr="008A14F5" w:rsidRDefault="007E5C0A" w:rsidP="001A641D">
      <w:pPr>
        <w:pStyle w:val="ListBullet"/>
      </w:pPr>
      <w:r w:rsidRPr="001C4E84">
        <w:t>the percentage of decisions ma</w:t>
      </w:r>
      <w:r>
        <w:t xml:space="preserve">de within statutory </w:t>
      </w:r>
      <w:r w:rsidRPr="008A14F5">
        <w:t>timeframes, including the median number of days for which late decisions were delayed; and</w:t>
      </w:r>
    </w:p>
    <w:p w:rsidR="001A641D" w:rsidRDefault="007E5C0A" w:rsidP="001A641D">
      <w:pPr>
        <w:pStyle w:val="ListBullet"/>
      </w:pPr>
      <w:r>
        <w:t>the overall time taken from referral to approval for referred actions.</w:t>
      </w:r>
    </w:p>
    <w:p w:rsidR="001A641D" w:rsidRDefault="007E5C0A" w:rsidP="001A641D">
      <w:pPr>
        <w:pStyle w:val="ListBullet"/>
        <w:numPr>
          <w:ilvl w:val="0"/>
          <w:numId w:val="0"/>
        </w:numPr>
      </w:pPr>
      <w:r>
        <w:t>This reporting process on these non-financial performance indicators will provide assurance to applicants that the Department is providing an efficient and effective service.</w:t>
      </w:r>
    </w:p>
    <w:p w:rsidR="001A641D" w:rsidRDefault="007E5C0A" w:rsidP="001A641D">
      <w:pPr>
        <w:pStyle w:val="Heading3"/>
        <w:ind w:left="0" w:firstLine="0"/>
      </w:pPr>
      <w:bookmarkStart w:id="3581" w:name="_Toc256000382"/>
      <w:bookmarkStart w:id="3582" w:name="_Toc256000274"/>
      <w:bookmarkStart w:id="3583" w:name="_Toc256000166"/>
      <w:bookmarkStart w:id="3584" w:name="_Toc256000058"/>
      <w:bookmarkStart w:id="3585" w:name="_Toc458170562"/>
      <w:r>
        <w:t>Compliance with statutory timeframes</w:t>
      </w:r>
      <w:bookmarkEnd w:id="3581"/>
      <w:bookmarkEnd w:id="3582"/>
      <w:bookmarkEnd w:id="3583"/>
      <w:bookmarkEnd w:id="3584"/>
      <w:bookmarkEnd w:id="3585"/>
    </w:p>
    <w:p w:rsidR="001A641D" w:rsidRPr="006A1E58" w:rsidRDefault="007E5C0A" w:rsidP="001A641D">
      <w:r w:rsidRPr="00F618E1">
        <w:t xml:space="preserve">The Department reports on compliance with statutory timeframes under the EPBC Act in its annual report. </w:t>
      </w:r>
      <w:r w:rsidRPr="006A1E58">
        <w:t>For the purposes of this CRIS the Department use</w:t>
      </w:r>
      <w:r>
        <w:t>s</w:t>
      </w:r>
      <w:r w:rsidRPr="006A1E58">
        <w:t xml:space="preserve"> data on the timing of decisions which affect the timing of an applicant’s approval, that is:</w:t>
      </w:r>
    </w:p>
    <w:p w:rsidR="001A641D" w:rsidRPr="006A1E58" w:rsidRDefault="007E5C0A">
      <w:pPr>
        <w:pStyle w:val="ListBullet"/>
      </w:pPr>
      <w:r>
        <w:t>c</w:t>
      </w:r>
      <w:r w:rsidRPr="006A1E58">
        <w:t>ontrolled action determinations (section 75(5))</w:t>
      </w:r>
      <w:r>
        <w:t xml:space="preserve"> and issue of notices (section 77(1));</w:t>
      </w:r>
    </w:p>
    <w:p w:rsidR="001A641D" w:rsidRPr="006A1E58" w:rsidRDefault="007E5C0A">
      <w:pPr>
        <w:pStyle w:val="ListBullet"/>
      </w:pPr>
      <w:r>
        <w:t>s</w:t>
      </w:r>
      <w:r w:rsidRPr="006A1E58">
        <w:t>tatements of reasons for controlled action decisions (section 77(4))</w:t>
      </w:r>
      <w:r>
        <w:t>;</w:t>
      </w:r>
    </w:p>
    <w:p w:rsidR="001A641D" w:rsidRPr="006A1E58" w:rsidRDefault="007E5C0A">
      <w:pPr>
        <w:pStyle w:val="ListBullet"/>
      </w:pPr>
      <w:r>
        <w:t>a</w:t>
      </w:r>
      <w:r w:rsidRPr="006A1E58">
        <w:t>ssessment approach decisions (section 88(1))</w:t>
      </w:r>
      <w:r>
        <w:t xml:space="preserve"> and issue of notices (section 91(1));</w:t>
      </w:r>
    </w:p>
    <w:p w:rsidR="001A641D" w:rsidRPr="006A1E58" w:rsidRDefault="007E5C0A">
      <w:pPr>
        <w:pStyle w:val="ListBullet"/>
      </w:pPr>
      <w:r>
        <w:t>r</w:t>
      </w:r>
      <w:r w:rsidRPr="006A1E58">
        <w:t>equests for further information (section 95A(2)) and directions to publish (section 95A(3))for assessment on preliminary documentation</w:t>
      </w:r>
      <w:r>
        <w:t>;</w:t>
      </w:r>
    </w:p>
    <w:p w:rsidR="001A641D" w:rsidRPr="006A1E58" w:rsidRDefault="007E5C0A">
      <w:pPr>
        <w:pStyle w:val="ListBullet"/>
      </w:pPr>
      <w:r>
        <w:t>p</w:t>
      </w:r>
      <w:r w:rsidRPr="006A1E58">
        <w:t>rovision of guidelines for environmental impact statement</w:t>
      </w:r>
      <w:r>
        <w:t>s</w:t>
      </w:r>
      <w:r w:rsidRPr="006A1E58">
        <w:t xml:space="preserve"> (section </w:t>
      </w:r>
      <w:r>
        <w:t>101A(4)</w:t>
      </w:r>
      <w:r w:rsidRPr="006A1E58">
        <w:t>)</w:t>
      </w:r>
      <w:r>
        <w:t xml:space="preserve"> and public environment reports </w:t>
      </w:r>
      <w:r w:rsidRPr="00B603C0">
        <w:t>(section 96A(4))</w:t>
      </w:r>
      <w:r>
        <w:t>;</w:t>
      </w:r>
    </w:p>
    <w:p w:rsidR="001A641D" w:rsidRPr="006A1E58" w:rsidRDefault="007E5C0A">
      <w:pPr>
        <w:pStyle w:val="ListBullet"/>
      </w:pPr>
      <w:r>
        <w:t>s</w:t>
      </w:r>
      <w:r w:rsidRPr="006A1E58">
        <w:t>ubmission of recommendation reports to the Minister and timing of approval decisions (section 130)</w:t>
      </w:r>
      <w:r>
        <w:t>;</w:t>
      </w:r>
      <w:r w:rsidRPr="006A1E58">
        <w:t xml:space="preserve"> and</w:t>
      </w:r>
    </w:p>
    <w:p w:rsidR="001A641D" w:rsidRPr="006A1E58" w:rsidRDefault="007E5C0A">
      <w:pPr>
        <w:pStyle w:val="ListBullet"/>
      </w:pPr>
      <w:r>
        <w:t>d</w:t>
      </w:r>
      <w:r w:rsidRPr="006A1E58">
        <w:t>ecisions on whether to accept a varied proposal (section</w:t>
      </w:r>
      <w:r>
        <w:t xml:space="preserve"> 156</w:t>
      </w:r>
      <w:r w:rsidRPr="006A1E58">
        <w:t>).</w:t>
      </w:r>
    </w:p>
    <w:p w:rsidR="001A641D" w:rsidRPr="006A1E58" w:rsidRDefault="007E5C0A" w:rsidP="001A641D">
      <w:r>
        <w:t xml:space="preserve">An </w:t>
      </w:r>
      <w:r w:rsidRPr="006A1E58">
        <w:t xml:space="preserve">indicator in this CRIS is the percentage of </w:t>
      </w:r>
      <w:r>
        <w:t>each</w:t>
      </w:r>
      <w:r w:rsidRPr="006A1E58">
        <w:t xml:space="preserve"> of the above decisions made within statutory </w:t>
      </w:r>
      <w:r w:rsidRPr="00C54D97">
        <w:t xml:space="preserve">timeframes. </w:t>
      </w:r>
      <w:r w:rsidR="00FF3730">
        <w:fldChar w:fldCharType="begin"/>
      </w:r>
      <w:r w:rsidR="00FF3730">
        <w:instrText xml:space="preserve"> REF _Ref457986436 \h  \* MERGEFORMAT </w:instrText>
      </w:r>
      <w:r w:rsidR="00FF3730">
        <w:fldChar w:fldCharType="separate"/>
      </w:r>
      <w:r w:rsidR="00FF3730">
        <w:t xml:space="preserve">Table </w:t>
      </w:r>
      <w:r w:rsidR="00FF3730">
        <w:rPr>
          <w:noProof/>
        </w:rPr>
        <w:t>25</w:t>
      </w:r>
      <w:r w:rsidR="00FF3730">
        <w:fldChar w:fldCharType="end"/>
      </w:r>
      <w:r w:rsidRPr="000523CF">
        <w:t xml:space="preserve"> below sets</w:t>
      </w:r>
      <w:r w:rsidRPr="00C54D97">
        <w:t xml:space="preserve"> out the Department’s performance against this indicator for the </w:t>
      </w:r>
      <w:r>
        <w:t>last three</w:t>
      </w:r>
      <w:r w:rsidRPr="00C54D97">
        <w:t xml:space="preserve"> years. </w:t>
      </w:r>
    </w:p>
    <w:p w:rsidR="001A641D" w:rsidRPr="00F618E1" w:rsidRDefault="007E5C0A" w:rsidP="001A641D">
      <w:r w:rsidRPr="00F618E1">
        <w:t>The Department will update this table each year following the publication of annual report statistics. The Department will also identify any particular points in the process where delays are occurring, and work on strategies to address those delays, which will be included in regular revisions of the CRIS.</w:t>
      </w:r>
    </w:p>
    <w:p w:rsidR="001A641D" w:rsidRDefault="007E5C0A" w:rsidP="001A641D">
      <w:pPr>
        <w:pStyle w:val="Caption"/>
        <w:keepNext/>
      </w:pPr>
      <w:bookmarkStart w:id="3586" w:name="_Ref457986436"/>
      <w:bookmarkStart w:id="3587" w:name="_Toc256000434"/>
      <w:bookmarkStart w:id="3588" w:name="_Toc256000326"/>
      <w:bookmarkStart w:id="3589" w:name="_Toc256000218"/>
      <w:bookmarkStart w:id="3590" w:name="_Toc256000110"/>
      <w:bookmarkStart w:id="3591" w:name="_Toc458170613"/>
      <w:r>
        <w:t xml:space="preserve">Table </w:t>
      </w:r>
      <w:r w:rsidR="003366B4">
        <w:fldChar w:fldCharType="begin"/>
      </w:r>
      <w:r>
        <w:instrText xml:space="preserve"> SEQ Table \* ARABIC </w:instrText>
      </w:r>
      <w:r w:rsidR="003366B4">
        <w:fldChar w:fldCharType="separate"/>
      </w:r>
      <w:r w:rsidR="00FF3730">
        <w:rPr>
          <w:noProof/>
        </w:rPr>
        <w:t>25</w:t>
      </w:r>
      <w:r w:rsidR="003366B4">
        <w:rPr>
          <w:noProof/>
        </w:rPr>
        <w:fldChar w:fldCharType="end"/>
      </w:r>
      <w:bookmarkEnd w:id="3586"/>
      <w:r>
        <w:t>. Compliance with statutory timeframes</w:t>
      </w:r>
      <w:r w:rsidRPr="00CF08C5">
        <w:t xml:space="preserve"> under the EPBC Act</w:t>
      </w:r>
      <w:r>
        <w:t xml:space="preserve"> for specific types of decisions</w:t>
      </w:r>
      <w:bookmarkEnd w:id="3587"/>
      <w:bookmarkEnd w:id="3588"/>
      <w:bookmarkEnd w:id="3589"/>
      <w:bookmarkEnd w:id="3590"/>
      <w:bookmarkEnd w:id="3591"/>
    </w:p>
    <w:tbl>
      <w:tblPr>
        <w:tblW w:w="5000" w:type="pct"/>
        <w:tblCellMar>
          <w:left w:w="0" w:type="dxa"/>
          <w:right w:w="0" w:type="dxa"/>
        </w:tblCellMar>
        <w:tblLook w:val="04A0" w:firstRow="1" w:lastRow="0" w:firstColumn="1" w:lastColumn="0" w:noHBand="0" w:noVBand="1"/>
      </w:tblPr>
      <w:tblGrid>
        <w:gridCol w:w="5353"/>
        <w:gridCol w:w="1559"/>
        <w:gridCol w:w="1419"/>
        <w:gridCol w:w="1426"/>
      </w:tblGrid>
      <w:tr w:rsidR="00397365" w:rsidTr="001A641D">
        <w:trPr>
          <w:cantSplit/>
        </w:trPr>
        <w:tc>
          <w:tcPr>
            <w:tcW w:w="2743" w:type="pct"/>
            <w:tcBorders>
              <w:top w:val="single" w:sz="8" w:space="0" w:color="FFFFFF"/>
              <w:left w:val="single" w:sz="8" w:space="0" w:color="FFFFFF"/>
              <w:bottom w:val="single" w:sz="8" w:space="0" w:color="FFFFFF"/>
              <w:right w:val="nil"/>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eastAsiaTheme="minorHAnsi" w:cs="Arial"/>
                <w:b/>
                <w:bCs/>
              </w:rPr>
            </w:pPr>
            <w:r w:rsidRPr="00B52B9E">
              <w:rPr>
                <w:rFonts w:cs="Arial"/>
                <w:b/>
                <w:bCs/>
                <w:color w:val="FFFFFF"/>
                <w:sz w:val="20"/>
                <w:szCs w:val="20"/>
              </w:rPr>
              <w:t>Financial year</w:t>
            </w:r>
          </w:p>
        </w:tc>
        <w:tc>
          <w:tcPr>
            <w:tcW w:w="799" w:type="pct"/>
            <w:tcBorders>
              <w:top w:val="single" w:sz="8" w:space="0" w:color="FFFFFF"/>
              <w:left w:val="nil"/>
              <w:bottom w:val="single" w:sz="8" w:space="0" w:color="FFFFFF"/>
              <w:right w:val="single" w:sz="8" w:space="0" w:color="FFFFFF"/>
            </w:tcBorders>
            <w:shd w:val="clear" w:color="auto" w:fill="4F81BD"/>
            <w:tcMar>
              <w:top w:w="0" w:type="dxa"/>
              <w:left w:w="108" w:type="dxa"/>
              <w:bottom w:w="0" w:type="dxa"/>
              <w:right w:w="108" w:type="dxa"/>
            </w:tcMar>
            <w:vAlign w:val="center"/>
            <w:hideMark/>
          </w:tcPr>
          <w:p w:rsidR="001A641D" w:rsidRPr="002B0567" w:rsidRDefault="007E5C0A" w:rsidP="001A641D">
            <w:pPr>
              <w:spacing w:before="60" w:after="60"/>
              <w:jc w:val="center"/>
              <w:rPr>
                <w:b/>
                <w:sz w:val="20"/>
                <w:szCs w:val="20"/>
                <w:lang w:eastAsia="en-AU"/>
              </w:rPr>
            </w:pPr>
            <w:r w:rsidRPr="002B0567">
              <w:rPr>
                <w:b/>
                <w:sz w:val="20"/>
                <w:szCs w:val="20"/>
                <w:lang w:eastAsia="en-AU"/>
              </w:rPr>
              <w:t>2013-14</w:t>
            </w:r>
          </w:p>
        </w:tc>
        <w:tc>
          <w:tcPr>
            <w:tcW w:w="727" w:type="pct"/>
            <w:tcBorders>
              <w:top w:val="single" w:sz="8" w:space="0" w:color="FFFFFF"/>
              <w:left w:val="nil"/>
              <w:bottom w:val="single" w:sz="8" w:space="0" w:color="FFFFFF"/>
              <w:right w:val="single" w:sz="8" w:space="0" w:color="FFFFFF"/>
            </w:tcBorders>
            <w:shd w:val="clear" w:color="auto" w:fill="4F81BD"/>
            <w:vAlign w:val="center"/>
          </w:tcPr>
          <w:p w:rsidR="001A641D" w:rsidRPr="002B0567" w:rsidRDefault="007E5C0A" w:rsidP="001A641D">
            <w:pPr>
              <w:spacing w:before="60" w:after="60"/>
              <w:jc w:val="center"/>
              <w:rPr>
                <w:b/>
                <w:sz w:val="20"/>
                <w:szCs w:val="20"/>
                <w:lang w:eastAsia="en-AU"/>
              </w:rPr>
            </w:pPr>
            <w:r w:rsidRPr="002B0567">
              <w:rPr>
                <w:b/>
                <w:sz w:val="20"/>
                <w:szCs w:val="20"/>
                <w:lang w:eastAsia="en-AU"/>
              </w:rPr>
              <w:t>2014-15</w:t>
            </w:r>
          </w:p>
        </w:tc>
        <w:tc>
          <w:tcPr>
            <w:tcW w:w="731" w:type="pct"/>
            <w:tcBorders>
              <w:top w:val="single" w:sz="8" w:space="0" w:color="FFFFFF"/>
              <w:left w:val="nil"/>
              <w:bottom w:val="single" w:sz="8" w:space="0" w:color="FFFFFF"/>
              <w:right w:val="single" w:sz="8" w:space="0" w:color="FFFFFF"/>
            </w:tcBorders>
            <w:shd w:val="clear" w:color="auto" w:fill="4F81BD"/>
            <w:vAlign w:val="center"/>
          </w:tcPr>
          <w:p w:rsidR="001A641D" w:rsidRPr="002B0567" w:rsidRDefault="007E5C0A" w:rsidP="001A641D">
            <w:pPr>
              <w:spacing w:before="60" w:after="60"/>
              <w:jc w:val="center"/>
              <w:rPr>
                <w:b/>
                <w:sz w:val="20"/>
                <w:szCs w:val="20"/>
                <w:lang w:eastAsia="en-AU"/>
              </w:rPr>
            </w:pPr>
            <w:r w:rsidRPr="00301019">
              <w:rPr>
                <w:b/>
                <w:sz w:val="20"/>
                <w:szCs w:val="20"/>
                <w:lang w:eastAsia="en-AU"/>
              </w:rPr>
              <w:t>2015-16</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C</w:t>
            </w:r>
            <w:r w:rsidRPr="000A1DDA">
              <w:rPr>
                <w:b/>
                <w:sz w:val="20"/>
                <w:szCs w:val="20"/>
                <w:lang w:eastAsia="en-AU"/>
              </w:rPr>
              <w:t>ontrolled action determinations (section 75(5)</w:t>
            </w:r>
            <w:r>
              <w:rPr>
                <w:b/>
                <w:sz w:val="20"/>
                <w:szCs w:val="20"/>
                <w:lang w:eastAsia="en-AU"/>
              </w:rPr>
              <w:t>) and issue of notices (section 77(1))</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79%</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78%</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55%</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S</w:t>
            </w:r>
            <w:r w:rsidRPr="000A1DDA">
              <w:rPr>
                <w:b/>
                <w:sz w:val="20"/>
                <w:szCs w:val="20"/>
                <w:lang w:eastAsia="en-AU"/>
              </w:rPr>
              <w:t>tatements of reasons for controlled action decisions (section 77(4</w:t>
            </w:r>
            <w:r>
              <w:rPr>
                <w:b/>
                <w:sz w:val="20"/>
                <w:szCs w:val="20"/>
                <w:lang w:eastAsia="en-AU"/>
              </w:rPr>
              <w:t>))</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52%</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100%</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20%</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A</w:t>
            </w:r>
            <w:r w:rsidRPr="000A1DDA">
              <w:rPr>
                <w:b/>
                <w:sz w:val="20"/>
                <w:szCs w:val="20"/>
                <w:lang w:eastAsia="en-AU"/>
              </w:rPr>
              <w:t>ssessment approach decisions (section 88(1))</w:t>
            </w:r>
            <w:r>
              <w:rPr>
                <w:b/>
                <w:sz w:val="20"/>
                <w:szCs w:val="20"/>
                <w:lang w:eastAsia="en-AU"/>
              </w:rPr>
              <w:t xml:space="preserve"> and issue of notices (section 91(1))</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68%</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64%</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61%</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R</w:t>
            </w:r>
            <w:r w:rsidRPr="000A1DDA">
              <w:rPr>
                <w:b/>
                <w:sz w:val="20"/>
                <w:szCs w:val="20"/>
                <w:lang w:eastAsia="en-AU"/>
              </w:rPr>
              <w:t xml:space="preserve">equests for further information (section 95A(2)) </w:t>
            </w:r>
            <w:r>
              <w:rPr>
                <w:b/>
                <w:sz w:val="20"/>
                <w:szCs w:val="20"/>
                <w:lang w:eastAsia="en-AU"/>
              </w:rPr>
              <w:t xml:space="preserve">and directions to publish (section 95A(3)) </w:t>
            </w:r>
            <w:r w:rsidRPr="000A1DDA">
              <w:rPr>
                <w:b/>
                <w:sz w:val="20"/>
                <w:szCs w:val="20"/>
                <w:lang w:eastAsia="en-AU"/>
              </w:rPr>
              <w:t>for assessment on preliminary documentation</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84%</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83%</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50%</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P</w:t>
            </w:r>
            <w:r w:rsidRPr="000A1DDA">
              <w:rPr>
                <w:b/>
                <w:sz w:val="20"/>
                <w:szCs w:val="20"/>
                <w:lang w:eastAsia="en-AU"/>
              </w:rPr>
              <w:t>rovision of guidelines for environmental impact statement</w:t>
            </w:r>
            <w:r>
              <w:rPr>
                <w:b/>
                <w:sz w:val="20"/>
                <w:szCs w:val="20"/>
                <w:lang w:eastAsia="en-AU"/>
              </w:rPr>
              <w:t xml:space="preserve">s </w:t>
            </w:r>
            <w:r w:rsidRPr="000A1DDA">
              <w:rPr>
                <w:b/>
                <w:sz w:val="20"/>
                <w:szCs w:val="20"/>
                <w:lang w:eastAsia="en-AU"/>
              </w:rPr>
              <w:t>(</w:t>
            </w:r>
            <w:r>
              <w:rPr>
                <w:b/>
                <w:sz w:val="20"/>
                <w:szCs w:val="20"/>
                <w:lang w:eastAsia="en-AU"/>
              </w:rPr>
              <w:t>section 101A(4)</w:t>
            </w:r>
            <w:r w:rsidRPr="000A1DDA">
              <w:rPr>
                <w:b/>
                <w:sz w:val="20"/>
                <w:szCs w:val="20"/>
                <w:lang w:eastAsia="en-AU"/>
              </w:rPr>
              <w:t>)</w:t>
            </w:r>
            <w:r>
              <w:rPr>
                <w:b/>
                <w:sz w:val="20"/>
                <w:szCs w:val="20"/>
                <w:lang w:eastAsia="en-AU"/>
              </w:rPr>
              <w:t xml:space="preserve"> and public environment reports (section 96A(4))</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33%</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50%</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100%</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S</w:t>
            </w:r>
            <w:r w:rsidRPr="000A1DDA">
              <w:rPr>
                <w:b/>
                <w:sz w:val="20"/>
                <w:szCs w:val="20"/>
                <w:lang w:eastAsia="en-AU"/>
              </w:rPr>
              <w:t>ubmission of recommendation reports to the Minister and timing of approval decisions (section 130)</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65%</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59%</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53%</w:t>
            </w:r>
          </w:p>
        </w:tc>
      </w:tr>
      <w:tr w:rsidR="00397365" w:rsidTr="001A641D">
        <w:trPr>
          <w:cantSplit/>
        </w:trPr>
        <w:tc>
          <w:tcPr>
            <w:tcW w:w="2743" w:type="pct"/>
            <w:tcBorders>
              <w:top w:val="nil"/>
              <w:left w:val="single" w:sz="8" w:space="0" w:color="FFFFFF"/>
              <w:bottom w:val="nil"/>
              <w:right w:val="single" w:sz="8" w:space="0" w:color="FFFFFF"/>
            </w:tcBorders>
            <w:shd w:val="clear" w:color="auto" w:fill="4F81BD"/>
            <w:tcMar>
              <w:top w:w="0" w:type="dxa"/>
              <w:left w:w="108" w:type="dxa"/>
              <w:bottom w:w="0" w:type="dxa"/>
              <w:right w:w="108" w:type="dxa"/>
            </w:tcMar>
            <w:vAlign w:val="center"/>
            <w:hideMark/>
          </w:tcPr>
          <w:p w:rsidR="001A641D" w:rsidRPr="00B52B9E" w:rsidRDefault="007E5C0A" w:rsidP="001A641D">
            <w:pPr>
              <w:keepNext/>
              <w:spacing w:before="60" w:after="60"/>
              <w:ind w:left="360"/>
              <w:rPr>
                <w:rFonts w:cs="Arial"/>
                <w:b/>
                <w:bCs/>
                <w:color w:val="FFFFFF"/>
                <w:sz w:val="20"/>
                <w:szCs w:val="20"/>
              </w:rPr>
            </w:pPr>
            <w:r>
              <w:rPr>
                <w:b/>
                <w:sz w:val="20"/>
                <w:szCs w:val="20"/>
                <w:lang w:eastAsia="en-AU"/>
              </w:rPr>
              <w:t>D</w:t>
            </w:r>
            <w:r w:rsidRPr="000A1DDA">
              <w:rPr>
                <w:b/>
                <w:sz w:val="20"/>
                <w:szCs w:val="20"/>
                <w:lang w:eastAsia="en-AU"/>
              </w:rPr>
              <w:t xml:space="preserve">ecisions on whether to accept a </w:t>
            </w:r>
            <w:r>
              <w:rPr>
                <w:b/>
                <w:sz w:val="20"/>
                <w:szCs w:val="20"/>
                <w:lang w:eastAsia="en-AU"/>
              </w:rPr>
              <w:t>varied proposal (section 156</w:t>
            </w:r>
            <w:r w:rsidRPr="000A1DDA">
              <w:rPr>
                <w:b/>
                <w:sz w:val="20"/>
                <w:szCs w:val="20"/>
                <w:lang w:eastAsia="en-AU"/>
              </w:rPr>
              <w:t>)</w:t>
            </w:r>
          </w:p>
        </w:tc>
        <w:tc>
          <w:tcPr>
            <w:tcW w:w="799" w:type="pct"/>
            <w:tcBorders>
              <w:top w:val="nil"/>
              <w:left w:val="nil"/>
              <w:bottom w:val="nil"/>
              <w:right w:val="single" w:sz="8" w:space="0" w:color="FFFFFF"/>
            </w:tcBorders>
            <w:shd w:val="clear" w:color="auto" w:fill="B8CCE4"/>
            <w:tcMar>
              <w:top w:w="0" w:type="dxa"/>
              <w:left w:w="108" w:type="dxa"/>
              <w:bottom w:w="0" w:type="dxa"/>
              <w:right w:w="108" w:type="dxa"/>
            </w:tcMar>
            <w:vAlign w:val="center"/>
            <w:hideMark/>
          </w:tcPr>
          <w:p w:rsidR="001A641D" w:rsidRPr="00551CB2" w:rsidRDefault="007E5C0A" w:rsidP="001A641D">
            <w:pPr>
              <w:spacing w:before="60" w:after="60"/>
              <w:jc w:val="center"/>
              <w:rPr>
                <w:sz w:val="20"/>
                <w:szCs w:val="20"/>
                <w:lang w:eastAsia="en-AU"/>
              </w:rPr>
            </w:pPr>
            <w:r w:rsidRPr="00551CB2">
              <w:rPr>
                <w:sz w:val="20"/>
                <w:szCs w:val="20"/>
                <w:lang w:eastAsia="en-AU"/>
              </w:rPr>
              <w:t>86%</w:t>
            </w:r>
          </w:p>
        </w:tc>
        <w:tc>
          <w:tcPr>
            <w:tcW w:w="727"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81%</w:t>
            </w:r>
          </w:p>
        </w:tc>
        <w:tc>
          <w:tcPr>
            <w:tcW w:w="731" w:type="pct"/>
            <w:tcBorders>
              <w:top w:val="nil"/>
              <w:left w:val="nil"/>
              <w:bottom w:val="nil"/>
              <w:right w:val="single" w:sz="8" w:space="0" w:color="FFFFFF"/>
            </w:tcBorders>
            <w:shd w:val="clear" w:color="auto" w:fill="B8CCE4"/>
            <w:vAlign w:val="center"/>
          </w:tcPr>
          <w:p w:rsidR="001A641D" w:rsidRPr="00551CB2" w:rsidRDefault="007E5C0A" w:rsidP="001A641D">
            <w:pPr>
              <w:spacing w:before="60" w:after="60"/>
              <w:jc w:val="center"/>
              <w:rPr>
                <w:sz w:val="20"/>
                <w:szCs w:val="20"/>
                <w:lang w:eastAsia="en-AU"/>
              </w:rPr>
            </w:pPr>
            <w:r w:rsidRPr="00551CB2">
              <w:rPr>
                <w:sz w:val="20"/>
                <w:szCs w:val="20"/>
                <w:lang w:eastAsia="en-AU"/>
              </w:rPr>
              <w:t>81%</w:t>
            </w:r>
          </w:p>
        </w:tc>
      </w:tr>
      <w:tr w:rsidR="00397365" w:rsidTr="001A641D">
        <w:trPr>
          <w:cantSplit/>
        </w:trPr>
        <w:tc>
          <w:tcPr>
            <w:tcW w:w="2743" w:type="pct"/>
            <w:tcBorders>
              <w:top w:val="nil"/>
              <w:left w:val="single" w:sz="8" w:space="0" w:color="FFFFFF"/>
              <w:bottom w:val="single" w:sz="8" w:space="0" w:color="FFFFFF"/>
              <w:right w:val="single" w:sz="8" w:space="0" w:color="FFFFFF"/>
            </w:tcBorders>
            <w:shd w:val="clear" w:color="auto" w:fill="4F81BD"/>
            <w:tcMar>
              <w:top w:w="0" w:type="dxa"/>
              <w:left w:w="108" w:type="dxa"/>
              <w:bottom w:w="0" w:type="dxa"/>
              <w:right w:w="108" w:type="dxa"/>
            </w:tcMar>
            <w:vAlign w:val="center"/>
            <w:hideMark/>
          </w:tcPr>
          <w:p w:rsidR="001A641D" w:rsidRDefault="007E5C0A" w:rsidP="001A641D">
            <w:pPr>
              <w:keepNext/>
              <w:spacing w:before="60" w:after="60"/>
              <w:ind w:left="360"/>
              <w:rPr>
                <w:b/>
                <w:sz w:val="20"/>
                <w:szCs w:val="20"/>
                <w:lang w:eastAsia="en-AU"/>
              </w:rPr>
            </w:pPr>
            <w:r>
              <w:rPr>
                <w:b/>
                <w:sz w:val="20"/>
                <w:szCs w:val="20"/>
                <w:lang w:eastAsia="en-AU"/>
              </w:rPr>
              <w:t>TOTAL</w:t>
            </w:r>
          </w:p>
        </w:tc>
        <w:tc>
          <w:tcPr>
            <w:tcW w:w="799" w:type="pct"/>
            <w:tcBorders>
              <w:top w:val="nil"/>
              <w:left w:val="nil"/>
              <w:bottom w:val="single" w:sz="8" w:space="0" w:color="FFFFFF"/>
              <w:right w:val="single" w:sz="8" w:space="0" w:color="FFFFFF"/>
            </w:tcBorders>
            <w:shd w:val="clear" w:color="auto" w:fill="B8CCE4"/>
            <w:tcMar>
              <w:top w:w="0" w:type="dxa"/>
              <w:left w:w="108" w:type="dxa"/>
              <w:bottom w:w="0" w:type="dxa"/>
              <w:right w:w="108" w:type="dxa"/>
            </w:tcMar>
            <w:vAlign w:val="center"/>
            <w:hideMark/>
          </w:tcPr>
          <w:p w:rsidR="001A641D" w:rsidRPr="007D5759" w:rsidRDefault="007E5C0A" w:rsidP="001A641D">
            <w:pPr>
              <w:spacing w:before="60" w:after="60"/>
              <w:jc w:val="center"/>
              <w:rPr>
                <w:b/>
                <w:sz w:val="20"/>
                <w:szCs w:val="20"/>
                <w:lang w:eastAsia="en-AU"/>
              </w:rPr>
            </w:pPr>
            <w:r w:rsidRPr="007D5759">
              <w:rPr>
                <w:b/>
                <w:sz w:val="20"/>
                <w:szCs w:val="20"/>
                <w:lang w:eastAsia="en-AU"/>
              </w:rPr>
              <w:t>77%</w:t>
            </w:r>
          </w:p>
        </w:tc>
        <w:tc>
          <w:tcPr>
            <w:tcW w:w="727" w:type="pct"/>
            <w:tcBorders>
              <w:top w:val="nil"/>
              <w:left w:val="nil"/>
              <w:bottom w:val="single" w:sz="8" w:space="0" w:color="FFFFFF"/>
              <w:right w:val="single" w:sz="8" w:space="0" w:color="FFFFFF"/>
            </w:tcBorders>
            <w:shd w:val="clear" w:color="auto" w:fill="B8CCE4"/>
            <w:vAlign w:val="center"/>
          </w:tcPr>
          <w:p w:rsidR="001A641D" w:rsidRPr="007D5759" w:rsidRDefault="007E5C0A" w:rsidP="001A641D">
            <w:pPr>
              <w:spacing w:before="60" w:after="60"/>
              <w:jc w:val="center"/>
              <w:rPr>
                <w:b/>
                <w:sz w:val="20"/>
                <w:szCs w:val="20"/>
                <w:lang w:eastAsia="en-AU"/>
              </w:rPr>
            </w:pPr>
            <w:r w:rsidRPr="007D5759">
              <w:rPr>
                <w:b/>
                <w:sz w:val="20"/>
                <w:szCs w:val="20"/>
                <w:lang w:eastAsia="en-AU"/>
              </w:rPr>
              <w:t>75%</w:t>
            </w:r>
          </w:p>
        </w:tc>
        <w:tc>
          <w:tcPr>
            <w:tcW w:w="731" w:type="pct"/>
            <w:tcBorders>
              <w:top w:val="nil"/>
              <w:left w:val="nil"/>
              <w:bottom w:val="single" w:sz="8" w:space="0" w:color="FFFFFF"/>
              <w:right w:val="single" w:sz="8" w:space="0" w:color="FFFFFF"/>
            </w:tcBorders>
            <w:shd w:val="clear" w:color="auto" w:fill="B8CCE4"/>
            <w:vAlign w:val="center"/>
          </w:tcPr>
          <w:p w:rsidR="001A641D" w:rsidRPr="007D5759" w:rsidRDefault="007E5C0A" w:rsidP="001A641D">
            <w:pPr>
              <w:spacing w:before="60" w:after="60"/>
              <w:jc w:val="center"/>
              <w:rPr>
                <w:b/>
                <w:sz w:val="20"/>
                <w:szCs w:val="20"/>
                <w:lang w:eastAsia="en-AU"/>
              </w:rPr>
            </w:pPr>
            <w:r w:rsidRPr="007D5759">
              <w:rPr>
                <w:b/>
                <w:sz w:val="20"/>
                <w:szCs w:val="20"/>
                <w:lang w:eastAsia="en-AU"/>
              </w:rPr>
              <w:t>59%</w:t>
            </w:r>
          </w:p>
        </w:tc>
      </w:tr>
    </w:tbl>
    <w:p w:rsidR="001A641D" w:rsidRPr="00C81B51" w:rsidRDefault="001A641D" w:rsidP="001A641D">
      <w:pPr>
        <w:pStyle w:val="Heading3"/>
        <w:keepNext w:val="0"/>
        <w:numPr>
          <w:ilvl w:val="0"/>
          <w:numId w:val="0"/>
        </w:numPr>
        <w:ind w:left="720"/>
      </w:pPr>
    </w:p>
    <w:p w:rsidR="001A641D" w:rsidRDefault="007E5C0A">
      <w:pPr>
        <w:spacing w:after="0" w:line="240" w:lineRule="auto"/>
        <w:rPr>
          <w:rFonts w:cs="Arial"/>
          <w:b/>
          <w:i/>
        </w:rPr>
      </w:pPr>
      <w:r>
        <w:br w:type="page"/>
      </w:r>
    </w:p>
    <w:p w:rsidR="001A641D" w:rsidRPr="00C81B51" w:rsidRDefault="007E5C0A" w:rsidP="001A641D">
      <w:pPr>
        <w:pStyle w:val="Heading3"/>
        <w:ind w:left="0" w:firstLine="0"/>
      </w:pPr>
      <w:bookmarkStart w:id="3592" w:name="_Toc256000384"/>
      <w:bookmarkStart w:id="3593" w:name="_Toc256000276"/>
      <w:bookmarkStart w:id="3594" w:name="_Toc256000168"/>
      <w:bookmarkStart w:id="3595" w:name="_Toc256000060"/>
      <w:bookmarkStart w:id="3596" w:name="_Toc458170563"/>
      <w:r w:rsidRPr="00C81B51">
        <w:t>Time taken to complete an assessment</w:t>
      </w:r>
      <w:bookmarkEnd w:id="3592"/>
      <w:bookmarkEnd w:id="3593"/>
      <w:bookmarkEnd w:id="3594"/>
      <w:bookmarkEnd w:id="3595"/>
      <w:bookmarkEnd w:id="3596"/>
    </w:p>
    <w:p w:rsidR="001A641D" w:rsidRPr="00C81B51" w:rsidRDefault="007E5C0A" w:rsidP="001A641D">
      <w:pPr>
        <w:pStyle w:val="ListBullet"/>
        <w:numPr>
          <w:ilvl w:val="0"/>
          <w:numId w:val="0"/>
        </w:numPr>
      </w:pPr>
      <w:r w:rsidRPr="00C81B51">
        <w:t>The Department also monitor</w:t>
      </w:r>
      <w:r>
        <w:t>s</w:t>
      </w:r>
      <w:r w:rsidRPr="00C81B51">
        <w:t xml:space="preserve"> the number of calendar days from </w:t>
      </w:r>
      <w:r w:rsidRPr="000523CF">
        <w:t xml:space="preserve">referral to approval. </w:t>
      </w:r>
      <w:r w:rsidR="00FF3730">
        <w:fldChar w:fldCharType="begin"/>
      </w:r>
      <w:r w:rsidR="00FF3730">
        <w:instrText xml:space="preserve"> REF _Ref457913373 \h  \* MERGEFORMAT </w:instrText>
      </w:r>
      <w:r w:rsidR="00FF3730">
        <w:fldChar w:fldCharType="separate"/>
      </w:r>
      <w:r w:rsidR="00FF3730">
        <w:t xml:space="preserve">Figure </w:t>
      </w:r>
      <w:r w:rsidR="00FF3730">
        <w:rPr>
          <w:noProof/>
        </w:rPr>
        <w:t>11</w:t>
      </w:r>
      <w:r w:rsidR="00FF3730">
        <w:fldChar w:fldCharType="end"/>
      </w:r>
      <w:r w:rsidRPr="000523CF">
        <w:t xml:space="preserve"> below sets out the average number of calendar days from referral to approval</w:t>
      </w:r>
      <w:r w:rsidRPr="00C81B51">
        <w:t xml:space="preserve"> </w:t>
      </w:r>
      <w:r>
        <w:t>for projects referred each year from 2008 to 2015</w:t>
      </w:r>
      <w:r>
        <w:rPr>
          <w:rStyle w:val="FootnoteReference"/>
          <w:rFonts w:cs="Arial"/>
          <w:b/>
          <w:bCs/>
          <w:sz w:val="20"/>
          <w:szCs w:val="20"/>
        </w:rPr>
        <w:footnoteReference w:id="14"/>
      </w:r>
      <w:r w:rsidRPr="00C81B51">
        <w:t xml:space="preserve">. </w:t>
      </w:r>
    </w:p>
    <w:p w:rsidR="001A641D" w:rsidRDefault="007E5C0A" w:rsidP="001A641D">
      <w:pPr>
        <w:keepNext/>
      </w:pPr>
      <w:r w:rsidRPr="0088478B">
        <w:rPr>
          <w:noProof/>
          <w:lang w:eastAsia="en-AU"/>
        </w:rPr>
        <w:drawing>
          <wp:inline distT="0" distB="0" distL="0" distR="0">
            <wp:extent cx="5943600" cy="310896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1A641D" w:rsidRDefault="007E5C0A" w:rsidP="001A641D">
      <w:pPr>
        <w:pStyle w:val="Caption"/>
        <w:jc w:val="left"/>
      </w:pPr>
      <w:bookmarkStart w:id="3597" w:name="_Ref457913373"/>
      <w:bookmarkStart w:id="3598" w:name="_Toc256000295"/>
      <w:bookmarkStart w:id="3599" w:name="_Toc256000187"/>
      <w:bookmarkStart w:id="3600" w:name="_Toc256000079"/>
      <w:bookmarkStart w:id="3601" w:name="_Toc458170582"/>
      <w:bookmarkStart w:id="3602" w:name="_Toc459108595"/>
      <w:bookmarkStart w:id="3603" w:name="monitoring"/>
      <w:bookmarkStart w:id="3604" w:name="_Toc343850808"/>
      <w:bookmarkStart w:id="3605" w:name="_Toc344895185"/>
      <w:bookmarkStart w:id="3606" w:name="_Toc346285361"/>
      <w:r>
        <w:t xml:space="preserve">Figure </w:t>
      </w:r>
      <w:r w:rsidR="003366B4">
        <w:fldChar w:fldCharType="begin"/>
      </w:r>
      <w:r>
        <w:instrText xml:space="preserve"> SEQ Figure \* ARABIC </w:instrText>
      </w:r>
      <w:r w:rsidR="003366B4">
        <w:fldChar w:fldCharType="separate"/>
      </w:r>
      <w:r w:rsidR="00FF3730">
        <w:rPr>
          <w:noProof/>
        </w:rPr>
        <w:t>11</w:t>
      </w:r>
      <w:r w:rsidR="003366B4">
        <w:rPr>
          <w:noProof/>
        </w:rPr>
        <w:fldChar w:fldCharType="end"/>
      </w:r>
      <w:bookmarkEnd w:id="3597"/>
      <w:r>
        <w:t xml:space="preserve">. </w:t>
      </w:r>
      <w:r w:rsidRPr="00200095">
        <w:t>Average of calendar days from referral to approval: 2008 - 2015</w:t>
      </w:r>
      <w:bookmarkEnd w:id="3598"/>
      <w:bookmarkEnd w:id="3599"/>
      <w:bookmarkEnd w:id="3600"/>
      <w:bookmarkEnd w:id="3601"/>
      <w:bookmarkEnd w:id="3602"/>
    </w:p>
    <w:p w:rsidR="001A641D" w:rsidRDefault="007E5C0A" w:rsidP="001A641D">
      <w:pPr>
        <w:pStyle w:val="Heading2"/>
      </w:pPr>
      <w:bookmarkStart w:id="3607" w:name="_Toc256000385"/>
      <w:bookmarkStart w:id="3608" w:name="_Toc256000277"/>
      <w:bookmarkStart w:id="3609" w:name="_Toc256000169"/>
      <w:bookmarkStart w:id="3610" w:name="_Toc256000061"/>
      <w:bookmarkStart w:id="3611" w:name="_Toc458170564"/>
      <w:r w:rsidRPr="00FC12C4">
        <w:t>Monitoring mechanisms</w:t>
      </w:r>
      <w:bookmarkEnd w:id="3603"/>
      <w:bookmarkEnd w:id="3604"/>
      <w:bookmarkEnd w:id="3605"/>
      <w:bookmarkEnd w:id="3606"/>
      <w:bookmarkEnd w:id="3607"/>
      <w:bookmarkEnd w:id="3608"/>
      <w:bookmarkEnd w:id="3609"/>
      <w:bookmarkEnd w:id="3610"/>
      <w:bookmarkEnd w:id="3611"/>
    </w:p>
    <w:p w:rsidR="001A641D" w:rsidRPr="00FC12C4" w:rsidRDefault="007E5C0A" w:rsidP="001A641D">
      <w:r>
        <w:t>In line with</w:t>
      </w:r>
      <w:r w:rsidRPr="00FC12C4">
        <w:t xml:space="preserve"> the Cost Recovery Guidelines</w:t>
      </w:r>
      <w:r>
        <w:t>,</w:t>
      </w:r>
      <w:r w:rsidRPr="00FC12C4">
        <w:t xml:space="preserve"> the </w:t>
      </w:r>
      <w:r>
        <w:t>D</w:t>
      </w:r>
      <w:r w:rsidRPr="00FC12C4">
        <w:t xml:space="preserve">epartment will engage in the ongoing monitoring of cost recovery revenue and expenses to ensure that the </w:t>
      </w:r>
      <w:r>
        <w:t>Department</w:t>
      </w:r>
      <w:r w:rsidRPr="00FC12C4">
        <w:t xml:space="preserve"> is not over or under recovering cost</w:t>
      </w:r>
      <w:r>
        <w:t>s</w:t>
      </w:r>
      <w:r w:rsidRPr="00FC12C4">
        <w:t xml:space="preserve">. The </w:t>
      </w:r>
      <w:r>
        <w:t>D</w:t>
      </w:r>
      <w:r w:rsidRPr="00FC12C4">
        <w:t xml:space="preserve">epartment will </w:t>
      </w:r>
      <w:r>
        <w:t xml:space="preserve">report relevant </w:t>
      </w:r>
      <w:r w:rsidRPr="00FC12C4">
        <w:t xml:space="preserve">information in its Annual Report </w:t>
      </w:r>
      <w:r>
        <w:t>and Portfolio Budget Statement and through updates to this CRIS on a regular basis.</w:t>
      </w:r>
    </w:p>
    <w:p w:rsidR="001A641D" w:rsidRDefault="007E5C0A" w:rsidP="001A641D">
      <w:pPr>
        <w:pStyle w:val="Heading1"/>
      </w:pPr>
      <w:bookmarkStart w:id="3612" w:name="_Toc256000386"/>
      <w:bookmarkStart w:id="3613" w:name="_Toc256000278"/>
      <w:bookmarkStart w:id="3614" w:name="_Toc256000170"/>
      <w:bookmarkStart w:id="3615" w:name="_Toc256000062"/>
      <w:bookmarkStart w:id="3616" w:name="_Ref457986278"/>
      <w:bookmarkStart w:id="3617" w:name="_Toc458170565"/>
      <w:bookmarkStart w:id="3618" w:name="review"/>
      <w:r>
        <w:t>KEY FORWARD DATES AND EVENTS</w:t>
      </w:r>
      <w:bookmarkEnd w:id="3612"/>
      <w:bookmarkEnd w:id="3613"/>
      <w:bookmarkEnd w:id="3614"/>
      <w:bookmarkEnd w:id="3615"/>
      <w:bookmarkEnd w:id="3616"/>
      <w:bookmarkEnd w:id="3617"/>
      <w:r>
        <w:t xml:space="preserve"> </w:t>
      </w:r>
    </w:p>
    <w:p w:rsidR="001A641D" w:rsidRPr="00DF20E2" w:rsidRDefault="007E5C0A">
      <w:pPr>
        <w:rPr>
          <w:lang w:val="en-US"/>
        </w:rPr>
      </w:pPr>
      <w:r>
        <w:rPr>
          <w:lang w:val="en-US"/>
        </w:rPr>
        <w:t>K</w:t>
      </w:r>
      <w:r w:rsidRPr="00DF20E2">
        <w:rPr>
          <w:lang w:val="en-US"/>
        </w:rPr>
        <w:t>ey forward dates and events for cost recovery for environmental assessments under the EPBC Act are:</w:t>
      </w:r>
    </w:p>
    <w:p w:rsidR="001A641D" w:rsidRDefault="007E5C0A">
      <w:pPr>
        <w:pStyle w:val="ListBullet"/>
        <w:rPr>
          <w:lang w:val="en-US"/>
        </w:rPr>
      </w:pPr>
      <w:r>
        <w:rPr>
          <w:lang w:val="en-US"/>
        </w:rPr>
        <w:t>updating the financial performance for the 2016-17 financial year after the audited results are available; and</w:t>
      </w:r>
    </w:p>
    <w:p w:rsidR="001A641D" w:rsidRPr="00D11908" w:rsidRDefault="007E5C0A" w:rsidP="001A641D">
      <w:pPr>
        <w:pStyle w:val="ListBullet"/>
        <w:rPr>
          <w:lang w:val="en-US"/>
        </w:rPr>
      </w:pPr>
      <w:r>
        <w:rPr>
          <w:lang w:val="en-US"/>
        </w:rPr>
        <w:t>updating this CRIS with the estimated revenue and fees for the 2017-18 financial year.</w:t>
      </w:r>
    </w:p>
    <w:p w:rsidR="001A641D" w:rsidRDefault="007E5C0A">
      <w:pPr>
        <w:spacing w:after="0" w:line="240" w:lineRule="auto"/>
        <w:rPr>
          <w:rFonts w:cs="Arial"/>
          <w:b/>
          <w:lang w:val="en-US"/>
        </w:rPr>
      </w:pPr>
      <w:r>
        <w:rPr>
          <w:lang w:val="en-US"/>
        </w:rPr>
        <w:br w:type="page"/>
      </w:r>
    </w:p>
    <w:p w:rsidR="001A641D" w:rsidRPr="00F1382D" w:rsidRDefault="007E5C0A" w:rsidP="001A641D">
      <w:pPr>
        <w:pStyle w:val="Heading1"/>
        <w:rPr>
          <w:lang w:val="en-US"/>
        </w:rPr>
      </w:pPr>
      <w:bookmarkStart w:id="3619" w:name="_Toc256000387"/>
      <w:bookmarkStart w:id="3620" w:name="_Toc256000279"/>
      <w:bookmarkStart w:id="3621" w:name="_Toc256000171"/>
      <w:bookmarkStart w:id="3622" w:name="_Toc256000063"/>
      <w:bookmarkStart w:id="3623" w:name="_Toc458170566"/>
      <w:r w:rsidRPr="00F1382D">
        <w:rPr>
          <w:lang w:val="en-US"/>
        </w:rPr>
        <w:t>CRIS APPROVAL AND CHANGE REGISTER</w:t>
      </w:r>
      <w:bookmarkEnd w:id="3619"/>
      <w:bookmarkEnd w:id="3620"/>
      <w:bookmarkEnd w:id="3621"/>
      <w:bookmarkEnd w:id="3622"/>
      <w:bookmarkEnd w:id="3623"/>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526"/>
        <w:gridCol w:w="2622"/>
        <w:gridCol w:w="2854"/>
        <w:gridCol w:w="2853"/>
      </w:tblGrid>
      <w:tr w:rsidR="00397365" w:rsidTr="001A641D">
        <w:trPr>
          <w:cnfStyle w:val="100000000000" w:firstRow="1" w:lastRow="0" w:firstColumn="0" w:lastColumn="0" w:oddVBand="0" w:evenVBand="0" w:oddHBand="0" w:evenHBand="0" w:firstRowFirstColumn="0" w:firstRowLastColumn="0" w:lastRowFirstColumn="0" w:lastRowLastColumn="0"/>
        </w:trPr>
        <w:tc>
          <w:tcPr>
            <w:tcW w:w="1526" w:type="dxa"/>
          </w:tcPr>
          <w:p w:rsidR="001A641D" w:rsidRPr="00BC6B5B" w:rsidRDefault="007E5C0A" w:rsidP="001A641D">
            <w:pPr>
              <w:rPr>
                <w:b/>
              </w:rPr>
            </w:pPr>
            <w:r w:rsidRPr="00CA3ABF">
              <w:rPr>
                <w:b/>
              </w:rPr>
              <w:t>Date</w:t>
            </w:r>
          </w:p>
        </w:tc>
        <w:tc>
          <w:tcPr>
            <w:tcW w:w="2622" w:type="dxa"/>
          </w:tcPr>
          <w:p w:rsidR="001A641D" w:rsidRPr="00BC6B5B" w:rsidRDefault="007E5C0A" w:rsidP="001A641D">
            <w:pPr>
              <w:rPr>
                <w:b/>
              </w:rPr>
            </w:pPr>
            <w:r w:rsidRPr="00CA3ABF">
              <w:rPr>
                <w:b/>
              </w:rPr>
              <w:t>Description</w:t>
            </w:r>
          </w:p>
        </w:tc>
        <w:tc>
          <w:tcPr>
            <w:tcW w:w="2854" w:type="dxa"/>
          </w:tcPr>
          <w:p w:rsidR="001A641D" w:rsidRPr="00BC6B5B" w:rsidRDefault="007E5C0A" w:rsidP="001A641D">
            <w:pPr>
              <w:rPr>
                <w:b/>
              </w:rPr>
            </w:pPr>
            <w:r w:rsidRPr="00CA3ABF">
              <w:rPr>
                <w:b/>
              </w:rPr>
              <w:t>Approved by</w:t>
            </w:r>
          </w:p>
        </w:tc>
        <w:tc>
          <w:tcPr>
            <w:tcW w:w="2853" w:type="dxa"/>
          </w:tcPr>
          <w:p w:rsidR="001A641D" w:rsidRPr="00BC6B5B" w:rsidRDefault="007E5C0A" w:rsidP="001A641D">
            <w:pPr>
              <w:rPr>
                <w:b/>
              </w:rPr>
            </w:pPr>
            <w:r w:rsidRPr="00CA3ABF">
              <w:rPr>
                <w:b/>
              </w:rPr>
              <w:t>Comments</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1526" w:type="dxa"/>
          </w:tcPr>
          <w:p w:rsidR="001A641D" w:rsidRPr="00BC6B5B" w:rsidRDefault="007E5C0A" w:rsidP="001A641D">
            <w:r>
              <w:rPr>
                <w:rFonts w:cs="Arial"/>
                <w:color w:val="000000"/>
              </w:rPr>
              <w:t>10 June 2014</w:t>
            </w:r>
          </w:p>
        </w:tc>
        <w:tc>
          <w:tcPr>
            <w:tcW w:w="2622" w:type="dxa"/>
          </w:tcPr>
          <w:p w:rsidR="001A641D" w:rsidRPr="00BC6B5B" w:rsidRDefault="007E5C0A" w:rsidP="001A641D">
            <w:r w:rsidRPr="00CA3ABF">
              <w:t>Certification of the CRIS</w:t>
            </w:r>
          </w:p>
        </w:tc>
        <w:tc>
          <w:tcPr>
            <w:tcW w:w="2854" w:type="dxa"/>
          </w:tcPr>
          <w:p w:rsidR="001A641D" w:rsidRPr="00BC6B5B" w:rsidRDefault="007E5C0A" w:rsidP="001A641D">
            <w:r>
              <w:rPr>
                <w:rFonts w:cs="Arial"/>
                <w:color w:val="000000"/>
              </w:rPr>
              <w:t>Secretary</w:t>
            </w:r>
          </w:p>
        </w:tc>
        <w:tc>
          <w:tcPr>
            <w:tcW w:w="2853" w:type="dxa"/>
          </w:tcPr>
          <w:p w:rsidR="001A641D" w:rsidRPr="00BC6B5B" w:rsidRDefault="001A641D" w:rsidP="001A641D"/>
        </w:tc>
      </w:tr>
      <w:tr w:rsidR="00397365" w:rsidTr="001A641D">
        <w:trPr>
          <w:cnfStyle w:val="000000010000" w:firstRow="0" w:lastRow="0" w:firstColumn="0" w:lastColumn="0" w:oddVBand="0" w:evenVBand="0" w:oddHBand="0" w:evenHBand="1" w:firstRowFirstColumn="0" w:firstRowLastColumn="0" w:lastRowFirstColumn="0" w:lastRowLastColumn="0"/>
        </w:trPr>
        <w:tc>
          <w:tcPr>
            <w:tcW w:w="1526" w:type="dxa"/>
          </w:tcPr>
          <w:p w:rsidR="001A641D" w:rsidRPr="00BC6B5B" w:rsidRDefault="007E5C0A" w:rsidP="001A641D">
            <w:r>
              <w:rPr>
                <w:rFonts w:cs="Arial"/>
                <w:color w:val="000000"/>
              </w:rPr>
              <w:t>23 June 2014</w:t>
            </w:r>
          </w:p>
        </w:tc>
        <w:tc>
          <w:tcPr>
            <w:tcW w:w="2622" w:type="dxa"/>
          </w:tcPr>
          <w:p w:rsidR="001A641D" w:rsidRPr="00BC6B5B" w:rsidRDefault="007E5C0A" w:rsidP="001A641D">
            <w:r w:rsidRPr="00CA3ABF">
              <w:t>Agreement to the CRIS</w:t>
            </w:r>
          </w:p>
        </w:tc>
        <w:tc>
          <w:tcPr>
            <w:tcW w:w="2854" w:type="dxa"/>
          </w:tcPr>
          <w:p w:rsidR="001A641D" w:rsidRPr="00BC6B5B" w:rsidRDefault="007E5C0A" w:rsidP="001A641D">
            <w:r>
              <w:rPr>
                <w:rFonts w:cs="Arial"/>
                <w:color w:val="000000"/>
              </w:rPr>
              <w:t>Minister for the Environment</w:t>
            </w:r>
          </w:p>
        </w:tc>
        <w:tc>
          <w:tcPr>
            <w:tcW w:w="2853" w:type="dxa"/>
          </w:tcPr>
          <w:p w:rsidR="001A641D" w:rsidRPr="00BC6B5B" w:rsidRDefault="001A641D" w:rsidP="001A641D"/>
        </w:tc>
      </w:tr>
      <w:tr w:rsidR="00397365" w:rsidTr="001A641D">
        <w:trPr>
          <w:cnfStyle w:val="000000100000" w:firstRow="0" w:lastRow="0" w:firstColumn="0" w:lastColumn="0" w:oddVBand="0" w:evenVBand="0" w:oddHBand="1" w:evenHBand="0" w:firstRowFirstColumn="0" w:firstRowLastColumn="0" w:lastRowFirstColumn="0" w:lastRowLastColumn="0"/>
        </w:trPr>
        <w:tc>
          <w:tcPr>
            <w:tcW w:w="1526" w:type="dxa"/>
          </w:tcPr>
          <w:p w:rsidR="001A641D" w:rsidRPr="00BC6B5B" w:rsidRDefault="007E5C0A" w:rsidP="001A641D">
            <w:r>
              <w:rPr>
                <w:rFonts w:cs="Arial"/>
                <w:color w:val="000000"/>
              </w:rPr>
              <w:t xml:space="preserve">9 </w:t>
            </w:r>
            <w:r w:rsidRPr="008815AA">
              <w:rPr>
                <w:rFonts w:cs="Arial"/>
                <w:color w:val="000000"/>
              </w:rPr>
              <w:t>September 2014</w:t>
            </w:r>
          </w:p>
        </w:tc>
        <w:tc>
          <w:tcPr>
            <w:tcW w:w="2622" w:type="dxa"/>
          </w:tcPr>
          <w:p w:rsidR="001A641D" w:rsidRPr="007E0BA0" w:rsidRDefault="007E5C0A" w:rsidP="001A641D">
            <w:r w:rsidRPr="008815AA">
              <w:rPr>
                <w:rFonts w:cs="Arial"/>
                <w:color w:val="000000"/>
              </w:rPr>
              <w:t>Update of provisional CRIS to Final CRIS</w:t>
            </w:r>
          </w:p>
        </w:tc>
        <w:tc>
          <w:tcPr>
            <w:tcW w:w="2854" w:type="dxa"/>
          </w:tcPr>
          <w:p w:rsidR="001A641D" w:rsidRDefault="007E5C0A" w:rsidP="001A641D">
            <w:r w:rsidRPr="008815AA">
              <w:rPr>
                <w:rFonts w:cs="Arial"/>
                <w:color w:val="000000"/>
              </w:rPr>
              <w:t>Department of Environment</w:t>
            </w:r>
          </w:p>
        </w:tc>
        <w:tc>
          <w:tcPr>
            <w:tcW w:w="2853" w:type="dxa"/>
          </w:tcPr>
          <w:p w:rsidR="001A641D" w:rsidRDefault="007E5C0A" w:rsidP="001A641D">
            <w:r w:rsidRPr="008815AA">
              <w:rPr>
                <w:rFonts w:cs="Arial"/>
                <w:color w:val="000000"/>
              </w:rPr>
              <w:t>CRIS updated to reflect the revised Cost Recovery Guidelines (July 2014) and to insert dates of legislative authority for cost recovery under the EPBC Act.</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1526" w:type="dxa"/>
          </w:tcPr>
          <w:p w:rsidR="001A641D" w:rsidRDefault="007E5C0A" w:rsidP="001A641D">
            <w:pPr>
              <w:rPr>
                <w:rFonts w:cs="Arial"/>
                <w:color w:val="000000"/>
              </w:rPr>
            </w:pPr>
            <w:r>
              <w:rPr>
                <w:rFonts w:cs="Arial"/>
                <w:color w:val="000000"/>
              </w:rPr>
              <w:t>30 June 2015</w:t>
            </w:r>
          </w:p>
        </w:tc>
        <w:tc>
          <w:tcPr>
            <w:tcW w:w="2622" w:type="dxa"/>
          </w:tcPr>
          <w:p w:rsidR="001A641D" w:rsidRPr="008815AA" w:rsidRDefault="007E5C0A" w:rsidP="001A641D">
            <w:pPr>
              <w:rPr>
                <w:rFonts w:cs="Arial"/>
                <w:color w:val="000000"/>
              </w:rPr>
            </w:pPr>
            <w:r>
              <w:rPr>
                <w:rFonts w:cs="Arial"/>
                <w:color w:val="000000"/>
              </w:rPr>
              <w:t>Update of CRIS to include financial estimates for 2015-16</w:t>
            </w:r>
          </w:p>
        </w:tc>
        <w:tc>
          <w:tcPr>
            <w:tcW w:w="2854" w:type="dxa"/>
          </w:tcPr>
          <w:p w:rsidR="001A641D" w:rsidRDefault="007E5C0A" w:rsidP="001A641D">
            <w:r w:rsidRPr="008815AA">
              <w:rPr>
                <w:rFonts w:cs="Arial"/>
                <w:color w:val="000000"/>
              </w:rPr>
              <w:t>Department of Environment</w:t>
            </w:r>
          </w:p>
        </w:tc>
        <w:tc>
          <w:tcPr>
            <w:tcW w:w="2853" w:type="dxa"/>
          </w:tcPr>
          <w:p w:rsidR="001A641D" w:rsidRPr="008815AA" w:rsidRDefault="007E5C0A" w:rsidP="001A641D">
            <w:pPr>
              <w:rPr>
                <w:rFonts w:cs="Arial"/>
                <w:color w:val="000000"/>
              </w:rPr>
            </w:pPr>
            <w:r>
              <w:rPr>
                <w:rFonts w:cs="Arial"/>
                <w:color w:val="000000"/>
              </w:rPr>
              <w:t>Section 7 of CRIS updated to include financial estimates for 2015-16.</w:t>
            </w:r>
          </w:p>
        </w:tc>
      </w:tr>
      <w:tr w:rsidR="00397365" w:rsidTr="001A641D">
        <w:trPr>
          <w:cnfStyle w:val="000000100000" w:firstRow="0" w:lastRow="0" w:firstColumn="0" w:lastColumn="0" w:oddVBand="0" w:evenVBand="0" w:oddHBand="1" w:evenHBand="0" w:firstRowFirstColumn="0" w:firstRowLastColumn="0" w:lastRowFirstColumn="0" w:lastRowLastColumn="0"/>
        </w:trPr>
        <w:tc>
          <w:tcPr>
            <w:tcW w:w="1526" w:type="dxa"/>
          </w:tcPr>
          <w:p w:rsidR="001A641D" w:rsidRPr="00BC6B5B" w:rsidRDefault="000D7902" w:rsidP="000D7902">
            <w:r>
              <w:t>24 August 2016</w:t>
            </w:r>
          </w:p>
        </w:tc>
        <w:tc>
          <w:tcPr>
            <w:tcW w:w="2622" w:type="dxa"/>
          </w:tcPr>
          <w:p w:rsidR="001A641D" w:rsidRPr="00BC6B5B" w:rsidRDefault="007E5C0A" w:rsidP="001A641D">
            <w:r w:rsidRPr="00CA3ABF">
              <w:t xml:space="preserve">Certification of the </w:t>
            </w:r>
            <w:r>
              <w:rPr>
                <w:rFonts w:cs="Arial"/>
                <w:color w:val="000000"/>
              </w:rPr>
              <w:t>updated CRIS to include changes resulting from review of arrangements and update to financial estimates for 2016-17</w:t>
            </w:r>
          </w:p>
        </w:tc>
        <w:tc>
          <w:tcPr>
            <w:tcW w:w="2854" w:type="dxa"/>
          </w:tcPr>
          <w:p w:rsidR="001A641D" w:rsidRPr="00BC6B5B" w:rsidRDefault="007E5C0A" w:rsidP="001A641D">
            <w:r>
              <w:rPr>
                <w:rFonts w:cs="Arial"/>
                <w:color w:val="000000"/>
              </w:rPr>
              <w:t>Secretary</w:t>
            </w:r>
          </w:p>
        </w:tc>
        <w:tc>
          <w:tcPr>
            <w:tcW w:w="2853" w:type="dxa"/>
          </w:tcPr>
          <w:p w:rsidR="001A641D" w:rsidRDefault="007E5C0A" w:rsidP="001A641D">
            <w:pPr>
              <w:rPr>
                <w:rFonts w:cs="Arial"/>
                <w:color w:val="000000"/>
              </w:rPr>
            </w:pPr>
            <w:r>
              <w:rPr>
                <w:rFonts w:cs="Arial"/>
                <w:color w:val="000000"/>
              </w:rPr>
              <w:t>All sections updated to reflect revised arrangements and estimates.</w:t>
            </w:r>
          </w:p>
        </w:tc>
      </w:tr>
      <w:tr w:rsidR="00397365" w:rsidTr="001A641D">
        <w:trPr>
          <w:cnfStyle w:val="000000010000" w:firstRow="0" w:lastRow="0" w:firstColumn="0" w:lastColumn="0" w:oddVBand="0" w:evenVBand="0" w:oddHBand="0" w:evenHBand="1" w:firstRowFirstColumn="0" w:firstRowLastColumn="0" w:lastRowFirstColumn="0" w:lastRowLastColumn="0"/>
        </w:trPr>
        <w:tc>
          <w:tcPr>
            <w:tcW w:w="1526" w:type="dxa"/>
          </w:tcPr>
          <w:p w:rsidR="001A641D" w:rsidRPr="00BC6B5B" w:rsidRDefault="000D7902" w:rsidP="001A641D">
            <w:r>
              <w:t>25 August 2016</w:t>
            </w:r>
          </w:p>
        </w:tc>
        <w:tc>
          <w:tcPr>
            <w:tcW w:w="2622" w:type="dxa"/>
          </w:tcPr>
          <w:p w:rsidR="001A641D" w:rsidRPr="00BC6B5B" w:rsidRDefault="007E5C0A" w:rsidP="001A641D">
            <w:r w:rsidRPr="00CA3ABF">
              <w:t>Agreement to the CRIS</w:t>
            </w:r>
          </w:p>
        </w:tc>
        <w:tc>
          <w:tcPr>
            <w:tcW w:w="2854" w:type="dxa"/>
          </w:tcPr>
          <w:p w:rsidR="001A641D" w:rsidRPr="00BC6B5B" w:rsidRDefault="007E5C0A" w:rsidP="001A641D">
            <w:r>
              <w:rPr>
                <w:rFonts w:cs="Arial"/>
                <w:color w:val="000000"/>
              </w:rPr>
              <w:t>Minister for the Environment and Energy</w:t>
            </w:r>
          </w:p>
        </w:tc>
        <w:tc>
          <w:tcPr>
            <w:tcW w:w="2853" w:type="dxa"/>
          </w:tcPr>
          <w:p w:rsidR="001A641D" w:rsidRDefault="001A641D" w:rsidP="001A641D">
            <w:pPr>
              <w:rPr>
                <w:rFonts w:cs="Arial"/>
                <w:color w:val="000000"/>
              </w:rPr>
            </w:pPr>
          </w:p>
        </w:tc>
      </w:tr>
    </w:tbl>
    <w:p w:rsidR="001A641D" w:rsidRDefault="001A641D" w:rsidP="001A641D"/>
    <w:p w:rsidR="001A641D" w:rsidRDefault="007E5C0A">
      <w:pPr>
        <w:spacing w:after="0" w:line="240" w:lineRule="auto"/>
        <w:rPr>
          <w:rFonts w:cs="Arial"/>
          <w:b/>
          <w:caps/>
        </w:rPr>
      </w:pPr>
      <w:bookmarkStart w:id="3624" w:name="AppendixA"/>
      <w:bookmarkStart w:id="3625" w:name="_Toc343850812"/>
      <w:bookmarkStart w:id="3626" w:name="_Toc344895189"/>
      <w:bookmarkStart w:id="3627" w:name="_Toc346285365"/>
      <w:bookmarkEnd w:id="3618"/>
      <w:r>
        <w:rPr>
          <w:caps/>
        </w:rPr>
        <w:br w:type="page"/>
      </w:r>
    </w:p>
    <w:p w:rsidR="001A641D" w:rsidRPr="00F34768" w:rsidRDefault="007E5C0A" w:rsidP="001A641D">
      <w:pPr>
        <w:pStyle w:val="Heading1"/>
        <w:numPr>
          <w:ilvl w:val="0"/>
          <w:numId w:val="0"/>
        </w:numPr>
        <w:ind w:left="432" w:hanging="432"/>
      </w:pPr>
      <w:bookmarkStart w:id="3628" w:name="_Toc256000388"/>
      <w:bookmarkStart w:id="3629" w:name="_Toc256000280"/>
      <w:bookmarkStart w:id="3630" w:name="_Toc256000172"/>
      <w:bookmarkStart w:id="3631" w:name="_Toc256000064"/>
      <w:bookmarkStart w:id="3632" w:name="_Toc458170567"/>
      <w:r w:rsidRPr="00F34768">
        <w:rPr>
          <w:caps/>
        </w:rPr>
        <w:t>Appendix</w:t>
      </w:r>
      <w:r w:rsidRPr="00F34768">
        <w:t xml:space="preserve"> A</w:t>
      </w:r>
      <w:bookmarkEnd w:id="3624"/>
      <w:r w:rsidRPr="00F34768">
        <w:t>:</w:t>
      </w:r>
      <w:r w:rsidRPr="00F34768">
        <w:tab/>
        <w:t>SCHEDULE OF FEES</w:t>
      </w:r>
      <w:bookmarkEnd w:id="3625"/>
      <w:bookmarkEnd w:id="3626"/>
      <w:bookmarkEnd w:id="3627"/>
      <w:bookmarkEnd w:id="3628"/>
      <w:bookmarkEnd w:id="3629"/>
      <w:bookmarkEnd w:id="3630"/>
      <w:bookmarkEnd w:id="3631"/>
      <w:bookmarkEnd w:id="3632"/>
    </w:p>
    <w:p w:rsidR="001A641D" w:rsidRPr="00FC12C4" w:rsidRDefault="00FF3730" w:rsidP="001A641D">
      <w:pPr>
        <w:pStyle w:val="BodyText"/>
        <w:rPr>
          <w:color w:val="000000"/>
        </w:rPr>
      </w:pPr>
      <w:r>
        <w:rPr>
          <w:lang w:val="en-US"/>
        </w:rPr>
        <w:pict>
          <v:shapetype id="_x0000_t32" coordsize="21600,21600" o:spt="32" o:oned="t" path="m,l21600,21600e" filled="f">
            <v:path arrowok="t" fillok="f" o:connecttype="none"/>
            <o:lock v:ext="edit" shapetype="t"/>
          </v:shapetype>
          <v:shape id="_x0000_s1026" type="#_x0000_t32" style="position:absolute;left:0;text-align:left;margin-left:1pt;margin-top:2pt;width:491.45pt;height:0;z-index:251658240" o:connectortype="straight" strokecolor="#548dd4" strokeweight="2.25pt">
            <v:shadow type="perspective" color="#243f60" opacity=".5" offset="1pt" offset2="-1pt"/>
          </v:shape>
        </w:pict>
      </w:r>
    </w:p>
    <w:p w:rsidR="001A641D" w:rsidRDefault="007E5C0A" w:rsidP="001A641D">
      <w:pPr>
        <w:rPr>
          <w:rFonts w:eastAsia="SimSun"/>
          <w:color w:val="0070C0"/>
          <w:sz w:val="28"/>
          <w:szCs w:val="28"/>
          <w:lang w:val="en-US"/>
        </w:rPr>
      </w:pPr>
      <w:r w:rsidRPr="00F1382D">
        <w:rPr>
          <w:rFonts w:eastAsia="SimSun"/>
          <w:color w:val="0070C0"/>
          <w:sz w:val="28"/>
          <w:szCs w:val="28"/>
          <w:lang w:val="en-US"/>
        </w:rPr>
        <w:t>Fee schedule 201</w:t>
      </w:r>
      <w:r>
        <w:rPr>
          <w:rFonts w:eastAsia="SimSun"/>
          <w:color w:val="0070C0"/>
          <w:sz w:val="28"/>
          <w:szCs w:val="28"/>
          <w:lang w:val="en-US"/>
        </w:rPr>
        <w:t>6-17</w:t>
      </w:r>
    </w:p>
    <w:p w:rsidR="001A641D" w:rsidRPr="00D61823" w:rsidRDefault="007E5C0A" w:rsidP="001A641D">
      <w:pPr>
        <w:pStyle w:val="Heading2"/>
        <w:numPr>
          <w:ilvl w:val="0"/>
          <w:numId w:val="0"/>
        </w:numPr>
        <w:ind w:left="576" w:hanging="576"/>
      </w:pPr>
      <w:bookmarkStart w:id="3633" w:name="_Toc256000389"/>
      <w:bookmarkStart w:id="3634" w:name="_Toc256000281"/>
      <w:bookmarkStart w:id="3635" w:name="_Toc256000173"/>
      <w:bookmarkStart w:id="3636" w:name="_Toc256000065"/>
      <w:bookmarkStart w:id="3637" w:name="_Toc458170568"/>
      <w:r w:rsidRPr="00D61823">
        <w:t>Set fees</w:t>
      </w:r>
      <w:bookmarkEnd w:id="3633"/>
      <w:bookmarkEnd w:id="3634"/>
      <w:bookmarkEnd w:id="3635"/>
      <w:bookmarkEnd w:id="3636"/>
      <w:bookmarkEnd w:id="3637"/>
    </w:p>
    <w:tbl>
      <w:tblPr>
        <w:tblW w:w="9526" w:type="dxa"/>
        <w:tblInd w:w="93" w:type="dxa"/>
        <w:tblLook w:val="04A0" w:firstRow="1" w:lastRow="0" w:firstColumn="1" w:lastColumn="0" w:noHBand="0" w:noVBand="1"/>
      </w:tblPr>
      <w:tblGrid>
        <w:gridCol w:w="7245"/>
        <w:gridCol w:w="2281"/>
      </w:tblGrid>
      <w:tr w:rsidR="00397365" w:rsidTr="001A641D">
        <w:tc>
          <w:tcPr>
            <w:tcW w:w="7245" w:type="dxa"/>
            <w:tcBorders>
              <w:top w:val="single" w:sz="4" w:space="0" w:color="548DD4" w:themeColor="text2" w:themeTint="99"/>
              <w:left w:val="single" w:sz="6" w:space="0" w:color="548DD4" w:themeColor="text2" w:themeTint="99"/>
              <w:bottom w:val="single" w:sz="4" w:space="0" w:color="548DD4" w:themeColor="text2" w:themeTint="99"/>
            </w:tcBorders>
            <w:shd w:val="clear" w:color="auto" w:fill="C6D9F1" w:themeFill="text2" w:themeFillTint="33"/>
            <w:noWrap/>
            <w:vAlign w:val="center"/>
            <w:hideMark/>
          </w:tcPr>
          <w:p w:rsidR="001A641D" w:rsidRDefault="007E5C0A" w:rsidP="001A641D">
            <w:pPr>
              <w:spacing w:before="120" w:after="120"/>
              <w:jc w:val="center"/>
              <w:rPr>
                <w:b/>
                <w:sz w:val="20"/>
                <w:szCs w:val="20"/>
                <w:lang w:eastAsia="en-AU"/>
              </w:rPr>
            </w:pPr>
            <w:r w:rsidRPr="00D70F38">
              <w:rPr>
                <w:b/>
                <w:sz w:val="20"/>
                <w:szCs w:val="20"/>
                <w:lang w:eastAsia="en-AU"/>
              </w:rPr>
              <w:t>Activity</w:t>
            </w:r>
          </w:p>
        </w:tc>
        <w:tc>
          <w:tcPr>
            <w:tcW w:w="2281" w:type="dxa"/>
            <w:tcBorders>
              <w:top w:val="single" w:sz="4" w:space="0" w:color="548DD4" w:themeColor="text2" w:themeTint="99"/>
              <w:bottom w:val="single" w:sz="4" w:space="0" w:color="548DD4" w:themeColor="text2" w:themeTint="99"/>
              <w:right w:val="single" w:sz="6" w:space="0" w:color="548DD4" w:themeColor="text2" w:themeTint="99"/>
            </w:tcBorders>
            <w:shd w:val="clear" w:color="auto" w:fill="C6D9F1" w:themeFill="text2" w:themeFillTint="33"/>
            <w:vAlign w:val="center"/>
            <w:hideMark/>
          </w:tcPr>
          <w:p w:rsidR="001A641D" w:rsidRDefault="007E5C0A" w:rsidP="001A641D">
            <w:pPr>
              <w:spacing w:before="120" w:after="120"/>
              <w:jc w:val="center"/>
              <w:rPr>
                <w:b/>
                <w:sz w:val="20"/>
                <w:szCs w:val="20"/>
                <w:lang w:eastAsia="en-AU"/>
              </w:rPr>
            </w:pPr>
            <w:r>
              <w:rPr>
                <w:b/>
                <w:sz w:val="20"/>
                <w:szCs w:val="20"/>
                <w:lang w:eastAsia="en-AU"/>
              </w:rPr>
              <w:t>Fee</w:t>
            </w:r>
          </w:p>
        </w:tc>
      </w:tr>
      <w:tr w:rsidR="00397365" w:rsidTr="001A641D">
        <w:tc>
          <w:tcPr>
            <w:tcW w:w="9526" w:type="dxa"/>
            <w:gridSpan w:val="2"/>
            <w:tcBorders>
              <w:top w:val="nil"/>
              <w:left w:val="single" w:sz="6" w:space="0" w:color="548DD4" w:themeColor="text2" w:themeTint="99"/>
              <w:bottom w:val="single" w:sz="4" w:space="0" w:color="4F81BD" w:themeColor="accent1"/>
              <w:right w:val="single" w:sz="6" w:space="0" w:color="548DD4" w:themeColor="text2" w:themeTint="99"/>
            </w:tcBorders>
            <w:shd w:val="clear" w:color="auto" w:fill="auto"/>
            <w:noWrap/>
            <w:vAlign w:val="center"/>
            <w:hideMark/>
          </w:tcPr>
          <w:p w:rsidR="001A641D" w:rsidRDefault="007E5C0A" w:rsidP="001A641D">
            <w:pPr>
              <w:spacing w:before="120" w:after="120"/>
              <w:rPr>
                <w:sz w:val="20"/>
                <w:szCs w:val="20"/>
                <w:u w:val="single"/>
                <w:lang w:eastAsia="en-AU"/>
              </w:rPr>
            </w:pPr>
            <w:r w:rsidRPr="0057352B">
              <w:rPr>
                <w:b/>
                <w:sz w:val="20"/>
                <w:szCs w:val="20"/>
                <w:u w:val="single"/>
                <w:lang w:eastAsia="en-AU"/>
              </w:rPr>
              <w:t>Referrals</w:t>
            </w:r>
          </w:p>
        </w:tc>
      </w:tr>
      <w:tr w:rsidR="00397365" w:rsidTr="001A641D">
        <w:tc>
          <w:tcPr>
            <w:tcW w:w="7245" w:type="dxa"/>
            <w:tcBorders>
              <w:top w:val="single" w:sz="4" w:space="0" w:color="548DD4" w:themeColor="text2" w:themeTint="99"/>
              <w:left w:val="single" w:sz="6" w:space="0" w:color="548DD4" w:themeColor="text2" w:themeTint="99"/>
              <w:bottom w:val="single" w:sz="4"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 xml:space="preserve">Consideration of </w:t>
            </w:r>
            <w:r w:rsidRPr="0057352B">
              <w:rPr>
                <w:sz w:val="20"/>
                <w:szCs w:val="20"/>
                <w:lang w:eastAsia="en-AU"/>
              </w:rPr>
              <w:t xml:space="preserve">Referral </w:t>
            </w:r>
          </w:p>
        </w:tc>
        <w:tc>
          <w:tcPr>
            <w:tcW w:w="2281" w:type="dxa"/>
            <w:tcBorders>
              <w:top w:val="single" w:sz="4" w:space="0" w:color="548DD4" w:themeColor="text2" w:themeTint="99"/>
              <w:left w:val="nil"/>
              <w:bottom w:val="single" w:sz="4"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A2563C">
              <w:rPr>
                <w:sz w:val="20"/>
                <w:szCs w:val="20"/>
                <w:lang w:eastAsia="en-AU"/>
              </w:rPr>
              <w:t>$6,577</w:t>
            </w:r>
          </w:p>
        </w:tc>
      </w:tr>
      <w:tr w:rsidR="00397365" w:rsidTr="001A641D">
        <w:tc>
          <w:tcPr>
            <w:tcW w:w="9526" w:type="dxa"/>
            <w:gridSpan w:val="2"/>
            <w:tcBorders>
              <w:top w:val="single" w:sz="4" w:space="0" w:color="548DD4" w:themeColor="text2" w:themeTint="99"/>
              <w:left w:val="single" w:sz="6" w:space="0" w:color="548DD4" w:themeColor="text2" w:themeTint="99"/>
              <w:bottom w:val="single" w:sz="4" w:space="0" w:color="548DD4" w:themeColor="text2" w:themeTint="99"/>
              <w:right w:val="single" w:sz="6" w:space="0" w:color="548DD4" w:themeColor="text2" w:themeTint="99"/>
            </w:tcBorders>
            <w:shd w:val="clear" w:color="auto" w:fill="auto"/>
            <w:vAlign w:val="center"/>
            <w:hideMark/>
          </w:tcPr>
          <w:p w:rsidR="001A641D" w:rsidRDefault="001A641D" w:rsidP="001A641D">
            <w:pPr>
              <w:spacing w:before="120" w:after="120"/>
              <w:rPr>
                <w:b/>
                <w:sz w:val="20"/>
                <w:szCs w:val="20"/>
                <w:u w:val="single"/>
                <w:lang w:eastAsia="en-AU"/>
              </w:rPr>
            </w:pPr>
          </w:p>
          <w:p w:rsidR="001A641D" w:rsidRDefault="007E5C0A" w:rsidP="001A641D">
            <w:pPr>
              <w:spacing w:before="120" w:after="120"/>
              <w:rPr>
                <w:b/>
                <w:sz w:val="20"/>
                <w:szCs w:val="20"/>
                <w:u w:val="single"/>
                <w:lang w:eastAsia="en-AU"/>
              </w:rPr>
            </w:pPr>
            <w:r w:rsidRPr="00D61823">
              <w:rPr>
                <w:b/>
                <w:sz w:val="20"/>
                <w:szCs w:val="20"/>
                <w:u w:val="single"/>
                <w:lang w:eastAsia="en-AU"/>
              </w:rPr>
              <w:t>Post approval</w:t>
            </w:r>
            <w:r>
              <w:rPr>
                <w:b/>
                <w:sz w:val="20"/>
                <w:szCs w:val="20"/>
                <w:u w:val="single"/>
                <w:lang w:eastAsia="en-AU"/>
              </w:rPr>
              <w:t>s</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 xml:space="preserve">Evaluation of new Action </w:t>
            </w:r>
            <w:r w:rsidRPr="0057352B">
              <w:rPr>
                <w:sz w:val="20"/>
                <w:szCs w:val="20"/>
                <w:lang w:eastAsia="en-AU"/>
              </w:rPr>
              <w:t xml:space="preserve">Management </w:t>
            </w:r>
            <w:r>
              <w:rPr>
                <w:sz w:val="20"/>
                <w:szCs w:val="20"/>
                <w:lang w:eastAsia="en-AU"/>
              </w:rPr>
              <w:t>P</w:t>
            </w:r>
            <w:r w:rsidRPr="0057352B">
              <w:rPr>
                <w:sz w:val="20"/>
                <w:szCs w:val="20"/>
                <w:lang w:eastAsia="en-AU"/>
              </w:rPr>
              <w:t>lan (per management plan)</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194AAE">
              <w:rPr>
                <w:sz w:val="20"/>
                <w:szCs w:val="20"/>
                <w:lang w:eastAsia="en-AU"/>
              </w:rPr>
              <w:t>$</w:t>
            </w:r>
            <w:r>
              <w:rPr>
                <w:sz w:val="20"/>
                <w:szCs w:val="20"/>
                <w:lang w:eastAsia="en-AU"/>
              </w:rPr>
              <w:t>2,690</w:t>
            </w:r>
          </w:p>
        </w:tc>
      </w:tr>
      <w:tr w:rsidR="00397365" w:rsidTr="001A641D">
        <w:tc>
          <w:tcPr>
            <w:tcW w:w="9526" w:type="dxa"/>
            <w:gridSpan w:val="2"/>
            <w:tcBorders>
              <w:top w:val="nil"/>
              <w:left w:val="single" w:sz="6" w:space="0" w:color="548DD4" w:themeColor="text2" w:themeTint="99"/>
              <w:bottom w:val="single" w:sz="6" w:space="0" w:color="548DD4" w:themeColor="text2" w:themeTint="99"/>
              <w:right w:val="single" w:sz="6" w:space="0" w:color="548DD4" w:themeColor="text2" w:themeTint="99"/>
            </w:tcBorders>
            <w:shd w:val="clear" w:color="auto" w:fill="auto"/>
            <w:vAlign w:val="center"/>
            <w:hideMark/>
          </w:tcPr>
          <w:p w:rsidR="001A641D" w:rsidRDefault="001A641D" w:rsidP="001A641D">
            <w:pPr>
              <w:spacing w:before="120" w:after="120"/>
              <w:rPr>
                <w:b/>
                <w:sz w:val="20"/>
                <w:szCs w:val="20"/>
                <w:u w:val="single"/>
                <w:lang w:eastAsia="en-AU"/>
              </w:rPr>
            </w:pPr>
          </w:p>
          <w:p w:rsidR="001A641D" w:rsidRDefault="007E5C0A" w:rsidP="001A641D">
            <w:pPr>
              <w:spacing w:before="120" w:after="120"/>
              <w:rPr>
                <w:b/>
                <w:sz w:val="20"/>
                <w:szCs w:val="20"/>
                <w:u w:val="single"/>
                <w:lang w:eastAsia="en-AU"/>
              </w:rPr>
            </w:pPr>
            <w:r w:rsidRPr="0057352B">
              <w:rPr>
                <w:b/>
                <w:sz w:val="20"/>
                <w:szCs w:val="20"/>
                <w:u w:val="single"/>
                <w:lang w:eastAsia="en-AU"/>
              </w:rPr>
              <w:t xml:space="preserve">Contingent </w:t>
            </w:r>
            <w:r>
              <w:rPr>
                <w:b/>
                <w:sz w:val="20"/>
                <w:szCs w:val="20"/>
                <w:u w:val="single"/>
                <w:lang w:eastAsia="en-AU"/>
              </w:rPr>
              <w:t>activities</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352B">
              <w:rPr>
                <w:sz w:val="20"/>
                <w:szCs w:val="20"/>
                <w:lang w:eastAsia="en-AU"/>
              </w:rPr>
              <w:t>Request additional information</w:t>
            </w:r>
            <w:r>
              <w:rPr>
                <w:sz w:val="20"/>
                <w:szCs w:val="20"/>
                <w:lang w:eastAsia="en-AU"/>
              </w:rPr>
              <w:t xml:space="preserve"> for referral or assessment approach decision</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$1,701</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Variation to proposed action</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$1,353</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A55F57">
              <w:rPr>
                <w:rFonts w:cs="Arial"/>
                <w:color w:val="000000"/>
                <w:sz w:val="20"/>
                <w:szCs w:val="20"/>
              </w:rPr>
              <w:t>Reconsideration of the controlled action decision at the applicant</w:t>
            </w:r>
            <w:r>
              <w:rPr>
                <w:rFonts w:cs="Arial"/>
                <w:color w:val="000000"/>
                <w:sz w:val="20"/>
                <w:szCs w:val="20"/>
              </w:rPr>
              <w:t>’</w:t>
            </w:r>
            <w:r w:rsidRPr="00A55F57">
              <w:rPr>
                <w:rFonts w:cs="Arial"/>
                <w:color w:val="000000"/>
                <w:sz w:val="20"/>
                <w:szCs w:val="20"/>
              </w:rPr>
              <w:t>s request</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$6,577</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Request additional information for approval decision (assessment on referral information, preliminary documentation or bilateral/accredited assessment)</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Pr>
                <w:sz w:val="20"/>
                <w:szCs w:val="20"/>
                <w:lang w:eastAsia="en-AU"/>
              </w:rPr>
              <w:t>$1,701</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bookmarkStart w:id="3638" w:name="RANGE!A43"/>
            <w:r w:rsidRPr="0057352B">
              <w:rPr>
                <w:sz w:val="20"/>
                <w:szCs w:val="20"/>
                <w:lang w:eastAsia="en-AU"/>
              </w:rPr>
              <w:t xml:space="preserve">Request additional information </w:t>
            </w:r>
            <w:r>
              <w:rPr>
                <w:sz w:val="20"/>
                <w:szCs w:val="20"/>
                <w:lang w:eastAsia="en-AU"/>
              </w:rPr>
              <w:t xml:space="preserve">for approval decision </w:t>
            </w:r>
            <w:r w:rsidRPr="0057352B">
              <w:rPr>
                <w:sz w:val="20"/>
                <w:szCs w:val="20"/>
                <w:lang w:eastAsia="en-AU"/>
              </w:rPr>
              <w:t>(</w:t>
            </w:r>
            <w:r>
              <w:rPr>
                <w:sz w:val="20"/>
                <w:szCs w:val="20"/>
                <w:lang w:eastAsia="en-AU"/>
              </w:rPr>
              <w:t>assessment by environmental impact statement or public environment report</w:t>
            </w:r>
            <w:r w:rsidRPr="0057352B">
              <w:rPr>
                <w:sz w:val="20"/>
                <w:szCs w:val="20"/>
                <w:lang w:eastAsia="en-AU"/>
              </w:rPr>
              <w:t>)</w:t>
            </w:r>
            <w:bookmarkEnd w:id="3638"/>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$7,476</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352B">
              <w:rPr>
                <w:sz w:val="20"/>
                <w:szCs w:val="20"/>
                <w:lang w:eastAsia="en-AU"/>
              </w:rPr>
              <w:t>Variation of conditions</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$2,690</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352B">
              <w:rPr>
                <w:sz w:val="20"/>
                <w:szCs w:val="20"/>
                <w:lang w:eastAsia="en-AU"/>
              </w:rPr>
              <w:t>Variation of a</w:t>
            </w:r>
            <w:r>
              <w:rPr>
                <w:sz w:val="20"/>
                <w:szCs w:val="20"/>
                <w:lang w:eastAsia="en-AU"/>
              </w:rPr>
              <w:t>n</w:t>
            </w:r>
            <w:r w:rsidRPr="0057352B">
              <w:rPr>
                <w:sz w:val="20"/>
                <w:szCs w:val="20"/>
                <w:lang w:eastAsia="en-AU"/>
              </w:rPr>
              <w:t xml:space="preserve"> action management plan under conditions of approval</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$2,690</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sidRPr="0057352B">
              <w:rPr>
                <w:sz w:val="20"/>
                <w:szCs w:val="20"/>
                <w:lang w:eastAsia="en-AU"/>
              </w:rPr>
              <w:t xml:space="preserve">Administrative variation </w:t>
            </w:r>
            <w:r>
              <w:rPr>
                <w:sz w:val="20"/>
                <w:szCs w:val="20"/>
                <w:lang w:eastAsia="en-AU"/>
              </w:rPr>
              <w:t>of an</w:t>
            </w:r>
            <w:r w:rsidRPr="0057352B">
              <w:rPr>
                <w:sz w:val="20"/>
                <w:szCs w:val="20"/>
                <w:lang w:eastAsia="en-AU"/>
              </w:rPr>
              <w:t xml:space="preserve"> action management plan under conditions of approval</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$710</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Transfer of approval to new approval holder</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$1,967</w:t>
            </w:r>
          </w:p>
        </w:tc>
      </w:tr>
      <w:tr w:rsidR="00397365" w:rsidTr="001A641D">
        <w:tc>
          <w:tcPr>
            <w:tcW w:w="7245"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vAlign w:val="center"/>
            <w:hideMark/>
          </w:tcPr>
          <w:p w:rsidR="001A641D" w:rsidRDefault="007E5C0A" w:rsidP="001A641D">
            <w:pPr>
              <w:spacing w:before="120" w:after="120"/>
              <w:rPr>
                <w:sz w:val="20"/>
                <w:szCs w:val="20"/>
                <w:lang w:eastAsia="en-AU"/>
              </w:rPr>
            </w:pPr>
            <w:r>
              <w:rPr>
                <w:sz w:val="20"/>
                <w:szCs w:val="20"/>
                <w:lang w:eastAsia="en-AU"/>
              </w:rPr>
              <w:t>Extension to approval expiry date</w:t>
            </w:r>
          </w:p>
        </w:tc>
        <w:tc>
          <w:tcPr>
            <w:tcW w:w="2281"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vAlign w:val="center"/>
            <w:hideMark/>
          </w:tcPr>
          <w:p w:rsidR="001A641D" w:rsidRDefault="007E5C0A" w:rsidP="001A641D">
            <w:pPr>
              <w:spacing w:before="120" w:after="120"/>
              <w:jc w:val="center"/>
              <w:rPr>
                <w:sz w:val="20"/>
                <w:szCs w:val="20"/>
                <w:lang w:eastAsia="en-AU"/>
              </w:rPr>
            </w:pPr>
            <w:r w:rsidRPr="007C2478">
              <w:rPr>
                <w:sz w:val="20"/>
                <w:szCs w:val="20"/>
                <w:lang w:eastAsia="en-AU"/>
              </w:rPr>
              <w:t>$2,690</w:t>
            </w:r>
          </w:p>
        </w:tc>
      </w:tr>
    </w:tbl>
    <w:p w:rsidR="001A641D" w:rsidRDefault="001A641D"/>
    <w:p w:rsidR="001A641D" w:rsidRDefault="001A641D"/>
    <w:p w:rsidR="001A641D" w:rsidRDefault="001A641D"/>
    <w:p w:rsidR="001A641D" w:rsidRDefault="001A641D"/>
    <w:p w:rsidR="001A641D" w:rsidRDefault="001A641D"/>
    <w:p w:rsidR="001A641D" w:rsidRDefault="007E5C0A" w:rsidP="00B22181">
      <w:pPr>
        <w:spacing w:after="120"/>
        <w:rPr>
          <w:rFonts w:eastAsia="SimSun"/>
          <w:color w:val="0070C0"/>
          <w:sz w:val="28"/>
          <w:szCs w:val="28"/>
          <w:lang w:val="en-US"/>
        </w:rPr>
      </w:pPr>
      <w:r w:rsidRPr="00F1382D">
        <w:rPr>
          <w:rFonts w:eastAsia="SimSun"/>
          <w:color w:val="0070C0"/>
          <w:sz w:val="28"/>
          <w:szCs w:val="28"/>
          <w:lang w:val="en-US"/>
        </w:rPr>
        <w:t>Fee schedule 201</w:t>
      </w:r>
      <w:r>
        <w:rPr>
          <w:rFonts w:eastAsia="SimSun"/>
          <w:color w:val="0070C0"/>
          <w:sz w:val="28"/>
          <w:szCs w:val="28"/>
          <w:lang w:val="en-US"/>
        </w:rPr>
        <w:t>6-17</w:t>
      </w:r>
      <w:r w:rsidRPr="00F1382D">
        <w:rPr>
          <w:rFonts w:eastAsia="SimSun"/>
          <w:color w:val="0070C0"/>
          <w:sz w:val="28"/>
          <w:szCs w:val="28"/>
          <w:lang w:val="en-US"/>
        </w:rPr>
        <w:t>(continued)</w:t>
      </w:r>
    </w:p>
    <w:p w:rsidR="001A641D" w:rsidRDefault="007E5C0A" w:rsidP="00B22181">
      <w:pPr>
        <w:pStyle w:val="Heading2"/>
        <w:numPr>
          <w:ilvl w:val="0"/>
          <w:numId w:val="0"/>
        </w:numPr>
        <w:spacing w:after="120"/>
        <w:ind w:left="576" w:hanging="576"/>
      </w:pPr>
      <w:bookmarkStart w:id="3639" w:name="_Toc256000390"/>
      <w:bookmarkStart w:id="3640" w:name="_Toc256000282"/>
      <w:bookmarkStart w:id="3641" w:name="_Toc256000174"/>
      <w:bookmarkStart w:id="3642" w:name="_Toc256000066"/>
      <w:bookmarkStart w:id="3643" w:name="_Toc458170569"/>
      <w:r>
        <w:t>Assessment fees</w:t>
      </w:r>
      <w:bookmarkEnd w:id="3639"/>
      <w:bookmarkEnd w:id="3640"/>
      <w:bookmarkEnd w:id="3641"/>
      <w:bookmarkEnd w:id="3642"/>
      <w:bookmarkEnd w:id="3643"/>
      <w:r w:rsidR="00B22181">
        <w:t>*</w:t>
      </w:r>
    </w:p>
    <w:tbl>
      <w:tblPr>
        <w:tblW w:w="8946" w:type="dxa"/>
        <w:tblInd w:w="93" w:type="dxa"/>
        <w:tblLayout w:type="fixed"/>
        <w:tblLook w:val="04A0" w:firstRow="1" w:lastRow="0" w:firstColumn="1" w:lastColumn="0" w:noHBand="0" w:noVBand="1"/>
      </w:tblPr>
      <w:tblGrid>
        <w:gridCol w:w="1716"/>
        <w:gridCol w:w="1471"/>
        <w:gridCol w:w="1506"/>
        <w:gridCol w:w="1437"/>
        <w:gridCol w:w="2816"/>
      </w:tblGrid>
      <w:tr w:rsidR="00397365" w:rsidTr="004F728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jc w:val="center"/>
              <w:rPr>
                <w:b/>
                <w:sz w:val="20"/>
                <w:szCs w:val="20"/>
                <w:lang w:eastAsia="en-AU"/>
              </w:rPr>
            </w:pPr>
            <w:r>
              <w:rPr>
                <w:b/>
                <w:sz w:val="20"/>
                <w:szCs w:val="20"/>
                <w:lang w:eastAsia="en-AU"/>
              </w:rPr>
              <w:t>Assessment Approach</w:t>
            </w:r>
          </w:p>
        </w:tc>
        <w:tc>
          <w:tcPr>
            <w:tcW w:w="1471" w:type="dxa"/>
            <w:tcBorders>
              <w:top w:val="single" w:sz="4" w:space="0" w:color="548DD4" w:themeColor="text2" w:themeTint="99"/>
              <w:bottom w:val="single" w:sz="4"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Bas</w:t>
            </w:r>
            <w:r>
              <w:rPr>
                <w:b/>
                <w:sz w:val="20"/>
                <w:szCs w:val="20"/>
                <w:lang w:eastAsia="en-AU"/>
              </w:rPr>
              <w:t>e</w:t>
            </w:r>
            <w:r w:rsidRPr="00D70F38">
              <w:rPr>
                <w:b/>
                <w:sz w:val="20"/>
                <w:szCs w:val="20"/>
                <w:lang w:eastAsia="en-AU"/>
              </w:rPr>
              <w:t xml:space="preserve"> </w:t>
            </w:r>
            <w:r>
              <w:rPr>
                <w:b/>
                <w:sz w:val="20"/>
                <w:szCs w:val="20"/>
                <w:lang w:eastAsia="en-AU"/>
              </w:rPr>
              <w:t>Fee</w:t>
            </w:r>
          </w:p>
        </w:tc>
        <w:tc>
          <w:tcPr>
            <w:tcW w:w="1506" w:type="dxa"/>
            <w:tcBorders>
              <w:top w:val="single" w:sz="4" w:space="0" w:color="548DD4" w:themeColor="text2" w:themeTint="99"/>
              <w:bottom w:val="single" w:sz="4"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jc w:val="center"/>
              <w:rPr>
                <w:b/>
                <w:sz w:val="20"/>
                <w:szCs w:val="20"/>
                <w:lang w:eastAsia="en-AU"/>
              </w:rPr>
            </w:pPr>
            <w:r>
              <w:rPr>
                <w:b/>
                <w:sz w:val="20"/>
                <w:szCs w:val="20"/>
                <w:lang w:eastAsia="en-AU"/>
              </w:rPr>
              <w:t>Part A Complexity Fees</w:t>
            </w:r>
          </w:p>
        </w:tc>
        <w:tc>
          <w:tcPr>
            <w:tcW w:w="1437" w:type="dxa"/>
            <w:tcBorders>
              <w:top w:val="single" w:sz="4" w:space="0" w:color="548DD4" w:themeColor="text2" w:themeTint="99"/>
              <w:bottom w:val="single" w:sz="4"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jc w:val="center"/>
              <w:rPr>
                <w:b/>
                <w:sz w:val="20"/>
                <w:szCs w:val="20"/>
                <w:lang w:eastAsia="en-AU"/>
              </w:rPr>
            </w:pPr>
            <w:r>
              <w:rPr>
                <w:b/>
                <w:sz w:val="20"/>
                <w:szCs w:val="20"/>
                <w:lang w:eastAsia="en-AU"/>
              </w:rPr>
              <w:t>Part B Complexity Fees</w:t>
            </w:r>
          </w:p>
        </w:tc>
        <w:tc>
          <w:tcPr>
            <w:tcW w:w="2816" w:type="dxa"/>
            <w:tcBorders>
              <w:top w:val="single" w:sz="4" w:space="0" w:color="548DD4" w:themeColor="text2" w:themeTint="99"/>
              <w:left w:val="nil"/>
              <w:bottom w:val="nil"/>
              <w:right w:val="single" w:sz="4" w:space="0" w:color="548DD4" w:themeColor="text2" w:themeTint="99"/>
            </w:tcBorders>
            <w:shd w:val="clear" w:color="auto" w:fill="C6D9F1" w:themeFill="text2" w:themeFillTint="33"/>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Total</w:t>
            </w:r>
            <w:r>
              <w:rPr>
                <w:b/>
                <w:sz w:val="20"/>
                <w:szCs w:val="20"/>
                <w:lang w:eastAsia="en-AU"/>
              </w:rPr>
              <w:t xml:space="preserve"> Fees</w:t>
            </w:r>
          </w:p>
        </w:tc>
      </w:tr>
      <w:tr w:rsidR="00397365" w:rsidTr="001A641D">
        <w:tc>
          <w:tcPr>
            <w:tcW w:w="8946"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rPr>
                <w:b/>
                <w:sz w:val="20"/>
                <w:szCs w:val="20"/>
                <w:lang w:eastAsia="en-AU"/>
              </w:rPr>
            </w:pPr>
            <w:r>
              <w:rPr>
                <w:b/>
                <w:sz w:val="20"/>
                <w:szCs w:val="20"/>
                <w:lang w:eastAsia="en-AU"/>
              </w:rPr>
              <w:t>Assessment</w:t>
            </w:r>
            <w:r w:rsidRPr="00D70F38">
              <w:rPr>
                <w:b/>
                <w:sz w:val="20"/>
                <w:szCs w:val="20"/>
                <w:lang w:eastAsia="en-AU"/>
              </w:rPr>
              <w:t xml:space="preserve"> on Referral Information</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1</w:t>
            </w:r>
          </w:p>
        </w:tc>
        <w:tc>
          <w:tcPr>
            <w:tcW w:w="1471"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Default="007E5C0A" w:rsidP="001A641D">
            <w:pPr>
              <w:spacing w:before="120" w:after="120" w:line="240" w:lineRule="auto"/>
              <w:jc w:val="center"/>
              <w:rPr>
                <w:sz w:val="20"/>
                <w:szCs w:val="20"/>
                <w:lang w:eastAsia="en-AU"/>
              </w:rPr>
            </w:pPr>
            <w:r w:rsidRPr="00A2563C">
              <w:rPr>
                <w:sz w:val="20"/>
                <w:szCs w:val="20"/>
                <w:lang w:eastAsia="en-AU"/>
              </w:rPr>
              <w:t>$4,561</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51%</w:t>
            </w:r>
          </w:p>
        </w:tc>
        <w:tc>
          <w:tcPr>
            <w:tcW w:w="1437"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Default="001A641D" w:rsidP="001A641D">
            <w:pPr>
              <w:spacing w:before="120" w:after="120" w:line="240" w:lineRule="auto"/>
              <w:jc w:val="center"/>
              <w:rPr>
                <w:sz w:val="20"/>
                <w:szCs w:val="20"/>
                <w:highlight w:val="yellow"/>
                <w:lang w:eastAsia="en-AU"/>
              </w:rPr>
            </w:pPr>
          </w:p>
        </w:tc>
        <w:tc>
          <w:tcPr>
            <w:tcW w:w="2816" w:type="dxa"/>
            <w:tcBorders>
              <w:top w:val="nil"/>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A2563C">
              <w:rPr>
                <w:sz w:val="20"/>
                <w:szCs w:val="20"/>
                <w:lang w:eastAsia="en-AU"/>
              </w:rPr>
              <w:t>$4,561</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2</w:t>
            </w:r>
          </w:p>
        </w:tc>
        <w:tc>
          <w:tcPr>
            <w:tcW w:w="1471"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Default="007E5C0A" w:rsidP="001A641D">
            <w:pPr>
              <w:spacing w:before="120" w:after="120" w:line="240" w:lineRule="auto"/>
              <w:jc w:val="center"/>
              <w:rPr>
                <w:sz w:val="20"/>
                <w:szCs w:val="20"/>
                <w:lang w:eastAsia="en-AU"/>
              </w:rPr>
            </w:pPr>
            <w:r w:rsidRPr="00A2563C">
              <w:rPr>
                <w:sz w:val="20"/>
                <w:szCs w:val="20"/>
                <w:lang w:eastAsia="en-AU"/>
              </w:rPr>
              <w:t>$2,739</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30%</w:t>
            </w:r>
          </w:p>
        </w:tc>
        <w:tc>
          <w:tcPr>
            <w:tcW w:w="1437"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A2563C">
              <w:rPr>
                <w:sz w:val="20"/>
                <w:szCs w:val="20"/>
                <w:lang w:eastAsia="en-AU"/>
              </w:rPr>
              <w:t>$2,739</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3</w:t>
            </w:r>
          </w:p>
        </w:tc>
        <w:tc>
          <w:tcPr>
            <w:tcW w:w="1471"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Default="007E5C0A" w:rsidP="001A641D">
            <w:pPr>
              <w:spacing w:before="120" w:after="120" w:line="240" w:lineRule="auto"/>
              <w:jc w:val="center"/>
              <w:rPr>
                <w:sz w:val="20"/>
                <w:szCs w:val="20"/>
                <w:lang w:eastAsia="en-AU"/>
              </w:rPr>
            </w:pPr>
            <w:r w:rsidRPr="00A2563C">
              <w:rPr>
                <w:sz w:val="20"/>
                <w:szCs w:val="20"/>
                <w:lang w:eastAsia="en-AU"/>
              </w:rPr>
              <w:t>$1,664</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19%</w:t>
            </w:r>
          </w:p>
        </w:tc>
        <w:tc>
          <w:tcPr>
            <w:tcW w:w="1437"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A2563C">
              <w:rPr>
                <w:sz w:val="20"/>
                <w:szCs w:val="20"/>
                <w:lang w:eastAsia="en-AU"/>
              </w:rPr>
              <w:t>$1,664</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vAlign w:val="bottom"/>
            <w:hideMark/>
          </w:tcPr>
          <w:p w:rsidR="001A641D" w:rsidRDefault="007E5C0A" w:rsidP="00981A7F">
            <w:pPr>
              <w:spacing w:before="120" w:after="120" w:line="240" w:lineRule="auto"/>
              <w:jc w:val="center"/>
              <w:rPr>
                <w:b/>
                <w:sz w:val="20"/>
                <w:szCs w:val="20"/>
                <w:lang w:eastAsia="en-AU"/>
              </w:rPr>
            </w:pPr>
            <w:r w:rsidRPr="00CB1848">
              <w:rPr>
                <w:b/>
                <w:sz w:val="20"/>
                <w:szCs w:val="20"/>
                <w:lang w:eastAsia="en-AU"/>
              </w:rPr>
              <w:t>TOTAL</w:t>
            </w:r>
          </w:p>
        </w:tc>
        <w:tc>
          <w:tcPr>
            <w:tcW w:w="1471"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$8,964</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Pr="007D5759" w:rsidRDefault="008C0F88" w:rsidP="001A641D">
            <w:pPr>
              <w:spacing w:before="120" w:after="120" w:line="240" w:lineRule="auto"/>
              <w:jc w:val="center"/>
              <w:rPr>
                <w:b/>
                <w:sz w:val="20"/>
                <w:szCs w:val="20"/>
                <w:lang w:eastAsia="en-AU"/>
              </w:rPr>
            </w:pPr>
            <w:r>
              <w:rPr>
                <w:b/>
                <w:sz w:val="20"/>
                <w:szCs w:val="20"/>
                <w:lang w:eastAsia="en-AU"/>
              </w:rPr>
              <w:t>100%</w:t>
            </w:r>
          </w:p>
        </w:tc>
        <w:tc>
          <w:tcPr>
            <w:tcW w:w="1437" w:type="dxa"/>
            <w:tcBorders>
              <w:top w:val="single" w:sz="4" w:space="0" w:color="548DD4" w:themeColor="text2" w:themeTint="99"/>
              <w:left w:val="nil"/>
              <w:bottom w:val="single" w:sz="4" w:space="0" w:color="548DD4" w:themeColor="text2" w:themeTint="99"/>
            </w:tcBorders>
            <w:shd w:val="clear" w:color="auto" w:fill="auto"/>
            <w:vAlign w:val="center"/>
            <w:hideMark/>
          </w:tcPr>
          <w:p w:rsidR="001A641D" w:rsidRPr="007D5759" w:rsidRDefault="001A641D" w:rsidP="001A641D">
            <w:pPr>
              <w:spacing w:before="120" w:after="120" w:line="240" w:lineRule="auto"/>
              <w:jc w:val="center"/>
              <w:rPr>
                <w:b/>
                <w:sz w:val="20"/>
                <w:szCs w:val="20"/>
                <w:lang w:eastAsia="en-AU"/>
              </w:rPr>
            </w:pPr>
          </w:p>
        </w:tc>
        <w:tc>
          <w:tcPr>
            <w:tcW w:w="2816" w:type="dxa"/>
            <w:tcBorders>
              <w:top w:val="single" w:sz="4" w:space="0" w:color="548DD4" w:themeColor="text2" w:themeTint="99"/>
              <w:left w:val="nil"/>
              <w:bottom w:val="nil"/>
              <w:right w:val="single" w:sz="4"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$8,964 + Complexity fees</w:t>
            </w:r>
          </w:p>
        </w:tc>
      </w:tr>
      <w:tr w:rsidR="00397365" w:rsidTr="001A641D">
        <w:tc>
          <w:tcPr>
            <w:tcW w:w="8946" w:type="dxa"/>
            <w:gridSpan w:val="5"/>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rPr>
                <w:b/>
                <w:sz w:val="20"/>
                <w:szCs w:val="20"/>
                <w:lang w:eastAsia="en-AU"/>
              </w:rPr>
            </w:pPr>
            <w:r>
              <w:rPr>
                <w:b/>
                <w:sz w:val="20"/>
                <w:szCs w:val="20"/>
                <w:lang w:eastAsia="en-AU"/>
              </w:rPr>
              <w:t xml:space="preserve">Assessment on </w:t>
            </w:r>
            <w:r w:rsidRPr="00D70F38">
              <w:rPr>
                <w:b/>
                <w:sz w:val="20"/>
                <w:szCs w:val="20"/>
                <w:lang w:eastAsia="en-AU"/>
              </w:rPr>
              <w:t>Preliminary Documentation</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1</w:t>
            </w:r>
          </w:p>
        </w:tc>
        <w:tc>
          <w:tcPr>
            <w:tcW w:w="147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$2,074</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DF6F36" w:rsidP="001A641D">
            <w:pPr>
              <w:spacing w:before="120" w:after="120" w:line="240" w:lineRule="auto"/>
              <w:jc w:val="center"/>
              <w:rPr>
                <w:sz w:val="20"/>
                <w:szCs w:val="20"/>
                <w:lang w:eastAsia="en-AU"/>
              </w:rPr>
            </w:pPr>
            <w:r>
              <w:rPr>
                <w:sz w:val="20"/>
                <w:szCs w:val="20"/>
                <w:lang w:eastAsia="en-AU"/>
              </w:rPr>
              <w:t>12%</w:t>
            </w:r>
          </w:p>
        </w:tc>
        <w:tc>
          <w:tcPr>
            <w:tcW w:w="1437"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$2,074</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2</w:t>
            </w:r>
          </w:p>
        </w:tc>
        <w:tc>
          <w:tcPr>
            <w:tcW w:w="147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$2,289</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DF6F36" w:rsidP="001A641D">
            <w:pPr>
              <w:spacing w:before="120" w:after="120" w:line="240" w:lineRule="auto"/>
              <w:jc w:val="center"/>
              <w:rPr>
                <w:sz w:val="20"/>
                <w:szCs w:val="20"/>
                <w:lang w:eastAsia="en-AU"/>
              </w:rPr>
            </w:pPr>
            <w:r>
              <w:rPr>
                <w:sz w:val="20"/>
                <w:szCs w:val="20"/>
                <w:lang w:eastAsia="en-AU"/>
              </w:rPr>
              <w:t>19%</w:t>
            </w:r>
          </w:p>
        </w:tc>
        <w:tc>
          <w:tcPr>
            <w:tcW w:w="1437"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$2,289</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3</w:t>
            </w:r>
          </w:p>
        </w:tc>
        <w:tc>
          <w:tcPr>
            <w:tcW w:w="147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654B35">
              <w:rPr>
                <w:sz w:val="20"/>
                <w:szCs w:val="20"/>
                <w:lang w:eastAsia="en-AU"/>
              </w:rPr>
              <w:t>$852</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DF6F36" w:rsidP="001A641D">
            <w:pPr>
              <w:spacing w:before="120" w:after="120" w:line="240" w:lineRule="auto"/>
              <w:jc w:val="center"/>
              <w:rPr>
                <w:sz w:val="20"/>
                <w:szCs w:val="20"/>
                <w:lang w:eastAsia="en-AU"/>
              </w:rPr>
            </w:pPr>
            <w:r>
              <w:rPr>
                <w:sz w:val="20"/>
                <w:szCs w:val="20"/>
                <w:lang w:eastAsia="en-AU"/>
              </w:rPr>
              <w:t>20%</w:t>
            </w:r>
          </w:p>
        </w:tc>
        <w:tc>
          <w:tcPr>
            <w:tcW w:w="1437"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50%</w:t>
            </w: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654B35">
              <w:rPr>
                <w:sz w:val="20"/>
                <w:szCs w:val="20"/>
                <w:lang w:eastAsia="en-AU"/>
              </w:rPr>
              <w:t>$852</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4</w:t>
            </w:r>
          </w:p>
        </w:tc>
        <w:tc>
          <w:tcPr>
            <w:tcW w:w="147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$2,795</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DF6F36" w:rsidP="001A641D">
            <w:pPr>
              <w:spacing w:before="120" w:after="120" w:line="240" w:lineRule="auto"/>
              <w:jc w:val="center"/>
              <w:rPr>
                <w:sz w:val="20"/>
                <w:szCs w:val="20"/>
                <w:lang w:eastAsia="en-AU"/>
              </w:rPr>
            </w:pPr>
            <w:r>
              <w:rPr>
                <w:sz w:val="20"/>
                <w:szCs w:val="20"/>
                <w:lang w:eastAsia="en-AU"/>
              </w:rPr>
              <w:t>49%</w:t>
            </w:r>
          </w:p>
        </w:tc>
        <w:tc>
          <w:tcPr>
            <w:tcW w:w="1437"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50%</w:t>
            </w: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$2,795</w:t>
            </w:r>
            <w:r>
              <w:rPr>
                <w:sz w:val="20"/>
                <w:szCs w:val="20"/>
                <w:lang w:eastAsia="en-AU"/>
              </w:rPr>
              <w:t xml:space="preserve"> + Complexity fees</w:t>
            </w:r>
          </w:p>
        </w:tc>
      </w:tr>
      <w:tr w:rsidR="00397365" w:rsidTr="001A641D">
        <w:tc>
          <w:tcPr>
            <w:tcW w:w="1716"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auto"/>
            <w:noWrap/>
            <w:vAlign w:val="bottom"/>
            <w:hideMark/>
          </w:tcPr>
          <w:p w:rsidR="001A641D" w:rsidRPr="007D5759" w:rsidRDefault="007E5C0A" w:rsidP="00981A7F">
            <w:pPr>
              <w:spacing w:before="120" w:after="120" w:line="240" w:lineRule="auto"/>
              <w:jc w:val="center"/>
              <w:rPr>
                <w:b/>
                <w:sz w:val="20"/>
                <w:szCs w:val="20"/>
                <w:lang w:eastAsia="en-AU"/>
              </w:rPr>
            </w:pPr>
            <w:r w:rsidRPr="007D5759">
              <w:rPr>
                <w:b/>
                <w:sz w:val="20"/>
                <w:szCs w:val="20"/>
                <w:lang w:eastAsia="en-AU"/>
              </w:rPr>
              <w:t>TOTAL</w:t>
            </w:r>
          </w:p>
        </w:tc>
        <w:tc>
          <w:tcPr>
            <w:tcW w:w="1471"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$8,010</w:t>
            </w:r>
          </w:p>
        </w:tc>
        <w:tc>
          <w:tcPr>
            <w:tcW w:w="1506"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Pr="007D5759" w:rsidRDefault="00DF6F36" w:rsidP="001A641D">
            <w:pPr>
              <w:spacing w:before="120" w:after="120" w:line="240" w:lineRule="auto"/>
              <w:jc w:val="center"/>
              <w:rPr>
                <w:b/>
                <w:sz w:val="20"/>
                <w:szCs w:val="20"/>
                <w:lang w:eastAsia="en-AU"/>
              </w:rPr>
            </w:pPr>
            <w:r>
              <w:rPr>
                <w:b/>
                <w:sz w:val="20"/>
                <w:szCs w:val="20"/>
                <w:lang w:eastAsia="en-AU"/>
              </w:rPr>
              <w:t>100%</w:t>
            </w:r>
          </w:p>
        </w:tc>
        <w:tc>
          <w:tcPr>
            <w:tcW w:w="1437" w:type="dxa"/>
            <w:tcBorders>
              <w:top w:val="single" w:sz="4" w:space="0" w:color="548DD4" w:themeColor="text2" w:themeTint="99"/>
              <w:left w:val="nil"/>
              <w:bottom w:val="single" w:sz="4"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100%</w:t>
            </w:r>
          </w:p>
        </w:tc>
        <w:tc>
          <w:tcPr>
            <w:tcW w:w="2816" w:type="dxa"/>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$8,010 + Complexity fees</w:t>
            </w:r>
          </w:p>
        </w:tc>
      </w:tr>
      <w:tr w:rsidR="00397365" w:rsidTr="001A641D">
        <w:tc>
          <w:tcPr>
            <w:tcW w:w="8946" w:type="dxa"/>
            <w:gridSpan w:val="5"/>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rPr>
                <w:b/>
                <w:sz w:val="20"/>
                <w:szCs w:val="20"/>
                <w:lang w:eastAsia="en-AU"/>
              </w:rPr>
            </w:pPr>
            <w:r>
              <w:br w:type="page"/>
            </w:r>
            <w:r>
              <w:rPr>
                <w:b/>
                <w:sz w:val="20"/>
                <w:szCs w:val="20"/>
                <w:lang w:eastAsia="en-AU"/>
              </w:rPr>
              <w:t xml:space="preserve">Assessment by Public Environment Report or </w:t>
            </w:r>
            <w:r w:rsidRPr="00D70F38">
              <w:rPr>
                <w:b/>
                <w:sz w:val="20"/>
                <w:szCs w:val="20"/>
                <w:lang w:eastAsia="en-AU"/>
              </w:rPr>
              <w:t>Environmental Impact Statement</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1</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$4,715</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12%</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$4,715</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2</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$5,394</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19%</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$5,394</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3</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$7,119</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20%</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50%</w:t>
            </w: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$7,119</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4</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$8,355</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8C0F88" w:rsidP="001A641D">
            <w:pPr>
              <w:spacing w:before="120" w:after="120" w:line="240" w:lineRule="auto"/>
              <w:jc w:val="center"/>
              <w:rPr>
                <w:sz w:val="20"/>
                <w:szCs w:val="20"/>
                <w:lang w:eastAsia="en-AU"/>
              </w:rPr>
            </w:pPr>
            <w:r>
              <w:rPr>
                <w:sz w:val="20"/>
                <w:szCs w:val="20"/>
                <w:lang w:eastAsia="en-AU"/>
              </w:rPr>
              <w:t>49%</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50%</w:t>
            </w: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C74D1">
              <w:rPr>
                <w:sz w:val="20"/>
                <w:szCs w:val="20"/>
                <w:lang w:eastAsia="en-AU"/>
              </w:rPr>
              <w:t>$8,355</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bottom"/>
            <w:hideMark/>
          </w:tcPr>
          <w:p w:rsidR="001A641D" w:rsidRPr="007D5759" w:rsidRDefault="007E5C0A" w:rsidP="00981A7F">
            <w:pPr>
              <w:spacing w:before="120" w:after="120" w:line="240" w:lineRule="auto"/>
              <w:jc w:val="center"/>
              <w:rPr>
                <w:b/>
                <w:sz w:val="20"/>
                <w:szCs w:val="20"/>
                <w:lang w:eastAsia="en-AU"/>
              </w:rPr>
            </w:pPr>
            <w:r w:rsidRPr="007D5759">
              <w:rPr>
                <w:b/>
                <w:sz w:val="20"/>
                <w:szCs w:val="20"/>
                <w:lang w:eastAsia="en-AU"/>
              </w:rPr>
              <w:t>TOTAL</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$25,583</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Pr="007D5759" w:rsidRDefault="008C0F88" w:rsidP="001A641D">
            <w:pPr>
              <w:spacing w:before="120" w:after="120" w:line="240" w:lineRule="auto"/>
              <w:jc w:val="center"/>
              <w:rPr>
                <w:b/>
                <w:sz w:val="20"/>
                <w:szCs w:val="20"/>
                <w:lang w:eastAsia="en-AU"/>
              </w:rPr>
            </w:pPr>
            <w:r>
              <w:rPr>
                <w:b/>
                <w:sz w:val="20"/>
                <w:szCs w:val="20"/>
                <w:lang w:eastAsia="en-AU"/>
              </w:rPr>
              <w:t>100%</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100%</w:t>
            </w: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$25,583 + Complexity fees</w:t>
            </w:r>
          </w:p>
        </w:tc>
      </w:tr>
      <w:tr w:rsidR="00397365" w:rsidTr="001A641D">
        <w:tc>
          <w:tcPr>
            <w:tcW w:w="8946" w:type="dxa"/>
            <w:gridSpan w:val="5"/>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vAlign w:val="center"/>
            <w:hideMark/>
          </w:tcPr>
          <w:p w:rsidR="001A641D" w:rsidRDefault="007E5C0A" w:rsidP="001A641D">
            <w:pPr>
              <w:spacing w:before="120" w:after="120" w:line="240" w:lineRule="auto"/>
              <w:rPr>
                <w:b/>
                <w:sz w:val="20"/>
                <w:szCs w:val="20"/>
                <w:lang w:eastAsia="en-AU"/>
              </w:rPr>
            </w:pPr>
            <w:r>
              <w:rPr>
                <w:b/>
                <w:sz w:val="20"/>
                <w:szCs w:val="20"/>
                <w:lang w:eastAsia="en-AU"/>
              </w:rPr>
              <w:t xml:space="preserve">Assessment by Bilateral Agreement or </w:t>
            </w:r>
            <w:r w:rsidRPr="00D70F38">
              <w:rPr>
                <w:b/>
                <w:sz w:val="20"/>
                <w:szCs w:val="20"/>
                <w:lang w:eastAsia="en-AU"/>
              </w:rPr>
              <w:t xml:space="preserve">Accredited </w:t>
            </w:r>
            <w:r>
              <w:rPr>
                <w:b/>
                <w:sz w:val="20"/>
                <w:szCs w:val="20"/>
                <w:lang w:eastAsia="en-AU"/>
              </w:rPr>
              <w:t>process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1</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$3,961</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A21E44" w:rsidP="001A641D">
            <w:pPr>
              <w:spacing w:before="120" w:after="120" w:line="240" w:lineRule="auto"/>
              <w:jc w:val="center"/>
              <w:rPr>
                <w:sz w:val="20"/>
                <w:szCs w:val="20"/>
                <w:lang w:eastAsia="en-AU"/>
              </w:rPr>
            </w:pPr>
            <w:r>
              <w:rPr>
                <w:sz w:val="20"/>
                <w:szCs w:val="20"/>
                <w:lang w:eastAsia="en-AU"/>
              </w:rPr>
              <w:t>12%</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$3,961</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2</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D4083">
              <w:rPr>
                <w:sz w:val="20"/>
                <w:szCs w:val="20"/>
                <w:lang w:eastAsia="en-AU"/>
              </w:rPr>
              <w:t>$3,655</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A21E44" w:rsidP="001A641D">
            <w:pPr>
              <w:spacing w:before="120" w:after="120" w:line="240" w:lineRule="auto"/>
              <w:jc w:val="center"/>
              <w:rPr>
                <w:sz w:val="20"/>
                <w:szCs w:val="20"/>
                <w:lang w:eastAsia="en-AU"/>
              </w:rPr>
            </w:pPr>
            <w:r>
              <w:rPr>
                <w:sz w:val="20"/>
                <w:szCs w:val="20"/>
                <w:lang w:eastAsia="en-AU"/>
              </w:rPr>
              <w:t>19%</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1A641D" w:rsidP="001A641D">
            <w:pPr>
              <w:spacing w:before="120" w:after="120" w:line="240" w:lineRule="auto"/>
              <w:jc w:val="center"/>
              <w:rPr>
                <w:sz w:val="20"/>
                <w:szCs w:val="20"/>
                <w:lang w:eastAsia="en-AU"/>
              </w:rPr>
            </w:pP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3D4083">
              <w:rPr>
                <w:sz w:val="20"/>
                <w:szCs w:val="20"/>
                <w:lang w:eastAsia="en-AU"/>
              </w:rPr>
              <w:t>$3,655</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3</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$2,175</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A21E44" w:rsidP="001A641D">
            <w:pPr>
              <w:spacing w:before="120" w:after="120" w:line="240" w:lineRule="auto"/>
              <w:jc w:val="center"/>
              <w:rPr>
                <w:sz w:val="20"/>
                <w:szCs w:val="20"/>
                <w:lang w:eastAsia="en-AU"/>
              </w:rPr>
            </w:pPr>
            <w:r>
              <w:rPr>
                <w:sz w:val="20"/>
                <w:szCs w:val="20"/>
                <w:lang w:eastAsia="en-AU"/>
              </w:rPr>
              <w:t>20%</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50%</w:t>
            </w: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$2,175</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Stage 4</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$8,355</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A21E44" w:rsidP="001A641D">
            <w:pPr>
              <w:spacing w:before="120" w:after="120" w:line="240" w:lineRule="auto"/>
              <w:jc w:val="center"/>
              <w:rPr>
                <w:sz w:val="20"/>
                <w:szCs w:val="20"/>
                <w:lang w:eastAsia="en-AU"/>
              </w:rPr>
            </w:pPr>
            <w:r>
              <w:rPr>
                <w:sz w:val="20"/>
                <w:szCs w:val="20"/>
                <w:lang w:eastAsia="en-AU"/>
              </w:rPr>
              <w:t>49%</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50%</w:t>
            </w: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Default="007E5C0A" w:rsidP="001A641D">
            <w:pPr>
              <w:spacing w:before="120" w:after="120" w:line="240" w:lineRule="auto"/>
              <w:jc w:val="center"/>
              <w:rPr>
                <w:sz w:val="20"/>
                <w:szCs w:val="20"/>
                <w:lang w:eastAsia="en-AU"/>
              </w:rPr>
            </w:pPr>
            <w:r w:rsidRPr="000A4DEA">
              <w:rPr>
                <w:sz w:val="20"/>
                <w:szCs w:val="20"/>
                <w:lang w:eastAsia="en-AU"/>
              </w:rPr>
              <w:t>$8,355</w:t>
            </w:r>
            <w:r>
              <w:rPr>
                <w:sz w:val="20"/>
                <w:szCs w:val="20"/>
                <w:lang w:eastAsia="en-AU"/>
              </w:rPr>
              <w:t xml:space="preserve"> + Complexity fees</w:t>
            </w:r>
          </w:p>
        </w:tc>
      </w:tr>
      <w:tr w:rsidR="00397365" w:rsidTr="001A641D">
        <w:tc>
          <w:tcPr>
            <w:tcW w:w="1716" w:type="dxa"/>
            <w:tcBorders>
              <w:top w:val="single" w:sz="6" w:space="0" w:color="548DD4" w:themeColor="text2" w:themeTint="99"/>
              <w:left w:val="single" w:sz="6" w:space="0" w:color="548DD4" w:themeColor="text2" w:themeTint="99"/>
              <w:bottom w:val="single" w:sz="6" w:space="0" w:color="548DD4" w:themeColor="text2" w:themeTint="99"/>
            </w:tcBorders>
            <w:shd w:val="clear" w:color="auto" w:fill="auto"/>
            <w:noWrap/>
            <w:vAlign w:val="center"/>
            <w:hideMark/>
          </w:tcPr>
          <w:p w:rsidR="001A641D" w:rsidRPr="007D5759" w:rsidRDefault="007E5C0A" w:rsidP="00981A7F">
            <w:pPr>
              <w:spacing w:before="120" w:after="120" w:line="240" w:lineRule="auto"/>
              <w:jc w:val="center"/>
              <w:rPr>
                <w:b/>
                <w:sz w:val="20"/>
                <w:szCs w:val="20"/>
                <w:lang w:eastAsia="en-AU"/>
              </w:rPr>
            </w:pPr>
            <w:r w:rsidRPr="007D5759">
              <w:rPr>
                <w:b/>
                <w:sz w:val="20"/>
                <w:szCs w:val="20"/>
                <w:lang w:eastAsia="en-AU"/>
              </w:rPr>
              <w:t>TOTAL</w:t>
            </w:r>
          </w:p>
        </w:tc>
        <w:tc>
          <w:tcPr>
            <w:tcW w:w="1471"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$18,146</w:t>
            </w:r>
          </w:p>
        </w:tc>
        <w:tc>
          <w:tcPr>
            <w:tcW w:w="1506"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Pr="007D5759" w:rsidRDefault="00A21E44" w:rsidP="001A641D">
            <w:pPr>
              <w:spacing w:before="120" w:after="120" w:line="240" w:lineRule="auto"/>
              <w:jc w:val="center"/>
              <w:rPr>
                <w:b/>
                <w:sz w:val="20"/>
                <w:szCs w:val="20"/>
                <w:lang w:eastAsia="en-AU"/>
              </w:rPr>
            </w:pPr>
            <w:r>
              <w:rPr>
                <w:b/>
                <w:sz w:val="20"/>
                <w:szCs w:val="20"/>
                <w:lang w:eastAsia="en-AU"/>
              </w:rPr>
              <w:t>100%</w:t>
            </w:r>
          </w:p>
        </w:tc>
        <w:tc>
          <w:tcPr>
            <w:tcW w:w="1437" w:type="dxa"/>
            <w:tcBorders>
              <w:top w:val="single" w:sz="6" w:space="0" w:color="548DD4" w:themeColor="text2" w:themeTint="99"/>
              <w:left w:val="nil"/>
              <w:bottom w:val="single" w:sz="6"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100%</w:t>
            </w:r>
          </w:p>
        </w:tc>
        <w:tc>
          <w:tcPr>
            <w:tcW w:w="2816" w:type="dxa"/>
            <w:tcBorders>
              <w:top w:val="single" w:sz="6" w:space="0" w:color="548DD4" w:themeColor="text2" w:themeTint="99"/>
              <w:left w:val="nil"/>
              <w:bottom w:val="single" w:sz="6" w:space="0" w:color="548DD4" w:themeColor="text2" w:themeTint="99"/>
              <w:right w:val="single" w:sz="6" w:space="0" w:color="548DD4" w:themeColor="text2" w:themeTint="99"/>
            </w:tcBorders>
            <w:shd w:val="clear" w:color="auto" w:fill="auto"/>
            <w:noWrap/>
            <w:vAlign w:val="center"/>
            <w:hideMark/>
          </w:tcPr>
          <w:p w:rsidR="001A641D" w:rsidRPr="007D5759" w:rsidRDefault="007E5C0A" w:rsidP="001A641D">
            <w:pPr>
              <w:spacing w:before="120" w:after="120" w:line="240" w:lineRule="auto"/>
              <w:jc w:val="center"/>
              <w:rPr>
                <w:b/>
                <w:sz w:val="20"/>
                <w:szCs w:val="20"/>
                <w:lang w:eastAsia="en-AU"/>
              </w:rPr>
            </w:pPr>
            <w:r w:rsidRPr="007D5759">
              <w:rPr>
                <w:b/>
                <w:sz w:val="20"/>
                <w:szCs w:val="20"/>
                <w:lang w:eastAsia="en-AU"/>
              </w:rPr>
              <w:t>$18,146 + Complexity fees</w:t>
            </w:r>
          </w:p>
        </w:tc>
      </w:tr>
      <w:tr w:rsidR="00397365" w:rsidTr="001A641D">
        <w:tc>
          <w:tcPr>
            <w:tcW w:w="4693"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1A641D" w:rsidRDefault="007E5C0A" w:rsidP="001A641D">
            <w:pPr>
              <w:spacing w:before="120" w:after="120" w:line="240" w:lineRule="auto"/>
              <w:jc w:val="center"/>
              <w:rPr>
                <w:b/>
                <w:sz w:val="20"/>
                <w:szCs w:val="20"/>
                <w:lang w:eastAsia="en-AU"/>
              </w:rPr>
            </w:pPr>
            <w:r>
              <w:rPr>
                <w:b/>
                <w:sz w:val="20"/>
                <w:szCs w:val="20"/>
                <w:lang w:eastAsia="en-AU"/>
              </w:rPr>
              <w:t xml:space="preserve">Assessment by </w:t>
            </w:r>
            <w:r w:rsidRPr="00D70F38">
              <w:rPr>
                <w:b/>
                <w:sz w:val="20"/>
                <w:szCs w:val="20"/>
                <w:lang w:eastAsia="en-AU"/>
              </w:rPr>
              <w:t xml:space="preserve">Public inquiry </w:t>
            </w:r>
          </w:p>
        </w:tc>
        <w:tc>
          <w:tcPr>
            <w:tcW w:w="4253"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1A641D" w:rsidRDefault="007E5C0A" w:rsidP="001A641D">
            <w:pPr>
              <w:spacing w:before="120" w:after="120" w:line="240" w:lineRule="auto"/>
              <w:jc w:val="center"/>
              <w:rPr>
                <w:sz w:val="20"/>
                <w:szCs w:val="20"/>
                <w:lang w:eastAsia="en-AU"/>
              </w:rPr>
            </w:pPr>
            <w:r>
              <w:rPr>
                <w:sz w:val="20"/>
                <w:szCs w:val="20"/>
                <w:lang w:eastAsia="en-AU"/>
              </w:rPr>
              <w:t>Fees</w:t>
            </w:r>
            <w:r w:rsidRPr="0057352B">
              <w:rPr>
                <w:sz w:val="20"/>
                <w:szCs w:val="20"/>
                <w:lang w:eastAsia="en-AU"/>
              </w:rPr>
              <w:t xml:space="preserve"> determined on a case-by-case basis</w:t>
            </w:r>
          </w:p>
        </w:tc>
      </w:tr>
      <w:tr w:rsidR="00397365" w:rsidTr="001A641D">
        <w:tc>
          <w:tcPr>
            <w:tcW w:w="4693" w:type="dxa"/>
            <w:gridSpan w:val="3"/>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000000" w:fill="C6D9F1" w:themeFill="text2" w:themeFillTint="33"/>
            <w:noWrap/>
            <w:vAlign w:val="bottom"/>
            <w:hideMark/>
          </w:tcPr>
          <w:p w:rsidR="001A641D" w:rsidRDefault="007E5C0A" w:rsidP="001A641D">
            <w:pPr>
              <w:spacing w:before="120" w:after="120" w:line="240" w:lineRule="auto"/>
              <w:jc w:val="center"/>
              <w:rPr>
                <w:b/>
                <w:sz w:val="20"/>
                <w:szCs w:val="20"/>
                <w:lang w:eastAsia="en-AU"/>
              </w:rPr>
            </w:pPr>
            <w:r w:rsidRPr="00D70F38">
              <w:rPr>
                <w:b/>
                <w:sz w:val="20"/>
                <w:szCs w:val="20"/>
                <w:lang w:eastAsia="en-AU"/>
              </w:rPr>
              <w:t>Strategic Assessment</w:t>
            </w:r>
          </w:p>
        </w:tc>
        <w:tc>
          <w:tcPr>
            <w:tcW w:w="4253" w:type="dxa"/>
            <w:gridSpan w:val="2"/>
            <w:tcBorders>
              <w:top w:val="single" w:sz="6" w:space="0" w:color="548DD4" w:themeColor="text2" w:themeTint="99"/>
              <w:left w:val="single" w:sz="6" w:space="0" w:color="548DD4" w:themeColor="text2" w:themeTint="99"/>
              <w:bottom w:val="single" w:sz="6" w:space="0" w:color="548DD4" w:themeColor="text2" w:themeTint="99"/>
              <w:right w:val="single" w:sz="6" w:space="0" w:color="548DD4" w:themeColor="text2" w:themeTint="99"/>
            </w:tcBorders>
            <w:shd w:val="clear" w:color="auto" w:fill="auto"/>
            <w:noWrap/>
            <w:vAlign w:val="bottom"/>
            <w:hideMark/>
          </w:tcPr>
          <w:p w:rsidR="001A641D" w:rsidRDefault="007E5C0A" w:rsidP="001A641D">
            <w:pPr>
              <w:spacing w:before="120" w:after="120" w:line="240" w:lineRule="auto"/>
              <w:jc w:val="center"/>
              <w:rPr>
                <w:sz w:val="20"/>
                <w:szCs w:val="20"/>
                <w:lang w:eastAsia="en-AU"/>
              </w:rPr>
            </w:pPr>
            <w:r>
              <w:rPr>
                <w:sz w:val="20"/>
                <w:szCs w:val="20"/>
                <w:lang w:eastAsia="en-AU"/>
              </w:rPr>
              <w:t>Fees</w:t>
            </w:r>
            <w:r w:rsidRPr="0057352B">
              <w:rPr>
                <w:sz w:val="20"/>
                <w:szCs w:val="20"/>
                <w:lang w:eastAsia="en-AU"/>
              </w:rPr>
              <w:t xml:space="preserve"> determined on a case-by-case basis</w:t>
            </w:r>
          </w:p>
        </w:tc>
      </w:tr>
    </w:tbl>
    <w:p w:rsidR="00B22181" w:rsidRDefault="00A7050E" w:rsidP="00B22181">
      <w:pPr>
        <w:spacing w:after="120"/>
        <w:rPr>
          <w:rFonts w:ascii="Helvetica" w:hAnsi="Helvetica" w:cs="Helvetica"/>
          <w:color w:val="333333"/>
          <w:sz w:val="18"/>
          <w:szCs w:val="18"/>
        </w:rPr>
      </w:pPr>
      <w:r>
        <w:rPr>
          <w:rFonts w:ascii="Helvetica" w:hAnsi="Helvetica" w:cs="Helvetica"/>
          <w:color w:val="333333"/>
          <w:sz w:val="18"/>
          <w:szCs w:val="18"/>
        </w:rPr>
        <w:t>*There were minor typographical</w:t>
      </w:r>
      <w:r w:rsidR="00B22181">
        <w:rPr>
          <w:rFonts w:ascii="Helvetica" w:hAnsi="Helvetica" w:cs="Helvetica"/>
          <w:color w:val="333333"/>
          <w:sz w:val="18"/>
          <w:szCs w:val="18"/>
        </w:rPr>
        <w:t xml:space="preserve"> errors within this Schedule in the proposed Statement released </w:t>
      </w:r>
      <w:r>
        <w:rPr>
          <w:rFonts w:ascii="Helvetica" w:hAnsi="Helvetica" w:cs="Helvetica"/>
          <w:color w:val="333333"/>
          <w:sz w:val="18"/>
          <w:szCs w:val="18"/>
        </w:rPr>
        <w:t xml:space="preserve">                                                      </w:t>
      </w:r>
      <w:r w:rsidR="00B22181">
        <w:rPr>
          <w:rFonts w:ascii="Helvetica" w:hAnsi="Helvetica" w:cs="Helvetica"/>
          <w:color w:val="333333"/>
          <w:sz w:val="18"/>
          <w:szCs w:val="18"/>
        </w:rPr>
        <w:t xml:space="preserve">on 5 September 2016. The above table includes amended information (1 October 2016). </w:t>
      </w:r>
    </w:p>
    <w:p w:rsidR="001A641D" w:rsidRDefault="007E5C0A">
      <w:pPr>
        <w:spacing w:line="240" w:lineRule="auto"/>
        <w:rPr>
          <w:i/>
        </w:rPr>
      </w:pPr>
      <w:r>
        <w:rPr>
          <w:rFonts w:eastAsia="Times New Roman"/>
          <w:b/>
          <w:bCs/>
          <w:i/>
          <w:color w:val="000000"/>
        </w:rPr>
        <w:br w:type="page"/>
      </w:r>
      <w:r w:rsidRPr="00F1382D">
        <w:rPr>
          <w:rFonts w:eastAsia="Times New Roman"/>
          <w:b/>
          <w:bCs/>
          <w:i/>
          <w:color w:val="000000"/>
        </w:rPr>
        <w:t>ASL costs for 20</w:t>
      </w:r>
      <w:r>
        <w:rPr>
          <w:rFonts w:eastAsia="Times New Roman"/>
          <w:b/>
          <w:bCs/>
          <w:i/>
          <w:color w:val="000000"/>
        </w:rPr>
        <w:t>16-17</w:t>
      </w:r>
      <w:r w:rsidRPr="00F1382D">
        <w:rPr>
          <w:rFonts w:eastAsia="Times New Roman"/>
          <w:b/>
          <w:bCs/>
          <w:i/>
          <w:color w:val="000000"/>
        </w:rPr>
        <w:t xml:space="preserve"> financial year (includes all overheads)</w:t>
      </w:r>
    </w:p>
    <w:tbl>
      <w:tblPr>
        <w:tblW w:w="8363" w:type="dxa"/>
        <w:tblInd w:w="81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5670"/>
        <w:gridCol w:w="1276"/>
        <w:gridCol w:w="1417"/>
      </w:tblGrid>
      <w:tr w:rsidR="00397365" w:rsidTr="001A641D">
        <w:trPr>
          <w:trHeight w:val="600"/>
        </w:trPr>
        <w:tc>
          <w:tcPr>
            <w:tcW w:w="5670" w:type="dxa"/>
          </w:tcPr>
          <w:p w:rsidR="001A641D" w:rsidRDefault="007E5C0A" w:rsidP="001A641D">
            <w:pPr>
              <w:tabs>
                <w:tab w:val="right" w:pos="5170"/>
              </w:tabs>
              <w:spacing w:before="120" w:after="120"/>
              <w:rPr>
                <w:rFonts w:eastAsia="Times New Roman"/>
                <w:iCs/>
              </w:rPr>
            </w:pPr>
            <w:r>
              <w:rPr>
                <w:rFonts w:eastAsia="Times New Roman"/>
                <w:iCs/>
              </w:rPr>
              <w:t>Assessment officer / Project manager</w:t>
            </w:r>
          </w:p>
        </w:tc>
        <w:tc>
          <w:tcPr>
            <w:tcW w:w="1276" w:type="dxa"/>
            <w:shd w:val="clear" w:color="auto" w:fill="auto"/>
            <w:vAlign w:val="center"/>
            <w:hideMark/>
          </w:tcPr>
          <w:p w:rsidR="001A641D" w:rsidRDefault="007E5C0A" w:rsidP="001A641D">
            <w:pPr>
              <w:spacing w:before="120" w:after="120"/>
              <w:rPr>
                <w:rFonts w:eastAsia="Times New Roman"/>
                <w:iCs/>
              </w:rPr>
            </w:pPr>
            <w:r w:rsidRPr="00C47D08">
              <w:rPr>
                <w:rFonts w:eastAsia="Times New Roman"/>
                <w:iCs/>
              </w:rPr>
              <w:t xml:space="preserve">Average </w:t>
            </w:r>
            <w:r w:rsidRPr="00C47D08">
              <w:rPr>
                <w:rFonts w:eastAsia="Times New Roman"/>
                <w:iCs/>
              </w:rPr>
              <w:br/>
              <w:t>APS 5/6</w:t>
            </w:r>
          </w:p>
        </w:tc>
        <w:tc>
          <w:tcPr>
            <w:tcW w:w="1417" w:type="dxa"/>
            <w:shd w:val="clear" w:color="auto" w:fill="auto"/>
            <w:noWrap/>
            <w:vAlign w:val="center"/>
            <w:hideMark/>
          </w:tcPr>
          <w:p w:rsidR="001A641D" w:rsidRDefault="007E5C0A" w:rsidP="001A641D">
            <w:pPr>
              <w:spacing w:before="120" w:after="120"/>
              <w:jc w:val="right"/>
              <w:rPr>
                <w:rFonts w:eastAsia="Times New Roman"/>
              </w:rPr>
            </w:pPr>
            <w:r>
              <w:rPr>
                <w:rFonts w:eastAsia="Times New Roman"/>
              </w:rPr>
              <w:t>$129</w:t>
            </w:r>
            <w:r w:rsidRPr="00C47D08">
              <w:rPr>
                <w:rFonts w:eastAsia="Times New Roman"/>
              </w:rPr>
              <w:t>,</w:t>
            </w:r>
            <w:r>
              <w:rPr>
                <w:rFonts w:eastAsia="Times New Roman"/>
              </w:rPr>
              <w:t>705</w:t>
            </w:r>
          </w:p>
        </w:tc>
      </w:tr>
      <w:tr w:rsidR="00397365" w:rsidTr="001A641D">
        <w:trPr>
          <w:trHeight w:val="300"/>
        </w:trPr>
        <w:tc>
          <w:tcPr>
            <w:tcW w:w="5670" w:type="dxa"/>
          </w:tcPr>
          <w:p w:rsidR="001A641D" w:rsidRDefault="007E5C0A" w:rsidP="001A641D">
            <w:pPr>
              <w:spacing w:before="120" w:after="120"/>
              <w:rPr>
                <w:rFonts w:eastAsia="Times New Roman"/>
                <w:color w:val="000000"/>
              </w:rPr>
            </w:pPr>
            <w:r>
              <w:rPr>
                <w:rFonts w:eastAsia="Times New Roman"/>
                <w:color w:val="000000"/>
              </w:rPr>
              <w:t>Assistant Director / Team manager</w:t>
            </w:r>
          </w:p>
        </w:tc>
        <w:tc>
          <w:tcPr>
            <w:tcW w:w="1276" w:type="dxa"/>
            <w:shd w:val="clear" w:color="auto" w:fill="auto"/>
            <w:noWrap/>
            <w:vAlign w:val="center"/>
            <w:hideMark/>
          </w:tcPr>
          <w:p w:rsidR="001A641D" w:rsidRDefault="007E5C0A" w:rsidP="001A641D">
            <w:pPr>
              <w:spacing w:before="120" w:after="120"/>
              <w:rPr>
                <w:rFonts w:eastAsia="Times New Roman"/>
                <w:color w:val="000000"/>
              </w:rPr>
            </w:pPr>
            <w:r w:rsidRPr="00D96AD0">
              <w:rPr>
                <w:rFonts w:eastAsia="Times New Roman"/>
                <w:color w:val="000000"/>
              </w:rPr>
              <w:t>EL1</w:t>
            </w:r>
          </w:p>
        </w:tc>
        <w:tc>
          <w:tcPr>
            <w:tcW w:w="1417" w:type="dxa"/>
            <w:shd w:val="clear" w:color="auto" w:fill="auto"/>
            <w:noWrap/>
            <w:vAlign w:val="center"/>
            <w:hideMark/>
          </w:tcPr>
          <w:p w:rsidR="001A641D" w:rsidRDefault="007E5C0A" w:rsidP="001A641D">
            <w:pPr>
              <w:spacing w:before="120" w:after="120"/>
              <w:jc w:val="right"/>
              <w:rPr>
                <w:rFonts w:eastAsia="Times New Roman"/>
                <w:color w:val="000000"/>
              </w:rPr>
            </w:pPr>
            <w:r w:rsidRPr="00D96AD0">
              <w:rPr>
                <w:rFonts w:eastAsia="Times New Roman"/>
                <w:color w:val="000000"/>
              </w:rPr>
              <w:t>$1</w:t>
            </w:r>
            <w:r>
              <w:rPr>
                <w:rFonts w:eastAsia="Times New Roman"/>
                <w:color w:val="000000"/>
              </w:rPr>
              <w:t>63,084</w:t>
            </w:r>
          </w:p>
        </w:tc>
      </w:tr>
      <w:tr w:rsidR="00397365" w:rsidTr="001A641D">
        <w:trPr>
          <w:trHeight w:val="300"/>
        </w:trPr>
        <w:tc>
          <w:tcPr>
            <w:tcW w:w="5670" w:type="dxa"/>
          </w:tcPr>
          <w:p w:rsidR="001A641D" w:rsidRDefault="007E5C0A" w:rsidP="001A641D">
            <w:pPr>
              <w:spacing w:before="120" w:after="120"/>
              <w:rPr>
                <w:rFonts w:eastAsia="Times New Roman"/>
                <w:color w:val="000000"/>
              </w:rPr>
            </w:pPr>
            <w:r>
              <w:rPr>
                <w:rFonts w:eastAsia="Times New Roman"/>
                <w:color w:val="000000"/>
              </w:rPr>
              <w:t>Director / Section manager</w:t>
            </w:r>
          </w:p>
        </w:tc>
        <w:tc>
          <w:tcPr>
            <w:tcW w:w="1276" w:type="dxa"/>
            <w:shd w:val="clear" w:color="auto" w:fill="auto"/>
            <w:noWrap/>
            <w:vAlign w:val="center"/>
            <w:hideMark/>
          </w:tcPr>
          <w:p w:rsidR="001A641D" w:rsidRDefault="007E5C0A" w:rsidP="001A641D">
            <w:pPr>
              <w:spacing w:before="120" w:after="120"/>
              <w:rPr>
                <w:rFonts w:eastAsia="Times New Roman"/>
                <w:color w:val="000000"/>
              </w:rPr>
            </w:pPr>
            <w:r w:rsidRPr="00D96AD0">
              <w:rPr>
                <w:rFonts w:eastAsia="Times New Roman"/>
                <w:color w:val="000000"/>
              </w:rPr>
              <w:t>EL2</w:t>
            </w:r>
          </w:p>
        </w:tc>
        <w:tc>
          <w:tcPr>
            <w:tcW w:w="1417" w:type="dxa"/>
            <w:shd w:val="clear" w:color="auto" w:fill="auto"/>
            <w:noWrap/>
            <w:vAlign w:val="center"/>
            <w:hideMark/>
          </w:tcPr>
          <w:p w:rsidR="001A641D" w:rsidRDefault="007E5C0A" w:rsidP="001A641D">
            <w:pPr>
              <w:spacing w:before="120" w:after="120"/>
              <w:jc w:val="right"/>
              <w:rPr>
                <w:rFonts w:eastAsia="Times New Roman"/>
                <w:color w:val="000000"/>
              </w:rPr>
            </w:pPr>
            <w:r>
              <w:rPr>
                <w:rFonts w:eastAsia="Times New Roman"/>
                <w:color w:val="000000"/>
              </w:rPr>
              <w:t>$199</w:t>
            </w:r>
            <w:r w:rsidRPr="00D96AD0">
              <w:rPr>
                <w:rFonts w:eastAsia="Times New Roman"/>
                <w:color w:val="000000"/>
              </w:rPr>
              <w:t>,</w:t>
            </w:r>
            <w:r>
              <w:rPr>
                <w:rFonts w:eastAsia="Times New Roman"/>
                <w:color w:val="000000"/>
              </w:rPr>
              <w:t>249</w:t>
            </w:r>
          </w:p>
        </w:tc>
      </w:tr>
      <w:tr w:rsidR="00397365" w:rsidTr="001A641D">
        <w:trPr>
          <w:trHeight w:val="300"/>
        </w:trPr>
        <w:tc>
          <w:tcPr>
            <w:tcW w:w="5670" w:type="dxa"/>
          </w:tcPr>
          <w:p w:rsidR="001A641D" w:rsidRDefault="007E5C0A" w:rsidP="001A641D">
            <w:pPr>
              <w:spacing w:before="120" w:after="120"/>
              <w:rPr>
                <w:rFonts w:eastAsia="Times New Roman"/>
                <w:color w:val="000000"/>
              </w:rPr>
            </w:pPr>
            <w:r>
              <w:rPr>
                <w:rFonts w:eastAsia="Times New Roman"/>
                <w:color w:val="000000"/>
              </w:rPr>
              <w:t>Senior Executive Staff (SES) / Assistant Secretary</w:t>
            </w:r>
          </w:p>
        </w:tc>
        <w:tc>
          <w:tcPr>
            <w:tcW w:w="1276" w:type="dxa"/>
            <w:shd w:val="clear" w:color="auto" w:fill="auto"/>
            <w:noWrap/>
            <w:vAlign w:val="center"/>
            <w:hideMark/>
          </w:tcPr>
          <w:p w:rsidR="001A641D" w:rsidRDefault="007E5C0A" w:rsidP="001A641D">
            <w:pPr>
              <w:spacing w:before="120" w:after="120"/>
              <w:rPr>
                <w:rFonts w:eastAsia="Times New Roman"/>
                <w:color w:val="000000"/>
              </w:rPr>
            </w:pPr>
            <w:r w:rsidRPr="00D96AD0">
              <w:rPr>
                <w:rFonts w:eastAsia="Times New Roman"/>
                <w:color w:val="000000"/>
              </w:rPr>
              <w:t>SES-1</w:t>
            </w:r>
          </w:p>
        </w:tc>
        <w:tc>
          <w:tcPr>
            <w:tcW w:w="1417" w:type="dxa"/>
            <w:shd w:val="clear" w:color="auto" w:fill="auto"/>
            <w:noWrap/>
            <w:vAlign w:val="center"/>
            <w:hideMark/>
          </w:tcPr>
          <w:p w:rsidR="001A641D" w:rsidRDefault="007E5C0A" w:rsidP="001A641D">
            <w:pPr>
              <w:spacing w:before="120" w:after="120"/>
              <w:jc w:val="right"/>
              <w:rPr>
                <w:rFonts w:eastAsia="Times New Roman"/>
                <w:color w:val="000000"/>
              </w:rPr>
            </w:pPr>
            <w:r>
              <w:rPr>
                <w:rFonts w:eastAsia="Times New Roman"/>
                <w:color w:val="000000"/>
              </w:rPr>
              <w:t>$268,189</w:t>
            </w:r>
          </w:p>
        </w:tc>
      </w:tr>
    </w:tbl>
    <w:p w:rsidR="001A641D" w:rsidRDefault="001A641D">
      <w:bookmarkStart w:id="3644" w:name="_Toc387064946"/>
      <w:bookmarkStart w:id="3645" w:name="_Toc387065158"/>
      <w:bookmarkStart w:id="3646" w:name="_Toc387065364"/>
      <w:bookmarkStart w:id="3647" w:name="_Toc387065575"/>
      <w:bookmarkStart w:id="3648" w:name="_Toc387065781"/>
      <w:bookmarkStart w:id="3649" w:name="_Toc387065986"/>
      <w:bookmarkStart w:id="3650" w:name="_Toc387066189"/>
      <w:bookmarkStart w:id="3651" w:name="_Toc387066378"/>
      <w:bookmarkStart w:id="3652" w:name="_Toc387069613"/>
      <w:bookmarkEnd w:id="3644"/>
      <w:bookmarkEnd w:id="3645"/>
      <w:bookmarkEnd w:id="3646"/>
      <w:bookmarkEnd w:id="3647"/>
      <w:bookmarkEnd w:id="3648"/>
      <w:bookmarkEnd w:id="3649"/>
      <w:bookmarkEnd w:id="3650"/>
      <w:bookmarkEnd w:id="3651"/>
      <w:bookmarkEnd w:id="3652"/>
    </w:p>
    <w:p w:rsidR="001A641D" w:rsidRDefault="001A641D"/>
    <w:p w:rsidR="001A641D" w:rsidRDefault="001A641D" w:rsidP="001A641D">
      <w:pPr>
        <w:sectPr w:rsidR="001A641D" w:rsidSect="001A641D">
          <w:pgSz w:w="11906" w:h="16838"/>
          <w:pgMar w:top="992" w:right="1133" w:bottom="1440" w:left="1134" w:header="709" w:footer="709" w:gutter="0"/>
          <w:cols w:space="708"/>
          <w:docGrid w:linePitch="360"/>
        </w:sectPr>
      </w:pPr>
    </w:p>
    <w:p w:rsidR="001A641D" w:rsidRPr="00F34768" w:rsidRDefault="00FF3730" w:rsidP="001A641D">
      <w:pPr>
        <w:pStyle w:val="Heading1"/>
        <w:numPr>
          <w:ilvl w:val="0"/>
          <w:numId w:val="0"/>
        </w:numPr>
        <w:spacing w:after="120"/>
        <w:ind w:left="431" w:hanging="431"/>
      </w:pPr>
      <w:r>
        <w:rPr>
          <w:noProof/>
          <w:lang w:eastAsia="en-AU"/>
        </w:rPr>
        <w:pict>
          <v:shape id="_x0000_s1028" type="#_x0000_t32" style="position:absolute;left:0;text-align:left;margin-left:1pt;margin-top:15.8pt;width:769.05pt;height:0;z-index:251660288" o:connectortype="straight" strokecolor="#548dd4" strokeweight="2.25pt">
            <v:shadow type="perspective" color="#243f60" opacity=".5" offset="1pt" offset2="-1pt"/>
          </v:shape>
        </w:pict>
      </w:r>
      <w:bookmarkStart w:id="3653" w:name="_Toc256000391"/>
      <w:bookmarkStart w:id="3654" w:name="_Toc256000283"/>
      <w:bookmarkStart w:id="3655" w:name="_Toc256000175"/>
      <w:bookmarkStart w:id="3656" w:name="_Toc256000067"/>
      <w:bookmarkStart w:id="3657" w:name="_Toc458170570"/>
      <w:r w:rsidR="007E5C0A" w:rsidRPr="00F34768">
        <w:rPr>
          <w:caps/>
        </w:rPr>
        <w:t xml:space="preserve">Appendix </w:t>
      </w:r>
      <w:r w:rsidR="007E5C0A">
        <w:rPr>
          <w:caps/>
        </w:rPr>
        <w:t>B</w:t>
      </w:r>
      <w:r w:rsidR="007E5C0A">
        <w:t>:</w:t>
      </w:r>
      <w:r w:rsidR="007E5C0A">
        <w:tab/>
        <w:t>COMPLEXITY MATRIX - FEES</w:t>
      </w:r>
      <w:bookmarkEnd w:id="3653"/>
      <w:bookmarkEnd w:id="3654"/>
      <w:bookmarkEnd w:id="3655"/>
      <w:bookmarkEnd w:id="3656"/>
      <w:bookmarkEnd w:id="3657"/>
    </w:p>
    <w:tbl>
      <w:tblPr>
        <w:tblW w:w="5000" w:type="pct"/>
        <w:tblLayout w:type="fixed"/>
        <w:tblLook w:val="04A0" w:firstRow="1" w:lastRow="0" w:firstColumn="1" w:lastColumn="0" w:noHBand="0" w:noVBand="1"/>
      </w:tblPr>
      <w:tblGrid>
        <w:gridCol w:w="438"/>
        <w:gridCol w:w="287"/>
        <w:gridCol w:w="1437"/>
        <w:gridCol w:w="3622"/>
        <w:gridCol w:w="844"/>
        <w:gridCol w:w="3553"/>
        <w:gridCol w:w="772"/>
        <w:gridCol w:w="3762"/>
        <w:gridCol w:w="909"/>
      </w:tblGrid>
      <w:tr w:rsidR="00397365" w:rsidTr="001A641D">
        <w:trPr>
          <w:cantSplit/>
        </w:trPr>
        <w:tc>
          <w:tcPr>
            <w:tcW w:w="692"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tcMar>
              <w:left w:w="113" w:type="dxa"/>
              <w:right w:w="113" w:type="dxa"/>
            </w:tcMar>
            <w:vAlign w:val="center"/>
            <w:hideMark/>
          </w:tcPr>
          <w:p w:rsidR="001A641D" w:rsidRPr="00333FD1" w:rsidRDefault="007E5C0A" w:rsidP="001A641D">
            <w:pPr>
              <w:spacing w:after="0" w:line="240" w:lineRule="auto"/>
              <w:rPr>
                <w:rFonts w:ascii="Calibri" w:eastAsia="Times New Roman" w:hAnsi="Calibri"/>
                <w:b/>
                <w:bCs/>
                <w:color w:val="4F81BD"/>
                <w:sz w:val="16"/>
                <w:szCs w:val="16"/>
                <w:lang w:eastAsia="en-AU"/>
              </w:rPr>
            </w:pPr>
            <w:r w:rsidRPr="00333FD1">
              <w:rPr>
                <w:rFonts w:ascii="Calibri" w:eastAsia="Times New Roman" w:hAnsi="Calibri"/>
                <w:b/>
                <w:bCs/>
                <w:color w:val="4F81BD"/>
                <w:sz w:val="16"/>
                <w:szCs w:val="16"/>
                <w:lang w:eastAsia="en-AU"/>
              </w:rPr>
              <w:t>COMPLEXITY FEE MATRIX</w:t>
            </w:r>
          </w:p>
        </w:tc>
        <w:tc>
          <w:tcPr>
            <w:tcW w:w="1429" w:type="pct"/>
            <w:gridSpan w:val="2"/>
            <w:tcBorders>
              <w:top w:val="nil"/>
              <w:left w:val="nil"/>
              <w:bottom w:val="single" w:sz="4" w:space="0" w:color="auto"/>
              <w:right w:val="single" w:sz="4" w:space="0" w:color="000000"/>
            </w:tcBorders>
            <w:shd w:val="clear" w:color="000000" w:fill="00B0F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MODERATE COMPLEXITY</w:t>
            </w:r>
          </w:p>
        </w:tc>
        <w:tc>
          <w:tcPr>
            <w:tcW w:w="1384" w:type="pct"/>
            <w:gridSpan w:val="2"/>
            <w:tcBorders>
              <w:top w:val="nil"/>
              <w:left w:val="single" w:sz="4" w:space="0" w:color="auto"/>
              <w:bottom w:val="single" w:sz="4" w:space="0" w:color="auto"/>
              <w:right w:val="single" w:sz="4" w:space="0" w:color="auto"/>
            </w:tcBorders>
            <w:shd w:val="clear" w:color="000000" w:fill="FFFF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sz w:val="16"/>
                <w:szCs w:val="16"/>
                <w:lang w:eastAsia="en-AU"/>
              </w:rPr>
            </w:pPr>
            <w:r w:rsidRPr="00333FD1">
              <w:rPr>
                <w:rFonts w:ascii="Calibri" w:eastAsia="Times New Roman" w:hAnsi="Calibri"/>
                <w:b/>
                <w:bCs/>
                <w:sz w:val="16"/>
                <w:szCs w:val="16"/>
                <w:lang w:eastAsia="en-AU"/>
              </w:rPr>
              <w:t>HIGH COMPLEXITY</w:t>
            </w:r>
          </w:p>
        </w:tc>
        <w:tc>
          <w:tcPr>
            <w:tcW w:w="1495" w:type="pct"/>
            <w:gridSpan w:val="2"/>
            <w:tcBorders>
              <w:top w:val="nil"/>
              <w:left w:val="nil"/>
              <w:bottom w:val="single" w:sz="4" w:space="0" w:color="auto"/>
              <w:right w:val="single" w:sz="4" w:space="0" w:color="auto"/>
            </w:tcBorders>
            <w:shd w:val="clear" w:color="000000" w:fill="953735"/>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VERY HIGH COMPLEXITY</w:t>
            </w:r>
          </w:p>
        </w:tc>
      </w:tr>
      <w:tr w:rsidR="00397365" w:rsidTr="001A641D">
        <w:trPr>
          <w:cantSplit/>
        </w:trPr>
        <w:tc>
          <w:tcPr>
            <w:tcW w:w="692" w:type="pct"/>
            <w:gridSpan w:val="3"/>
            <w:vMerge/>
            <w:tcBorders>
              <w:top w:val="single" w:sz="4" w:space="0" w:color="auto"/>
              <w:left w:val="single" w:sz="4" w:space="0" w:color="auto"/>
              <w:bottom w:val="single" w:sz="4" w:space="0" w:color="auto"/>
              <w:right w:val="single" w:sz="4" w:space="0" w:color="000000"/>
            </w:tcBorders>
            <w:tcMar>
              <w:left w:w="113" w:type="dxa"/>
              <w:right w:w="113" w:type="dxa"/>
            </w:tcMar>
            <w:vAlign w:val="center"/>
            <w:hideMark/>
          </w:tcPr>
          <w:p w:rsidR="001A641D" w:rsidRPr="00333FD1" w:rsidRDefault="001A641D" w:rsidP="001A641D">
            <w:pPr>
              <w:spacing w:after="0" w:line="240" w:lineRule="auto"/>
              <w:rPr>
                <w:rFonts w:ascii="Calibri" w:eastAsia="Times New Roman" w:hAnsi="Calibri"/>
                <w:b/>
                <w:bCs/>
                <w:color w:val="4F81BD"/>
                <w:sz w:val="16"/>
                <w:szCs w:val="16"/>
                <w:lang w:eastAsia="en-AU"/>
              </w:rPr>
            </w:pPr>
          </w:p>
        </w:tc>
        <w:tc>
          <w:tcPr>
            <w:tcW w:w="1159" w:type="pct"/>
            <w:tcBorders>
              <w:top w:val="single" w:sz="4" w:space="0" w:color="auto"/>
              <w:left w:val="single" w:sz="4" w:space="0" w:color="auto"/>
              <w:bottom w:val="single" w:sz="4" w:space="0" w:color="auto"/>
              <w:right w:val="single" w:sz="4" w:space="0" w:color="auto"/>
            </w:tcBorders>
            <w:shd w:val="clear" w:color="000000" w:fill="00CCFF"/>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DESCRIPTION</w:t>
            </w:r>
          </w:p>
        </w:tc>
        <w:tc>
          <w:tcPr>
            <w:tcW w:w="270" w:type="pct"/>
            <w:tcBorders>
              <w:top w:val="single" w:sz="4" w:space="0" w:color="auto"/>
              <w:left w:val="nil"/>
              <w:bottom w:val="single" w:sz="4" w:space="0" w:color="auto"/>
              <w:right w:val="single" w:sz="4" w:space="0" w:color="auto"/>
            </w:tcBorders>
            <w:shd w:val="clear" w:color="000000" w:fill="00CCFF"/>
            <w:noWrap/>
            <w:tcMar>
              <w:left w:w="113" w:type="dxa"/>
              <w:right w:w="113" w:type="dxa"/>
            </w:tcMar>
            <w:vAlign w:val="bottom"/>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Fee</w:t>
            </w:r>
          </w:p>
        </w:tc>
        <w:tc>
          <w:tcPr>
            <w:tcW w:w="1137" w:type="pct"/>
            <w:tcBorders>
              <w:top w:val="nil"/>
              <w:left w:val="nil"/>
              <w:bottom w:val="single" w:sz="4" w:space="0" w:color="auto"/>
              <w:right w:val="single" w:sz="4" w:space="0" w:color="auto"/>
            </w:tcBorders>
            <w:shd w:val="clear" w:color="000000" w:fill="FFFF66"/>
            <w:noWrap/>
            <w:tcMar>
              <w:left w:w="113" w:type="dxa"/>
              <w:right w:w="113" w:type="dxa"/>
            </w:tcMar>
            <w:vAlign w:val="bottom"/>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DESCRIPTION</w:t>
            </w:r>
          </w:p>
        </w:tc>
        <w:tc>
          <w:tcPr>
            <w:tcW w:w="247" w:type="pct"/>
            <w:tcBorders>
              <w:top w:val="nil"/>
              <w:left w:val="nil"/>
              <w:bottom w:val="single" w:sz="4" w:space="0" w:color="auto"/>
              <w:right w:val="single" w:sz="4" w:space="0" w:color="auto"/>
            </w:tcBorders>
            <w:shd w:val="clear" w:color="000000" w:fill="FFFF66"/>
            <w:noWrap/>
            <w:tcMar>
              <w:left w:w="113" w:type="dxa"/>
              <w:right w:w="113" w:type="dxa"/>
            </w:tcMar>
            <w:vAlign w:val="bottom"/>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Fee</w:t>
            </w:r>
          </w:p>
        </w:tc>
        <w:tc>
          <w:tcPr>
            <w:tcW w:w="1204" w:type="pct"/>
            <w:tcBorders>
              <w:top w:val="nil"/>
              <w:left w:val="nil"/>
              <w:bottom w:val="single" w:sz="4" w:space="0" w:color="auto"/>
              <w:right w:val="single" w:sz="4" w:space="0" w:color="auto"/>
            </w:tcBorders>
            <w:shd w:val="clear" w:color="000000" w:fill="FF5050"/>
            <w:noWrap/>
            <w:tcMar>
              <w:left w:w="113" w:type="dxa"/>
              <w:right w:w="113" w:type="dxa"/>
            </w:tcMar>
            <w:vAlign w:val="bottom"/>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DESCRIPTION</w:t>
            </w:r>
          </w:p>
        </w:tc>
        <w:tc>
          <w:tcPr>
            <w:tcW w:w="291" w:type="pct"/>
            <w:tcBorders>
              <w:top w:val="nil"/>
              <w:left w:val="nil"/>
              <w:bottom w:val="single" w:sz="4" w:space="0" w:color="auto"/>
              <w:right w:val="single" w:sz="4" w:space="0" w:color="auto"/>
            </w:tcBorders>
            <w:shd w:val="clear" w:color="000000" w:fill="FF5050"/>
            <w:noWrap/>
            <w:tcMar>
              <w:left w:w="113" w:type="dxa"/>
              <w:right w:w="113" w:type="dxa"/>
            </w:tcMar>
            <w:vAlign w:val="bottom"/>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Fee</w:t>
            </w:r>
          </w:p>
        </w:tc>
      </w:tr>
      <w:tr w:rsidR="00397365" w:rsidTr="001A641D">
        <w:trPr>
          <w:cantSplit/>
        </w:trPr>
        <w:tc>
          <w:tcPr>
            <w:tcW w:w="5000" w:type="pct"/>
            <w:gridSpan w:val="9"/>
            <w:tcBorders>
              <w:top w:val="single" w:sz="4" w:space="0" w:color="auto"/>
              <w:left w:val="single" w:sz="4" w:space="0" w:color="auto"/>
              <w:bottom w:val="single" w:sz="4" w:space="0" w:color="000000"/>
              <w:right w:val="single" w:sz="4" w:space="0" w:color="auto"/>
            </w:tcBorders>
            <w:shd w:val="clear" w:color="auto" w:fill="000000" w:themeFill="text1"/>
            <w:tcMar>
              <w:left w:w="113" w:type="dxa"/>
              <w:right w:w="113" w:type="dxa"/>
            </w:tcMar>
            <w:vAlign w:val="center"/>
            <w:hideMark/>
          </w:tcPr>
          <w:p w:rsidR="001A641D" w:rsidRPr="00333FD1" w:rsidRDefault="007E5C0A" w:rsidP="001A641D">
            <w:pPr>
              <w:spacing w:after="0" w:line="240" w:lineRule="auto"/>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CONTROLLING PROVISIONS</w:t>
            </w:r>
          </w:p>
        </w:tc>
      </w:tr>
      <w:tr w:rsidR="00397365" w:rsidTr="001A641D">
        <w:trPr>
          <w:cantSplit/>
        </w:trPr>
        <w:tc>
          <w:tcPr>
            <w:tcW w:w="140" w:type="pct"/>
            <w:vMerge w:val="restart"/>
            <w:tcBorders>
              <w:top w:val="single" w:sz="4" w:space="0" w:color="auto"/>
              <w:left w:val="single" w:sz="4" w:space="0" w:color="auto"/>
              <w:right w:val="nil"/>
            </w:tcBorders>
            <w:shd w:val="clear" w:color="auto" w:fill="auto"/>
            <w:tcMar>
              <w:left w:w="113" w:type="dxa"/>
              <w:right w:w="113" w:type="dxa"/>
            </w:tcMar>
            <w:textDirection w:val="btLr"/>
            <w:vAlign w:val="center"/>
            <w:hideMark/>
          </w:tcPr>
          <w:p w:rsidR="001A641D" w:rsidRPr="00333FD1" w:rsidRDefault="007E5C0A" w:rsidP="001A641D">
            <w:pPr>
              <w:spacing w:after="0" w:line="240" w:lineRule="auto"/>
              <w:ind w:left="113" w:right="113"/>
              <w:jc w:val="center"/>
              <w:rPr>
                <w:rFonts w:ascii="Calibri" w:eastAsia="Times New Roman" w:hAnsi="Calibri"/>
                <w:color w:val="000000"/>
                <w:sz w:val="15"/>
                <w:szCs w:val="15"/>
                <w:lang w:eastAsia="en-AU"/>
              </w:rPr>
            </w:pPr>
            <w:r w:rsidRPr="00333FD1">
              <w:rPr>
                <w:rFonts w:ascii="Calibri" w:eastAsia="Times New Roman" w:hAnsi="Calibri"/>
                <w:b/>
                <w:bCs/>
                <w:color w:val="000000"/>
                <w:sz w:val="15"/>
                <w:szCs w:val="15"/>
                <w:lang w:eastAsia="en-AU"/>
              </w:rPr>
              <w:t>Part A Fees</w:t>
            </w: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A</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Listed threatened species and ecological communities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1-5 species or ecological communities require assessment;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Impacts to all species and ecological communities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Available options to manage impacts to</w:t>
            </w:r>
            <w:r w:rsidRPr="00333FD1">
              <w:rPr>
                <w:rFonts w:ascii="Calibri" w:eastAsia="Times New Roman" w:hAnsi="Calibri"/>
                <w:color w:val="000000"/>
                <w:sz w:val="15"/>
                <w:szCs w:val="15"/>
                <w:lang w:eastAsia="en-AU"/>
              </w:rPr>
              <w:t xml:space="preserve"> all species and ecological communities are 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Up to 14 species or ecological communities require assessment;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Impacts to </w:t>
            </w:r>
            <w:r w:rsidRPr="00333FD1">
              <w:rPr>
                <w:rFonts w:ascii="Calibri" w:eastAsia="Times New Roman" w:hAnsi="Calibri"/>
                <w:color w:val="000000"/>
                <w:sz w:val="15"/>
                <w:szCs w:val="15"/>
                <w:u w:val="single"/>
                <w:lang w:eastAsia="en-AU"/>
              </w:rPr>
              <w:t>most</w:t>
            </w:r>
            <w:r w:rsidRPr="00333FD1">
              <w:rPr>
                <w:rFonts w:ascii="Calibri" w:eastAsia="Times New Roman" w:hAnsi="Calibri"/>
                <w:color w:val="000000"/>
                <w:sz w:val="15"/>
                <w:szCs w:val="15"/>
                <w:lang w:eastAsia="en-AU"/>
              </w:rPr>
              <w:t xml:space="preserve"> species and ecological communities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Available options to manage impacts to</w:t>
            </w:r>
            <w:r w:rsidRPr="00333FD1">
              <w:rPr>
                <w:rFonts w:ascii="Calibri" w:eastAsia="Times New Roman" w:hAnsi="Calibri"/>
                <w:color w:val="000000"/>
                <w:sz w:val="15"/>
                <w:szCs w:val="15"/>
                <w:lang w:eastAsia="en-AU"/>
              </w:rPr>
              <w:t xml:space="preserve"> </w:t>
            </w:r>
            <w:r w:rsidRPr="00333FD1">
              <w:rPr>
                <w:rFonts w:ascii="Calibri" w:eastAsia="Times New Roman" w:hAnsi="Calibri"/>
                <w:color w:val="000000"/>
                <w:sz w:val="15"/>
                <w:szCs w:val="15"/>
                <w:u w:val="single"/>
                <w:lang w:eastAsia="en-AU"/>
              </w:rPr>
              <w:t>most</w:t>
            </w:r>
            <w:r w:rsidRPr="00333FD1">
              <w:rPr>
                <w:rFonts w:ascii="Calibri" w:eastAsia="Times New Roman" w:hAnsi="Calibri"/>
                <w:color w:val="000000"/>
                <w:sz w:val="15"/>
                <w:szCs w:val="15"/>
                <w:lang w:eastAsia="en-AU"/>
              </w:rPr>
              <w:t xml:space="preserve"> species and ecological communities are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≥15 species or ecological communities require assessment; </w:t>
            </w:r>
            <w:r w:rsidRPr="00333FD1">
              <w:rPr>
                <w:rFonts w:ascii="Calibri" w:eastAsia="Times New Roman" w:hAnsi="Calibri"/>
                <w:b/>
                <w:bCs/>
                <w:color w:val="000000"/>
                <w:sz w:val="15"/>
                <w:szCs w:val="15"/>
                <w:lang w:eastAsia="en-AU"/>
              </w:rPr>
              <w:t>OR</w:t>
            </w:r>
            <w:r w:rsidRPr="00333FD1">
              <w:rPr>
                <w:rFonts w:ascii="Calibri" w:eastAsia="Times New Roman" w:hAnsi="Calibri"/>
                <w:color w:val="000000"/>
                <w:sz w:val="15"/>
                <w:szCs w:val="15"/>
                <w:lang w:eastAsia="en-AU"/>
              </w:rPr>
              <w:br/>
              <w:t xml:space="preserve">• Impacts to &gt;7 species or ecological communities are not well understood; </w:t>
            </w:r>
            <w:r w:rsidRPr="00333FD1">
              <w:rPr>
                <w:rFonts w:ascii="Calibri" w:eastAsia="Times New Roman" w:hAnsi="Calibri"/>
                <w:b/>
                <w:bCs/>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Available options to manage impacts to</w:t>
            </w:r>
            <w:r w:rsidRPr="00333FD1">
              <w:rPr>
                <w:rFonts w:ascii="Calibri" w:eastAsia="Times New Roman" w:hAnsi="Calibri"/>
                <w:color w:val="000000"/>
                <w:sz w:val="15"/>
                <w:szCs w:val="15"/>
                <w:lang w:eastAsia="en-AU"/>
              </w:rPr>
              <w:t xml:space="preserve"> &gt;7 species or ecological communities 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single" w:sz="4" w:space="0" w:color="auto"/>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vMerge w:val="restart"/>
            <w:tcBorders>
              <w:top w:val="single" w:sz="4" w:space="0" w:color="auto"/>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B</w:t>
            </w:r>
          </w:p>
        </w:tc>
        <w:tc>
          <w:tcPr>
            <w:tcW w:w="460" w:type="pct"/>
            <w:vMerge w:val="restart"/>
            <w:tcBorders>
              <w:top w:val="nil"/>
              <w:left w:val="single" w:sz="4" w:space="0" w:color="auto"/>
              <w:bottom w:val="single" w:sz="4" w:space="0" w:color="000000"/>
              <w:right w:val="nil"/>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Listed migratory species</w:t>
            </w:r>
          </w:p>
        </w:tc>
        <w:tc>
          <w:tcPr>
            <w:tcW w:w="1159" w:type="pct"/>
            <w:tcBorders>
              <w:top w:val="nil"/>
              <w:left w:val="single" w:sz="4" w:space="0" w:color="auto"/>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1-5 migratory species require assessment; </w:t>
            </w:r>
            <w:r w:rsidRPr="00D072D5">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t xml:space="preserve"> </w:t>
            </w:r>
            <w:r w:rsidRPr="00333FD1">
              <w:rPr>
                <w:rFonts w:ascii="Calibri" w:eastAsia="Times New Roman" w:hAnsi="Calibri"/>
                <w:color w:val="000000"/>
                <w:sz w:val="15"/>
                <w:szCs w:val="15"/>
                <w:lang w:eastAsia="en-AU"/>
              </w:rPr>
              <w:br/>
              <w:t xml:space="preserve">• Impacts to all migratory species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to </w:t>
            </w:r>
            <w:r w:rsidRPr="00333FD1">
              <w:rPr>
                <w:rFonts w:ascii="Calibri" w:eastAsia="Times New Roman" w:hAnsi="Calibri"/>
                <w:color w:val="000000"/>
                <w:sz w:val="15"/>
                <w:szCs w:val="15"/>
                <w:lang w:eastAsia="en-AU"/>
              </w:rPr>
              <w:t>all migratory species are 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Up to 14 migratory species require assessment;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Impacts to </w:t>
            </w:r>
            <w:r w:rsidRPr="00333FD1">
              <w:rPr>
                <w:rFonts w:ascii="Calibri" w:eastAsia="Times New Roman" w:hAnsi="Calibri"/>
                <w:color w:val="000000"/>
                <w:sz w:val="15"/>
                <w:szCs w:val="15"/>
                <w:u w:val="single"/>
                <w:lang w:eastAsia="en-AU"/>
              </w:rPr>
              <w:t>most</w:t>
            </w:r>
            <w:r w:rsidRPr="00333FD1">
              <w:rPr>
                <w:rFonts w:ascii="Calibri" w:eastAsia="Times New Roman" w:hAnsi="Calibri"/>
                <w:color w:val="000000"/>
                <w:sz w:val="15"/>
                <w:szCs w:val="15"/>
                <w:lang w:eastAsia="en-AU"/>
              </w:rPr>
              <w:t xml:space="preserve"> species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to </w:t>
            </w:r>
            <w:r w:rsidRPr="00333FD1">
              <w:rPr>
                <w:rFonts w:ascii="Calibri" w:eastAsia="Times New Roman" w:hAnsi="Calibri"/>
                <w:color w:val="000000"/>
                <w:sz w:val="15"/>
                <w:szCs w:val="15"/>
                <w:u w:val="single"/>
                <w:lang w:eastAsia="en-AU"/>
              </w:rPr>
              <w:t>most</w:t>
            </w:r>
            <w:r w:rsidRPr="00333FD1">
              <w:rPr>
                <w:rFonts w:ascii="Calibri" w:eastAsia="Times New Roman" w:hAnsi="Calibri"/>
                <w:color w:val="000000"/>
                <w:sz w:val="15"/>
                <w:szCs w:val="15"/>
                <w:lang w:eastAsia="en-AU"/>
              </w:rPr>
              <w:t xml:space="preserve"> migratory species are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≥15 migratory species require assessment; </w:t>
            </w:r>
            <w:r w:rsidRPr="00333FD1">
              <w:rPr>
                <w:rFonts w:ascii="Calibri" w:eastAsia="Times New Roman" w:hAnsi="Calibri"/>
                <w:b/>
                <w:bCs/>
                <w:color w:val="000000"/>
                <w:sz w:val="15"/>
                <w:szCs w:val="15"/>
                <w:lang w:eastAsia="en-AU"/>
              </w:rPr>
              <w:t>OR</w:t>
            </w:r>
            <w:r w:rsidRPr="00333FD1">
              <w:rPr>
                <w:rFonts w:ascii="Calibri" w:eastAsia="Times New Roman" w:hAnsi="Calibri"/>
                <w:color w:val="000000"/>
                <w:sz w:val="15"/>
                <w:szCs w:val="15"/>
                <w:lang w:eastAsia="en-AU"/>
              </w:rPr>
              <w:br/>
              <w:t>• Impacts to &gt;7 migratory species are not well understood;</w:t>
            </w:r>
            <w:r>
              <w:rPr>
                <w:rFonts w:ascii="Calibri" w:eastAsia="Times New Roman" w:hAnsi="Calibri"/>
                <w:color w:val="000000"/>
                <w:sz w:val="15"/>
                <w:szCs w:val="15"/>
                <w:lang w:eastAsia="en-AU"/>
              </w:rPr>
              <w:t xml:space="preserve"> </w:t>
            </w:r>
            <w:r w:rsidRPr="00333FD1">
              <w:rPr>
                <w:rFonts w:ascii="Calibri" w:eastAsia="Times New Roman" w:hAnsi="Calibri"/>
                <w:b/>
                <w:bCs/>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to </w:t>
            </w:r>
            <w:r w:rsidRPr="00333FD1">
              <w:rPr>
                <w:rFonts w:ascii="Calibri" w:eastAsia="Times New Roman" w:hAnsi="Calibri"/>
                <w:color w:val="000000"/>
                <w:sz w:val="15"/>
                <w:szCs w:val="15"/>
                <w:lang w:eastAsia="en-AU"/>
              </w:rPr>
              <w:t>&gt;7 migratory species are not well understood</w:t>
            </w:r>
            <w:r>
              <w:rPr>
                <w:rFonts w:ascii="Calibri" w:eastAsia="Times New Roman" w:hAnsi="Calibri"/>
                <w:color w:val="000000"/>
                <w:sz w:val="15"/>
                <w:szCs w:val="15"/>
                <w:lang w:eastAsia="en-AU"/>
              </w:rPr>
              <w:t>.</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single" w:sz="4" w:space="0" w:color="auto"/>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vMerge/>
            <w:tcBorders>
              <w:top w:val="single" w:sz="4" w:space="0" w:color="000000"/>
              <w:left w:val="single" w:sz="4" w:space="0" w:color="auto"/>
              <w:bottom w:val="single" w:sz="4" w:space="0" w:color="auto"/>
              <w:right w:val="single" w:sz="4" w:space="0" w:color="auto"/>
            </w:tcBorders>
            <w:tcMar>
              <w:left w:w="113" w:type="dxa"/>
              <w:right w:w="113" w:type="dxa"/>
            </w:tcMar>
            <w:vAlign w:val="center"/>
            <w:hideMark/>
          </w:tcPr>
          <w:p w:rsidR="001A641D" w:rsidRPr="00333FD1" w:rsidRDefault="001A641D" w:rsidP="001A641D">
            <w:pPr>
              <w:spacing w:after="0" w:line="240" w:lineRule="auto"/>
              <w:rPr>
                <w:rFonts w:ascii="Calibri" w:eastAsia="Times New Roman" w:hAnsi="Calibri"/>
                <w:b/>
                <w:bCs/>
                <w:color w:val="FFFFFF"/>
                <w:sz w:val="16"/>
                <w:szCs w:val="16"/>
                <w:lang w:eastAsia="en-AU"/>
              </w:rPr>
            </w:pPr>
          </w:p>
        </w:tc>
        <w:tc>
          <w:tcPr>
            <w:tcW w:w="460" w:type="pct"/>
            <w:vMerge/>
            <w:tcBorders>
              <w:top w:val="nil"/>
              <w:left w:val="single" w:sz="4" w:space="0" w:color="auto"/>
              <w:bottom w:val="single" w:sz="4" w:space="0" w:color="000000"/>
              <w:right w:val="nil"/>
            </w:tcBorders>
            <w:tcMar>
              <w:left w:w="113" w:type="dxa"/>
              <w:right w:w="113" w:type="dxa"/>
            </w:tcMar>
            <w:vAlign w:val="center"/>
            <w:hideMark/>
          </w:tcPr>
          <w:p w:rsidR="001A641D" w:rsidRPr="00333FD1" w:rsidRDefault="001A641D" w:rsidP="001A641D">
            <w:pPr>
              <w:spacing w:after="0" w:line="240" w:lineRule="auto"/>
              <w:ind w:left="141"/>
              <w:rPr>
                <w:rFonts w:ascii="Calibri" w:eastAsia="Times New Roman" w:hAnsi="Calibri"/>
                <w:color w:val="000000"/>
                <w:sz w:val="15"/>
                <w:szCs w:val="15"/>
                <w:lang w:eastAsia="en-AU"/>
              </w:rPr>
            </w:pPr>
          </w:p>
        </w:tc>
        <w:tc>
          <w:tcPr>
            <w:tcW w:w="4308" w:type="pct"/>
            <w:gridSpan w:val="6"/>
            <w:tcBorders>
              <w:top w:val="single" w:sz="4" w:space="0" w:color="auto"/>
              <w:left w:val="single" w:sz="4" w:space="0" w:color="auto"/>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i/>
                <w:iCs/>
                <w:color w:val="000000"/>
                <w:sz w:val="16"/>
                <w:szCs w:val="16"/>
                <w:lang w:eastAsia="en-AU"/>
              </w:rPr>
            </w:pPr>
            <w:r w:rsidRPr="00333FD1">
              <w:rPr>
                <w:rFonts w:ascii="Calibri" w:eastAsia="Times New Roman" w:hAnsi="Calibri"/>
                <w:i/>
                <w:iCs/>
                <w:color w:val="000000"/>
                <w:sz w:val="16"/>
                <w:szCs w:val="16"/>
                <w:lang w:eastAsia="en-AU"/>
              </w:rPr>
              <w:t>NOTE: If a listed migratory species is also a listed threatened species, it is not counted in the 'tally' of species for this component.</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single" w:sz="4" w:space="0" w:color="auto"/>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C</w:t>
            </w:r>
          </w:p>
        </w:tc>
        <w:tc>
          <w:tcPr>
            <w:tcW w:w="460" w:type="pct"/>
            <w:tcBorders>
              <w:top w:val="single" w:sz="4" w:space="0" w:color="auto"/>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Wetlands of international importance</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on the ecological character of the wetland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are </w:t>
            </w:r>
            <w:r w:rsidRPr="00333FD1">
              <w:rPr>
                <w:rFonts w:ascii="Calibri" w:eastAsia="Times New Roman" w:hAnsi="Calibri"/>
                <w:color w:val="000000"/>
                <w:sz w:val="15"/>
                <w:szCs w:val="15"/>
                <w:lang w:eastAsia="en-AU"/>
              </w:rPr>
              <w:t>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ecological character of the wetland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Impacts to the ecological character of the we</w:t>
            </w:r>
            <w:r>
              <w:rPr>
                <w:rFonts w:ascii="Calibri" w:eastAsia="Times New Roman" w:hAnsi="Calibri"/>
                <w:color w:val="000000"/>
                <w:sz w:val="15"/>
                <w:szCs w:val="15"/>
                <w:lang w:eastAsia="en-AU"/>
              </w:rPr>
              <w:t>tland are not well understood;</w:t>
            </w:r>
            <w:r w:rsidRPr="00333FD1">
              <w:rPr>
                <w:rFonts w:ascii="Calibri" w:eastAsia="Times New Roman" w:hAnsi="Calibri"/>
                <w:color w:val="000000"/>
                <w:sz w:val="15"/>
                <w:szCs w:val="15"/>
                <w:lang w:eastAsia="en-AU"/>
              </w:rPr>
              <w:t xml:space="preserve">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D</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Environment of the Commonwealth marine area</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on the environment of the Commonwealth marine area and its conservation values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Impacts to the environment of the Commonwealth marine area and its c</w:t>
            </w:r>
            <w:r>
              <w:rPr>
                <w:rFonts w:ascii="Calibri" w:eastAsia="Times New Roman" w:hAnsi="Calibri"/>
                <w:color w:val="000000"/>
                <w:sz w:val="15"/>
                <w:szCs w:val="15"/>
                <w:lang w:eastAsia="en-AU"/>
              </w:rPr>
              <w:t xml:space="preserve">onservation values are not well </w:t>
            </w:r>
            <w:r w:rsidRPr="00333FD1">
              <w:rPr>
                <w:rFonts w:ascii="Calibri" w:eastAsia="Times New Roman" w:hAnsi="Calibri"/>
                <w:color w:val="000000"/>
                <w:sz w:val="15"/>
                <w:szCs w:val="15"/>
                <w:lang w:eastAsia="en-AU"/>
              </w:rPr>
              <w:t xml:space="preserve">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environment of the Commonwealth marine area and its conservation values are not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E</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World heritage properties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Impacts on the World Herita</w:t>
            </w:r>
            <w:r>
              <w:rPr>
                <w:rFonts w:ascii="Calibri" w:eastAsia="Times New Roman" w:hAnsi="Calibri"/>
                <w:color w:val="000000"/>
                <w:sz w:val="15"/>
                <w:szCs w:val="15"/>
                <w:lang w:eastAsia="en-AU"/>
              </w:rPr>
              <w:t>ge values are well understood;</w:t>
            </w:r>
            <w:r w:rsidRPr="00333FD1">
              <w:rPr>
                <w:rFonts w:ascii="Calibri" w:eastAsia="Times New Roman" w:hAnsi="Calibri"/>
                <w:color w:val="000000"/>
                <w:sz w:val="15"/>
                <w:szCs w:val="15"/>
                <w:lang w:eastAsia="en-AU"/>
              </w:rPr>
              <w:t xml:space="preserve">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are </w:t>
            </w:r>
            <w:r w:rsidRPr="00333FD1">
              <w:rPr>
                <w:rFonts w:ascii="Calibri" w:eastAsia="Times New Roman" w:hAnsi="Calibri"/>
                <w:color w:val="000000"/>
                <w:sz w:val="15"/>
                <w:szCs w:val="15"/>
                <w:lang w:eastAsia="en-AU"/>
              </w:rPr>
              <w:t>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World Heritage values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Impacts to the Wor</w:t>
            </w:r>
            <w:r>
              <w:rPr>
                <w:rFonts w:ascii="Calibri" w:eastAsia="Times New Roman" w:hAnsi="Calibri"/>
                <w:color w:val="000000"/>
                <w:sz w:val="15"/>
                <w:szCs w:val="15"/>
                <w:lang w:eastAsia="en-AU"/>
              </w:rPr>
              <w:t xml:space="preserve">ld Heritage values are not well </w:t>
            </w:r>
            <w:r w:rsidRPr="00333FD1">
              <w:rPr>
                <w:rFonts w:ascii="Calibri" w:eastAsia="Times New Roman" w:hAnsi="Calibri"/>
                <w:color w:val="000000"/>
                <w:sz w:val="15"/>
                <w:szCs w:val="15"/>
                <w:lang w:eastAsia="en-AU"/>
              </w:rPr>
              <w:t xml:space="preserve">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F</w:t>
            </w:r>
          </w:p>
        </w:tc>
        <w:tc>
          <w:tcPr>
            <w:tcW w:w="460" w:type="pct"/>
            <w:vMerge w:val="restart"/>
            <w:tcBorders>
              <w:top w:val="nil"/>
              <w:left w:val="single" w:sz="4" w:space="0" w:color="auto"/>
              <w:bottom w:val="single" w:sz="4" w:space="0" w:color="000000"/>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National heritage places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on the National Heritage values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National Heritage values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National Heritage values are not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5"/>
                <w:szCs w:val="15"/>
                <w:lang w:eastAsia="en-AU"/>
              </w:rPr>
            </w:pPr>
            <w:r w:rsidRPr="00333FD1">
              <w:rPr>
                <w:rFonts w:ascii="Calibri" w:eastAsia="Times New Roman" w:hAnsi="Calibri"/>
                <w:b/>
                <w:bCs/>
                <w:color w:val="FFFFFF"/>
                <w:sz w:val="15"/>
                <w:szCs w:val="15"/>
                <w:lang w:eastAsia="en-AU"/>
              </w:rPr>
              <w:t> </w:t>
            </w:r>
          </w:p>
        </w:tc>
        <w:tc>
          <w:tcPr>
            <w:tcW w:w="460"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ind w:left="141"/>
              <w:rPr>
                <w:rFonts w:ascii="Calibri" w:eastAsia="Times New Roman" w:hAnsi="Calibri"/>
                <w:color w:val="000000"/>
                <w:sz w:val="15"/>
                <w:szCs w:val="15"/>
                <w:lang w:eastAsia="en-AU"/>
              </w:rPr>
            </w:pPr>
          </w:p>
        </w:tc>
        <w:tc>
          <w:tcPr>
            <w:tcW w:w="4308" w:type="pct"/>
            <w:gridSpan w:val="6"/>
            <w:tcBorders>
              <w:top w:val="single" w:sz="4" w:space="0" w:color="auto"/>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i/>
                <w:iCs/>
                <w:color w:val="000000"/>
                <w:sz w:val="16"/>
                <w:szCs w:val="16"/>
                <w:lang w:eastAsia="en-AU"/>
              </w:rPr>
            </w:pPr>
            <w:r w:rsidRPr="00333FD1">
              <w:rPr>
                <w:rFonts w:ascii="Calibri" w:eastAsia="Times New Roman" w:hAnsi="Calibri"/>
                <w:i/>
                <w:iCs/>
                <w:color w:val="000000"/>
                <w:sz w:val="16"/>
                <w:szCs w:val="16"/>
                <w:lang w:eastAsia="en-AU"/>
              </w:rPr>
              <w:t>NOTE: If the listed national heritage place is also a listed world heritage property, this component does not apply</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G</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Nuclear actions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Th</w:t>
            </w:r>
            <w:r>
              <w:rPr>
                <w:rFonts w:ascii="Calibri" w:eastAsia="Times New Roman" w:hAnsi="Calibri"/>
                <w:color w:val="000000"/>
                <w:sz w:val="15"/>
                <w:szCs w:val="15"/>
                <w:lang w:eastAsia="en-AU"/>
              </w:rPr>
              <w:t>e technology is well understood;</w:t>
            </w:r>
            <w:r w:rsidRPr="00333FD1">
              <w:rPr>
                <w:rFonts w:ascii="Calibri" w:eastAsia="Times New Roman" w:hAnsi="Calibri"/>
                <w:color w:val="000000"/>
                <w:sz w:val="15"/>
                <w:szCs w:val="15"/>
                <w:lang w:eastAsia="en-AU"/>
              </w:rPr>
              <w:t xml:space="preserve"> </w:t>
            </w:r>
            <w:r w:rsidRPr="00F81065">
              <w:rPr>
                <w:rFonts w:ascii="Calibri" w:eastAsia="Times New Roman" w:hAnsi="Calibri"/>
                <w:b/>
                <w:color w:val="000000"/>
                <w:sz w:val="15"/>
                <w:szCs w:val="15"/>
                <w:lang w:eastAsia="en-AU"/>
              </w:rPr>
              <w:t>AND</w:t>
            </w:r>
          </w:p>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Th</w:t>
            </w:r>
            <w:r>
              <w:rPr>
                <w:rFonts w:ascii="Calibri" w:eastAsia="Times New Roman" w:hAnsi="Calibri"/>
                <w:color w:val="000000"/>
                <w:sz w:val="15"/>
                <w:szCs w:val="15"/>
                <w:lang w:eastAsia="en-AU"/>
              </w:rPr>
              <w:t>e impacts are well understood;</w:t>
            </w:r>
            <w:r w:rsidRPr="00333FD1">
              <w:rPr>
                <w:rFonts w:ascii="Calibri" w:eastAsia="Times New Roman" w:hAnsi="Calibri"/>
                <w:color w:val="000000"/>
                <w:sz w:val="15"/>
                <w:szCs w:val="15"/>
                <w:lang w:eastAsia="en-AU"/>
              </w:rPr>
              <w:t xml:space="preserve">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well 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The technology is well understood</w:t>
            </w:r>
            <w:r>
              <w:rPr>
                <w:rFonts w:ascii="Calibri" w:eastAsia="Times New Roman" w:hAnsi="Calibri"/>
                <w:color w:val="000000"/>
                <w:sz w:val="15"/>
                <w:szCs w:val="15"/>
                <w:lang w:eastAsia="en-AU"/>
              </w:rPr>
              <w:t xml:space="preserve">; </w:t>
            </w:r>
            <w:r w:rsidRPr="00666E18">
              <w:rPr>
                <w:rFonts w:ascii="Calibri" w:eastAsia="Times New Roman" w:hAnsi="Calibri"/>
                <w:b/>
                <w:color w:val="000000"/>
                <w:sz w:val="15"/>
                <w:szCs w:val="15"/>
                <w:lang w:eastAsia="en-AU"/>
              </w:rPr>
              <w:t>AND</w:t>
            </w:r>
          </w:p>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Technology proposed is new and unproven</w:t>
            </w:r>
            <w:r>
              <w:rPr>
                <w:rFonts w:ascii="Calibri" w:eastAsia="Times New Roman" w:hAnsi="Calibri"/>
                <w:color w:val="000000"/>
                <w:sz w:val="15"/>
                <w:szCs w:val="15"/>
                <w:lang w:eastAsia="en-AU"/>
              </w:rPr>
              <w:t xml:space="preserve">; </w:t>
            </w:r>
            <w:r w:rsidRPr="00666E18">
              <w:rPr>
                <w:rFonts w:ascii="Calibri" w:eastAsia="Times New Roman" w:hAnsi="Calibri"/>
                <w:b/>
                <w:color w:val="000000"/>
                <w:sz w:val="15"/>
                <w:szCs w:val="15"/>
                <w:lang w:eastAsia="en-AU"/>
              </w:rPr>
              <w:t>OR</w:t>
            </w:r>
          </w:p>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are not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r>
              <w:rPr>
                <w:rFonts w:ascii="Calibri" w:eastAsia="Times New Roman" w:hAnsi="Calibri"/>
                <w:color w:val="000000"/>
                <w:sz w:val="15"/>
                <w:szCs w:val="15"/>
                <w:lang w:eastAsia="en-AU"/>
              </w:rPr>
              <w:t>.</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vMerge w:val="restart"/>
            <w:tcBorders>
              <w:top w:val="nil"/>
              <w:left w:val="single" w:sz="4" w:space="0" w:color="auto"/>
              <w:bottom w:val="single" w:sz="4" w:space="0" w:color="000000"/>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H</w:t>
            </w:r>
          </w:p>
        </w:tc>
        <w:tc>
          <w:tcPr>
            <w:tcW w:w="460" w:type="pct"/>
            <w:vMerge w:val="restart"/>
            <w:tcBorders>
              <w:top w:val="nil"/>
              <w:left w:val="single" w:sz="4" w:space="0" w:color="auto"/>
              <w:bottom w:val="single" w:sz="4" w:space="0" w:color="000000"/>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Great Barrier Reef Marine Park</w:t>
            </w:r>
          </w:p>
        </w:tc>
        <w:tc>
          <w:tcPr>
            <w:tcW w:w="1159" w:type="pct"/>
            <w:vMerge w:val="restart"/>
            <w:tcBorders>
              <w:top w:val="nil"/>
              <w:left w:val="single" w:sz="4" w:space="0" w:color="auto"/>
              <w:bottom w:val="single" w:sz="4" w:space="0" w:color="000000"/>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environment of the Great Barrier Reef Marine Park are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are well </w:t>
            </w:r>
            <w:r w:rsidRPr="00333FD1">
              <w:rPr>
                <w:rFonts w:ascii="Calibri" w:eastAsia="Times New Roman" w:hAnsi="Calibri"/>
                <w:color w:val="000000"/>
                <w:sz w:val="15"/>
                <w:szCs w:val="15"/>
                <w:lang w:eastAsia="en-AU"/>
              </w:rPr>
              <w:t>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1A641D" w:rsidP="001A641D">
            <w:pPr>
              <w:spacing w:after="0" w:line="240" w:lineRule="auto"/>
              <w:jc w:val="center"/>
              <w:rPr>
                <w:rFonts w:ascii="Calibri" w:eastAsia="Times New Roman" w:hAnsi="Calibri"/>
                <w:color w:val="000000"/>
                <w:sz w:val="16"/>
                <w:szCs w:val="16"/>
                <w:lang w:eastAsia="en-AU"/>
              </w:rPr>
            </w:pPr>
          </w:p>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p w:rsidR="001A641D" w:rsidRPr="00333FD1" w:rsidRDefault="001A641D" w:rsidP="001A641D">
            <w:pPr>
              <w:spacing w:after="0" w:line="240" w:lineRule="auto"/>
              <w:jc w:val="center"/>
              <w:rPr>
                <w:rFonts w:ascii="Calibri" w:eastAsia="Times New Roman" w:hAnsi="Calibri"/>
                <w:color w:val="000000"/>
                <w:sz w:val="16"/>
                <w:szCs w:val="16"/>
                <w:lang w:eastAsia="en-AU"/>
              </w:rPr>
            </w:pPr>
          </w:p>
        </w:tc>
        <w:tc>
          <w:tcPr>
            <w:tcW w:w="1137" w:type="pct"/>
            <w:vMerge w:val="restart"/>
            <w:tcBorders>
              <w:top w:val="nil"/>
              <w:left w:val="single" w:sz="4" w:space="0" w:color="auto"/>
              <w:bottom w:val="single" w:sz="4" w:space="0" w:color="000000"/>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environment of the Great Barrier Reef Marine Park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Available options to manage impacts are not well u</w:t>
            </w:r>
            <w:r w:rsidRPr="00333FD1">
              <w:rPr>
                <w:rFonts w:ascii="Calibri" w:eastAsia="Times New Roman" w:hAnsi="Calibri"/>
                <w:color w:val="000000"/>
                <w:sz w:val="15"/>
                <w:szCs w:val="15"/>
                <w:lang w:eastAsia="en-AU"/>
              </w:rPr>
              <w:t>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vMerge w:val="restart"/>
            <w:tcBorders>
              <w:top w:val="nil"/>
              <w:left w:val="single" w:sz="4" w:space="0" w:color="auto"/>
              <w:bottom w:val="single" w:sz="4" w:space="0" w:color="000000"/>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environment of the Great Barrier Reef Marine Park are not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rPr>
                <w:rFonts w:ascii="Calibri" w:eastAsia="Times New Roman" w:hAnsi="Calibri"/>
                <w:b/>
                <w:bCs/>
                <w:color w:val="FFFFFF"/>
                <w:sz w:val="16"/>
                <w:szCs w:val="16"/>
                <w:lang w:eastAsia="en-AU"/>
              </w:rPr>
            </w:pPr>
          </w:p>
        </w:tc>
        <w:tc>
          <w:tcPr>
            <w:tcW w:w="460"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ind w:left="141"/>
              <w:rPr>
                <w:rFonts w:ascii="Calibri" w:eastAsia="Times New Roman" w:hAnsi="Calibri"/>
                <w:color w:val="000000"/>
                <w:sz w:val="15"/>
                <w:szCs w:val="15"/>
                <w:lang w:eastAsia="en-AU"/>
              </w:rPr>
            </w:pPr>
          </w:p>
        </w:tc>
        <w:tc>
          <w:tcPr>
            <w:tcW w:w="1159"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$3,371</w:t>
            </w:r>
          </w:p>
        </w:tc>
        <w:tc>
          <w:tcPr>
            <w:tcW w:w="1137"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$12,808</w:t>
            </w:r>
          </w:p>
        </w:tc>
        <w:tc>
          <w:tcPr>
            <w:tcW w:w="1204"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$24,465</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 </w:t>
            </w:r>
          </w:p>
        </w:tc>
        <w:tc>
          <w:tcPr>
            <w:tcW w:w="460" w:type="pct"/>
            <w:vMerge/>
            <w:tcBorders>
              <w:top w:val="nil"/>
              <w:left w:val="single" w:sz="4" w:space="0" w:color="auto"/>
              <w:bottom w:val="single" w:sz="4" w:space="0" w:color="000000"/>
              <w:right w:val="single" w:sz="4" w:space="0" w:color="auto"/>
            </w:tcBorders>
            <w:tcMar>
              <w:left w:w="113" w:type="dxa"/>
              <w:right w:w="113" w:type="dxa"/>
            </w:tcMar>
            <w:vAlign w:val="center"/>
            <w:hideMark/>
          </w:tcPr>
          <w:p w:rsidR="001A641D" w:rsidRPr="00333FD1" w:rsidRDefault="001A641D" w:rsidP="001A641D">
            <w:pPr>
              <w:spacing w:after="0" w:line="240" w:lineRule="auto"/>
              <w:ind w:left="141"/>
              <w:rPr>
                <w:rFonts w:ascii="Calibri" w:eastAsia="Times New Roman" w:hAnsi="Calibri"/>
                <w:color w:val="000000"/>
                <w:sz w:val="15"/>
                <w:szCs w:val="15"/>
                <w:lang w:eastAsia="en-AU"/>
              </w:rPr>
            </w:pPr>
          </w:p>
        </w:tc>
        <w:tc>
          <w:tcPr>
            <w:tcW w:w="4308" w:type="pct"/>
            <w:gridSpan w:val="6"/>
            <w:tcBorders>
              <w:top w:val="single" w:sz="4" w:space="0" w:color="auto"/>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i/>
                <w:iCs/>
                <w:color w:val="000000"/>
                <w:sz w:val="16"/>
                <w:szCs w:val="16"/>
                <w:lang w:eastAsia="en-AU"/>
              </w:rPr>
            </w:pPr>
            <w:r w:rsidRPr="00333FD1">
              <w:rPr>
                <w:rFonts w:ascii="Calibri" w:eastAsia="Times New Roman" w:hAnsi="Calibri"/>
                <w:i/>
                <w:iCs/>
                <w:color w:val="000000"/>
                <w:sz w:val="16"/>
                <w:szCs w:val="16"/>
                <w:lang w:eastAsia="en-AU"/>
              </w:rPr>
              <w:t>NOTE: If the action also triggers the World Heritage controlling provision and/or the National Heritage controlling provision, the lower fee is charged.</w:t>
            </w:r>
          </w:p>
        </w:tc>
      </w:tr>
      <w:tr w:rsidR="00397365" w:rsidTr="001A641D">
        <w:trPr>
          <w:cantSplit/>
        </w:trPr>
        <w:tc>
          <w:tcPr>
            <w:tcW w:w="140" w:type="pct"/>
            <w:vMerge/>
            <w:tcBorders>
              <w:left w:val="single" w:sz="4" w:space="0" w:color="auto"/>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I</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Water Resources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water resources are </w:t>
            </w:r>
            <w:r>
              <w:rPr>
                <w:rFonts w:ascii="Calibri" w:eastAsia="Times New Roman" w:hAnsi="Calibri"/>
                <w:color w:val="000000"/>
                <w:sz w:val="15"/>
                <w:szCs w:val="15"/>
                <w:lang w:eastAsia="en-AU"/>
              </w:rPr>
              <w:t>well understood</w:t>
            </w:r>
            <w:r w:rsidRPr="00333FD1">
              <w:rPr>
                <w:rFonts w:ascii="Calibri" w:eastAsia="Times New Roman" w:hAnsi="Calibri"/>
                <w:color w:val="000000"/>
                <w:sz w:val="15"/>
                <w:szCs w:val="15"/>
                <w:lang w:eastAsia="en-AU"/>
              </w:rPr>
              <w:t xml:space="preserve">;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 xml:space="preserve">are well </w:t>
            </w:r>
            <w:r>
              <w:rPr>
                <w:rFonts w:ascii="Calibri" w:eastAsia="Times New Roman" w:hAnsi="Calibri"/>
                <w:color w:val="000000"/>
                <w:sz w:val="15"/>
                <w:szCs w:val="15"/>
                <w:lang w:eastAsia="en-AU"/>
              </w:rPr>
              <w:t xml:space="preserve"> u</w:t>
            </w:r>
            <w:r w:rsidRPr="00333FD1">
              <w:rPr>
                <w:rFonts w:ascii="Calibri" w:eastAsia="Times New Roman" w:hAnsi="Calibri"/>
                <w:color w:val="000000"/>
                <w:sz w:val="15"/>
                <w:szCs w:val="15"/>
                <w:lang w:eastAsia="en-AU"/>
              </w:rPr>
              <w:t>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water resources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water resources are not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140" w:type="pct"/>
            <w:vMerge/>
            <w:tcBorders>
              <w:left w:val="single" w:sz="4" w:space="0" w:color="auto"/>
              <w:bottom w:val="single" w:sz="4" w:space="0" w:color="000000"/>
              <w:right w:val="nil"/>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J</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Commonwealth Land/ Agency/ Heritage Places Overseas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Impacts to the en</w:t>
            </w:r>
            <w:r>
              <w:rPr>
                <w:rFonts w:ascii="Calibri" w:eastAsia="Times New Roman" w:hAnsi="Calibri"/>
                <w:color w:val="000000"/>
                <w:sz w:val="15"/>
                <w:szCs w:val="15"/>
                <w:lang w:eastAsia="en-AU"/>
              </w:rPr>
              <w:t>vironment are well understood;</w:t>
            </w:r>
            <w:r w:rsidRPr="00333FD1">
              <w:rPr>
                <w:rFonts w:ascii="Calibri" w:eastAsia="Times New Roman" w:hAnsi="Calibri"/>
                <w:color w:val="000000"/>
                <w:sz w:val="15"/>
                <w:szCs w:val="15"/>
                <w:lang w:eastAsia="en-AU"/>
              </w:rPr>
              <w:t xml:space="preserve">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are well </w:t>
            </w:r>
            <w:r w:rsidRPr="00333FD1">
              <w:rPr>
                <w:rFonts w:ascii="Calibri" w:eastAsia="Times New Roman" w:hAnsi="Calibri"/>
                <w:color w:val="000000"/>
                <w:sz w:val="15"/>
                <w:szCs w:val="15"/>
                <w:lang w:eastAsia="en-AU"/>
              </w:rPr>
              <w:t>understood.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$6,742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environment are not well understood;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$25,615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Impacts to the environment are not well understood; </w:t>
            </w:r>
            <w:r w:rsidRPr="00333FD1">
              <w:rPr>
                <w:rFonts w:ascii="Calibri" w:eastAsia="Times New Roman" w:hAnsi="Calibri"/>
                <w:b/>
                <w:color w:val="000000"/>
                <w:sz w:val="15"/>
                <w:szCs w:val="15"/>
                <w:lang w:eastAsia="en-AU"/>
              </w:rPr>
              <w:t>AND</w:t>
            </w:r>
            <w:r w:rsidRPr="00333FD1">
              <w:rPr>
                <w:rFonts w:ascii="Calibri" w:eastAsia="Times New Roman" w:hAnsi="Calibri"/>
                <w:color w:val="000000"/>
                <w:sz w:val="15"/>
                <w:szCs w:val="15"/>
                <w:lang w:eastAsia="en-AU"/>
              </w:rPr>
              <w:br/>
              <w:t xml:space="preserve">• </w:t>
            </w:r>
            <w:r>
              <w:rPr>
                <w:rFonts w:ascii="Calibri" w:eastAsia="Times New Roman" w:hAnsi="Calibri"/>
                <w:color w:val="000000"/>
                <w:sz w:val="15"/>
                <w:szCs w:val="15"/>
                <w:lang w:eastAsia="en-AU"/>
              </w:rPr>
              <w:t xml:space="preserve">Available options to manage impacts </w:t>
            </w:r>
            <w:r w:rsidRPr="00333FD1">
              <w:rPr>
                <w:rFonts w:ascii="Calibri" w:eastAsia="Times New Roman" w:hAnsi="Calibri"/>
                <w:color w:val="000000"/>
                <w:sz w:val="15"/>
                <w:szCs w:val="15"/>
                <w:lang w:eastAsia="en-AU"/>
              </w:rPr>
              <w:t>are not well understood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$48,931</w:t>
            </w:r>
          </w:p>
        </w:tc>
      </w:tr>
      <w:tr w:rsidR="00397365" w:rsidTr="001A641D">
        <w:trPr>
          <w:cantSplit/>
        </w:trPr>
        <w:tc>
          <w:tcPr>
            <w:tcW w:w="5000" w:type="pct"/>
            <w:gridSpan w:val="9"/>
            <w:tcBorders>
              <w:top w:val="single" w:sz="4" w:space="0" w:color="auto"/>
              <w:left w:val="single" w:sz="4" w:space="0" w:color="auto"/>
              <w:bottom w:val="single" w:sz="4" w:space="0" w:color="000000"/>
              <w:right w:val="single" w:sz="4" w:space="0" w:color="auto"/>
            </w:tcBorders>
            <w:shd w:val="clear" w:color="auto" w:fill="000000" w:themeFill="text1"/>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NUMBER OF PROJECT COMPONENTS</w:t>
            </w:r>
          </w:p>
        </w:tc>
      </w:tr>
      <w:tr w:rsidR="00397365" w:rsidTr="001A641D">
        <w:trPr>
          <w:cantSplit/>
          <w:trHeight w:val="1134"/>
        </w:trPr>
        <w:tc>
          <w:tcPr>
            <w:tcW w:w="140" w:type="pct"/>
            <w:tcBorders>
              <w:top w:val="single" w:sz="4" w:space="0" w:color="auto"/>
              <w:left w:val="single" w:sz="4" w:space="0" w:color="auto"/>
              <w:bottom w:val="single" w:sz="4" w:space="0" w:color="000000"/>
              <w:right w:val="nil"/>
            </w:tcBorders>
            <w:shd w:val="clear" w:color="auto" w:fill="auto"/>
            <w:tcMar>
              <w:left w:w="113" w:type="dxa"/>
              <w:right w:w="113" w:type="dxa"/>
            </w:tcMar>
            <w:textDirection w:val="btLr"/>
            <w:vAlign w:val="center"/>
            <w:hideMark/>
          </w:tcPr>
          <w:p w:rsidR="001A641D" w:rsidRPr="00333FD1" w:rsidRDefault="007E5C0A" w:rsidP="001A641D">
            <w:pPr>
              <w:spacing w:after="0" w:line="240" w:lineRule="auto"/>
              <w:ind w:left="113" w:right="113"/>
              <w:jc w:val="center"/>
              <w:rPr>
                <w:rFonts w:ascii="Calibri" w:eastAsia="Times New Roman" w:hAnsi="Calibri"/>
                <w:color w:val="000000"/>
                <w:sz w:val="15"/>
                <w:szCs w:val="15"/>
                <w:lang w:eastAsia="en-AU"/>
              </w:rPr>
            </w:pPr>
            <w:r w:rsidRPr="00333FD1">
              <w:rPr>
                <w:rFonts w:ascii="Calibri" w:eastAsia="Times New Roman" w:hAnsi="Calibri"/>
                <w:b/>
                <w:bCs/>
                <w:color w:val="000000"/>
                <w:sz w:val="15"/>
                <w:szCs w:val="15"/>
                <w:lang w:eastAsia="en-AU"/>
              </w:rPr>
              <w:t>Part A Fee</w:t>
            </w: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K</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Project components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Two project components</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 xml:space="preserve">Base </w:t>
            </w:r>
            <w:r>
              <w:rPr>
                <w:rFonts w:ascii="Calibri" w:eastAsia="Times New Roman" w:hAnsi="Calibri"/>
                <w:color w:val="000000"/>
                <w:sz w:val="16"/>
                <w:szCs w:val="16"/>
                <w:lang w:eastAsia="en-AU"/>
              </w:rPr>
              <w:t>fee</w:t>
            </w:r>
            <w:r w:rsidRPr="00333FD1">
              <w:rPr>
                <w:rFonts w:ascii="Calibri" w:eastAsia="Times New Roman" w:hAnsi="Calibri"/>
                <w:color w:val="000000"/>
                <w:sz w:val="16"/>
                <w:szCs w:val="16"/>
                <w:lang w:eastAsia="en-AU"/>
              </w:rPr>
              <w:t xml:space="preserve"> x 1</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Three project components</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 xml:space="preserve">Base </w:t>
            </w:r>
            <w:r>
              <w:rPr>
                <w:rFonts w:ascii="Calibri" w:eastAsia="Times New Roman" w:hAnsi="Calibri"/>
                <w:color w:val="000000"/>
                <w:sz w:val="16"/>
                <w:szCs w:val="16"/>
                <w:lang w:eastAsia="en-AU"/>
              </w:rPr>
              <w:t>fee</w:t>
            </w:r>
            <w:r w:rsidRPr="00333FD1">
              <w:rPr>
                <w:rFonts w:ascii="Calibri" w:eastAsia="Times New Roman" w:hAnsi="Calibri"/>
                <w:color w:val="000000"/>
                <w:sz w:val="16"/>
                <w:szCs w:val="16"/>
                <w:lang w:eastAsia="en-AU"/>
              </w:rPr>
              <w:t xml:space="preserve"> x 2</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(Y) number of project components</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 xml:space="preserve">Base </w:t>
            </w:r>
            <w:r>
              <w:rPr>
                <w:rFonts w:ascii="Calibri" w:eastAsia="Times New Roman" w:hAnsi="Calibri"/>
                <w:color w:val="000000"/>
                <w:sz w:val="16"/>
                <w:szCs w:val="16"/>
                <w:lang w:eastAsia="en-AU"/>
              </w:rPr>
              <w:t>fee</w:t>
            </w:r>
            <w:r w:rsidRPr="00333FD1">
              <w:rPr>
                <w:rFonts w:ascii="Calibri" w:eastAsia="Times New Roman" w:hAnsi="Calibri"/>
                <w:color w:val="000000"/>
                <w:sz w:val="16"/>
                <w:szCs w:val="16"/>
                <w:lang w:eastAsia="en-AU"/>
              </w:rPr>
              <w:t xml:space="preserve"> </w:t>
            </w:r>
          </w:p>
          <w:p w:rsidR="001A641D" w:rsidRPr="00333FD1" w:rsidRDefault="007E5C0A" w:rsidP="001A641D">
            <w:pPr>
              <w:spacing w:after="0" w:line="240" w:lineRule="auto"/>
              <w:jc w:val="center"/>
              <w:rPr>
                <w:rFonts w:ascii="Calibri" w:eastAsia="Times New Roman" w:hAnsi="Calibri"/>
                <w:color w:val="000000"/>
                <w:sz w:val="16"/>
                <w:szCs w:val="16"/>
                <w:lang w:eastAsia="en-AU"/>
              </w:rPr>
            </w:pPr>
            <w:r>
              <w:rPr>
                <w:rFonts w:ascii="Calibri" w:eastAsia="Times New Roman" w:hAnsi="Calibri"/>
                <w:color w:val="000000"/>
                <w:sz w:val="16"/>
                <w:szCs w:val="16"/>
                <w:lang w:eastAsia="en-AU"/>
              </w:rPr>
              <w:t>x</w:t>
            </w:r>
            <w:r w:rsidRPr="00333FD1">
              <w:rPr>
                <w:rFonts w:ascii="Calibri" w:eastAsia="Times New Roman" w:hAnsi="Calibri"/>
                <w:color w:val="000000"/>
                <w:sz w:val="16"/>
                <w:szCs w:val="16"/>
                <w:lang w:eastAsia="en-AU"/>
              </w:rPr>
              <w:t>(Y-1)</w:t>
            </w:r>
          </w:p>
        </w:tc>
      </w:tr>
      <w:tr w:rsidR="00397365" w:rsidTr="001A641D">
        <w:trPr>
          <w:cantSplit/>
        </w:trPr>
        <w:tc>
          <w:tcPr>
            <w:tcW w:w="5000" w:type="pct"/>
            <w:gridSpan w:val="9"/>
            <w:tcBorders>
              <w:top w:val="single" w:sz="4" w:space="0" w:color="auto"/>
              <w:left w:val="single" w:sz="4" w:space="0" w:color="auto"/>
              <w:bottom w:val="single" w:sz="4" w:space="0" w:color="000000"/>
              <w:right w:val="single" w:sz="4" w:space="0" w:color="auto"/>
            </w:tcBorders>
            <w:shd w:val="clear" w:color="auto" w:fill="000000" w:themeFill="text1"/>
            <w:tcMar>
              <w:left w:w="113" w:type="dxa"/>
              <w:right w:w="113" w:type="dxa"/>
            </w:tcMar>
            <w:vAlign w:val="center"/>
            <w:hideMark/>
          </w:tcPr>
          <w:p w:rsidR="001A641D" w:rsidRPr="00333FD1" w:rsidRDefault="007E5C0A" w:rsidP="001A641D">
            <w:pPr>
              <w:keepNext/>
              <w:spacing w:after="0" w:line="240" w:lineRule="auto"/>
              <w:ind w:left="141"/>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COORDINATION WITH OTHER LEGISLATION</w:t>
            </w:r>
          </w:p>
        </w:tc>
      </w:tr>
      <w:tr w:rsidR="00397365" w:rsidTr="001A641D">
        <w:trPr>
          <w:cantSplit/>
          <w:trHeight w:val="1134"/>
        </w:trPr>
        <w:tc>
          <w:tcPr>
            <w:tcW w:w="140" w:type="pct"/>
            <w:tcBorders>
              <w:top w:val="single" w:sz="4" w:space="0" w:color="auto"/>
              <w:left w:val="single" w:sz="4" w:space="0" w:color="auto"/>
              <w:bottom w:val="single" w:sz="4" w:space="0" w:color="000000"/>
              <w:right w:val="nil"/>
            </w:tcBorders>
            <w:shd w:val="clear" w:color="auto" w:fill="auto"/>
            <w:tcMar>
              <w:left w:w="113" w:type="dxa"/>
              <w:right w:w="113" w:type="dxa"/>
            </w:tcMar>
            <w:textDirection w:val="btLr"/>
            <w:vAlign w:val="center"/>
            <w:hideMark/>
          </w:tcPr>
          <w:p w:rsidR="001A641D" w:rsidRPr="00333FD1" w:rsidRDefault="007E5C0A" w:rsidP="001A641D">
            <w:pPr>
              <w:spacing w:after="0" w:line="240" w:lineRule="auto"/>
              <w:ind w:left="113" w:right="113"/>
              <w:jc w:val="center"/>
              <w:rPr>
                <w:rFonts w:ascii="Calibri" w:eastAsia="Times New Roman" w:hAnsi="Calibri"/>
                <w:color w:val="000000"/>
                <w:sz w:val="15"/>
                <w:szCs w:val="15"/>
                <w:lang w:eastAsia="en-AU"/>
              </w:rPr>
            </w:pPr>
            <w:r w:rsidRPr="00333FD1">
              <w:rPr>
                <w:rFonts w:ascii="Calibri" w:eastAsia="Times New Roman" w:hAnsi="Calibri"/>
                <w:b/>
                <w:bCs/>
                <w:color w:val="000000"/>
                <w:sz w:val="15"/>
                <w:szCs w:val="15"/>
                <w:lang w:eastAsia="en-AU"/>
              </w:rPr>
              <w:t>Part A Fee</w:t>
            </w:r>
          </w:p>
        </w:tc>
        <w:tc>
          <w:tcPr>
            <w:tcW w:w="92" w:type="pct"/>
            <w:tcBorders>
              <w:top w:val="nil"/>
              <w:left w:val="single" w:sz="4" w:space="0" w:color="auto"/>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L</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sz w:val="15"/>
                <w:szCs w:val="15"/>
                <w:lang w:eastAsia="en-AU"/>
              </w:rPr>
            </w:pPr>
            <w:r w:rsidRPr="00333FD1">
              <w:rPr>
                <w:rFonts w:ascii="Calibri" w:eastAsia="Times New Roman" w:hAnsi="Calibri"/>
                <w:sz w:val="15"/>
                <w:szCs w:val="15"/>
                <w:lang w:eastAsia="en-AU"/>
              </w:rPr>
              <w:t>Coordination with other legislation</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sz w:val="15"/>
                <w:szCs w:val="15"/>
                <w:lang w:eastAsia="en-AU"/>
              </w:rPr>
            </w:pPr>
            <w:r w:rsidRPr="00333FD1">
              <w:rPr>
                <w:rFonts w:ascii="Calibri" w:eastAsia="Times New Roman" w:hAnsi="Calibri"/>
                <w:sz w:val="15"/>
                <w:szCs w:val="15"/>
                <w:lang w:eastAsia="en-AU"/>
              </w:rPr>
              <w:t>• Requires coordination with two</w:t>
            </w:r>
            <w:r>
              <w:rPr>
                <w:rFonts w:ascii="Calibri" w:eastAsia="Times New Roman" w:hAnsi="Calibri"/>
                <w:sz w:val="15"/>
                <w:szCs w:val="15"/>
                <w:lang w:eastAsia="en-AU"/>
              </w:rPr>
              <w:t xml:space="preserve"> known</w:t>
            </w:r>
            <w:r w:rsidRPr="00333FD1">
              <w:rPr>
                <w:rFonts w:ascii="Calibri" w:eastAsia="Times New Roman" w:hAnsi="Calibri"/>
                <w:sz w:val="15"/>
                <w:szCs w:val="15"/>
                <w:lang w:eastAsia="en-AU"/>
              </w:rPr>
              <w:t xml:space="preserve"> legislative processes; </w:t>
            </w:r>
            <w:r w:rsidRPr="00333FD1">
              <w:rPr>
                <w:rFonts w:ascii="Calibri" w:eastAsia="Times New Roman" w:hAnsi="Calibri"/>
                <w:b/>
                <w:sz w:val="15"/>
                <w:szCs w:val="15"/>
                <w:lang w:eastAsia="en-AU"/>
              </w:rPr>
              <w:t>OR</w:t>
            </w:r>
            <w:r w:rsidRPr="00333FD1">
              <w:rPr>
                <w:rFonts w:ascii="Calibri" w:eastAsia="Times New Roman" w:hAnsi="Calibri"/>
                <w:sz w:val="15"/>
                <w:szCs w:val="15"/>
                <w:lang w:eastAsia="en-AU"/>
              </w:rPr>
              <w:br/>
              <w:t xml:space="preserve">• Requires coordination with one legislative process of some other type. </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sz w:val="16"/>
                <w:szCs w:val="16"/>
                <w:lang w:eastAsia="en-AU"/>
              </w:rPr>
            </w:pPr>
            <w:r w:rsidRPr="00333FD1">
              <w:rPr>
                <w:rFonts w:ascii="Calibri" w:eastAsia="Times New Roman" w:hAnsi="Calibri"/>
                <w:sz w:val="16"/>
                <w:szCs w:val="16"/>
                <w:lang w:eastAsia="en-AU"/>
              </w:rPr>
              <w:t>$8,033</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Default="007E5C0A" w:rsidP="001A641D">
            <w:pPr>
              <w:spacing w:after="0" w:line="240" w:lineRule="auto"/>
              <w:rPr>
                <w:rFonts w:ascii="Calibri" w:eastAsia="Times New Roman" w:hAnsi="Calibri"/>
                <w:sz w:val="15"/>
                <w:szCs w:val="15"/>
                <w:lang w:eastAsia="en-AU"/>
              </w:rPr>
            </w:pPr>
            <w:r w:rsidRPr="00333FD1">
              <w:rPr>
                <w:rFonts w:ascii="Calibri" w:eastAsia="Times New Roman" w:hAnsi="Calibri"/>
                <w:sz w:val="15"/>
                <w:szCs w:val="15"/>
                <w:lang w:eastAsia="en-AU"/>
              </w:rPr>
              <w:t xml:space="preserve">• Requires coordination with </w:t>
            </w:r>
            <w:r>
              <w:rPr>
                <w:rFonts w:ascii="Calibri" w:eastAsia="Times New Roman" w:hAnsi="Calibri"/>
                <w:sz w:val="15"/>
                <w:szCs w:val="15"/>
                <w:lang w:eastAsia="en-AU"/>
              </w:rPr>
              <w:t xml:space="preserve">one known legislative process; </w:t>
            </w:r>
            <w:r w:rsidRPr="0054072D">
              <w:rPr>
                <w:rFonts w:ascii="Calibri" w:eastAsia="Times New Roman" w:hAnsi="Calibri"/>
                <w:b/>
                <w:sz w:val="15"/>
                <w:szCs w:val="15"/>
                <w:lang w:eastAsia="en-AU"/>
              </w:rPr>
              <w:t>AND</w:t>
            </w:r>
          </w:p>
          <w:p w:rsidR="001A641D" w:rsidRPr="00333FD1" w:rsidRDefault="007E5C0A" w:rsidP="001A641D">
            <w:pPr>
              <w:spacing w:after="0" w:line="240" w:lineRule="auto"/>
              <w:rPr>
                <w:rFonts w:ascii="Calibri" w:eastAsia="Times New Roman" w:hAnsi="Calibri"/>
                <w:sz w:val="15"/>
                <w:szCs w:val="15"/>
                <w:lang w:eastAsia="en-AU"/>
              </w:rPr>
            </w:pPr>
            <w:r w:rsidRPr="00333FD1">
              <w:rPr>
                <w:rFonts w:ascii="Calibri" w:eastAsia="Times New Roman" w:hAnsi="Calibri"/>
                <w:sz w:val="15"/>
                <w:szCs w:val="15"/>
                <w:lang w:eastAsia="en-AU"/>
              </w:rPr>
              <w:t>• Requires coordination with one legislative process of some other type.</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sz w:val="16"/>
                <w:szCs w:val="16"/>
                <w:lang w:eastAsia="en-AU"/>
              </w:rPr>
            </w:pPr>
            <w:r w:rsidRPr="00333FD1">
              <w:rPr>
                <w:rFonts w:ascii="Calibri" w:eastAsia="Times New Roman" w:hAnsi="Calibri"/>
                <w:sz w:val="16"/>
                <w:szCs w:val="16"/>
                <w:lang w:eastAsia="en-AU"/>
              </w:rPr>
              <w:t>$16,065</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sz w:val="15"/>
                <w:szCs w:val="15"/>
                <w:lang w:eastAsia="en-AU"/>
              </w:rPr>
            </w:pPr>
            <w:r w:rsidRPr="00333FD1">
              <w:rPr>
                <w:rFonts w:ascii="Calibri" w:eastAsia="Times New Roman" w:hAnsi="Calibri"/>
                <w:sz w:val="15"/>
                <w:szCs w:val="15"/>
                <w:lang w:eastAsia="en-AU"/>
              </w:rPr>
              <w:t xml:space="preserve">• Requires coordination with three or more legislative processes, </w:t>
            </w:r>
            <w:r>
              <w:rPr>
                <w:rFonts w:ascii="Calibri" w:eastAsia="Times New Roman" w:hAnsi="Calibri"/>
                <w:sz w:val="15"/>
                <w:szCs w:val="15"/>
                <w:lang w:eastAsia="en-AU"/>
              </w:rPr>
              <w:t xml:space="preserve">at least </w:t>
            </w:r>
            <w:r w:rsidRPr="00333FD1">
              <w:rPr>
                <w:rFonts w:ascii="Calibri" w:eastAsia="Times New Roman" w:hAnsi="Calibri"/>
                <w:sz w:val="15"/>
                <w:szCs w:val="15"/>
                <w:lang w:eastAsia="en-AU"/>
              </w:rPr>
              <w:t xml:space="preserve">one of which is </w:t>
            </w:r>
            <w:r>
              <w:rPr>
                <w:rFonts w:ascii="Calibri" w:eastAsia="Times New Roman" w:hAnsi="Calibri"/>
                <w:sz w:val="15"/>
                <w:szCs w:val="15"/>
                <w:lang w:eastAsia="en-AU"/>
              </w:rPr>
              <w:t>a known legislative process</w:t>
            </w:r>
            <w:r w:rsidRPr="00333FD1">
              <w:rPr>
                <w:rFonts w:ascii="Calibri" w:eastAsia="Times New Roman" w:hAnsi="Calibri"/>
                <w:sz w:val="15"/>
                <w:szCs w:val="15"/>
                <w:lang w:eastAsia="en-AU"/>
              </w:rPr>
              <w:t xml:space="preserve">; </w:t>
            </w:r>
            <w:r w:rsidRPr="00333FD1">
              <w:rPr>
                <w:rFonts w:ascii="Calibri" w:eastAsia="Times New Roman" w:hAnsi="Calibri"/>
                <w:b/>
                <w:sz w:val="15"/>
                <w:szCs w:val="15"/>
                <w:lang w:eastAsia="en-AU"/>
              </w:rPr>
              <w:t>OR</w:t>
            </w:r>
            <w:r w:rsidRPr="00333FD1">
              <w:rPr>
                <w:rFonts w:ascii="Calibri" w:eastAsia="Times New Roman" w:hAnsi="Calibri"/>
                <w:sz w:val="15"/>
                <w:szCs w:val="15"/>
                <w:lang w:eastAsia="en-AU"/>
              </w:rPr>
              <w:br/>
              <w:t>• Requires coordination with two or more legislative processes of some other type</w:t>
            </w:r>
            <w:r>
              <w:rPr>
                <w:rFonts w:ascii="Calibri" w:eastAsia="Times New Roman" w:hAnsi="Calibri"/>
                <w:sz w:val="15"/>
                <w:szCs w:val="15"/>
                <w:lang w:eastAsia="en-AU"/>
              </w:rPr>
              <w:t>.</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sz w:val="16"/>
                <w:szCs w:val="16"/>
                <w:lang w:eastAsia="en-AU"/>
              </w:rPr>
            </w:pPr>
            <w:r w:rsidRPr="00333FD1">
              <w:rPr>
                <w:rFonts w:ascii="Calibri" w:eastAsia="Times New Roman" w:hAnsi="Calibri"/>
                <w:sz w:val="16"/>
                <w:szCs w:val="16"/>
                <w:lang w:eastAsia="en-AU"/>
              </w:rPr>
              <w:t>$33,162</w:t>
            </w:r>
          </w:p>
        </w:tc>
      </w:tr>
      <w:tr w:rsidR="00397365" w:rsidTr="001A641D">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000000" w:themeFill="text1"/>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ADEQUACY OF INFORMATION AND CLARITY OF PROJECT SCOPE</w:t>
            </w:r>
          </w:p>
        </w:tc>
      </w:tr>
      <w:tr w:rsidR="00397365" w:rsidTr="001A641D">
        <w:trPr>
          <w:cantSplit/>
        </w:trPr>
        <w:tc>
          <w:tcPr>
            <w:tcW w:w="140" w:type="pct"/>
            <w:vMerge w:val="restart"/>
            <w:tcBorders>
              <w:top w:val="single" w:sz="4" w:space="0" w:color="auto"/>
              <w:left w:val="single" w:sz="4" w:space="0" w:color="auto"/>
              <w:right w:val="single" w:sz="4" w:space="0" w:color="auto"/>
            </w:tcBorders>
            <w:shd w:val="clear" w:color="auto" w:fill="auto"/>
            <w:tcMar>
              <w:left w:w="113" w:type="dxa"/>
              <w:right w:w="113" w:type="dxa"/>
            </w:tcMar>
            <w:textDirection w:val="btLr"/>
            <w:vAlign w:val="center"/>
            <w:hideMark/>
          </w:tcPr>
          <w:p w:rsidR="001A641D" w:rsidRPr="00333FD1" w:rsidRDefault="007E5C0A" w:rsidP="001A641D">
            <w:pPr>
              <w:spacing w:after="0" w:line="240" w:lineRule="auto"/>
              <w:ind w:left="113" w:right="113"/>
              <w:jc w:val="center"/>
              <w:rPr>
                <w:rFonts w:ascii="Calibri" w:eastAsia="Times New Roman" w:hAnsi="Calibri"/>
                <w:color w:val="000000"/>
                <w:sz w:val="15"/>
                <w:szCs w:val="15"/>
                <w:lang w:eastAsia="en-AU"/>
              </w:rPr>
            </w:pPr>
            <w:r w:rsidRPr="00333FD1">
              <w:rPr>
                <w:rFonts w:ascii="Calibri" w:eastAsia="Times New Roman" w:hAnsi="Calibri"/>
                <w:b/>
                <w:bCs/>
                <w:color w:val="000000"/>
                <w:sz w:val="15"/>
                <w:szCs w:val="15"/>
                <w:lang w:eastAsia="en-AU"/>
              </w:rPr>
              <w:t>Part B Fees</w:t>
            </w:r>
          </w:p>
        </w:tc>
        <w:tc>
          <w:tcPr>
            <w:tcW w:w="92" w:type="pct"/>
            <w:tcBorders>
              <w:top w:val="nil"/>
              <w:left w:val="nil"/>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M</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Site surveys/ knowledge of environment</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Site survey</w:t>
            </w:r>
            <w:r>
              <w:rPr>
                <w:rFonts w:ascii="Calibri" w:eastAsia="Times New Roman" w:hAnsi="Calibri"/>
                <w:color w:val="000000"/>
                <w:sz w:val="15"/>
                <w:szCs w:val="15"/>
                <w:lang w:eastAsia="en-AU"/>
              </w:rPr>
              <w:t>s</w:t>
            </w:r>
            <w:r w:rsidRPr="00333FD1">
              <w:rPr>
                <w:rFonts w:ascii="Calibri" w:eastAsia="Times New Roman" w:hAnsi="Calibri"/>
                <w:color w:val="000000"/>
                <w:sz w:val="15"/>
                <w:szCs w:val="15"/>
                <w:lang w:eastAsia="en-AU"/>
              </w:rPr>
              <w:t xml:space="preserve"> partially complete for all project components.</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$10,982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Site survey</w:t>
            </w:r>
            <w:r>
              <w:rPr>
                <w:rFonts w:ascii="Calibri" w:eastAsia="Times New Roman" w:hAnsi="Calibri"/>
                <w:color w:val="000000"/>
                <w:sz w:val="15"/>
                <w:szCs w:val="15"/>
                <w:lang w:eastAsia="en-AU"/>
              </w:rPr>
              <w:t>s</w:t>
            </w:r>
            <w:r w:rsidRPr="00333FD1">
              <w:rPr>
                <w:rFonts w:ascii="Calibri" w:eastAsia="Times New Roman" w:hAnsi="Calibri"/>
                <w:color w:val="000000"/>
                <w:sz w:val="15"/>
                <w:szCs w:val="15"/>
                <w:lang w:eastAsia="en-AU"/>
              </w:rPr>
              <w:t xml:space="preserve"> not complete for a least one of the project components.</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$34,949</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Site surveys not complete for multiple project components</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$84,311</w:t>
            </w:r>
          </w:p>
        </w:tc>
      </w:tr>
      <w:tr w:rsidR="00397365" w:rsidTr="001A641D">
        <w:trPr>
          <w:cantSplit/>
        </w:trPr>
        <w:tc>
          <w:tcPr>
            <w:tcW w:w="140" w:type="pct"/>
            <w:vMerge/>
            <w:tcBorders>
              <w:left w:val="single" w:sz="4" w:space="0" w:color="auto"/>
              <w:right w:val="single" w:sz="4" w:space="0" w:color="auto"/>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nil"/>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N</w:t>
            </w:r>
          </w:p>
        </w:tc>
        <w:tc>
          <w:tcPr>
            <w:tcW w:w="460"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Management measures (including mitigation and offsets)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Management measures proposed, but clarification is required.</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$10,982</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Management measures poorly defined, with a high degree of uncertainty about the effectiveness of the measures and/or the way in which they will be implemented. Technical review of information likely to be required.</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$34,949</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Management measures not proposed or untested. Technical review of information likely to be required.</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$95,311</w:t>
            </w:r>
          </w:p>
        </w:tc>
      </w:tr>
      <w:tr w:rsidR="00397365" w:rsidTr="001A641D">
        <w:trPr>
          <w:cantSplit/>
        </w:trPr>
        <w:tc>
          <w:tcPr>
            <w:tcW w:w="140" w:type="pct"/>
            <w:vMerge/>
            <w:tcBorders>
              <w:left w:val="single" w:sz="4" w:space="0" w:color="auto"/>
              <w:bottom w:val="single" w:sz="4" w:space="0" w:color="auto"/>
              <w:right w:val="single" w:sz="4" w:space="0" w:color="auto"/>
            </w:tcBorders>
            <w:shd w:val="clear" w:color="auto" w:fill="auto"/>
            <w:tcMar>
              <w:left w:w="113" w:type="dxa"/>
              <w:right w:w="113" w:type="dxa"/>
            </w:tcMar>
            <w:vAlign w:val="center"/>
            <w:hideMark/>
          </w:tcPr>
          <w:p w:rsidR="001A641D" w:rsidRPr="00333FD1" w:rsidRDefault="001A641D" w:rsidP="001A641D">
            <w:pPr>
              <w:spacing w:after="0" w:line="240" w:lineRule="auto"/>
              <w:rPr>
                <w:rFonts w:ascii="Calibri" w:eastAsia="Times New Roman" w:hAnsi="Calibri"/>
                <w:color w:val="000000"/>
                <w:sz w:val="15"/>
                <w:szCs w:val="15"/>
                <w:lang w:eastAsia="en-AU"/>
              </w:rPr>
            </w:pPr>
          </w:p>
        </w:tc>
        <w:tc>
          <w:tcPr>
            <w:tcW w:w="92" w:type="pct"/>
            <w:tcBorders>
              <w:top w:val="nil"/>
              <w:left w:val="nil"/>
              <w:bottom w:val="nil"/>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O</w:t>
            </w:r>
          </w:p>
        </w:tc>
        <w:tc>
          <w:tcPr>
            <w:tcW w:w="460" w:type="pct"/>
            <w:tcBorders>
              <w:top w:val="nil"/>
              <w:left w:val="nil"/>
              <w:bottom w:val="nil"/>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Project scope</w:t>
            </w:r>
          </w:p>
        </w:tc>
        <w:tc>
          <w:tcPr>
            <w:tcW w:w="1159" w:type="pct"/>
            <w:tcBorders>
              <w:top w:val="nil"/>
              <w:left w:val="nil"/>
              <w:bottom w:val="nil"/>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Project scope includes alternatives, but each alternative clearly defined.</w:t>
            </w:r>
          </w:p>
        </w:tc>
        <w:tc>
          <w:tcPr>
            <w:tcW w:w="270" w:type="pct"/>
            <w:tcBorders>
              <w:top w:val="nil"/>
              <w:left w:val="nil"/>
              <w:bottom w:val="nil"/>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$10,982</w:t>
            </w:r>
          </w:p>
        </w:tc>
        <w:tc>
          <w:tcPr>
            <w:tcW w:w="1137" w:type="pct"/>
            <w:tcBorders>
              <w:top w:val="nil"/>
              <w:left w:val="nil"/>
              <w:bottom w:val="nil"/>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Project scope includes alternatives, with further clarification required.</w:t>
            </w:r>
          </w:p>
        </w:tc>
        <w:tc>
          <w:tcPr>
            <w:tcW w:w="247" w:type="pct"/>
            <w:tcBorders>
              <w:top w:val="nil"/>
              <w:left w:val="nil"/>
              <w:bottom w:val="nil"/>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$34,949</w:t>
            </w:r>
          </w:p>
        </w:tc>
        <w:tc>
          <w:tcPr>
            <w:tcW w:w="1204" w:type="pct"/>
            <w:tcBorders>
              <w:top w:val="nil"/>
              <w:left w:val="nil"/>
              <w:bottom w:val="nil"/>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Project scope is unclear; </w:t>
            </w:r>
            <w:r w:rsidRPr="00333FD1">
              <w:rPr>
                <w:rFonts w:ascii="Calibri" w:eastAsia="Times New Roman" w:hAnsi="Calibri"/>
                <w:b/>
                <w:color w:val="000000"/>
                <w:sz w:val="15"/>
                <w:szCs w:val="15"/>
                <w:lang w:eastAsia="en-AU"/>
              </w:rPr>
              <w:t>OR</w:t>
            </w:r>
            <w:r w:rsidRPr="00333FD1">
              <w:rPr>
                <w:rFonts w:ascii="Calibri" w:eastAsia="Times New Roman" w:hAnsi="Calibri"/>
                <w:color w:val="000000"/>
                <w:sz w:val="15"/>
                <w:szCs w:val="15"/>
                <w:lang w:eastAsia="en-AU"/>
              </w:rPr>
              <w:t xml:space="preserve"> </w:t>
            </w:r>
          </w:p>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Alternative options poorly defined.</w:t>
            </w:r>
          </w:p>
        </w:tc>
        <w:tc>
          <w:tcPr>
            <w:tcW w:w="291" w:type="pct"/>
            <w:tcBorders>
              <w:top w:val="nil"/>
              <w:left w:val="nil"/>
              <w:bottom w:val="nil"/>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$62,399</w:t>
            </w:r>
          </w:p>
        </w:tc>
      </w:tr>
      <w:tr w:rsidR="00397365" w:rsidTr="001A641D">
        <w:trPr>
          <w:cantSplit/>
          <w:trHeight w:val="154"/>
        </w:trPr>
        <w:tc>
          <w:tcPr>
            <w:tcW w:w="5000" w:type="pct"/>
            <w:gridSpan w:val="9"/>
            <w:tcBorders>
              <w:top w:val="nil"/>
              <w:left w:val="single" w:sz="4" w:space="0" w:color="auto"/>
              <w:bottom w:val="nil"/>
              <w:right w:val="single" w:sz="4" w:space="0" w:color="auto"/>
            </w:tcBorders>
            <w:shd w:val="clear" w:color="auto" w:fill="000000" w:themeFill="text1"/>
            <w:noWrap/>
            <w:tcMar>
              <w:left w:w="113" w:type="dxa"/>
              <w:right w:w="113" w:type="dxa"/>
            </w:tcMar>
            <w:vAlign w:val="bottom"/>
            <w:hideMark/>
          </w:tcPr>
          <w:p w:rsidR="001A641D" w:rsidRPr="00455A79"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w:t>
            </w:r>
            <w:r w:rsidRPr="00333FD1">
              <w:rPr>
                <w:rFonts w:ascii="Calibri" w:eastAsia="Times New Roman" w:hAnsi="Calibri"/>
                <w:b/>
                <w:bCs/>
                <w:color w:val="FFFFFF"/>
                <w:sz w:val="16"/>
                <w:szCs w:val="16"/>
                <w:lang w:eastAsia="en-AU"/>
              </w:rPr>
              <w:t>EXCEPTIONAL CIRCUMSTANCES</w:t>
            </w:r>
          </w:p>
        </w:tc>
      </w:tr>
      <w:tr w:rsidR="00397365" w:rsidTr="001A641D">
        <w:trPr>
          <w:cantSplit/>
          <w:trHeight w:val="1134"/>
        </w:trPr>
        <w:tc>
          <w:tcPr>
            <w:tcW w:w="140" w:type="pct"/>
            <w:tcBorders>
              <w:top w:val="nil"/>
              <w:left w:val="single" w:sz="4" w:space="0" w:color="auto"/>
              <w:bottom w:val="single" w:sz="4" w:space="0" w:color="auto"/>
              <w:right w:val="single" w:sz="4" w:space="0" w:color="auto"/>
            </w:tcBorders>
            <w:shd w:val="clear" w:color="auto" w:fill="auto"/>
            <w:tcMar>
              <w:left w:w="113" w:type="dxa"/>
              <w:right w:w="113" w:type="dxa"/>
            </w:tcMar>
            <w:textDirection w:val="btLr"/>
            <w:vAlign w:val="center"/>
            <w:hideMark/>
          </w:tcPr>
          <w:p w:rsidR="001A641D" w:rsidRPr="00455A79" w:rsidRDefault="007E5C0A" w:rsidP="001A641D">
            <w:pPr>
              <w:spacing w:after="0" w:line="240" w:lineRule="auto"/>
              <w:ind w:left="113" w:right="113"/>
              <w:jc w:val="center"/>
              <w:rPr>
                <w:rFonts w:ascii="Calibri" w:eastAsia="Times New Roman" w:hAnsi="Calibri"/>
                <w:b/>
                <w:color w:val="000000"/>
                <w:sz w:val="15"/>
                <w:szCs w:val="15"/>
                <w:lang w:eastAsia="en-AU"/>
              </w:rPr>
            </w:pPr>
            <w:r w:rsidRPr="00455A79">
              <w:rPr>
                <w:rFonts w:ascii="Calibri" w:eastAsia="Times New Roman" w:hAnsi="Calibri"/>
                <w:b/>
                <w:color w:val="000000"/>
                <w:sz w:val="15"/>
                <w:szCs w:val="15"/>
                <w:lang w:eastAsia="en-AU"/>
              </w:rPr>
              <w:t>Part A fee</w:t>
            </w:r>
          </w:p>
        </w:tc>
        <w:tc>
          <w:tcPr>
            <w:tcW w:w="92" w:type="pct"/>
            <w:tcBorders>
              <w:top w:val="nil"/>
              <w:left w:val="nil"/>
              <w:bottom w:val="single" w:sz="4" w:space="0" w:color="auto"/>
              <w:right w:val="single" w:sz="4" w:space="0" w:color="auto"/>
            </w:tcBorders>
            <w:shd w:val="clear" w:color="000000" w:fill="000000"/>
            <w:noWrap/>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b/>
                <w:bCs/>
                <w:color w:val="FFFFFF"/>
                <w:sz w:val="16"/>
                <w:szCs w:val="16"/>
                <w:lang w:eastAsia="en-AU"/>
              </w:rPr>
            </w:pPr>
            <w:r w:rsidRPr="00333FD1">
              <w:rPr>
                <w:rFonts w:ascii="Calibri" w:eastAsia="Times New Roman" w:hAnsi="Calibri"/>
                <w:b/>
                <w:bCs/>
                <w:color w:val="FFFFFF"/>
                <w:sz w:val="16"/>
                <w:szCs w:val="16"/>
                <w:lang w:eastAsia="en-AU"/>
              </w:rPr>
              <w:t>P</w:t>
            </w:r>
          </w:p>
        </w:tc>
        <w:tc>
          <w:tcPr>
            <w:tcW w:w="460" w:type="pct"/>
            <w:tcBorders>
              <w:top w:val="nil"/>
              <w:left w:val="single" w:sz="4" w:space="0" w:color="auto"/>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ind w:left="141"/>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Exceptional circumstances</w:t>
            </w:r>
          </w:p>
        </w:tc>
        <w:tc>
          <w:tcPr>
            <w:tcW w:w="1159"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N/A</w:t>
            </w:r>
          </w:p>
        </w:tc>
        <w:tc>
          <w:tcPr>
            <w:tcW w:w="270" w:type="pct"/>
            <w:tcBorders>
              <w:top w:val="nil"/>
              <w:left w:val="nil"/>
              <w:bottom w:val="single" w:sz="4" w:space="0" w:color="auto"/>
              <w:right w:val="single" w:sz="4" w:space="0" w:color="auto"/>
            </w:tcBorders>
            <w:shd w:val="clear" w:color="000000" w:fill="00CCFF"/>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w:t>
            </w:r>
          </w:p>
        </w:tc>
        <w:tc>
          <w:tcPr>
            <w:tcW w:w="1137"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N/A</w:t>
            </w:r>
          </w:p>
        </w:tc>
        <w:tc>
          <w:tcPr>
            <w:tcW w:w="247" w:type="pct"/>
            <w:tcBorders>
              <w:top w:val="nil"/>
              <w:left w:val="nil"/>
              <w:bottom w:val="single" w:sz="4" w:space="0" w:color="auto"/>
              <w:right w:val="single" w:sz="4" w:space="0" w:color="auto"/>
            </w:tcBorders>
            <w:shd w:val="clear" w:color="000000" w:fill="FFFF66"/>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w:t>
            </w:r>
          </w:p>
        </w:tc>
        <w:tc>
          <w:tcPr>
            <w:tcW w:w="1204" w:type="pct"/>
            <w:tcBorders>
              <w:top w:val="nil"/>
              <w:left w:val="nil"/>
              <w:bottom w:val="single" w:sz="4" w:space="0" w:color="auto"/>
              <w:right w:val="single" w:sz="4" w:space="0" w:color="auto"/>
            </w:tcBorders>
            <w:shd w:val="clear" w:color="auto" w:fill="auto"/>
            <w:tcMar>
              <w:left w:w="113" w:type="dxa"/>
              <w:right w:w="113" w:type="dxa"/>
            </w:tcMar>
            <w:vAlign w:val="center"/>
            <w:hideMark/>
          </w:tcPr>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Novel scope of work/ </w:t>
            </w:r>
            <w:r w:rsidRPr="00716F96">
              <w:rPr>
                <w:rFonts w:ascii="Calibri" w:eastAsia="Times New Roman" w:hAnsi="Calibri"/>
                <w:color w:val="000000"/>
                <w:sz w:val="15"/>
                <w:szCs w:val="15"/>
                <w:lang w:eastAsia="en-AU"/>
              </w:rPr>
              <w:t>action</w:t>
            </w:r>
            <w:r w:rsidRPr="00333FD1">
              <w:rPr>
                <w:rFonts w:ascii="Calibri" w:eastAsia="Times New Roman" w:hAnsi="Calibri"/>
                <w:color w:val="000000"/>
                <w:sz w:val="15"/>
                <w:szCs w:val="15"/>
                <w:lang w:eastAsia="en-AU"/>
              </w:rPr>
              <w:t xml:space="preserve">/ process or location, and potential impacts are unclear; </w:t>
            </w:r>
            <w:r w:rsidRPr="00333FD1">
              <w:rPr>
                <w:rFonts w:ascii="Calibri" w:eastAsia="Times New Roman" w:hAnsi="Calibri"/>
                <w:b/>
                <w:color w:val="000000"/>
                <w:sz w:val="15"/>
                <w:szCs w:val="15"/>
                <w:lang w:eastAsia="en-AU"/>
              </w:rPr>
              <w:t>OR</w:t>
            </w:r>
          </w:p>
          <w:p w:rsidR="001A641D" w:rsidRPr="00333FD1" w:rsidRDefault="007E5C0A" w:rsidP="001A641D">
            <w:pPr>
              <w:spacing w:after="0" w:line="240" w:lineRule="auto"/>
              <w:rPr>
                <w:rFonts w:ascii="Calibri" w:eastAsia="Times New Roman" w:hAnsi="Calibri"/>
                <w:color w:val="000000"/>
                <w:sz w:val="15"/>
                <w:szCs w:val="15"/>
                <w:lang w:eastAsia="en-AU"/>
              </w:rPr>
            </w:pPr>
            <w:r w:rsidRPr="00333FD1">
              <w:rPr>
                <w:rFonts w:ascii="Calibri" w:eastAsia="Times New Roman" w:hAnsi="Calibri"/>
                <w:color w:val="000000"/>
                <w:sz w:val="15"/>
                <w:szCs w:val="15"/>
                <w:lang w:eastAsia="en-AU"/>
              </w:rPr>
              <w:t xml:space="preserve">• </w:t>
            </w:r>
            <w:r w:rsidRPr="00716F96">
              <w:rPr>
                <w:rFonts w:ascii="Calibri" w:eastAsia="Times New Roman" w:hAnsi="Calibri"/>
                <w:color w:val="000000"/>
                <w:sz w:val="15"/>
                <w:szCs w:val="15"/>
                <w:lang w:eastAsia="en-AU"/>
              </w:rPr>
              <w:t>Action</w:t>
            </w:r>
            <w:r w:rsidRPr="00333FD1">
              <w:rPr>
                <w:rFonts w:ascii="Calibri" w:eastAsia="Times New Roman" w:hAnsi="Calibri"/>
                <w:color w:val="000000"/>
                <w:sz w:val="15"/>
                <w:szCs w:val="15"/>
                <w:lang w:eastAsia="en-AU"/>
              </w:rPr>
              <w:t xml:space="preserve"> is understood, but environmental consequences are very high and carry the potential for severe/ irreversible/ long-term impacts.</w:t>
            </w:r>
          </w:p>
        </w:tc>
        <w:tc>
          <w:tcPr>
            <w:tcW w:w="291" w:type="pct"/>
            <w:tcBorders>
              <w:top w:val="nil"/>
              <w:left w:val="nil"/>
              <w:bottom w:val="single" w:sz="4" w:space="0" w:color="auto"/>
              <w:right w:val="single" w:sz="4" w:space="0" w:color="auto"/>
            </w:tcBorders>
            <w:shd w:val="clear" w:color="000000" w:fill="FF5050"/>
            <w:tcMar>
              <w:left w:w="113" w:type="dxa"/>
              <w:right w:w="113" w:type="dxa"/>
            </w:tcMar>
            <w:vAlign w:val="center"/>
            <w:hideMark/>
          </w:tcPr>
          <w:p w:rsidR="001A641D" w:rsidRPr="00333FD1" w:rsidRDefault="007E5C0A" w:rsidP="001A641D">
            <w:pPr>
              <w:spacing w:after="0" w:line="240" w:lineRule="auto"/>
              <w:jc w:val="center"/>
              <w:rPr>
                <w:rFonts w:ascii="Calibri" w:eastAsia="Times New Roman" w:hAnsi="Calibri"/>
                <w:color w:val="000000"/>
                <w:sz w:val="16"/>
                <w:szCs w:val="16"/>
                <w:lang w:eastAsia="en-AU"/>
              </w:rPr>
            </w:pPr>
            <w:r w:rsidRPr="00333FD1">
              <w:rPr>
                <w:rFonts w:ascii="Calibri" w:eastAsia="Times New Roman" w:hAnsi="Calibri"/>
                <w:color w:val="000000"/>
                <w:sz w:val="16"/>
                <w:szCs w:val="16"/>
                <w:lang w:eastAsia="en-AU"/>
              </w:rPr>
              <w:t>$592,086</w:t>
            </w:r>
          </w:p>
        </w:tc>
      </w:tr>
      <w:tr w:rsidR="00397365" w:rsidTr="001A641D">
        <w:trPr>
          <w:cantSplit/>
        </w:trPr>
        <w:tc>
          <w:tcPr>
            <w:tcW w:w="5000" w:type="pct"/>
            <w:gridSpan w:val="9"/>
            <w:tcBorders>
              <w:top w:val="single" w:sz="4" w:space="0" w:color="auto"/>
              <w:left w:val="nil"/>
              <w:bottom w:val="nil"/>
              <w:right w:val="single" w:sz="4" w:space="0" w:color="auto"/>
            </w:tcBorders>
            <w:tcMar>
              <w:left w:w="113" w:type="dxa"/>
              <w:right w:w="113" w:type="dxa"/>
            </w:tcMar>
            <w:vAlign w:val="center"/>
            <w:hideMark/>
          </w:tcPr>
          <w:p w:rsidR="001A641D" w:rsidRDefault="001A641D" w:rsidP="001A641D">
            <w:pPr>
              <w:spacing w:after="0" w:line="240" w:lineRule="auto"/>
              <w:rPr>
                <w:rFonts w:ascii="Calibri" w:eastAsia="Times New Roman" w:hAnsi="Calibri"/>
                <w:i/>
                <w:color w:val="000000"/>
                <w:sz w:val="16"/>
                <w:szCs w:val="15"/>
                <w:lang w:eastAsia="en-AU"/>
              </w:rPr>
            </w:pPr>
          </w:p>
          <w:p w:rsidR="001A641D" w:rsidRDefault="007E5C0A" w:rsidP="001A641D">
            <w:pPr>
              <w:spacing w:after="0" w:line="240" w:lineRule="auto"/>
              <w:rPr>
                <w:rFonts w:ascii="Calibri" w:eastAsia="Times New Roman" w:hAnsi="Calibri"/>
                <w:i/>
                <w:color w:val="000000"/>
                <w:sz w:val="16"/>
                <w:szCs w:val="15"/>
                <w:lang w:eastAsia="en-AU"/>
              </w:rPr>
            </w:pPr>
            <w:r w:rsidRPr="00666E18">
              <w:rPr>
                <w:rFonts w:ascii="Calibri" w:eastAsia="Times New Roman" w:hAnsi="Calibri"/>
                <w:i/>
                <w:color w:val="000000"/>
                <w:sz w:val="16"/>
                <w:szCs w:val="15"/>
                <w:lang w:eastAsia="en-AU"/>
              </w:rPr>
              <w:t>Note – in the context of this complexity matrix</w:t>
            </w:r>
            <w:r>
              <w:rPr>
                <w:rFonts w:ascii="Calibri" w:eastAsia="Times New Roman" w:hAnsi="Calibri"/>
                <w:i/>
                <w:color w:val="000000"/>
                <w:sz w:val="16"/>
                <w:szCs w:val="15"/>
                <w:lang w:eastAsia="en-AU"/>
              </w:rPr>
              <w:t>:</w:t>
            </w:r>
          </w:p>
          <w:p w:rsidR="001A641D" w:rsidRPr="000523CF" w:rsidRDefault="007E5C0A" w:rsidP="001A641D">
            <w:pPr>
              <w:pStyle w:val="ListParagraph"/>
              <w:numPr>
                <w:ilvl w:val="0"/>
                <w:numId w:val="15"/>
              </w:numPr>
              <w:spacing w:after="0" w:line="240" w:lineRule="auto"/>
              <w:rPr>
                <w:rFonts w:ascii="Calibri" w:eastAsia="Times New Roman" w:hAnsi="Calibri"/>
                <w:i/>
                <w:color w:val="000000"/>
                <w:sz w:val="16"/>
                <w:szCs w:val="16"/>
                <w:lang w:eastAsia="en-AU"/>
              </w:rPr>
            </w:pPr>
            <w:r>
              <w:rPr>
                <w:rFonts w:ascii="Calibri" w:eastAsia="Times New Roman" w:hAnsi="Calibri"/>
                <w:i/>
                <w:color w:val="000000"/>
                <w:sz w:val="16"/>
                <w:szCs w:val="16"/>
                <w:lang w:eastAsia="en-AU"/>
              </w:rPr>
              <w:t xml:space="preserve">‘require assessment’ means </w:t>
            </w:r>
            <w:r w:rsidRPr="000523CF">
              <w:rPr>
                <w:rFonts w:ascii="Calibri" w:eastAsia="Times New Roman" w:hAnsi="Calibri"/>
                <w:i/>
                <w:color w:val="000000"/>
                <w:sz w:val="16"/>
                <w:szCs w:val="16"/>
                <w:lang w:eastAsia="en-AU"/>
              </w:rPr>
              <w:t>work needs to be done during the assessment to understand the impacts to a particular species or ecological community</w:t>
            </w:r>
            <w:r>
              <w:rPr>
                <w:rFonts w:ascii="Calibri" w:eastAsia="Times New Roman" w:hAnsi="Calibri"/>
                <w:i/>
                <w:color w:val="000000"/>
                <w:sz w:val="16"/>
                <w:szCs w:val="16"/>
                <w:lang w:eastAsia="en-AU"/>
              </w:rPr>
              <w:t xml:space="preserve"> </w:t>
            </w:r>
            <w:r w:rsidRPr="000523CF">
              <w:rPr>
                <w:rFonts w:ascii="Calibri" w:eastAsia="Times New Roman" w:hAnsi="Calibri"/>
                <w:i/>
                <w:color w:val="000000"/>
                <w:sz w:val="16"/>
                <w:szCs w:val="16"/>
                <w:lang w:eastAsia="en-AU"/>
              </w:rPr>
              <w:t xml:space="preserve">(see </w:t>
            </w:r>
            <w:r w:rsidR="00FF3730">
              <w:fldChar w:fldCharType="begin"/>
            </w:r>
            <w:r w:rsidR="00FF3730">
              <w:instrText xml:space="preserve"> REF _Ref457985298 \h  \* MERGEFORMAT </w:instrText>
            </w:r>
            <w:r w:rsidR="00FF3730">
              <w:fldChar w:fldCharType="separate"/>
            </w:r>
            <w:r w:rsidR="00FF3730" w:rsidRPr="00FF3730">
              <w:rPr>
                <w:rFonts w:ascii="Calibri" w:eastAsia="Times New Roman" w:hAnsi="Calibri"/>
                <w:i/>
                <w:color w:val="000000"/>
                <w:sz w:val="16"/>
                <w:szCs w:val="16"/>
                <w:lang w:eastAsia="en-AU"/>
              </w:rPr>
              <w:t>Table 9</w:t>
            </w:r>
            <w:r w:rsidR="00FF3730">
              <w:fldChar w:fldCharType="end"/>
            </w:r>
            <w:r w:rsidRPr="000523CF">
              <w:rPr>
                <w:rFonts w:ascii="Calibri" w:eastAsia="Times New Roman" w:hAnsi="Calibri"/>
                <w:i/>
                <w:color w:val="000000"/>
                <w:sz w:val="16"/>
                <w:szCs w:val="16"/>
                <w:lang w:eastAsia="en-AU"/>
              </w:rPr>
              <w:t xml:space="preserve"> on page </w:t>
            </w:r>
            <w:r w:rsidR="003366B4" w:rsidRPr="000523CF">
              <w:rPr>
                <w:rFonts w:ascii="Calibri" w:eastAsia="Times New Roman" w:hAnsi="Calibri"/>
                <w:i/>
                <w:color w:val="000000"/>
                <w:sz w:val="16"/>
                <w:szCs w:val="16"/>
                <w:lang w:eastAsia="en-AU"/>
              </w:rPr>
              <w:fldChar w:fldCharType="begin"/>
            </w:r>
            <w:r w:rsidRPr="000523CF">
              <w:rPr>
                <w:rFonts w:ascii="Calibri" w:eastAsia="Times New Roman" w:hAnsi="Calibri"/>
                <w:i/>
                <w:color w:val="000000"/>
                <w:sz w:val="16"/>
                <w:szCs w:val="16"/>
                <w:lang w:eastAsia="en-AU"/>
              </w:rPr>
              <w:instrText xml:space="preserve"> PAGEREF _Ref457995807 \h </w:instrText>
            </w:r>
            <w:r w:rsidR="003366B4" w:rsidRPr="000523CF">
              <w:rPr>
                <w:rFonts w:ascii="Calibri" w:eastAsia="Times New Roman" w:hAnsi="Calibri"/>
                <w:i/>
                <w:color w:val="000000"/>
                <w:sz w:val="16"/>
                <w:szCs w:val="16"/>
                <w:lang w:eastAsia="en-AU"/>
              </w:rPr>
            </w:r>
            <w:r w:rsidR="003366B4" w:rsidRPr="000523CF">
              <w:rPr>
                <w:rFonts w:ascii="Calibri" w:eastAsia="Times New Roman" w:hAnsi="Calibri"/>
                <w:i/>
                <w:color w:val="000000"/>
                <w:sz w:val="16"/>
                <w:szCs w:val="16"/>
                <w:lang w:eastAsia="en-AU"/>
              </w:rPr>
              <w:fldChar w:fldCharType="separate"/>
            </w:r>
            <w:r w:rsidR="00FF3730">
              <w:rPr>
                <w:rFonts w:ascii="Calibri" w:eastAsia="Times New Roman" w:hAnsi="Calibri"/>
                <w:i/>
                <w:noProof/>
                <w:color w:val="000000"/>
                <w:sz w:val="16"/>
                <w:szCs w:val="16"/>
                <w:lang w:eastAsia="en-AU"/>
              </w:rPr>
              <w:t>30</w:t>
            </w:r>
            <w:r w:rsidR="003366B4" w:rsidRPr="000523CF">
              <w:rPr>
                <w:rFonts w:ascii="Calibri" w:eastAsia="Times New Roman" w:hAnsi="Calibri"/>
                <w:i/>
                <w:color w:val="000000"/>
                <w:sz w:val="16"/>
                <w:szCs w:val="16"/>
                <w:lang w:eastAsia="en-AU"/>
              </w:rPr>
              <w:fldChar w:fldCharType="end"/>
            </w:r>
            <w:r w:rsidRPr="000523CF">
              <w:rPr>
                <w:rFonts w:ascii="Calibri" w:eastAsia="Times New Roman" w:hAnsi="Calibri"/>
                <w:i/>
                <w:color w:val="000000"/>
                <w:sz w:val="16"/>
                <w:szCs w:val="16"/>
                <w:lang w:eastAsia="en-AU"/>
              </w:rPr>
              <w:t>);</w:t>
            </w:r>
          </w:p>
          <w:p w:rsidR="001A641D" w:rsidRPr="000523CF" w:rsidRDefault="007E5C0A" w:rsidP="001A641D">
            <w:pPr>
              <w:pStyle w:val="ListParagraph"/>
              <w:numPr>
                <w:ilvl w:val="0"/>
                <w:numId w:val="15"/>
              </w:numPr>
              <w:spacing w:after="0" w:line="240" w:lineRule="auto"/>
              <w:rPr>
                <w:rFonts w:ascii="Calibri" w:eastAsia="Times New Roman" w:hAnsi="Calibri"/>
                <w:i/>
                <w:color w:val="000000"/>
                <w:sz w:val="16"/>
                <w:szCs w:val="16"/>
                <w:lang w:eastAsia="en-AU"/>
              </w:rPr>
            </w:pPr>
            <w:r w:rsidRPr="000523CF">
              <w:rPr>
                <w:rFonts w:ascii="Calibri" w:eastAsia="Times New Roman" w:hAnsi="Calibri"/>
                <w:i/>
                <w:color w:val="000000"/>
                <w:sz w:val="16"/>
                <w:szCs w:val="15"/>
                <w:lang w:eastAsia="en-AU"/>
              </w:rPr>
              <w:t xml:space="preserve">‘well understood’ means the information necessary to understand the impacts to the matter and the available measures to manage the impacts are readily available to the department </w:t>
            </w:r>
            <w:r>
              <w:rPr>
                <w:rFonts w:ascii="Calibri" w:eastAsia="Times New Roman" w:hAnsi="Calibri"/>
                <w:i/>
                <w:color w:val="000000"/>
                <w:sz w:val="16"/>
                <w:szCs w:val="15"/>
                <w:lang w:eastAsia="en-AU"/>
              </w:rPr>
              <w:t>and/</w:t>
            </w:r>
            <w:r w:rsidRPr="000523CF">
              <w:rPr>
                <w:rFonts w:ascii="Calibri" w:eastAsia="Times New Roman" w:hAnsi="Calibri"/>
                <w:i/>
                <w:color w:val="000000"/>
                <w:sz w:val="16"/>
                <w:szCs w:val="15"/>
                <w:lang w:eastAsia="en-AU"/>
              </w:rPr>
              <w:t>or provided in the referral documentation</w:t>
            </w:r>
            <w:r w:rsidRPr="000523CF">
              <w:rPr>
                <w:rFonts w:ascii="Calibri" w:eastAsia="Times New Roman" w:hAnsi="Calibri"/>
                <w:i/>
                <w:color w:val="000000"/>
                <w:sz w:val="16"/>
                <w:szCs w:val="16"/>
                <w:lang w:eastAsia="en-AU"/>
              </w:rPr>
              <w:t xml:space="preserve"> (see </w:t>
            </w:r>
            <w:r w:rsidR="00FF3730">
              <w:fldChar w:fldCharType="begin"/>
            </w:r>
            <w:r w:rsidR="00FF3730">
              <w:instrText xml:space="preserve"> REF _Ref457985298 \h  \* MERGEFORMAT </w:instrText>
            </w:r>
            <w:r w:rsidR="00FF3730">
              <w:fldChar w:fldCharType="separate"/>
            </w:r>
            <w:r w:rsidR="00FF3730" w:rsidRPr="00FF3730">
              <w:rPr>
                <w:rFonts w:ascii="Calibri" w:eastAsia="Times New Roman" w:hAnsi="Calibri"/>
                <w:i/>
                <w:color w:val="000000"/>
                <w:sz w:val="16"/>
                <w:szCs w:val="16"/>
                <w:lang w:eastAsia="en-AU"/>
              </w:rPr>
              <w:t>Table 9</w:t>
            </w:r>
            <w:r w:rsidR="00FF3730">
              <w:fldChar w:fldCharType="end"/>
            </w:r>
            <w:r w:rsidRPr="000523CF">
              <w:rPr>
                <w:rFonts w:ascii="Calibri" w:eastAsia="Times New Roman" w:hAnsi="Calibri"/>
                <w:i/>
                <w:color w:val="000000"/>
                <w:sz w:val="16"/>
                <w:szCs w:val="16"/>
                <w:lang w:eastAsia="en-AU"/>
              </w:rPr>
              <w:t xml:space="preserve"> on page </w:t>
            </w:r>
            <w:r w:rsidR="003366B4" w:rsidRPr="000523CF">
              <w:rPr>
                <w:rFonts w:ascii="Calibri" w:eastAsia="Times New Roman" w:hAnsi="Calibri"/>
                <w:i/>
                <w:color w:val="000000"/>
                <w:sz w:val="16"/>
                <w:szCs w:val="16"/>
                <w:lang w:eastAsia="en-AU"/>
              </w:rPr>
              <w:fldChar w:fldCharType="begin"/>
            </w:r>
            <w:r w:rsidRPr="000523CF">
              <w:rPr>
                <w:rFonts w:ascii="Calibri" w:eastAsia="Times New Roman" w:hAnsi="Calibri"/>
                <w:i/>
                <w:color w:val="000000"/>
                <w:sz w:val="16"/>
                <w:szCs w:val="16"/>
                <w:lang w:eastAsia="en-AU"/>
              </w:rPr>
              <w:instrText xml:space="preserve"> PAGEREF _Ref457995807 \h </w:instrText>
            </w:r>
            <w:r w:rsidR="003366B4" w:rsidRPr="000523CF">
              <w:rPr>
                <w:rFonts w:ascii="Calibri" w:eastAsia="Times New Roman" w:hAnsi="Calibri"/>
                <w:i/>
                <w:color w:val="000000"/>
                <w:sz w:val="16"/>
                <w:szCs w:val="16"/>
                <w:lang w:eastAsia="en-AU"/>
              </w:rPr>
            </w:r>
            <w:r w:rsidR="003366B4" w:rsidRPr="000523CF">
              <w:rPr>
                <w:rFonts w:ascii="Calibri" w:eastAsia="Times New Roman" w:hAnsi="Calibri"/>
                <w:i/>
                <w:color w:val="000000"/>
                <w:sz w:val="16"/>
                <w:szCs w:val="16"/>
                <w:lang w:eastAsia="en-AU"/>
              </w:rPr>
              <w:fldChar w:fldCharType="separate"/>
            </w:r>
            <w:r w:rsidR="00FF3730">
              <w:rPr>
                <w:rFonts w:ascii="Calibri" w:eastAsia="Times New Roman" w:hAnsi="Calibri"/>
                <w:i/>
                <w:noProof/>
                <w:color w:val="000000"/>
                <w:sz w:val="16"/>
                <w:szCs w:val="16"/>
                <w:lang w:eastAsia="en-AU"/>
              </w:rPr>
              <w:t>30</w:t>
            </w:r>
            <w:r w:rsidR="003366B4" w:rsidRPr="000523CF">
              <w:rPr>
                <w:rFonts w:ascii="Calibri" w:eastAsia="Times New Roman" w:hAnsi="Calibri"/>
                <w:i/>
                <w:color w:val="000000"/>
                <w:sz w:val="16"/>
                <w:szCs w:val="16"/>
                <w:lang w:eastAsia="en-AU"/>
              </w:rPr>
              <w:fldChar w:fldCharType="end"/>
            </w:r>
            <w:r w:rsidRPr="000523CF">
              <w:rPr>
                <w:rFonts w:ascii="Calibri" w:eastAsia="Times New Roman" w:hAnsi="Calibri"/>
                <w:i/>
                <w:color w:val="000000"/>
                <w:sz w:val="16"/>
                <w:szCs w:val="16"/>
                <w:lang w:eastAsia="en-AU"/>
              </w:rPr>
              <w:t>)</w:t>
            </w:r>
            <w:r w:rsidRPr="000523CF">
              <w:rPr>
                <w:rFonts w:ascii="Calibri" w:eastAsia="Times New Roman" w:hAnsi="Calibri"/>
                <w:i/>
                <w:color w:val="000000"/>
                <w:sz w:val="16"/>
                <w:szCs w:val="15"/>
                <w:lang w:eastAsia="en-AU"/>
              </w:rPr>
              <w:t xml:space="preserve">; </w:t>
            </w:r>
          </w:p>
          <w:p w:rsidR="001A641D" w:rsidRPr="000523CF" w:rsidRDefault="007E5C0A" w:rsidP="001A641D">
            <w:pPr>
              <w:pStyle w:val="ListParagraph"/>
              <w:numPr>
                <w:ilvl w:val="0"/>
                <w:numId w:val="15"/>
              </w:numPr>
              <w:spacing w:after="0" w:line="240" w:lineRule="auto"/>
              <w:rPr>
                <w:rFonts w:ascii="Calibri" w:eastAsia="Times New Roman" w:hAnsi="Calibri"/>
                <w:i/>
                <w:color w:val="000000"/>
                <w:sz w:val="16"/>
                <w:szCs w:val="16"/>
                <w:lang w:eastAsia="en-AU"/>
              </w:rPr>
            </w:pPr>
            <w:r w:rsidRPr="000523CF">
              <w:rPr>
                <w:rFonts w:ascii="Calibri" w:eastAsia="Times New Roman" w:hAnsi="Calibri"/>
                <w:i/>
                <w:color w:val="000000"/>
                <w:sz w:val="16"/>
                <w:szCs w:val="15"/>
                <w:lang w:eastAsia="en-AU"/>
              </w:rPr>
              <w:t xml:space="preserve"> ‘available options’ means </w:t>
            </w:r>
            <w:r>
              <w:rPr>
                <w:rFonts w:ascii="Calibri" w:eastAsia="Times New Roman" w:hAnsi="Calibri"/>
                <w:i/>
                <w:color w:val="000000"/>
                <w:sz w:val="16"/>
                <w:szCs w:val="15"/>
                <w:lang w:eastAsia="en-AU"/>
              </w:rPr>
              <w:t>one or more proven strategies to</w:t>
            </w:r>
            <w:r w:rsidRPr="000523CF">
              <w:rPr>
                <w:rFonts w:ascii="Calibri" w:eastAsia="Times New Roman" w:hAnsi="Calibri"/>
                <w:i/>
                <w:color w:val="000000"/>
                <w:sz w:val="16"/>
                <w:szCs w:val="15"/>
                <w:lang w:eastAsia="en-AU"/>
              </w:rPr>
              <w:t xml:space="preserve"> avoid, mitigate, manage </w:t>
            </w:r>
            <w:r>
              <w:rPr>
                <w:rFonts w:ascii="Calibri" w:eastAsia="Times New Roman" w:hAnsi="Calibri"/>
                <w:i/>
                <w:color w:val="000000"/>
                <w:sz w:val="16"/>
                <w:szCs w:val="15"/>
                <w:lang w:eastAsia="en-AU"/>
              </w:rPr>
              <w:t>and/or offset impacts</w:t>
            </w:r>
            <w:r w:rsidRPr="000523CF">
              <w:rPr>
                <w:rFonts w:ascii="Calibri" w:eastAsia="Times New Roman" w:hAnsi="Calibri"/>
                <w:i/>
                <w:color w:val="000000"/>
                <w:sz w:val="16"/>
                <w:szCs w:val="15"/>
                <w:lang w:eastAsia="en-AU"/>
              </w:rPr>
              <w:t xml:space="preserve"> </w:t>
            </w:r>
            <w:r w:rsidRPr="000523CF">
              <w:rPr>
                <w:rFonts w:ascii="Calibri" w:eastAsia="Times New Roman" w:hAnsi="Calibri"/>
                <w:i/>
                <w:color w:val="000000"/>
                <w:sz w:val="16"/>
                <w:szCs w:val="16"/>
                <w:lang w:eastAsia="en-AU"/>
              </w:rPr>
              <w:t xml:space="preserve">(see </w:t>
            </w:r>
            <w:r w:rsidR="00FF3730">
              <w:fldChar w:fldCharType="begin"/>
            </w:r>
            <w:r w:rsidR="00FF3730">
              <w:instrText xml:space="preserve"> REF _Ref457985298 \h  \* MERGEFORMAT </w:instrText>
            </w:r>
            <w:r w:rsidR="00FF3730">
              <w:fldChar w:fldCharType="separate"/>
            </w:r>
            <w:r w:rsidR="00FF3730" w:rsidRPr="00FF3730">
              <w:rPr>
                <w:rFonts w:ascii="Calibri" w:eastAsia="Times New Roman" w:hAnsi="Calibri"/>
                <w:i/>
                <w:color w:val="000000"/>
                <w:sz w:val="16"/>
                <w:szCs w:val="16"/>
                <w:lang w:eastAsia="en-AU"/>
              </w:rPr>
              <w:t>Table 9</w:t>
            </w:r>
            <w:r w:rsidR="00FF3730">
              <w:fldChar w:fldCharType="end"/>
            </w:r>
            <w:r w:rsidRPr="000523CF">
              <w:rPr>
                <w:rFonts w:ascii="Calibri" w:eastAsia="Times New Roman" w:hAnsi="Calibri"/>
                <w:i/>
                <w:color w:val="000000"/>
                <w:sz w:val="16"/>
                <w:szCs w:val="16"/>
                <w:lang w:eastAsia="en-AU"/>
              </w:rPr>
              <w:t xml:space="preserve"> on page </w:t>
            </w:r>
            <w:r w:rsidR="003366B4" w:rsidRPr="000523CF">
              <w:rPr>
                <w:rFonts w:ascii="Calibri" w:eastAsia="Times New Roman" w:hAnsi="Calibri"/>
                <w:i/>
                <w:color w:val="000000"/>
                <w:sz w:val="16"/>
                <w:szCs w:val="16"/>
                <w:lang w:eastAsia="en-AU"/>
              </w:rPr>
              <w:fldChar w:fldCharType="begin"/>
            </w:r>
            <w:r w:rsidRPr="000523CF">
              <w:rPr>
                <w:rFonts w:ascii="Calibri" w:eastAsia="Times New Roman" w:hAnsi="Calibri"/>
                <w:i/>
                <w:color w:val="000000"/>
                <w:sz w:val="16"/>
                <w:szCs w:val="16"/>
                <w:lang w:eastAsia="en-AU"/>
              </w:rPr>
              <w:instrText xml:space="preserve"> PAGEREF _Ref457995807 \h </w:instrText>
            </w:r>
            <w:r w:rsidR="003366B4" w:rsidRPr="000523CF">
              <w:rPr>
                <w:rFonts w:ascii="Calibri" w:eastAsia="Times New Roman" w:hAnsi="Calibri"/>
                <w:i/>
                <w:color w:val="000000"/>
                <w:sz w:val="16"/>
                <w:szCs w:val="16"/>
                <w:lang w:eastAsia="en-AU"/>
              </w:rPr>
            </w:r>
            <w:r w:rsidR="003366B4" w:rsidRPr="000523CF">
              <w:rPr>
                <w:rFonts w:ascii="Calibri" w:eastAsia="Times New Roman" w:hAnsi="Calibri"/>
                <w:i/>
                <w:color w:val="000000"/>
                <w:sz w:val="16"/>
                <w:szCs w:val="16"/>
                <w:lang w:eastAsia="en-AU"/>
              </w:rPr>
              <w:fldChar w:fldCharType="separate"/>
            </w:r>
            <w:r w:rsidR="00FF3730">
              <w:rPr>
                <w:rFonts w:ascii="Calibri" w:eastAsia="Times New Roman" w:hAnsi="Calibri"/>
                <w:i/>
                <w:noProof/>
                <w:color w:val="000000"/>
                <w:sz w:val="16"/>
                <w:szCs w:val="16"/>
                <w:lang w:eastAsia="en-AU"/>
              </w:rPr>
              <w:t>30</w:t>
            </w:r>
            <w:r w:rsidR="003366B4" w:rsidRPr="000523CF">
              <w:rPr>
                <w:rFonts w:ascii="Calibri" w:eastAsia="Times New Roman" w:hAnsi="Calibri"/>
                <w:i/>
                <w:color w:val="000000"/>
                <w:sz w:val="16"/>
                <w:szCs w:val="16"/>
                <w:lang w:eastAsia="en-AU"/>
              </w:rPr>
              <w:fldChar w:fldCharType="end"/>
            </w:r>
            <w:r w:rsidRPr="000523CF">
              <w:rPr>
                <w:rFonts w:ascii="Calibri" w:eastAsia="Times New Roman" w:hAnsi="Calibri"/>
                <w:i/>
                <w:color w:val="000000"/>
                <w:sz w:val="16"/>
                <w:szCs w:val="16"/>
                <w:lang w:eastAsia="en-AU"/>
              </w:rPr>
              <w:t>)</w:t>
            </w:r>
            <w:r w:rsidRPr="000523CF">
              <w:rPr>
                <w:rFonts w:ascii="Calibri" w:eastAsia="Times New Roman" w:hAnsi="Calibri"/>
                <w:i/>
                <w:color w:val="000000"/>
                <w:sz w:val="16"/>
                <w:szCs w:val="15"/>
                <w:lang w:eastAsia="en-AU"/>
              </w:rPr>
              <w:t>; and</w:t>
            </w:r>
          </w:p>
          <w:p w:rsidR="001A641D" w:rsidRPr="002171FB" w:rsidRDefault="007E5C0A" w:rsidP="001A641D">
            <w:pPr>
              <w:pStyle w:val="ListParagraph"/>
              <w:numPr>
                <w:ilvl w:val="0"/>
                <w:numId w:val="15"/>
              </w:numPr>
              <w:spacing w:after="0" w:line="240" w:lineRule="auto"/>
              <w:rPr>
                <w:rFonts w:ascii="Calibri" w:eastAsia="Times New Roman" w:hAnsi="Calibri"/>
                <w:i/>
                <w:color w:val="000000"/>
                <w:sz w:val="16"/>
                <w:szCs w:val="16"/>
                <w:lang w:eastAsia="en-AU"/>
              </w:rPr>
            </w:pPr>
            <w:r w:rsidRPr="000523CF">
              <w:rPr>
                <w:rFonts w:ascii="Calibri" w:eastAsia="Times New Roman" w:hAnsi="Calibri"/>
                <w:i/>
                <w:color w:val="000000"/>
                <w:sz w:val="16"/>
                <w:szCs w:val="15"/>
                <w:lang w:eastAsia="en-AU"/>
              </w:rPr>
              <w:t xml:space="preserve">‘known legislative processes’ means legislative processes that are covered by a bilateral agreement or section 160 of the EPBC Act </w:t>
            </w:r>
            <w:r w:rsidRPr="000523CF">
              <w:rPr>
                <w:rFonts w:ascii="Calibri" w:eastAsia="Times New Roman" w:hAnsi="Calibri"/>
                <w:i/>
                <w:color w:val="000000"/>
                <w:sz w:val="16"/>
                <w:szCs w:val="16"/>
                <w:lang w:eastAsia="en-AU"/>
              </w:rPr>
              <w:t xml:space="preserve">(see </w:t>
            </w:r>
            <w:r w:rsidR="00FF3730">
              <w:fldChar w:fldCharType="begin"/>
            </w:r>
            <w:r w:rsidR="00FF3730">
              <w:instrText xml:space="preserve"> REF _Ref457985298 \h  \* MERGEFORMAT </w:instrText>
            </w:r>
            <w:r w:rsidR="00FF3730">
              <w:fldChar w:fldCharType="separate"/>
            </w:r>
            <w:r w:rsidR="00FF3730" w:rsidRPr="00FF3730">
              <w:rPr>
                <w:rFonts w:ascii="Calibri" w:eastAsia="Times New Roman" w:hAnsi="Calibri"/>
                <w:i/>
                <w:color w:val="000000"/>
                <w:sz w:val="16"/>
                <w:szCs w:val="16"/>
                <w:lang w:eastAsia="en-AU"/>
              </w:rPr>
              <w:t>Table 9</w:t>
            </w:r>
            <w:r w:rsidR="00FF3730">
              <w:fldChar w:fldCharType="end"/>
            </w:r>
            <w:r w:rsidRPr="000523CF">
              <w:rPr>
                <w:rFonts w:ascii="Calibri" w:eastAsia="Times New Roman" w:hAnsi="Calibri"/>
                <w:i/>
                <w:color w:val="000000"/>
                <w:sz w:val="16"/>
                <w:szCs w:val="16"/>
                <w:lang w:eastAsia="en-AU"/>
              </w:rPr>
              <w:t xml:space="preserve"> on page </w:t>
            </w:r>
            <w:r w:rsidR="003366B4" w:rsidRPr="000523CF">
              <w:rPr>
                <w:rFonts w:ascii="Calibri" w:eastAsia="Times New Roman" w:hAnsi="Calibri"/>
                <w:i/>
                <w:color w:val="000000"/>
                <w:sz w:val="16"/>
                <w:szCs w:val="16"/>
                <w:lang w:eastAsia="en-AU"/>
              </w:rPr>
              <w:fldChar w:fldCharType="begin"/>
            </w:r>
            <w:r w:rsidRPr="000523CF">
              <w:rPr>
                <w:rFonts w:ascii="Calibri" w:eastAsia="Times New Roman" w:hAnsi="Calibri"/>
                <w:i/>
                <w:color w:val="000000"/>
                <w:sz w:val="16"/>
                <w:szCs w:val="16"/>
                <w:lang w:eastAsia="en-AU"/>
              </w:rPr>
              <w:instrText xml:space="preserve"> PAGEREF _Ref457995807 \h </w:instrText>
            </w:r>
            <w:r w:rsidR="003366B4" w:rsidRPr="000523CF">
              <w:rPr>
                <w:rFonts w:ascii="Calibri" w:eastAsia="Times New Roman" w:hAnsi="Calibri"/>
                <w:i/>
                <w:color w:val="000000"/>
                <w:sz w:val="16"/>
                <w:szCs w:val="16"/>
                <w:lang w:eastAsia="en-AU"/>
              </w:rPr>
            </w:r>
            <w:r w:rsidR="003366B4" w:rsidRPr="000523CF">
              <w:rPr>
                <w:rFonts w:ascii="Calibri" w:eastAsia="Times New Roman" w:hAnsi="Calibri"/>
                <w:i/>
                <w:color w:val="000000"/>
                <w:sz w:val="16"/>
                <w:szCs w:val="16"/>
                <w:lang w:eastAsia="en-AU"/>
              </w:rPr>
              <w:fldChar w:fldCharType="separate"/>
            </w:r>
            <w:r w:rsidR="00FF3730">
              <w:rPr>
                <w:rFonts w:ascii="Calibri" w:eastAsia="Times New Roman" w:hAnsi="Calibri"/>
                <w:i/>
                <w:noProof/>
                <w:color w:val="000000"/>
                <w:sz w:val="16"/>
                <w:szCs w:val="16"/>
                <w:lang w:eastAsia="en-AU"/>
              </w:rPr>
              <w:t>30</w:t>
            </w:r>
            <w:r w:rsidR="003366B4" w:rsidRPr="000523CF">
              <w:rPr>
                <w:rFonts w:ascii="Calibri" w:eastAsia="Times New Roman" w:hAnsi="Calibri"/>
                <w:i/>
                <w:color w:val="000000"/>
                <w:sz w:val="16"/>
                <w:szCs w:val="16"/>
                <w:lang w:eastAsia="en-AU"/>
              </w:rPr>
              <w:fldChar w:fldCharType="end"/>
            </w:r>
            <w:r w:rsidRPr="000523CF">
              <w:rPr>
                <w:rFonts w:ascii="Calibri" w:eastAsia="Times New Roman" w:hAnsi="Calibri"/>
                <w:i/>
                <w:color w:val="000000"/>
                <w:sz w:val="16"/>
                <w:szCs w:val="16"/>
                <w:lang w:eastAsia="en-AU"/>
              </w:rPr>
              <w:t>).</w:t>
            </w:r>
          </w:p>
        </w:tc>
      </w:tr>
    </w:tbl>
    <w:p w:rsidR="001A641D" w:rsidRDefault="001A641D" w:rsidP="001A641D"/>
    <w:p w:rsidR="001A641D" w:rsidRDefault="001A641D" w:rsidP="001A641D">
      <w:pPr>
        <w:jc w:val="center"/>
      </w:pPr>
    </w:p>
    <w:p w:rsidR="001A641D" w:rsidRDefault="001A641D" w:rsidP="001A641D">
      <w:pPr>
        <w:jc w:val="center"/>
      </w:pPr>
    </w:p>
    <w:p w:rsidR="0087649B" w:rsidRDefault="0087649B" w:rsidP="001A641D">
      <w:pPr>
        <w:jc w:val="center"/>
      </w:pPr>
    </w:p>
    <w:p w:rsidR="0087649B" w:rsidRDefault="0087649B" w:rsidP="001A641D">
      <w:pPr>
        <w:jc w:val="center"/>
      </w:pPr>
    </w:p>
    <w:p w:rsidR="0087649B" w:rsidRDefault="0087649B" w:rsidP="001A641D">
      <w:pPr>
        <w:jc w:val="center"/>
      </w:pPr>
    </w:p>
    <w:p w:rsidR="0087649B" w:rsidRPr="00F34768" w:rsidRDefault="00FF3730" w:rsidP="00575562">
      <w:pPr>
        <w:pStyle w:val="Heading1"/>
        <w:numPr>
          <w:ilvl w:val="0"/>
          <w:numId w:val="0"/>
        </w:numPr>
        <w:spacing w:after="120"/>
        <w:ind w:left="431" w:hanging="431"/>
      </w:pPr>
      <w:r>
        <w:rPr>
          <w:noProof/>
          <w:lang w:eastAsia="en-AU"/>
        </w:rPr>
        <w:pict>
          <v:shape id="_x0000_s1029" type="#_x0000_t32" style="position:absolute;left:0;text-align:left;margin-left:1pt;margin-top:15.8pt;width:773.4pt;height:0;z-index:251662336" o:connectortype="straight" strokecolor="#548dd4" strokeweight="2.25pt">
            <v:shadow type="perspective" color="#243f60" opacity=".5" offset="1pt" offset2="-1pt"/>
          </v:shape>
        </w:pict>
      </w:r>
      <w:bookmarkStart w:id="3658" w:name="_Toc256000392"/>
      <w:bookmarkStart w:id="3659" w:name="_Toc256000284"/>
      <w:bookmarkStart w:id="3660" w:name="_Toc256000176"/>
      <w:bookmarkStart w:id="3661" w:name="_Toc256000068"/>
      <w:bookmarkStart w:id="3662" w:name="_Toc458170571"/>
      <w:r w:rsidR="0087649B" w:rsidRPr="00F34768">
        <w:rPr>
          <w:caps/>
        </w:rPr>
        <w:t xml:space="preserve">Appendix </w:t>
      </w:r>
      <w:r w:rsidR="0087649B">
        <w:rPr>
          <w:caps/>
        </w:rPr>
        <w:t>C</w:t>
      </w:r>
      <w:r w:rsidR="0087649B" w:rsidRPr="00F34768">
        <w:t>:</w:t>
      </w:r>
      <w:r w:rsidR="0087649B" w:rsidRPr="00F34768">
        <w:tab/>
        <w:t xml:space="preserve">COMPLEXITY </w:t>
      </w:r>
      <w:r w:rsidR="0087649B">
        <w:t>MATRIX - COSTS</w:t>
      </w:r>
      <w:bookmarkEnd w:id="3658"/>
      <w:bookmarkEnd w:id="3659"/>
      <w:bookmarkEnd w:id="3660"/>
      <w:bookmarkEnd w:id="3661"/>
      <w:bookmarkEnd w:id="3662"/>
      <w:r w:rsidR="0087649B" w:rsidRPr="00F34768">
        <w:t xml:space="preserve"> </w:t>
      </w:r>
    </w:p>
    <w:p w:rsidR="0087649B" w:rsidRPr="009646D6" w:rsidRDefault="0087649B" w:rsidP="0087649B">
      <w:pPr>
        <w:pStyle w:val="BodyText"/>
        <w:rPr>
          <w:sz w:val="2"/>
          <w:szCs w:val="2"/>
        </w:rPr>
      </w:pPr>
    </w:p>
    <w:tbl>
      <w:tblPr>
        <w:tblW w:w="5000" w:type="pct"/>
        <w:tblLayout w:type="fixed"/>
        <w:tblLook w:val="04A0" w:firstRow="1" w:lastRow="0" w:firstColumn="1" w:lastColumn="0" w:noHBand="0" w:noVBand="1"/>
      </w:tblPr>
      <w:tblGrid>
        <w:gridCol w:w="1189"/>
        <w:gridCol w:w="337"/>
        <w:gridCol w:w="4244"/>
        <w:gridCol w:w="2180"/>
        <w:gridCol w:w="884"/>
        <w:gridCol w:w="2579"/>
        <w:gridCol w:w="884"/>
        <w:gridCol w:w="2439"/>
        <w:gridCol w:w="878"/>
      </w:tblGrid>
      <w:tr w:rsidR="0087649B" w:rsidTr="0087649B">
        <w:tc>
          <w:tcPr>
            <w:tcW w:w="1848" w:type="pct"/>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7649B" w:rsidRPr="00CA226D" w:rsidRDefault="0087649B" w:rsidP="0087649B">
            <w:pPr>
              <w:spacing w:after="0" w:line="240" w:lineRule="auto"/>
              <w:rPr>
                <w:rFonts w:ascii="Calibri" w:eastAsia="Times New Roman" w:hAnsi="Calibri"/>
                <w:b/>
                <w:bCs/>
                <w:color w:val="4F81BD"/>
                <w:sz w:val="16"/>
                <w:szCs w:val="16"/>
                <w:lang w:eastAsia="en-AU"/>
              </w:rPr>
            </w:pPr>
            <w:r w:rsidRPr="00CA226D">
              <w:rPr>
                <w:rFonts w:ascii="Calibri" w:eastAsia="Times New Roman" w:hAnsi="Calibri"/>
                <w:b/>
                <w:bCs/>
                <w:color w:val="4F81BD"/>
                <w:sz w:val="16"/>
                <w:szCs w:val="16"/>
                <w:lang w:eastAsia="en-AU"/>
              </w:rPr>
              <w:t xml:space="preserve">COMPLEXITY MATRIX - </w:t>
            </w:r>
            <w:r>
              <w:rPr>
                <w:rFonts w:ascii="Calibri" w:eastAsia="Times New Roman" w:hAnsi="Calibri"/>
                <w:b/>
                <w:bCs/>
                <w:color w:val="4F81BD"/>
                <w:sz w:val="16"/>
                <w:szCs w:val="16"/>
                <w:lang w:eastAsia="en-AU"/>
              </w:rPr>
              <w:t>COSTS</w:t>
            </w:r>
          </w:p>
        </w:tc>
        <w:tc>
          <w:tcPr>
            <w:tcW w:w="981" w:type="pct"/>
            <w:gridSpan w:val="2"/>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7649B" w:rsidRPr="00CA226D" w:rsidRDefault="0087649B" w:rsidP="0087649B">
            <w:pPr>
              <w:spacing w:after="0" w:line="240" w:lineRule="auto"/>
              <w:jc w:val="center"/>
              <w:rPr>
                <w:rFonts w:ascii="Calibri" w:eastAsia="Times New Roman" w:hAnsi="Calibri"/>
                <w:b/>
                <w:bCs/>
                <w:color w:val="FFFFFF"/>
                <w:sz w:val="16"/>
                <w:szCs w:val="16"/>
                <w:lang w:eastAsia="en-AU"/>
              </w:rPr>
            </w:pPr>
            <w:r w:rsidRPr="00CA226D">
              <w:rPr>
                <w:rFonts w:ascii="Calibri" w:eastAsia="Times New Roman" w:hAnsi="Calibri"/>
                <w:b/>
                <w:bCs/>
                <w:color w:val="FFFFFF"/>
                <w:sz w:val="16"/>
                <w:szCs w:val="16"/>
                <w:lang w:eastAsia="en-AU"/>
              </w:rPr>
              <w:t>LOW/MODERATE COMPLEXITY</w:t>
            </w:r>
          </w:p>
        </w:tc>
        <w:tc>
          <w:tcPr>
            <w:tcW w:w="1109" w:type="pct"/>
            <w:gridSpan w:val="2"/>
            <w:tcBorders>
              <w:top w:val="single" w:sz="4" w:space="0" w:color="auto"/>
              <w:left w:val="nil"/>
              <w:bottom w:val="single" w:sz="4" w:space="0" w:color="auto"/>
              <w:right w:val="single" w:sz="4" w:space="0" w:color="auto"/>
            </w:tcBorders>
            <w:shd w:val="clear" w:color="000000" w:fill="FFFF00"/>
            <w:noWrap/>
            <w:vAlign w:val="bottom"/>
            <w:hideMark/>
          </w:tcPr>
          <w:p w:rsidR="0087649B" w:rsidRPr="00CA226D" w:rsidRDefault="0087649B" w:rsidP="0087649B">
            <w:pPr>
              <w:spacing w:after="0" w:line="240" w:lineRule="auto"/>
              <w:jc w:val="center"/>
              <w:rPr>
                <w:rFonts w:ascii="Calibri" w:eastAsia="Times New Roman" w:hAnsi="Calibri"/>
                <w:b/>
                <w:bCs/>
                <w:sz w:val="16"/>
                <w:szCs w:val="16"/>
                <w:lang w:eastAsia="en-AU"/>
              </w:rPr>
            </w:pPr>
            <w:r w:rsidRPr="00CA226D">
              <w:rPr>
                <w:rFonts w:ascii="Calibri" w:eastAsia="Times New Roman" w:hAnsi="Calibri"/>
                <w:b/>
                <w:bCs/>
                <w:sz w:val="16"/>
                <w:szCs w:val="16"/>
                <w:lang w:eastAsia="en-AU"/>
              </w:rPr>
              <w:t>HIGH COMPLEXITY</w:t>
            </w:r>
          </w:p>
        </w:tc>
        <w:tc>
          <w:tcPr>
            <w:tcW w:w="1062" w:type="pct"/>
            <w:gridSpan w:val="2"/>
            <w:tcBorders>
              <w:top w:val="single" w:sz="4" w:space="0" w:color="auto"/>
              <w:left w:val="nil"/>
              <w:bottom w:val="single" w:sz="4" w:space="0" w:color="auto"/>
              <w:right w:val="single" w:sz="4" w:space="0" w:color="auto"/>
            </w:tcBorders>
            <w:shd w:val="clear" w:color="000000" w:fill="953735"/>
            <w:noWrap/>
            <w:vAlign w:val="bottom"/>
            <w:hideMark/>
          </w:tcPr>
          <w:p w:rsidR="0087649B" w:rsidRPr="00CA226D" w:rsidRDefault="0087649B" w:rsidP="0087649B">
            <w:pPr>
              <w:spacing w:after="0" w:line="240" w:lineRule="auto"/>
              <w:jc w:val="center"/>
              <w:rPr>
                <w:rFonts w:ascii="Calibri" w:eastAsia="Times New Roman" w:hAnsi="Calibri"/>
                <w:b/>
                <w:bCs/>
                <w:color w:val="FFFFFF"/>
                <w:sz w:val="16"/>
                <w:szCs w:val="16"/>
                <w:lang w:eastAsia="en-AU"/>
              </w:rPr>
            </w:pPr>
            <w:r w:rsidRPr="00CA226D">
              <w:rPr>
                <w:rFonts w:ascii="Calibri" w:eastAsia="Times New Roman" w:hAnsi="Calibri"/>
                <w:b/>
                <w:bCs/>
                <w:color w:val="FFFFFF"/>
                <w:sz w:val="16"/>
                <w:szCs w:val="16"/>
                <w:lang w:eastAsia="en-AU"/>
              </w:rPr>
              <w:t>VERY HIGH COMPLEXITY</w:t>
            </w:r>
          </w:p>
        </w:tc>
      </w:tr>
      <w:tr w:rsidR="0087649B" w:rsidTr="0087649B">
        <w:tc>
          <w:tcPr>
            <w:tcW w:w="1848" w:type="pct"/>
            <w:gridSpan w:val="3"/>
            <w:vMerge/>
            <w:tcBorders>
              <w:top w:val="single" w:sz="4" w:space="0" w:color="auto"/>
              <w:left w:val="single" w:sz="4" w:space="0" w:color="auto"/>
              <w:bottom w:val="single" w:sz="4" w:space="0" w:color="000000"/>
              <w:right w:val="single" w:sz="4" w:space="0" w:color="000000"/>
            </w:tcBorders>
            <w:vAlign w:val="center"/>
            <w:hideMark/>
          </w:tcPr>
          <w:p w:rsidR="0087649B" w:rsidRPr="00CA226D" w:rsidRDefault="0087649B" w:rsidP="0087649B">
            <w:pPr>
              <w:spacing w:after="0" w:line="240" w:lineRule="auto"/>
              <w:rPr>
                <w:rFonts w:ascii="Calibri" w:eastAsia="Times New Roman" w:hAnsi="Calibri"/>
                <w:b/>
                <w:bCs/>
                <w:color w:val="4F81BD"/>
                <w:sz w:val="16"/>
                <w:szCs w:val="16"/>
                <w:lang w:eastAsia="en-AU"/>
              </w:rPr>
            </w:pPr>
          </w:p>
        </w:tc>
        <w:tc>
          <w:tcPr>
            <w:tcW w:w="698" w:type="pct"/>
            <w:tcBorders>
              <w:top w:val="nil"/>
              <w:left w:val="single" w:sz="4" w:space="0" w:color="auto"/>
              <w:bottom w:val="single" w:sz="4" w:space="0" w:color="auto"/>
              <w:right w:val="single" w:sz="4" w:space="0" w:color="auto"/>
            </w:tcBorders>
            <w:shd w:val="clear" w:color="000000" w:fill="00CCFF"/>
            <w:noWrap/>
            <w:vAlign w:val="bottom"/>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DESCRIPTION</w:t>
            </w:r>
          </w:p>
        </w:tc>
        <w:tc>
          <w:tcPr>
            <w:tcW w:w="283" w:type="pct"/>
            <w:tcBorders>
              <w:top w:val="nil"/>
              <w:left w:val="nil"/>
              <w:bottom w:val="single" w:sz="4" w:space="0" w:color="auto"/>
              <w:right w:val="single" w:sz="4" w:space="0" w:color="auto"/>
            </w:tcBorders>
            <w:shd w:val="clear" w:color="000000" w:fill="00CCFF"/>
            <w:noWrap/>
            <w:vAlign w:val="bottom"/>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Pr>
                <w:rFonts w:ascii="Calibri" w:eastAsia="Times New Roman" w:hAnsi="Calibri"/>
                <w:color w:val="000000"/>
                <w:sz w:val="16"/>
                <w:szCs w:val="16"/>
                <w:lang w:eastAsia="en-AU"/>
              </w:rPr>
              <w:t>Cost</w:t>
            </w:r>
          </w:p>
        </w:tc>
        <w:tc>
          <w:tcPr>
            <w:tcW w:w="826" w:type="pct"/>
            <w:tcBorders>
              <w:top w:val="nil"/>
              <w:left w:val="nil"/>
              <w:bottom w:val="single" w:sz="4" w:space="0" w:color="auto"/>
              <w:right w:val="single" w:sz="4" w:space="0" w:color="auto"/>
            </w:tcBorders>
            <w:shd w:val="clear" w:color="000000" w:fill="FFFF66"/>
            <w:noWrap/>
            <w:vAlign w:val="bottom"/>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DESCRIPTION</w:t>
            </w:r>
          </w:p>
        </w:tc>
        <w:tc>
          <w:tcPr>
            <w:tcW w:w="283" w:type="pct"/>
            <w:tcBorders>
              <w:top w:val="nil"/>
              <w:left w:val="nil"/>
              <w:bottom w:val="single" w:sz="4" w:space="0" w:color="auto"/>
              <w:right w:val="single" w:sz="4" w:space="0" w:color="auto"/>
            </w:tcBorders>
            <w:shd w:val="clear" w:color="000000" w:fill="FFFF66"/>
            <w:noWrap/>
            <w:vAlign w:val="bottom"/>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Pr>
                <w:rFonts w:ascii="Calibri" w:eastAsia="Times New Roman" w:hAnsi="Calibri"/>
                <w:color w:val="000000"/>
                <w:sz w:val="16"/>
                <w:szCs w:val="16"/>
                <w:lang w:eastAsia="en-AU"/>
              </w:rPr>
              <w:t>Cost</w:t>
            </w:r>
          </w:p>
        </w:tc>
        <w:tc>
          <w:tcPr>
            <w:tcW w:w="781" w:type="pct"/>
            <w:tcBorders>
              <w:top w:val="nil"/>
              <w:left w:val="nil"/>
              <w:bottom w:val="single" w:sz="4" w:space="0" w:color="auto"/>
              <w:right w:val="single" w:sz="4" w:space="0" w:color="auto"/>
            </w:tcBorders>
            <w:shd w:val="clear" w:color="000000" w:fill="FF5050"/>
            <w:noWrap/>
            <w:vAlign w:val="bottom"/>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DESCRIPTION</w:t>
            </w:r>
          </w:p>
        </w:tc>
        <w:tc>
          <w:tcPr>
            <w:tcW w:w="281" w:type="pct"/>
            <w:tcBorders>
              <w:top w:val="nil"/>
              <w:left w:val="nil"/>
              <w:bottom w:val="single" w:sz="4" w:space="0" w:color="auto"/>
              <w:right w:val="single" w:sz="4" w:space="0" w:color="auto"/>
            </w:tcBorders>
            <w:shd w:val="clear" w:color="000000" w:fill="FF5050"/>
            <w:noWrap/>
            <w:vAlign w:val="bottom"/>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Pr>
                <w:rFonts w:ascii="Calibri" w:eastAsia="Times New Roman" w:hAnsi="Calibri"/>
                <w:color w:val="000000"/>
                <w:sz w:val="16"/>
                <w:szCs w:val="16"/>
                <w:lang w:eastAsia="en-AU"/>
              </w:rPr>
              <w:t>Cost</w:t>
            </w:r>
          </w:p>
        </w:tc>
      </w:tr>
      <w:tr w:rsidR="0087649B" w:rsidTr="0087649B">
        <w:tc>
          <w:tcPr>
            <w:tcW w:w="3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b/>
                <w:bCs/>
                <w:color w:val="000000"/>
                <w:sz w:val="16"/>
                <w:szCs w:val="16"/>
                <w:lang w:eastAsia="en-AU"/>
              </w:rPr>
              <w:t>Part A</w:t>
            </w:r>
          </w:p>
        </w:tc>
        <w:tc>
          <w:tcPr>
            <w:tcW w:w="4619" w:type="pct"/>
            <w:gridSpan w:val="8"/>
            <w:tcBorders>
              <w:top w:val="single" w:sz="4" w:space="0" w:color="auto"/>
              <w:left w:val="nil"/>
              <w:bottom w:val="single" w:sz="4" w:space="0" w:color="auto"/>
              <w:right w:val="single" w:sz="4" w:space="0" w:color="auto"/>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CONTROLLING PROVISION</w:t>
            </w:r>
          </w:p>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A</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Listed threatened species and ecological communities</w:t>
            </w:r>
          </w:p>
        </w:tc>
        <w:tc>
          <w:tcPr>
            <w:tcW w:w="698" w:type="pct"/>
            <w:tcBorders>
              <w:top w:val="single" w:sz="4" w:space="0" w:color="auto"/>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single" w:sz="4" w:space="0" w:color="auto"/>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single" w:sz="4" w:space="0" w:color="auto"/>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B</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Listed migratory species</w:t>
            </w:r>
          </w:p>
        </w:tc>
        <w:tc>
          <w:tcPr>
            <w:tcW w:w="698" w:type="pc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- 7.93 days</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- 20.59 days</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- 27.87 days</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C</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Wetlands of international importance</w:t>
            </w:r>
          </w:p>
        </w:tc>
        <w:tc>
          <w:tcPr>
            <w:tcW w:w="698" w:type="pc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- 2.94 days</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- 6.98 days</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- 18.20 days</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D</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Environment of the Commonwealth marine area</w:t>
            </w:r>
          </w:p>
        </w:tc>
        <w:tc>
          <w:tcPr>
            <w:tcW w:w="698" w:type="pc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- 1.25 days</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- 2.25 days</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- 4.51</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E</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World heritage properties</w:t>
            </w:r>
          </w:p>
        </w:tc>
        <w:tc>
          <w:tcPr>
            <w:tcW w:w="698" w:type="pc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SES - 0.11 days</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SES - 0.4 days</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SES - 0.82</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F</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National heritage places</w:t>
            </w:r>
          </w:p>
        </w:tc>
        <w:tc>
          <w:tcPr>
            <w:tcW w:w="698" w:type="pct"/>
            <w:tcBorders>
              <w:top w:val="nil"/>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xml:space="preserve">Line area advice </w:t>
            </w:r>
            <w:r>
              <w:rPr>
                <w:rFonts w:ascii="Calibri" w:eastAsia="Times New Roman" w:hAnsi="Calibri"/>
                <w:color w:val="000000"/>
                <w:sz w:val="16"/>
                <w:szCs w:val="16"/>
                <w:lang w:eastAsia="en-AU"/>
              </w:rPr>
              <w:t>– 13.73 days</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xml:space="preserve">Line area advice </w:t>
            </w:r>
            <w:r>
              <w:rPr>
                <w:rFonts w:ascii="Calibri" w:eastAsia="Times New Roman" w:hAnsi="Calibri"/>
                <w:color w:val="000000"/>
                <w:sz w:val="16"/>
                <w:szCs w:val="16"/>
                <w:lang w:eastAsia="en-AU"/>
              </w:rPr>
              <w:t>– 29.13 days</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G</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Nuclear actions</w:t>
            </w:r>
          </w:p>
        </w:tc>
        <w:tc>
          <w:tcPr>
            <w:tcW w:w="698" w:type="pct"/>
            <w:tcBorders>
              <w:top w:val="nil"/>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val="restart"/>
            <w:tcBorders>
              <w:top w:val="nil"/>
              <w:left w:val="single" w:sz="4" w:space="0" w:color="auto"/>
              <w:bottom w:val="single" w:sz="4" w:space="0" w:color="000000"/>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H</w:t>
            </w:r>
          </w:p>
        </w:tc>
        <w:tc>
          <w:tcPr>
            <w:tcW w:w="1359" w:type="pct"/>
            <w:vMerge w:val="restart"/>
            <w:tcBorders>
              <w:top w:val="nil"/>
              <w:left w:val="single" w:sz="4" w:space="0" w:color="auto"/>
              <w:bottom w:val="single" w:sz="4" w:space="0" w:color="000000"/>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Great Barrier Reef Marine Park</w:t>
            </w:r>
            <w:r w:rsidRPr="00CA226D">
              <w:rPr>
                <w:rFonts w:ascii="Calibri" w:eastAsia="Times New Roman" w:hAnsi="Calibri"/>
                <w:color w:val="000000"/>
                <w:sz w:val="16"/>
                <w:szCs w:val="16"/>
                <w:lang w:eastAsia="en-AU"/>
              </w:rPr>
              <w:br/>
            </w:r>
            <w:r w:rsidRPr="00CA226D">
              <w:rPr>
                <w:rFonts w:ascii="Calibri" w:eastAsia="Times New Roman" w:hAnsi="Calibri"/>
                <w:i/>
                <w:iCs/>
                <w:color w:val="000000"/>
                <w:sz w:val="16"/>
                <w:szCs w:val="16"/>
                <w:lang w:eastAsia="en-AU"/>
              </w:rPr>
              <w:t>Note: Effort reduced by 50% if action also triggers World Heritage and/or National Heritage.</w:t>
            </w:r>
          </w:p>
        </w:tc>
        <w:tc>
          <w:tcPr>
            <w:tcW w:w="698"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noWrap/>
            <w:vAlign w:val="bottom"/>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single" w:sz="4" w:space="0" w:color="000000"/>
              <w:right w:val="nil"/>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right"/>
              <w:rPr>
                <w:rFonts w:ascii="Calibri" w:eastAsia="Times New Roman" w:hAnsi="Calibri"/>
                <w:i/>
                <w:iCs/>
                <w:color w:val="000000"/>
                <w:sz w:val="16"/>
                <w:szCs w:val="16"/>
                <w:lang w:eastAsia="en-AU"/>
              </w:rPr>
            </w:pPr>
            <w:r w:rsidRPr="00CA226D">
              <w:rPr>
                <w:rFonts w:ascii="Calibri" w:eastAsia="Times New Roman" w:hAnsi="Calibri"/>
                <w:i/>
                <w:iCs/>
                <w:color w:val="000000"/>
                <w:sz w:val="16"/>
                <w:szCs w:val="16"/>
                <w:lang w:eastAsia="en-AU"/>
              </w:rPr>
              <w:t>** 50% reduction</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$3,371</w:t>
            </w:r>
          </w:p>
        </w:tc>
        <w:tc>
          <w:tcPr>
            <w:tcW w:w="826"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right"/>
              <w:rPr>
                <w:rFonts w:ascii="Calibri" w:eastAsia="Times New Roman" w:hAnsi="Calibri"/>
                <w:i/>
                <w:iCs/>
                <w:color w:val="000000"/>
                <w:sz w:val="16"/>
                <w:szCs w:val="16"/>
                <w:lang w:eastAsia="en-AU"/>
              </w:rPr>
            </w:pPr>
            <w:r w:rsidRPr="00CA226D">
              <w:rPr>
                <w:rFonts w:ascii="Calibri" w:eastAsia="Times New Roman" w:hAnsi="Calibri"/>
                <w:i/>
                <w:iCs/>
                <w:color w:val="000000"/>
                <w:sz w:val="16"/>
                <w:szCs w:val="16"/>
                <w:lang w:eastAsia="en-AU"/>
              </w:rPr>
              <w:t>** 50% reduction</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$12,808</w:t>
            </w:r>
          </w:p>
        </w:tc>
        <w:tc>
          <w:tcPr>
            <w:tcW w:w="781"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jc w:val="right"/>
              <w:rPr>
                <w:rFonts w:ascii="Calibri" w:eastAsia="Times New Roman" w:hAnsi="Calibri"/>
                <w:i/>
                <w:iCs/>
                <w:color w:val="000000"/>
                <w:sz w:val="16"/>
                <w:szCs w:val="16"/>
                <w:lang w:eastAsia="en-AU"/>
              </w:rPr>
            </w:pPr>
            <w:r w:rsidRPr="00CA226D">
              <w:rPr>
                <w:rFonts w:ascii="Calibri" w:eastAsia="Times New Roman" w:hAnsi="Calibri"/>
                <w:i/>
                <w:iCs/>
                <w:color w:val="000000"/>
                <w:sz w:val="16"/>
                <w:szCs w:val="16"/>
                <w:lang w:eastAsia="en-AU"/>
              </w:rPr>
              <w:t>** 50% reduction</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$24,465</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I</w:t>
            </w:r>
          </w:p>
        </w:tc>
        <w:tc>
          <w:tcPr>
            <w:tcW w:w="1359" w:type="pct"/>
            <w:tcBorders>
              <w:top w:val="single" w:sz="4" w:space="0" w:color="auto"/>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Water Resources</w:t>
            </w:r>
          </w:p>
        </w:tc>
        <w:tc>
          <w:tcPr>
            <w:tcW w:w="698"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J</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Commonwealth Land/Commonwealth Agency/Commonwealth Heritage Places Overseas</w:t>
            </w:r>
          </w:p>
        </w:tc>
        <w:tc>
          <w:tcPr>
            <w:tcW w:w="698" w:type="pct"/>
            <w:tcBorders>
              <w:top w:val="nil"/>
              <w:left w:val="single" w:sz="4" w:space="0" w:color="auto"/>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$6,742</w:t>
            </w:r>
          </w:p>
        </w:tc>
        <w:tc>
          <w:tcPr>
            <w:tcW w:w="826" w:type="pct"/>
            <w:tcBorders>
              <w:top w:val="nil"/>
              <w:left w:val="single" w:sz="4" w:space="0" w:color="auto"/>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tcBorders>
              <w:top w:val="nil"/>
              <w:left w:val="nil"/>
              <w:bottom w:val="single" w:sz="4" w:space="0" w:color="auto"/>
              <w:right w:val="nil"/>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$25,615</w:t>
            </w:r>
          </w:p>
        </w:tc>
        <w:tc>
          <w:tcPr>
            <w:tcW w:w="781" w:type="pct"/>
            <w:tcBorders>
              <w:top w:val="nil"/>
              <w:left w:val="single" w:sz="4" w:space="0" w:color="auto"/>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$48,931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4619" w:type="pct"/>
            <w:gridSpan w:val="8"/>
            <w:tcBorders>
              <w:top w:val="single" w:sz="4" w:space="0" w:color="auto"/>
              <w:left w:val="nil"/>
              <w:bottom w:val="single" w:sz="4" w:space="0" w:color="auto"/>
              <w:right w:val="single" w:sz="4" w:space="0" w:color="000000"/>
            </w:tcBorders>
            <w:shd w:val="clear" w:color="000000" w:fill="000000"/>
            <w:noWrap/>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NUMBER OF PROJECT COMPONENTS</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nil"/>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K</w:t>
            </w:r>
          </w:p>
        </w:tc>
        <w:tc>
          <w:tcPr>
            <w:tcW w:w="1359"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698" w:type="pct"/>
            <w:tcBorders>
              <w:top w:val="nil"/>
              <w:left w:val="single" w:sz="4" w:space="0" w:color="auto"/>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Two project components</w:t>
            </w:r>
          </w:p>
        </w:tc>
        <w:tc>
          <w:tcPr>
            <w:tcW w:w="283" w:type="pct"/>
            <w:tcBorders>
              <w:top w:val="nil"/>
              <w:left w:val="nil"/>
              <w:bottom w:val="single" w:sz="4" w:space="0" w:color="auto"/>
              <w:right w:val="single" w:sz="4" w:space="0" w:color="auto"/>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Base cost x 1</w:t>
            </w:r>
          </w:p>
        </w:tc>
        <w:tc>
          <w:tcPr>
            <w:tcW w:w="826"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Three project components</w:t>
            </w:r>
          </w:p>
        </w:tc>
        <w:tc>
          <w:tcPr>
            <w:tcW w:w="283" w:type="pct"/>
            <w:tcBorders>
              <w:top w:val="nil"/>
              <w:left w:val="nil"/>
              <w:bottom w:val="single" w:sz="4" w:space="0" w:color="auto"/>
              <w:right w:val="single" w:sz="4" w:space="0" w:color="auto"/>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Base cost x 2</w:t>
            </w:r>
          </w:p>
        </w:tc>
        <w:tc>
          <w:tcPr>
            <w:tcW w:w="781"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(Y) number of project components</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Base cost x (Y-1)</w:t>
            </w:r>
          </w:p>
        </w:tc>
      </w:tr>
      <w:tr w:rsidR="0087649B" w:rsidTr="0087649B">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4619" w:type="pct"/>
            <w:gridSpan w:val="8"/>
            <w:tcBorders>
              <w:top w:val="single" w:sz="4" w:space="0" w:color="auto"/>
              <w:left w:val="nil"/>
              <w:bottom w:val="single" w:sz="4" w:space="0" w:color="auto"/>
              <w:right w:val="single" w:sz="4" w:space="0" w:color="000000"/>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COORDINATION WITH OTHER LEGISLATION</w:t>
            </w:r>
          </w:p>
        </w:tc>
      </w:tr>
      <w:tr w:rsidR="0087649B" w:rsidTr="0087649B">
        <w:trPr>
          <w:trHeight w:val="19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val="restart"/>
            <w:tcBorders>
              <w:top w:val="nil"/>
              <w:left w:val="single" w:sz="4" w:space="0" w:color="auto"/>
              <w:bottom w:val="single" w:sz="4" w:space="0" w:color="000000"/>
              <w:right w:val="nil"/>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L</w:t>
            </w:r>
          </w:p>
        </w:tc>
        <w:tc>
          <w:tcPr>
            <w:tcW w:w="1359" w:type="pct"/>
            <w:vMerge w:val="restart"/>
            <w:tcBorders>
              <w:top w:val="nil"/>
              <w:left w:val="nil"/>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Coordination with other legislation</w:t>
            </w:r>
          </w:p>
        </w:tc>
        <w:tc>
          <w:tcPr>
            <w:tcW w:w="698" w:type="pct"/>
            <w:vMerge w:val="restart"/>
            <w:tcBorders>
              <w:top w:val="nil"/>
              <w:left w:val="single" w:sz="4" w:space="0" w:color="auto"/>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- 8 days</w:t>
            </w:r>
            <w:r w:rsidRPr="00CA226D">
              <w:rPr>
                <w:rFonts w:ascii="Calibri" w:eastAsia="Times New Roman" w:hAnsi="Calibri"/>
                <w:color w:val="000000"/>
                <w:sz w:val="16"/>
                <w:szCs w:val="16"/>
                <w:lang w:eastAsia="en-AU"/>
              </w:rPr>
              <w:br/>
              <w:t>Assistant Director - 4 days</w:t>
            </w:r>
            <w:r w:rsidRPr="00CA226D">
              <w:rPr>
                <w:rFonts w:ascii="Calibri" w:eastAsia="Times New Roman" w:hAnsi="Calibri"/>
                <w:color w:val="000000"/>
                <w:sz w:val="16"/>
                <w:szCs w:val="16"/>
                <w:lang w:eastAsia="en-AU"/>
              </w:rPr>
              <w:br/>
              <w:t>Director - 2 days</w:t>
            </w:r>
          </w:p>
        </w:tc>
        <w:tc>
          <w:tcPr>
            <w:tcW w:w="283" w:type="pct"/>
            <w:vMerge w:val="restart"/>
            <w:tcBorders>
              <w:top w:val="nil"/>
              <w:left w:val="single" w:sz="4" w:space="0" w:color="auto"/>
              <w:bottom w:val="single" w:sz="4" w:space="0" w:color="000000"/>
              <w:right w:val="single" w:sz="4" w:space="0" w:color="auto"/>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$8,033</w:t>
            </w:r>
          </w:p>
        </w:tc>
        <w:tc>
          <w:tcPr>
            <w:tcW w:w="826" w:type="pct"/>
            <w:vMerge w:val="restart"/>
            <w:tcBorders>
              <w:top w:val="nil"/>
              <w:left w:val="single" w:sz="4" w:space="0" w:color="auto"/>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- 16 days</w:t>
            </w:r>
            <w:r w:rsidRPr="00CA226D">
              <w:rPr>
                <w:rFonts w:ascii="Calibri" w:eastAsia="Times New Roman" w:hAnsi="Calibri"/>
                <w:color w:val="000000"/>
                <w:sz w:val="16"/>
                <w:szCs w:val="16"/>
                <w:lang w:eastAsia="en-AU"/>
              </w:rPr>
              <w:br/>
              <w:t>Assistant Director - 8 days</w:t>
            </w:r>
            <w:r w:rsidRPr="00CA226D">
              <w:rPr>
                <w:rFonts w:ascii="Calibri" w:eastAsia="Times New Roman" w:hAnsi="Calibri"/>
                <w:color w:val="000000"/>
                <w:sz w:val="16"/>
                <w:szCs w:val="16"/>
                <w:lang w:eastAsia="en-AU"/>
              </w:rPr>
              <w:br/>
              <w:t>Director - 4 days</w:t>
            </w:r>
          </w:p>
        </w:tc>
        <w:tc>
          <w:tcPr>
            <w:tcW w:w="283" w:type="pct"/>
            <w:vMerge w:val="restart"/>
            <w:tcBorders>
              <w:top w:val="nil"/>
              <w:left w:val="single" w:sz="4" w:space="0" w:color="auto"/>
              <w:bottom w:val="single" w:sz="4" w:space="0" w:color="000000"/>
              <w:right w:val="single" w:sz="4" w:space="0" w:color="auto"/>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$16,065</w:t>
            </w:r>
          </w:p>
        </w:tc>
        <w:tc>
          <w:tcPr>
            <w:tcW w:w="781" w:type="pct"/>
            <w:vMerge w:val="restart"/>
            <w:tcBorders>
              <w:top w:val="nil"/>
              <w:left w:val="single" w:sz="4" w:space="0" w:color="auto"/>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- 32 days</w:t>
            </w:r>
            <w:r w:rsidRPr="00CA226D">
              <w:rPr>
                <w:rFonts w:ascii="Calibri" w:eastAsia="Times New Roman" w:hAnsi="Calibri"/>
                <w:color w:val="000000"/>
                <w:sz w:val="16"/>
                <w:szCs w:val="16"/>
                <w:lang w:eastAsia="en-AU"/>
              </w:rPr>
              <w:br/>
              <w:t>Assistant Director - 16 days</w:t>
            </w:r>
            <w:r w:rsidRPr="00CA226D">
              <w:rPr>
                <w:rFonts w:ascii="Calibri" w:eastAsia="Times New Roman" w:hAnsi="Calibri"/>
                <w:color w:val="000000"/>
                <w:sz w:val="16"/>
                <w:szCs w:val="16"/>
                <w:lang w:eastAsia="en-AU"/>
              </w:rPr>
              <w:br/>
              <w:t>Director - 8 days</w:t>
            </w:r>
            <w:r w:rsidRPr="00CA226D">
              <w:rPr>
                <w:rFonts w:ascii="Calibri" w:eastAsia="Times New Roman" w:hAnsi="Calibri"/>
                <w:color w:val="000000"/>
                <w:sz w:val="16"/>
                <w:szCs w:val="16"/>
                <w:lang w:eastAsia="en-AU"/>
              </w:rPr>
              <w:br/>
              <w:t>SES - 1 day</w:t>
            </w:r>
          </w:p>
        </w:tc>
        <w:tc>
          <w:tcPr>
            <w:tcW w:w="281" w:type="pct"/>
            <w:vMerge w:val="restart"/>
            <w:tcBorders>
              <w:top w:val="nil"/>
              <w:left w:val="single" w:sz="4" w:space="0" w:color="auto"/>
              <w:bottom w:val="single" w:sz="4" w:space="0" w:color="000000"/>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$33,162</w:t>
            </w:r>
          </w:p>
        </w:tc>
      </w:tr>
      <w:tr w:rsidR="0087649B" w:rsidTr="0087649B">
        <w:trPr>
          <w:trHeight w:val="19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nil"/>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nil"/>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rPr>
          <w:trHeight w:val="19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nil"/>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nil"/>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rPr>
          <w:trHeight w:val="19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nil"/>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nil"/>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rPr>
          <w:trHeight w:val="195"/>
        </w:trPr>
        <w:tc>
          <w:tcPr>
            <w:tcW w:w="381" w:type="pct"/>
            <w:vMerge/>
            <w:tcBorders>
              <w:top w:val="single" w:sz="4" w:space="0" w:color="auto"/>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nil"/>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nil"/>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val="restart"/>
            <w:tcBorders>
              <w:top w:val="nil"/>
              <w:left w:val="single" w:sz="4" w:space="0" w:color="auto"/>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b/>
                <w:bCs/>
                <w:color w:val="000000"/>
                <w:sz w:val="16"/>
                <w:szCs w:val="16"/>
                <w:lang w:eastAsia="en-AU"/>
              </w:rPr>
              <w:t>Part B</w:t>
            </w:r>
          </w:p>
        </w:tc>
        <w:tc>
          <w:tcPr>
            <w:tcW w:w="1467" w:type="pct"/>
            <w:gridSpan w:val="2"/>
            <w:tcBorders>
              <w:top w:val="single" w:sz="4" w:space="0" w:color="auto"/>
              <w:left w:val="single" w:sz="4" w:space="0" w:color="auto"/>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ADEQUACY OF INFORMATION AND CLARITY OF PROJECT SCOPE</w:t>
            </w:r>
          </w:p>
        </w:tc>
        <w:tc>
          <w:tcPr>
            <w:tcW w:w="698" w:type="pct"/>
            <w:tcBorders>
              <w:top w:val="nil"/>
              <w:left w:val="nil"/>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283" w:type="pct"/>
            <w:tcBorders>
              <w:top w:val="nil"/>
              <w:left w:val="nil"/>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826" w:type="pct"/>
            <w:tcBorders>
              <w:top w:val="nil"/>
              <w:left w:val="nil"/>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283" w:type="pct"/>
            <w:tcBorders>
              <w:top w:val="nil"/>
              <w:left w:val="nil"/>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781" w:type="pct"/>
            <w:tcBorders>
              <w:top w:val="nil"/>
              <w:left w:val="nil"/>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281" w:type="pct"/>
            <w:tcBorders>
              <w:top w:val="nil"/>
              <w:left w:val="nil"/>
              <w:bottom w:val="single" w:sz="4" w:space="0" w:color="auto"/>
              <w:right w:val="nil"/>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val="restart"/>
            <w:tcBorders>
              <w:top w:val="nil"/>
              <w:left w:val="single" w:sz="4" w:space="0" w:color="auto"/>
              <w:bottom w:val="single" w:sz="4" w:space="0" w:color="000000"/>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M</w:t>
            </w:r>
          </w:p>
        </w:tc>
        <w:tc>
          <w:tcPr>
            <w:tcW w:w="1359" w:type="pct"/>
            <w:vMerge w:val="restart"/>
            <w:tcBorders>
              <w:top w:val="nil"/>
              <w:left w:val="single" w:sz="4" w:space="0" w:color="auto"/>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Site surveys/Knowledge of environment</w:t>
            </w:r>
          </w:p>
        </w:tc>
        <w:tc>
          <w:tcPr>
            <w:tcW w:w="698" w:type="pct"/>
            <w:vMerge w:val="restar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vMerge w:val="restart"/>
            <w:tcBorders>
              <w:top w:val="nil"/>
              <w:left w:val="single" w:sz="4" w:space="0" w:color="auto"/>
              <w:bottom w:val="single" w:sz="4" w:space="0" w:color="000000"/>
              <w:right w:val="single" w:sz="4" w:space="0" w:color="auto"/>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$10,982</w:t>
            </w:r>
          </w:p>
        </w:tc>
        <w:tc>
          <w:tcPr>
            <w:tcW w:w="826" w:type="pct"/>
            <w:vMerge w:val="restar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4F6228"/>
                <w:sz w:val="16"/>
                <w:szCs w:val="16"/>
                <w:lang w:eastAsia="en-AU"/>
              </w:rPr>
            </w:pPr>
            <w:r w:rsidRPr="00CA226D">
              <w:rPr>
                <w:rFonts w:ascii="Calibri" w:eastAsia="Times New Roman" w:hAnsi="Calibri"/>
                <w:color w:val="4F6228"/>
                <w:sz w:val="16"/>
                <w:szCs w:val="16"/>
                <w:lang w:eastAsia="en-AU"/>
              </w:rPr>
              <w:t> </w:t>
            </w:r>
          </w:p>
        </w:tc>
        <w:tc>
          <w:tcPr>
            <w:tcW w:w="283" w:type="pct"/>
            <w:vMerge w:val="restart"/>
            <w:tcBorders>
              <w:top w:val="nil"/>
              <w:left w:val="single" w:sz="4" w:space="0" w:color="auto"/>
              <w:bottom w:val="single" w:sz="4" w:space="0" w:color="000000"/>
              <w:right w:val="single" w:sz="4" w:space="0" w:color="auto"/>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$34,949</w:t>
            </w:r>
          </w:p>
        </w:tc>
        <w:tc>
          <w:tcPr>
            <w:tcW w:w="781" w:type="pct"/>
            <w:tcBorders>
              <w:top w:val="nil"/>
              <w:left w:val="nil"/>
              <w:bottom w:val="nil"/>
              <w:right w:val="nil"/>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- 70 days</w:t>
            </w:r>
          </w:p>
        </w:tc>
        <w:tc>
          <w:tcPr>
            <w:tcW w:w="281" w:type="pct"/>
            <w:vMerge w:val="restart"/>
            <w:tcBorders>
              <w:top w:val="nil"/>
              <w:left w:val="single" w:sz="4" w:space="0" w:color="auto"/>
              <w:bottom w:val="single" w:sz="4" w:space="0" w:color="000000"/>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$84,311</w:t>
            </w: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- 26 days</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- 10 days</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SES - 3.4 days</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External advice $21,912)</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val="restart"/>
            <w:tcBorders>
              <w:top w:val="nil"/>
              <w:left w:val="single" w:sz="4" w:space="0" w:color="auto"/>
              <w:bottom w:val="single" w:sz="4" w:space="0" w:color="000000"/>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N</w:t>
            </w:r>
          </w:p>
        </w:tc>
        <w:tc>
          <w:tcPr>
            <w:tcW w:w="1359" w:type="pct"/>
            <w:vMerge w:val="restart"/>
            <w:tcBorders>
              <w:top w:val="nil"/>
              <w:left w:val="single" w:sz="4" w:space="0" w:color="auto"/>
              <w:bottom w:val="single" w:sz="4" w:space="0" w:color="000000"/>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Management measures (including mitigation and offsets)</w:t>
            </w: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val="restart"/>
            <w:tcBorders>
              <w:top w:val="nil"/>
              <w:left w:val="single" w:sz="4" w:space="0" w:color="auto"/>
              <w:bottom w:val="single" w:sz="4" w:space="0" w:color="000000"/>
              <w:right w:val="single" w:sz="4" w:space="0" w:color="auto"/>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$10,982</w:t>
            </w: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val="restart"/>
            <w:tcBorders>
              <w:top w:val="nil"/>
              <w:left w:val="single" w:sz="4" w:space="0" w:color="auto"/>
              <w:bottom w:val="single" w:sz="4" w:space="0" w:color="000000"/>
              <w:right w:val="single" w:sz="4" w:space="0" w:color="auto"/>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$34,949</w:t>
            </w:r>
          </w:p>
        </w:tc>
        <w:tc>
          <w:tcPr>
            <w:tcW w:w="781" w:type="pct"/>
            <w:tcBorders>
              <w:top w:val="nil"/>
              <w:left w:val="nil"/>
              <w:bottom w:val="nil"/>
              <w:right w:val="nil"/>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- 70 days</w:t>
            </w:r>
          </w:p>
        </w:tc>
        <w:tc>
          <w:tcPr>
            <w:tcW w:w="281" w:type="pct"/>
            <w:vMerge w:val="restart"/>
            <w:tcBorders>
              <w:top w:val="nil"/>
              <w:left w:val="single" w:sz="4" w:space="0" w:color="auto"/>
              <w:bottom w:val="single" w:sz="4" w:space="0" w:color="000000"/>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$95,311</w:t>
            </w: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tcBorders>
              <w:top w:val="nil"/>
              <w:left w:val="nil"/>
              <w:bottom w:val="nil"/>
              <w:right w:val="nil"/>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- 10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tcBorders>
              <w:top w:val="nil"/>
              <w:left w:val="nil"/>
              <w:bottom w:val="nil"/>
              <w:right w:val="nil"/>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sz w:val="16"/>
                <w:szCs w:val="16"/>
                <w:lang w:eastAsia="en-AU"/>
              </w:rPr>
            </w:pPr>
            <w:r w:rsidRPr="00CA226D">
              <w:rPr>
                <w:rFonts w:ascii="Calibri" w:eastAsia="Times New Roman" w:hAnsi="Calibri"/>
                <w:sz w:val="16"/>
                <w:szCs w:val="16"/>
                <w:lang w:eastAsia="en-AU"/>
              </w:rPr>
              <w:t>Assessment officer - 40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- 26 days</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- 6.5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sz w:val="16"/>
                <w:szCs w:val="16"/>
                <w:lang w:eastAsia="en-AU"/>
              </w:rPr>
            </w:pPr>
            <w:r w:rsidRPr="00CA226D">
              <w:rPr>
                <w:rFonts w:ascii="Calibri" w:eastAsia="Times New Roman" w:hAnsi="Calibri"/>
                <w:sz w:val="16"/>
                <w:szCs w:val="16"/>
                <w:lang w:eastAsia="en-AU"/>
              </w:rPr>
              <w:t>Assistant Director - 15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- 10 days</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- 2.5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sz w:val="16"/>
                <w:szCs w:val="16"/>
                <w:lang w:eastAsia="en-AU"/>
              </w:rPr>
            </w:pPr>
            <w:r w:rsidRPr="00CA226D">
              <w:rPr>
                <w:rFonts w:ascii="Calibri" w:eastAsia="Times New Roman" w:hAnsi="Calibri"/>
                <w:sz w:val="16"/>
                <w:szCs w:val="16"/>
                <w:lang w:eastAsia="en-AU"/>
              </w:rPr>
              <w:t>Director - 5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SES - 3.4 days</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 </w:t>
            </w:r>
          </w:p>
        </w:tc>
        <w:tc>
          <w:tcPr>
            <w:tcW w:w="1359"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val="restar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 </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sz w:val="16"/>
                <w:szCs w:val="16"/>
                <w:lang w:eastAsia="en-AU"/>
              </w:rPr>
            </w:pPr>
            <w:r w:rsidRPr="00CA226D">
              <w:rPr>
                <w:rFonts w:ascii="Calibri" w:eastAsia="Times New Roman" w:hAnsi="Calibri"/>
                <w:sz w:val="16"/>
                <w:szCs w:val="16"/>
                <w:lang w:eastAsia="en-AU"/>
              </w:rPr>
              <w:t>SES - 1.7 days</w:t>
            </w:r>
          </w:p>
        </w:tc>
        <w:tc>
          <w:tcPr>
            <w:tcW w:w="283"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External advice $32,912)</w:t>
            </w:r>
          </w:p>
        </w:tc>
        <w:tc>
          <w:tcPr>
            <w:tcW w:w="2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val="restart"/>
            <w:tcBorders>
              <w:top w:val="nil"/>
              <w:left w:val="single" w:sz="4" w:space="0" w:color="auto"/>
              <w:bottom w:val="nil"/>
              <w:right w:val="single" w:sz="4" w:space="0" w:color="auto"/>
            </w:tcBorders>
            <w:shd w:val="clear" w:color="000000" w:fill="000000"/>
            <w:noWrap/>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O</w:t>
            </w:r>
          </w:p>
        </w:tc>
        <w:tc>
          <w:tcPr>
            <w:tcW w:w="1359" w:type="pct"/>
            <w:vMerge w:val="restart"/>
            <w:tcBorders>
              <w:top w:val="nil"/>
              <w:left w:val="single" w:sz="4" w:space="0" w:color="auto"/>
              <w:bottom w:val="nil"/>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Project scope</w:t>
            </w: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val="restart"/>
            <w:tcBorders>
              <w:top w:val="nil"/>
              <w:left w:val="single" w:sz="4" w:space="0" w:color="auto"/>
              <w:bottom w:val="nil"/>
              <w:right w:val="single" w:sz="4" w:space="0" w:color="auto"/>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$10,982</w:t>
            </w:r>
          </w:p>
        </w:tc>
        <w:tc>
          <w:tcPr>
            <w:tcW w:w="826" w:type="pct"/>
            <w:vMerge w:val="restart"/>
            <w:tcBorders>
              <w:top w:val="nil"/>
              <w:left w:val="single" w:sz="4" w:space="0" w:color="auto"/>
              <w:bottom w:val="nil"/>
              <w:right w:val="single" w:sz="4" w:space="0" w:color="auto"/>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4F6228"/>
                <w:sz w:val="16"/>
                <w:szCs w:val="16"/>
                <w:lang w:eastAsia="en-AU"/>
              </w:rPr>
            </w:pPr>
            <w:r w:rsidRPr="00CA226D">
              <w:rPr>
                <w:rFonts w:ascii="Calibri" w:eastAsia="Times New Roman" w:hAnsi="Calibri"/>
                <w:color w:val="4F6228"/>
                <w:sz w:val="16"/>
                <w:szCs w:val="16"/>
                <w:lang w:eastAsia="en-AU"/>
              </w:rPr>
              <w:t> </w:t>
            </w:r>
          </w:p>
        </w:tc>
        <w:tc>
          <w:tcPr>
            <w:tcW w:w="283" w:type="pct"/>
            <w:vMerge w:val="restart"/>
            <w:tcBorders>
              <w:top w:val="nil"/>
              <w:left w:val="single" w:sz="4" w:space="0" w:color="auto"/>
              <w:bottom w:val="nil"/>
              <w:right w:val="single" w:sz="4" w:space="0" w:color="auto"/>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$34,949</w:t>
            </w:r>
          </w:p>
        </w:tc>
        <w:tc>
          <w:tcPr>
            <w:tcW w:w="781" w:type="pct"/>
            <w:tcBorders>
              <w:top w:val="nil"/>
              <w:left w:val="nil"/>
              <w:bottom w:val="nil"/>
              <w:right w:val="nil"/>
            </w:tcBorders>
            <w:shd w:val="clear" w:color="auto" w:fill="auto"/>
            <w:noWrap/>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Assessment officer - 70 days</w:t>
            </w:r>
          </w:p>
        </w:tc>
        <w:tc>
          <w:tcPr>
            <w:tcW w:w="281" w:type="pct"/>
            <w:vMerge w:val="restart"/>
            <w:tcBorders>
              <w:top w:val="nil"/>
              <w:left w:val="single" w:sz="4" w:space="0" w:color="auto"/>
              <w:bottom w:val="nil"/>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$62,399</w:t>
            </w: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Assistant Director - 26 days</w:t>
            </w:r>
          </w:p>
        </w:tc>
        <w:tc>
          <w:tcPr>
            <w:tcW w:w="281"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Director - 10 days</w:t>
            </w:r>
          </w:p>
        </w:tc>
        <w:tc>
          <w:tcPr>
            <w:tcW w:w="281"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tcBorders>
              <w:top w:val="nil"/>
              <w:left w:val="single" w:sz="4" w:space="0" w:color="auto"/>
              <w:bottom w:val="single" w:sz="4" w:space="0" w:color="auto"/>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FFFFFF"/>
                <w:sz w:val="16"/>
                <w:szCs w:val="16"/>
                <w:lang w:eastAsia="en-AU"/>
              </w:rPr>
            </w:pPr>
          </w:p>
        </w:tc>
        <w:tc>
          <w:tcPr>
            <w:tcW w:w="1359"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698"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283"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826"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4F6228"/>
                <w:sz w:val="16"/>
                <w:szCs w:val="16"/>
                <w:lang w:eastAsia="en-AU"/>
              </w:rPr>
            </w:pPr>
          </w:p>
        </w:tc>
        <w:tc>
          <w:tcPr>
            <w:tcW w:w="283"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781" w:type="pct"/>
            <w:tcBorders>
              <w:top w:val="nil"/>
              <w:left w:val="nil"/>
              <w:bottom w:val="nil"/>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SES - 3.4 days</w:t>
            </w:r>
          </w:p>
        </w:tc>
        <w:tc>
          <w:tcPr>
            <w:tcW w:w="281" w:type="pct"/>
            <w:vMerge/>
            <w:tcBorders>
              <w:top w:val="nil"/>
              <w:left w:val="single" w:sz="4" w:space="0" w:color="auto"/>
              <w:bottom w:val="nil"/>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r>
      <w:tr w:rsidR="0087649B" w:rsidTr="0087649B">
        <w:tc>
          <w:tcPr>
            <w:tcW w:w="381"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7649B" w:rsidRPr="00841655" w:rsidRDefault="0087649B" w:rsidP="0087649B">
            <w:pPr>
              <w:spacing w:after="0" w:line="240" w:lineRule="auto"/>
              <w:jc w:val="center"/>
              <w:rPr>
                <w:rFonts w:ascii="Calibri" w:eastAsia="Times New Roman" w:hAnsi="Calibri"/>
                <w:b/>
                <w:bCs/>
                <w:color w:val="000000"/>
                <w:sz w:val="16"/>
                <w:szCs w:val="16"/>
                <w:lang w:eastAsia="en-AU"/>
              </w:rPr>
            </w:pPr>
            <w:r w:rsidRPr="00CA226D">
              <w:rPr>
                <w:rFonts w:ascii="Calibri" w:eastAsia="Times New Roman" w:hAnsi="Calibri"/>
                <w:b/>
                <w:bCs/>
                <w:color w:val="000000"/>
                <w:sz w:val="16"/>
                <w:szCs w:val="16"/>
                <w:lang w:eastAsia="en-AU"/>
              </w:rPr>
              <w:t>Part A</w:t>
            </w:r>
          </w:p>
        </w:tc>
        <w:tc>
          <w:tcPr>
            <w:tcW w:w="4619" w:type="pct"/>
            <w:gridSpan w:val="8"/>
            <w:tcBorders>
              <w:top w:val="single" w:sz="4" w:space="0" w:color="auto"/>
              <w:left w:val="nil"/>
              <w:bottom w:val="single" w:sz="4" w:space="0" w:color="auto"/>
              <w:right w:val="single" w:sz="4" w:space="0" w:color="000000"/>
            </w:tcBorders>
            <w:shd w:val="clear" w:color="000000" w:fill="000000"/>
            <w:noWrap/>
            <w:vAlign w:val="bottom"/>
            <w:hideMark/>
          </w:tcPr>
          <w:p w:rsidR="0087649B" w:rsidRPr="00CA226D" w:rsidRDefault="0087649B" w:rsidP="0087649B">
            <w:pPr>
              <w:spacing w:after="0" w:line="240" w:lineRule="auto"/>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EXCEPTIONAL CIRCUMSTANCES</w:t>
            </w:r>
          </w:p>
        </w:tc>
      </w:tr>
      <w:tr w:rsidR="0087649B" w:rsidTr="0087649B">
        <w:tc>
          <w:tcPr>
            <w:tcW w:w="381" w:type="pct"/>
            <w:vMerge/>
            <w:tcBorders>
              <w:top w:val="nil"/>
              <w:left w:val="single" w:sz="4" w:space="0" w:color="auto"/>
              <w:bottom w:val="single" w:sz="4" w:space="0" w:color="000000"/>
              <w:right w:val="single" w:sz="4" w:space="0" w:color="auto"/>
            </w:tcBorders>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p>
        </w:tc>
        <w:tc>
          <w:tcPr>
            <w:tcW w:w="108" w:type="pct"/>
            <w:tcBorders>
              <w:top w:val="nil"/>
              <w:left w:val="nil"/>
              <w:bottom w:val="single" w:sz="4" w:space="0" w:color="auto"/>
              <w:right w:val="single" w:sz="4" w:space="0" w:color="auto"/>
            </w:tcBorders>
            <w:shd w:val="clear" w:color="000000" w:fill="000000"/>
            <w:vAlign w:val="center"/>
            <w:hideMark/>
          </w:tcPr>
          <w:p w:rsidR="0087649B" w:rsidRPr="00CA226D" w:rsidRDefault="0087649B" w:rsidP="0087649B">
            <w:pPr>
              <w:spacing w:after="0" w:line="240" w:lineRule="auto"/>
              <w:jc w:val="center"/>
              <w:rPr>
                <w:rFonts w:ascii="Calibri" w:eastAsia="Times New Roman" w:hAnsi="Calibri"/>
                <w:color w:val="FFFFFF"/>
                <w:sz w:val="16"/>
                <w:szCs w:val="16"/>
                <w:lang w:eastAsia="en-AU"/>
              </w:rPr>
            </w:pPr>
            <w:r w:rsidRPr="00CA226D">
              <w:rPr>
                <w:rFonts w:ascii="Calibri" w:eastAsia="Times New Roman" w:hAnsi="Calibri"/>
                <w:color w:val="FFFFFF"/>
                <w:sz w:val="16"/>
                <w:szCs w:val="16"/>
                <w:lang w:eastAsia="en-AU"/>
              </w:rPr>
              <w:t>P</w:t>
            </w:r>
          </w:p>
        </w:tc>
        <w:tc>
          <w:tcPr>
            <w:tcW w:w="1359"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Exceptional circumstances</w:t>
            </w:r>
          </w:p>
        </w:tc>
        <w:tc>
          <w:tcPr>
            <w:tcW w:w="698"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N/A</w:t>
            </w:r>
          </w:p>
        </w:tc>
        <w:tc>
          <w:tcPr>
            <w:tcW w:w="283" w:type="pct"/>
            <w:tcBorders>
              <w:top w:val="nil"/>
              <w:left w:val="nil"/>
              <w:bottom w:val="single" w:sz="4" w:space="0" w:color="auto"/>
              <w:right w:val="single" w:sz="4" w:space="0" w:color="auto"/>
            </w:tcBorders>
            <w:shd w:val="clear" w:color="000000" w:fill="00CCFF"/>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w:t>
            </w:r>
          </w:p>
        </w:tc>
        <w:tc>
          <w:tcPr>
            <w:tcW w:w="826" w:type="pct"/>
            <w:tcBorders>
              <w:top w:val="nil"/>
              <w:left w:val="nil"/>
              <w:bottom w:val="single" w:sz="4" w:space="0" w:color="auto"/>
              <w:right w:val="nil"/>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N/A</w:t>
            </w:r>
          </w:p>
        </w:tc>
        <w:tc>
          <w:tcPr>
            <w:tcW w:w="283" w:type="pct"/>
            <w:tcBorders>
              <w:top w:val="nil"/>
              <w:left w:val="single" w:sz="4" w:space="0" w:color="auto"/>
              <w:bottom w:val="single" w:sz="4" w:space="0" w:color="auto"/>
              <w:right w:val="single" w:sz="4" w:space="0" w:color="auto"/>
            </w:tcBorders>
            <w:shd w:val="clear" w:color="000000" w:fill="FFFF66"/>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w:t>
            </w:r>
          </w:p>
        </w:tc>
        <w:tc>
          <w:tcPr>
            <w:tcW w:w="781" w:type="pct"/>
            <w:tcBorders>
              <w:top w:val="nil"/>
              <w:left w:val="nil"/>
              <w:bottom w:val="single" w:sz="4" w:space="0" w:color="auto"/>
              <w:right w:val="single" w:sz="4" w:space="0" w:color="auto"/>
            </w:tcBorders>
            <w:shd w:val="clear" w:color="auto" w:fill="auto"/>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i/>
                <w:color w:val="000000"/>
                <w:sz w:val="16"/>
                <w:szCs w:val="16"/>
                <w:lang w:eastAsia="en-AU"/>
              </w:rPr>
              <w:t>Note: These are estimates.</w:t>
            </w:r>
            <w:r w:rsidRPr="00CA226D">
              <w:rPr>
                <w:rFonts w:ascii="Calibri" w:eastAsia="Times New Roman" w:hAnsi="Calibri"/>
                <w:color w:val="000000"/>
                <w:sz w:val="16"/>
                <w:szCs w:val="16"/>
                <w:lang w:eastAsia="en-AU"/>
              </w:rPr>
              <w:t xml:space="preserve"> </w:t>
            </w:r>
            <w:r w:rsidRPr="00CA226D">
              <w:rPr>
                <w:rFonts w:ascii="Calibri" w:eastAsia="Times New Roman" w:hAnsi="Calibri"/>
                <w:color w:val="000000"/>
                <w:sz w:val="16"/>
                <w:szCs w:val="16"/>
                <w:lang w:eastAsia="en-AU"/>
              </w:rPr>
              <w:br/>
              <w:t>Assessment officer - 350 days</w:t>
            </w:r>
            <w:r w:rsidRPr="00CA226D">
              <w:rPr>
                <w:rFonts w:ascii="Calibri" w:eastAsia="Times New Roman" w:hAnsi="Calibri"/>
                <w:color w:val="000000"/>
                <w:sz w:val="16"/>
                <w:szCs w:val="16"/>
                <w:lang w:eastAsia="en-AU"/>
              </w:rPr>
              <w:br/>
              <w:t>Assistant Director - 290 days</w:t>
            </w:r>
            <w:r w:rsidRPr="00CA226D">
              <w:rPr>
                <w:rFonts w:ascii="Calibri" w:eastAsia="Times New Roman" w:hAnsi="Calibri"/>
                <w:color w:val="000000"/>
                <w:sz w:val="16"/>
                <w:szCs w:val="16"/>
                <w:lang w:eastAsia="en-AU"/>
              </w:rPr>
              <w:br/>
              <w:t>Director - 150 days</w:t>
            </w:r>
            <w:r w:rsidRPr="00CA226D">
              <w:rPr>
                <w:rFonts w:ascii="Calibri" w:eastAsia="Times New Roman" w:hAnsi="Calibri"/>
                <w:color w:val="000000"/>
                <w:sz w:val="16"/>
                <w:szCs w:val="16"/>
                <w:lang w:eastAsia="en-AU"/>
              </w:rPr>
              <w:br/>
              <w:t>SES - 20 days</w:t>
            </w:r>
            <w:r w:rsidRPr="00CA226D">
              <w:rPr>
                <w:rFonts w:ascii="Calibri" w:eastAsia="Times New Roman" w:hAnsi="Calibri"/>
                <w:color w:val="000000"/>
                <w:sz w:val="16"/>
                <w:szCs w:val="16"/>
                <w:lang w:eastAsia="en-AU"/>
              </w:rPr>
              <w:br/>
              <w:t>External experts - $100,000</w:t>
            </w:r>
          </w:p>
        </w:tc>
        <w:tc>
          <w:tcPr>
            <w:tcW w:w="281" w:type="pct"/>
            <w:tcBorders>
              <w:top w:val="nil"/>
              <w:left w:val="nil"/>
              <w:bottom w:val="single" w:sz="4" w:space="0" w:color="auto"/>
              <w:right w:val="single" w:sz="4" w:space="0" w:color="auto"/>
            </w:tcBorders>
            <w:shd w:val="clear" w:color="000000" w:fill="FF5050"/>
            <w:vAlign w:val="center"/>
            <w:hideMark/>
          </w:tcPr>
          <w:p w:rsidR="0087649B" w:rsidRPr="00CA226D" w:rsidRDefault="0087649B" w:rsidP="0087649B">
            <w:pPr>
              <w:spacing w:after="0" w:line="240" w:lineRule="auto"/>
              <w:jc w:val="center"/>
              <w:rPr>
                <w:rFonts w:ascii="Calibri" w:eastAsia="Times New Roman" w:hAnsi="Calibri"/>
                <w:color w:val="000000"/>
                <w:sz w:val="16"/>
                <w:szCs w:val="16"/>
                <w:lang w:eastAsia="en-AU"/>
              </w:rPr>
            </w:pPr>
            <w:r w:rsidRPr="00CA226D">
              <w:rPr>
                <w:rFonts w:ascii="Calibri" w:eastAsia="Times New Roman" w:hAnsi="Calibri"/>
                <w:color w:val="000000"/>
                <w:sz w:val="16"/>
                <w:szCs w:val="16"/>
                <w:lang w:eastAsia="en-AU"/>
              </w:rPr>
              <w:t>$592,086</w:t>
            </w:r>
          </w:p>
        </w:tc>
      </w:tr>
    </w:tbl>
    <w:p w:rsidR="0087649B" w:rsidRDefault="0087649B" w:rsidP="00661E25">
      <w:pPr>
        <w:rPr>
          <w:caps/>
        </w:rPr>
      </w:pPr>
    </w:p>
    <w:sectPr w:rsidR="0087649B" w:rsidSect="00575562">
      <w:headerReference w:type="even" r:id="rId39"/>
      <w:headerReference w:type="default" r:id="rId40"/>
      <w:footerReference w:type="default" r:id="rId41"/>
      <w:headerReference w:type="first" r:id="rId42"/>
      <w:pgSz w:w="16838" w:h="11906" w:orient="landscape"/>
      <w:pgMar w:top="720" w:right="720" w:bottom="720" w:left="72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E25" w:rsidRDefault="00661E25" w:rsidP="00397365">
      <w:pPr>
        <w:spacing w:after="0" w:line="240" w:lineRule="auto"/>
      </w:pPr>
      <w:r>
        <w:separator/>
      </w:r>
    </w:p>
  </w:endnote>
  <w:endnote w:type="continuationSeparator" w:id="0">
    <w:p w:rsidR="00661E25" w:rsidRDefault="00661E25" w:rsidP="0039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230" w:rsidRDefault="003272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14049"/>
      <w:docPartObj>
        <w:docPartGallery w:val="Page Numbers (Bottom of Page)"/>
        <w:docPartUnique/>
      </w:docPartObj>
    </w:sdtPr>
    <w:sdtEndPr/>
    <w:sdtContent>
      <w:p w:rsidR="00661E25" w:rsidRDefault="00FF3730">
        <w:pPr>
          <w:pStyle w:val="Footer"/>
          <w:jc w:val="center"/>
        </w:pPr>
        <w:r>
          <w:fldChar w:fldCharType="begin"/>
        </w:r>
        <w:r>
          <w:instrText xml:space="preserve"> PAGE   \* MERGEFORMAT </w:instrText>
        </w:r>
        <w:r>
          <w:fldChar w:fldCharType="separate"/>
        </w:r>
        <w:r w:rsidR="00661E25">
          <w:rPr>
            <w:noProof/>
          </w:rPr>
          <w:t>i</w:t>
        </w:r>
        <w:r>
          <w:rPr>
            <w:noProof/>
          </w:rPr>
          <w:fldChar w:fldCharType="end"/>
        </w:r>
      </w:p>
    </w:sdtContent>
  </w:sdt>
  <w:p w:rsidR="00661E25" w:rsidRDefault="00661E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14050"/>
      <w:docPartObj>
        <w:docPartGallery w:val="Page Numbers (Bottom of Page)"/>
        <w:docPartUnique/>
      </w:docPartObj>
    </w:sdtPr>
    <w:sdtEndPr/>
    <w:sdtContent>
      <w:p w:rsidR="00661E25" w:rsidRDefault="00661E25">
        <w:pPr>
          <w:pStyle w:val="Footer"/>
          <w:jc w:val="center"/>
        </w:pPr>
        <w:r w:rsidRPr="004232BD">
          <w:rPr>
            <w:color w:val="FFFFFF" w:themeColor="background1"/>
          </w:rPr>
          <w:fldChar w:fldCharType="begin"/>
        </w:r>
        <w:r w:rsidRPr="004232BD">
          <w:rPr>
            <w:color w:val="FFFFFF" w:themeColor="background1"/>
          </w:rPr>
          <w:instrText xml:space="preserve"> PAGE   \* MERGEFORMAT </w:instrText>
        </w:r>
        <w:r w:rsidRPr="004232BD">
          <w:rPr>
            <w:color w:val="FFFFFF" w:themeColor="background1"/>
          </w:rPr>
          <w:fldChar w:fldCharType="separate"/>
        </w:r>
        <w:r w:rsidR="00FF3730">
          <w:rPr>
            <w:noProof/>
            <w:color w:val="FFFFFF" w:themeColor="background1"/>
          </w:rPr>
          <w:t>1</w:t>
        </w:r>
        <w:r w:rsidRPr="004232BD">
          <w:rPr>
            <w:color w:val="FFFFFF" w:themeColor="background1"/>
          </w:rPr>
          <w:fldChar w:fldCharType="end"/>
        </w:r>
      </w:p>
    </w:sdtContent>
  </w:sdt>
  <w:p w:rsidR="00661E25" w:rsidRDefault="00661E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7459"/>
      <w:docPartObj>
        <w:docPartGallery w:val="Page Numbers (Bottom of Page)"/>
        <w:docPartUnique/>
      </w:docPartObj>
    </w:sdtPr>
    <w:sdtEndPr/>
    <w:sdtContent>
      <w:p w:rsidR="00661E25" w:rsidRDefault="00FF3730">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661E25" w:rsidRDefault="00661E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41493"/>
      <w:docPartObj>
        <w:docPartGallery w:val="Page Numbers (Bottom of Page)"/>
        <w:docPartUnique/>
      </w:docPartObj>
    </w:sdtPr>
    <w:sdtEndPr/>
    <w:sdtContent>
      <w:sdt>
        <w:sdtPr>
          <w:id w:val="24141494"/>
          <w:docPartObj>
            <w:docPartGallery w:val="Page Numbers (Bottom of Page)"/>
            <w:docPartUnique/>
          </w:docPartObj>
        </w:sdtPr>
        <w:sdtEndPr/>
        <w:sdtContent>
          <w:p w:rsidR="00661E25" w:rsidRDefault="00FF3730" w:rsidP="001A641D">
            <w:pPr>
              <w:pStyle w:val="Footer"/>
              <w:jc w:val="center"/>
            </w:pPr>
            <w:r>
              <w:fldChar w:fldCharType="begin"/>
            </w:r>
            <w:r>
              <w:instrText xml:space="preserve"> PAGE   \* MERGEFORMAT </w:instrText>
            </w:r>
            <w:r>
              <w:fldChar w:fldCharType="separate"/>
            </w:r>
            <w:r>
              <w:rPr>
                <w:noProof/>
              </w:rPr>
              <w:t>78</w:t>
            </w:r>
            <w:r>
              <w:rPr>
                <w:noProof/>
              </w:rPr>
              <w:fldChar w:fldCharType="end"/>
            </w:r>
          </w:p>
        </w:sdtContent>
      </w:sdt>
      <w:p w:rsidR="00661E25" w:rsidRDefault="00FF3730" w:rsidP="001A641D">
        <w:pPr>
          <w:pStyle w:val="Foo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41495"/>
      <w:docPartObj>
        <w:docPartGallery w:val="Page Numbers (Bottom of Page)"/>
        <w:docPartUnique/>
      </w:docPartObj>
    </w:sdtPr>
    <w:sdtEndPr/>
    <w:sdtContent>
      <w:p w:rsidR="00661E25" w:rsidRDefault="00FF3730">
        <w:pPr>
          <w:pStyle w:val="Footer"/>
          <w:jc w:val="center"/>
        </w:pPr>
        <w:r>
          <w:fldChar w:fldCharType="begin"/>
        </w:r>
        <w:r>
          <w:instrText xml:space="preserve"> PAGE   \* MERGEFORMAT </w:instrText>
        </w:r>
        <w:r>
          <w:fldChar w:fldCharType="separate"/>
        </w:r>
        <w:r w:rsidR="00661E25">
          <w:rPr>
            <w:noProof/>
          </w:rPr>
          <w:t>87</w:t>
        </w:r>
        <w:r>
          <w:rPr>
            <w:noProof/>
          </w:rPr>
          <w:fldChar w:fldCharType="end"/>
        </w:r>
      </w:p>
    </w:sdtContent>
  </w:sdt>
  <w:p w:rsidR="00661E25" w:rsidRPr="00E209C1" w:rsidRDefault="00FF3730" w:rsidP="001A641D">
    <w:pPr>
      <w:pStyle w:val="Header"/>
      <w:jc w:val="right"/>
      <w:rPr>
        <w:i/>
        <w:sz w:val="16"/>
        <w:szCs w:val="16"/>
      </w:rPr>
    </w:pPr>
    <w:r>
      <w:rPr>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87.5pt;height:61.8pt;rotation:315;z-index:-251658752;mso-position-horizontal:center;mso-position-horizontal-relative:margin;mso-position-vertical:center;mso-position-vertical-relative:margin" o:allowincell="f" fillcolor="silver" stroked="f">
          <v:fill opacity=".5"/>
          <v:textpath style="font-family:&quot;Arial&quot;;font-size:1pt" string="PROVISIONAL DRAFT"/>
          <w10:wrap anchorx="margin" anchory="margin"/>
        </v:shape>
      </w:pict>
    </w:r>
    <w:r w:rsidR="00661E25" w:rsidRPr="00E209C1">
      <w:rPr>
        <w:i/>
        <w:sz w:val="16"/>
        <w:szCs w:val="16"/>
      </w:rPr>
      <w:t>EPBC Act Cost Recovery I</w:t>
    </w:r>
    <w:r w:rsidR="00661E25">
      <w:rPr>
        <w:i/>
        <w:sz w:val="16"/>
        <w:szCs w:val="16"/>
      </w:rPr>
      <w:t xml:space="preserve">mplementation </w:t>
    </w:r>
    <w:r w:rsidR="00661E25" w:rsidRPr="00E209C1">
      <w:rPr>
        <w:i/>
        <w:sz w:val="16"/>
        <w:szCs w:val="16"/>
      </w:rPr>
      <w:t>Statement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Pr="00F54E6B" w:rsidRDefault="00661E25" w:rsidP="009C6384">
    <w:pPr>
      <w:pStyle w:val="Footer"/>
      <w:tabs>
        <w:tab w:val="left" w:pos="7797"/>
        <w:tab w:val="right" w:pos="14742"/>
      </w:tabs>
    </w:pPr>
    <w:r w:rsidRPr="005731FE">
      <w:rPr>
        <w:rStyle w:val="PageNumber"/>
        <w:i/>
        <w:color w:val="4F81BD" w:themeColor="accent1"/>
      </w:rPr>
      <w:tab/>
    </w:r>
    <w:r w:rsidR="00B21529">
      <w:rPr>
        <w:rStyle w:val="PageNumber"/>
      </w:rPr>
      <w:tab/>
    </w:r>
    <w:r w:rsidRPr="00F54E6B">
      <w:rPr>
        <w:rStyle w:val="PageNumber"/>
      </w:rPr>
      <w:fldChar w:fldCharType="begin"/>
    </w:r>
    <w:r w:rsidRPr="00F54E6B">
      <w:rPr>
        <w:rStyle w:val="PageNumber"/>
      </w:rPr>
      <w:instrText xml:space="preserve"> PAGE </w:instrText>
    </w:r>
    <w:r w:rsidRPr="00F54E6B">
      <w:rPr>
        <w:rStyle w:val="PageNumber"/>
      </w:rPr>
      <w:fldChar w:fldCharType="separate"/>
    </w:r>
    <w:r w:rsidR="00FF3730">
      <w:rPr>
        <w:rStyle w:val="PageNumber"/>
        <w:noProof/>
      </w:rPr>
      <w:t>84</w:t>
    </w:r>
    <w:r w:rsidRPr="00F54E6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E25" w:rsidRDefault="00661E25" w:rsidP="001A641D">
      <w:pPr>
        <w:spacing w:after="0" w:line="240" w:lineRule="auto"/>
      </w:pPr>
      <w:r>
        <w:separator/>
      </w:r>
    </w:p>
  </w:footnote>
  <w:footnote w:type="continuationSeparator" w:id="0">
    <w:p w:rsidR="00661E25" w:rsidRDefault="00661E25" w:rsidP="001A641D">
      <w:pPr>
        <w:spacing w:after="0" w:line="240" w:lineRule="auto"/>
      </w:pPr>
      <w:r>
        <w:continuationSeparator/>
      </w:r>
    </w:p>
  </w:footnote>
  <w:footnote w:id="1">
    <w:p w:rsidR="00661E25" w:rsidRPr="0038426D" w:rsidRDefault="00661E25" w:rsidP="001A641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Pr>
          <w:rFonts w:ascii="Arial" w:hAnsi="Arial" w:cs="Arial"/>
          <w:sz w:val="18"/>
          <w:szCs w:val="18"/>
        </w:rPr>
        <w:t>Australian Government Cost Recovery Guidelines</w:t>
      </w:r>
      <w:r w:rsidRPr="00CA3ABF">
        <w:rPr>
          <w:rFonts w:ascii="Arial" w:hAnsi="Arial" w:cs="Arial"/>
          <w:sz w:val="18"/>
          <w:szCs w:val="18"/>
        </w:rPr>
        <w:t xml:space="preserve"> </w:t>
      </w:r>
      <w:r>
        <w:rPr>
          <w:rFonts w:ascii="Arial" w:hAnsi="Arial" w:cs="Arial"/>
          <w:sz w:val="18"/>
          <w:szCs w:val="18"/>
        </w:rPr>
        <w:t xml:space="preserve">- </w:t>
      </w:r>
      <w:r w:rsidRPr="0037044E">
        <w:rPr>
          <w:rFonts w:ascii="Arial" w:hAnsi="Arial" w:cs="Arial"/>
          <w:sz w:val="18"/>
          <w:szCs w:val="18"/>
        </w:rPr>
        <w:t>http://www.finance.gov.au/resource-management/charging-framework/charging-for-regulatory-activities/</w:t>
      </w:r>
    </w:p>
  </w:footnote>
  <w:footnote w:id="2">
    <w:p w:rsidR="00661E25" w:rsidRPr="0038426D" w:rsidRDefault="00661E25" w:rsidP="001A641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Pr>
          <w:rFonts w:ascii="Arial" w:hAnsi="Arial" w:cs="Arial"/>
          <w:sz w:val="18"/>
          <w:szCs w:val="18"/>
        </w:rPr>
        <w:t>Australian Government Charging Framework</w:t>
      </w:r>
      <w:r w:rsidRPr="00CA3ABF">
        <w:rPr>
          <w:rFonts w:ascii="Arial" w:hAnsi="Arial" w:cs="Arial"/>
          <w:sz w:val="18"/>
          <w:szCs w:val="18"/>
        </w:rPr>
        <w:t xml:space="preserve"> - </w:t>
      </w:r>
      <w:r w:rsidRPr="0037044E">
        <w:rPr>
          <w:rFonts w:ascii="Arial" w:hAnsi="Arial" w:cs="Arial"/>
          <w:sz w:val="18"/>
          <w:szCs w:val="18"/>
        </w:rPr>
        <w:t>http://www.finance.gov.au/resource-management/charging-framework/</w:t>
      </w:r>
      <w:r w:rsidRPr="00CA3ABF">
        <w:rPr>
          <w:rFonts w:ascii="Arial" w:hAnsi="Arial" w:cs="Arial"/>
          <w:sz w:val="18"/>
          <w:szCs w:val="18"/>
        </w:rPr>
        <w:t xml:space="preserve"> </w:t>
      </w:r>
    </w:p>
  </w:footnote>
  <w:footnote w:id="3">
    <w:p w:rsidR="00661E25" w:rsidRPr="0038426D" w:rsidRDefault="00661E25" w:rsidP="001A641D">
      <w:pPr>
        <w:pStyle w:val="FootnoteText"/>
        <w:tabs>
          <w:tab w:val="left" w:pos="7953"/>
        </w:tabs>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The Australian Government Cost Recovery Guidelines, </w:t>
      </w:r>
      <w:r w:rsidRPr="00A203FE">
        <w:rPr>
          <w:rFonts w:ascii="Arial" w:hAnsi="Arial" w:cs="Arial"/>
          <w:sz w:val="18"/>
          <w:szCs w:val="18"/>
        </w:rPr>
        <w:t>http://www.finance.gov.au/resource-management/charging-framework/charging-for-regulatory-activities/</w:t>
      </w:r>
      <w:r w:rsidRPr="00CA3ABF">
        <w:rPr>
          <w:rFonts w:ascii="Arial" w:hAnsi="Arial" w:cs="Arial"/>
          <w:sz w:val="18"/>
          <w:szCs w:val="18"/>
        </w:rPr>
        <w:tab/>
      </w:r>
      <w:r w:rsidRPr="00CA3ABF">
        <w:rPr>
          <w:rFonts w:ascii="Arial" w:hAnsi="Arial" w:cs="Arial"/>
          <w:sz w:val="18"/>
          <w:szCs w:val="18"/>
        </w:rPr>
        <w:tab/>
      </w:r>
    </w:p>
  </w:footnote>
  <w:footnote w:id="4">
    <w:p w:rsidR="00661E25" w:rsidRPr="0038426D" w:rsidRDefault="00661E25">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2012-13 Budget</w:t>
      </w:r>
      <w:r>
        <w:rPr>
          <w:rFonts w:ascii="Arial" w:hAnsi="Arial" w:cs="Arial"/>
          <w:sz w:val="18"/>
          <w:szCs w:val="18"/>
        </w:rPr>
        <w:t xml:space="preserve"> Paper 2, pages 268-269</w:t>
      </w:r>
    </w:p>
  </w:footnote>
  <w:footnote w:id="5">
    <w:p w:rsidR="00661E25" w:rsidRPr="0038426D" w:rsidRDefault="00661E25">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Portfolio Budget Statements 2013-14, Budget Related Paper No. 1.17</w:t>
      </w:r>
    </w:p>
  </w:footnote>
  <w:footnote w:id="6">
    <w:p w:rsidR="00661E25" w:rsidRDefault="00661E25">
      <w:pPr>
        <w:pStyle w:val="FootnoteText"/>
      </w:pPr>
      <w:r>
        <w:rPr>
          <w:rStyle w:val="FootnoteReference"/>
        </w:rPr>
        <w:footnoteRef/>
      </w:r>
      <w:r>
        <w:t xml:space="preserve"> </w:t>
      </w:r>
      <w:r w:rsidRPr="007D5759">
        <w:rPr>
          <w:rFonts w:ascii="Arial" w:hAnsi="Arial" w:cs="Arial"/>
          <w:sz w:val="18"/>
          <w:szCs w:val="18"/>
        </w:rPr>
        <w:t>The controlling provisions for an action are the categories of matters protected under the EPBC Act that may be significantly impacted by the proposal, such as ‘listed threatened species and ecological communities’ or ‘World Heritage properties’. Within each controlling provision, multiple protected matters, such as individual species or particular heritage properties, may be impacted or require assessment.</w:t>
      </w:r>
    </w:p>
  </w:footnote>
  <w:footnote w:id="7">
    <w:p w:rsidR="00661E25" w:rsidRPr="00C56551" w:rsidRDefault="00661E25" w:rsidP="001A641D">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preliminary documentation $8,</w:t>
      </w:r>
      <w:r>
        <w:rPr>
          <w:rFonts w:ascii="Arial" w:hAnsi="Arial" w:cs="Arial"/>
          <w:sz w:val="18"/>
          <w:szCs w:val="18"/>
        </w:rPr>
        <w:t>010</w:t>
      </w:r>
      <w:r w:rsidRPr="00C56551">
        <w:rPr>
          <w:rFonts w:ascii="Arial" w:hAnsi="Arial" w:cs="Arial"/>
          <w:sz w:val="18"/>
          <w:szCs w:val="18"/>
        </w:rPr>
        <w:t xml:space="preserve"> is the maximum base </w:t>
      </w:r>
      <w:r>
        <w:rPr>
          <w:rFonts w:ascii="Arial" w:hAnsi="Arial" w:cs="Arial"/>
          <w:sz w:val="18"/>
          <w:szCs w:val="18"/>
        </w:rPr>
        <w:t>fee</w:t>
      </w:r>
      <w:r w:rsidRPr="00C56551">
        <w:rPr>
          <w:rFonts w:ascii="Arial" w:hAnsi="Arial" w:cs="Arial"/>
          <w:sz w:val="18"/>
          <w:szCs w:val="18"/>
        </w:rPr>
        <w:t xml:space="preserve"> payable, as Stage 1 fees may not be applicable. See </w:t>
      </w:r>
      <w:r w:rsidRPr="000523CF">
        <w:rPr>
          <w:rFonts w:ascii="Arial" w:hAnsi="Arial" w:cs="Arial"/>
          <w:sz w:val="18"/>
          <w:szCs w:val="18"/>
        </w:rPr>
        <w:t xml:space="preserve">section </w:t>
      </w:r>
      <w:r w:rsidR="00FF3730">
        <w:fldChar w:fldCharType="begin"/>
      </w:r>
      <w:r w:rsidR="00FF3730">
        <w:instrText xml:space="preserve"> REF _Ref388534541 \r \h  \* MERGEFORMAT </w:instrText>
      </w:r>
      <w:r w:rsidR="00FF3730">
        <w:fldChar w:fldCharType="separate"/>
      </w:r>
      <w:r w:rsidR="00FF3730" w:rsidRPr="00FF3730">
        <w:rPr>
          <w:rFonts w:ascii="Arial" w:hAnsi="Arial" w:cs="Arial"/>
          <w:sz w:val="18"/>
          <w:szCs w:val="18"/>
        </w:rPr>
        <w:t>3.3.5.2</w:t>
      </w:r>
      <w:r w:rsidR="00FF3730">
        <w:fldChar w:fldCharType="end"/>
      </w:r>
      <w:r w:rsidRPr="00C56551">
        <w:rPr>
          <w:rFonts w:ascii="Arial" w:hAnsi="Arial" w:cs="Arial"/>
          <w:sz w:val="18"/>
          <w:szCs w:val="18"/>
        </w:rPr>
        <w:t xml:space="preserve"> of this CRIS for further details.</w:t>
      </w:r>
    </w:p>
  </w:footnote>
  <w:footnote w:id="8">
    <w:p w:rsidR="00661E25" w:rsidRPr="00C56551" w:rsidRDefault="00661E25" w:rsidP="001A641D">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by public environment report</w:t>
      </w:r>
      <w:r>
        <w:rPr>
          <w:rFonts w:ascii="Arial" w:hAnsi="Arial" w:cs="Arial"/>
          <w:sz w:val="18"/>
          <w:szCs w:val="18"/>
        </w:rPr>
        <w:t xml:space="preserve"> or environmental impact statement </w:t>
      </w:r>
      <w:r w:rsidRPr="00C56551">
        <w:rPr>
          <w:rFonts w:ascii="Arial" w:hAnsi="Arial" w:cs="Arial"/>
          <w:sz w:val="18"/>
          <w:szCs w:val="18"/>
        </w:rPr>
        <w:t>$</w:t>
      </w:r>
      <w:r>
        <w:rPr>
          <w:rFonts w:ascii="Arial" w:hAnsi="Arial" w:cs="Arial"/>
          <w:sz w:val="18"/>
          <w:szCs w:val="18"/>
        </w:rPr>
        <w:t>25,583</w:t>
      </w:r>
      <w:r w:rsidRPr="00C56551">
        <w:rPr>
          <w:rFonts w:ascii="Arial" w:hAnsi="Arial" w:cs="Arial"/>
          <w:sz w:val="18"/>
          <w:szCs w:val="18"/>
        </w:rPr>
        <w:t xml:space="preserve"> is the maximum base </w:t>
      </w:r>
      <w:r>
        <w:rPr>
          <w:rFonts w:ascii="Arial" w:hAnsi="Arial" w:cs="Arial"/>
          <w:sz w:val="18"/>
          <w:szCs w:val="18"/>
        </w:rPr>
        <w:t>fee</w:t>
      </w:r>
      <w:r w:rsidRPr="00C56551">
        <w:rPr>
          <w:rFonts w:ascii="Arial" w:hAnsi="Arial" w:cs="Arial"/>
          <w:sz w:val="18"/>
          <w:szCs w:val="18"/>
        </w:rPr>
        <w:t xml:space="preserve"> payable, as Stage 1 fees may not be applicable. See </w:t>
      </w:r>
      <w:r w:rsidRPr="000523CF">
        <w:rPr>
          <w:rFonts w:ascii="Arial" w:hAnsi="Arial" w:cs="Arial"/>
          <w:sz w:val="18"/>
          <w:szCs w:val="18"/>
        </w:rPr>
        <w:t xml:space="preserve">section </w:t>
      </w:r>
      <w:r w:rsidR="00FF3730">
        <w:fldChar w:fldCharType="begin"/>
      </w:r>
      <w:r w:rsidR="00FF3730">
        <w:instrText xml:space="preserve"> REF _Ref388534613 \r \h  \* MERGEFORMAT </w:instrText>
      </w:r>
      <w:r w:rsidR="00FF3730">
        <w:fldChar w:fldCharType="separate"/>
      </w:r>
      <w:r w:rsidR="00FF3730" w:rsidRPr="00FF3730">
        <w:rPr>
          <w:rFonts w:ascii="Arial" w:hAnsi="Arial" w:cs="Arial"/>
          <w:sz w:val="18"/>
          <w:szCs w:val="18"/>
        </w:rPr>
        <w:t>3.3.5.3</w:t>
      </w:r>
      <w:r w:rsidR="00FF3730">
        <w:fldChar w:fldCharType="end"/>
      </w:r>
      <w:r w:rsidRPr="00C56551">
        <w:rPr>
          <w:rFonts w:ascii="Arial" w:hAnsi="Arial" w:cs="Arial"/>
          <w:sz w:val="18"/>
          <w:szCs w:val="18"/>
        </w:rPr>
        <w:t xml:space="preserve"> of this CRIS for further details. </w:t>
      </w:r>
    </w:p>
  </w:footnote>
  <w:footnote w:id="9">
    <w:p w:rsidR="00661E25" w:rsidRPr="00624750" w:rsidRDefault="00661E25" w:rsidP="001A641D">
      <w:pPr>
        <w:pStyle w:val="FootnoteText"/>
        <w:rPr>
          <w:rFonts w:ascii="Arial" w:hAnsi="Arial" w:cs="Arial"/>
          <w:sz w:val="18"/>
          <w:szCs w:val="18"/>
        </w:rPr>
      </w:pPr>
      <w:r w:rsidRPr="00C56551">
        <w:rPr>
          <w:rStyle w:val="FootnoteReference"/>
          <w:rFonts w:ascii="Arial" w:hAnsi="Arial" w:cs="Arial"/>
          <w:sz w:val="18"/>
          <w:szCs w:val="18"/>
        </w:rPr>
        <w:footnoteRef/>
      </w:r>
      <w:r w:rsidRPr="00C56551">
        <w:rPr>
          <w:rFonts w:ascii="Arial" w:hAnsi="Arial" w:cs="Arial"/>
          <w:sz w:val="18"/>
          <w:szCs w:val="18"/>
        </w:rPr>
        <w:t xml:space="preserve"> For an assessment under a bilateral</w:t>
      </w:r>
      <w:r w:rsidRPr="00624750">
        <w:rPr>
          <w:rFonts w:ascii="Arial" w:hAnsi="Arial" w:cs="Arial"/>
          <w:sz w:val="18"/>
          <w:szCs w:val="18"/>
        </w:rPr>
        <w:t xml:space="preserve"> agreement / accredited process </w:t>
      </w:r>
      <w:r>
        <w:rPr>
          <w:rFonts w:ascii="Arial" w:hAnsi="Arial" w:cs="Arial"/>
          <w:sz w:val="18"/>
          <w:szCs w:val="18"/>
        </w:rPr>
        <w:t>$18,146</w:t>
      </w:r>
      <w:r w:rsidRPr="00624750">
        <w:rPr>
          <w:rFonts w:ascii="Arial" w:hAnsi="Arial" w:cs="Arial"/>
          <w:sz w:val="18"/>
          <w:szCs w:val="18"/>
        </w:rPr>
        <w:t xml:space="preserve"> is the maximum </w:t>
      </w:r>
      <w:r>
        <w:rPr>
          <w:rFonts w:ascii="Arial" w:hAnsi="Arial" w:cs="Arial"/>
          <w:sz w:val="18"/>
          <w:szCs w:val="18"/>
        </w:rPr>
        <w:t>base fee payable</w:t>
      </w:r>
      <w:r w:rsidRPr="00624750">
        <w:rPr>
          <w:rFonts w:ascii="Arial" w:hAnsi="Arial" w:cs="Arial"/>
          <w:sz w:val="18"/>
          <w:szCs w:val="18"/>
        </w:rPr>
        <w:t xml:space="preserve">, as the Minister </w:t>
      </w:r>
      <w:r>
        <w:rPr>
          <w:rFonts w:ascii="Arial" w:hAnsi="Arial" w:cs="Arial"/>
          <w:sz w:val="18"/>
          <w:szCs w:val="18"/>
        </w:rPr>
        <w:t xml:space="preserve">may determine fees are not applicable </w:t>
      </w:r>
      <w:r w:rsidRPr="00624750">
        <w:rPr>
          <w:rFonts w:ascii="Arial" w:hAnsi="Arial" w:cs="Arial"/>
          <w:sz w:val="18"/>
          <w:szCs w:val="18"/>
        </w:rPr>
        <w:t xml:space="preserve">for a stage of a bilateral / accredited assessment process if that stage </w:t>
      </w:r>
      <w:r>
        <w:rPr>
          <w:rFonts w:ascii="Arial" w:hAnsi="Arial" w:cs="Arial"/>
          <w:sz w:val="18"/>
          <w:szCs w:val="18"/>
        </w:rPr>
        <w:t>does not apply for a particular project</w:t>
      </w:r>
      <w:r w:rsidRPr="00624750">
        <w:rPr>
          <w:rFonts w:ascii="Arial" w:hAnsi="Arial" w:cs="Arial"/>
          <w:sz w:val="18"/>
          <w:szCs w:val="18"/>
        </w:rPr>
        <w:t xml:space="preserve">. See </w:t>
      </w:r>
      <w:r w:rsidRPr="000523CF">
        <w:rPr>
          <w:rFonts w:ascii="Arial" w:hAnsi="Arial" w:cs="Arial"/>
          <w:sz w:val="18"/>
          <w:szCs w:val="18"/>
        </w:rPr>
        <w:t xml:space="preserve">section </w:t>
      </w:r>
      <w:r w:rsidR="00FF3730">
        <w:fldChar w:fldCharType="begin"/>
      </w:r>
      <w:r w:rsidR="00FF3730">
        <w:instrText xml:space="preserve"> REF _Ref457995129 \r \h  \* MERGEFORMAT </w:instrText>
      </w:r>
      <w:r w:rsidR="00FF3730">
        <w:fldChar w:fldCharType="separate"/>
      </w:r>
      <w:r w:rsidR="00FF3730" w:rsidRPr="00FF3730">
        <w:rPr>
          <w:rFonts w:ascii="Arial" w:hAnsi="Arial" w:cs="Arial"/>
          <w:sz w:val="18"/>
          <w:szCs w:val="18"/>
        </w:rPr>
        <w:t>3.3.5.4</w:t>
      </w:r>
      <w:r w:rsidR="00FF3730">
        <w:fldChar w:fldCharType="end"/>
      </w:r>
      <w:r w:rsidRPr="00624750">
        <w:rPr>
          <w:rFonts w:ascii="Arial" w:hAnsi="Arial" w:cs="Arial"/>
          <w:sz w:val="18"/>
          <w:szCs w:val="18"/>
        </w:rPr>
        <w:t xml:space="preserve"> of this CRIS for further </w:t>
      </w:r>
      <w:r>
        <w:rPr>
          <w:rFonts w:ascii="Arial" w:hAnsi="Arial" w:cs="Arial"/>
          <w:sz w:val="18"/>
          <w:szCs w:val="18"/>
        </w:rPr>
        <w:t>details</w:t>
      </w:r>
      <w:r w:rsidRPr="00624750">
        <w:rPr>
          <w:rFonts w:ascii="Arial" w:hAnsi="Arial" w:cs="Arial"/>
          <w:sz w:val="18"/>
          <w:szCs w:val="18"/>
        </w:rPr>
        <w:t>.</w:t>
      </w:r>
    </w:p>
  </w:footnote>
  <w:footnote w:id="10">
    <w:p w:rsidR="00661E25" w:rsidRPr="0038426D" w:rsidRDefault="00661E25" w:rsidP="001A641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Refer to </w:t>
      </w:r>
      <w:r w:rsidR="00FF3730">
        <w:fldChar w:fldCharType="begin"/>
      </w:r>
      <w:r w:rsidR="00FF3730">
        <w:instrText xml:space="preserve"> REF _Ref457985298 \h  \* MERGEFORMAT </w:instrText>
      </w:r>
      <w:r w:rsidR="00FF3730">
        <w:fldChar w:fldCharType="separate"/>
      </w:r>
      <w:r w:rsidR="00FF3730" w:rsidRPr="00FF3730">
        <w:rPr>
          <w:rFonts w:ascii="Arial" w:hAnsi="Arial" w:cs="Arial"/>
          <w:sz w:val="18"/>
          <w:szCs w:val="18"/>
        </w:rPr>
        <w:t>Table 9</w:t>
      </w:r>
      <w:r w:rsidR="00FF3730">
        <w:fldChar w:fldCharType="end"/>
      </w:r>
      <w:r w:rsidRPr="000523CF">
        <w:rPr>
          <w:rFonts w:ascii="Arial" w:hAnsi="Arial" w:cs="Arial"/>
          <w:sz w:val="18"/>
          <w:szCs w:val="18"/>
        </w:rPr>
        <w:t xml:space="preserve"> on page </w:t>
      </w:r>
      <w:r>
        <w:rPr>
          <w:rFonts w:ascii="Arial" w:hAnsi="Arial" w:cs="Arial"/>
          <w:sz w:val="18"/>
          <w:szCs w:val="18"/>
        </w:rPr>
        <w:fldChar w:fldCharType="begin"/>
      </w:r>
      <w:r>
        <w:rPr>
          <w:rFonts w:ascii="Arial" w:hAnsi="Arial" w:cs="Arial"/>
          <w:sz w:val="18"/>
          <w:szCs w:val="18"/>
        </w:rPr>
        <w:instrText xml:space="preserve"> PAGEREF _Ref457994225 \h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30</w:t>
      </w:r>
      <w:r>
        <w:rPr>
          <w:rFonts w:ascii="Arial" w:hAnsi="Arial" w:cs="Arial"/>
          <w:sz w:val="18"/>
          <w:szCs w:val="18"/>
        </w:rPr>
        <w:fldChar w:fldCharType="end"/>
      </w:r>
      <w:r>
        <w:rPr>
          <w:rFonts w:ascii="Arial" w:hAnsi="Arial" w:cs="Arial"/>
          <w:sz w:val="18"/>
          <w:szCs w:val="18"/>
        </w:rPr>
        <w:t xml:space="preserve"> and the </w:t>
      </w:r>
      <w:r w:rsidRPr="00CA3ABF">
        <w:rPr>
          <w:rFonts w:ascii="Arial" w:hAnsi="Arial" w:cs="Arial"/>
          <w:sz w:val="18"/>
          <w:szCs w:val="18"/>
        </w:rPr>
        <w:t xml:space="preserve">complexity </w:t>
      </w:r>
      <w:r>
        <w:rPr>
          <w:rFonts w:ascii="Arial" w:hAnsi="Arial" w:cs="Arial"/>
          <w:sz w:val="18"/>
          <w:szCs w:val="18"/>
        </w:rPr>
        <w:t xml:space="preserve">fee </w:t>
      </w:r>
      <w:r w:rsidRPr="000523CF">
        <w:rPr>
          <w:rFonts w:ascii="Arial" w:hAnsi="Arial" w:cs="Arial"/>
          <w:sz w:val="18"/>
          <w:szCs w:val="18"/>
        </w:rPr>
        <w:t>matrix at Appendix B for</w:t>
      </w:r>
      <w:r>
        <w:rPr>
          <w:rFonts w:ascii="Arial" w:hAnsi="Arial" w:cs="Arial"/>
          <w:sz w:val="18"/>
          <w:szCs w:val="18"/>
        </w:rPr>
        <w:t xml:space="preserve"> more information.</w:t>
      </w:r>
    </w:p>
  </w:footnote>
  <w:footnote w:id="11">
    <w:p w:rsidR="00661E25" w:rsidRPr="0038426D" w:rsidRDefault="00661E25" w:rsidP="001A641D">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sidRPr="000523CF">
        <w:rPr>
          <w:rFonts w:ascii="Arial" w:hAnsi="Arial" w:cs="Arial"/>
          <w:sz w:val="18"/>
          <w:szCs w:val="18"/>
        </w:rPr>
        <w:t xml:space="preserve">Refer </w:t>
      </w:r>
      <w:r w:rsidR="00FF3730">
        <w:fldChar w:fldCharType="begin"/>
      </w:r>
      <w:r w:rsidR="00FF3730">
        <w:instrText xml:space="preserve"> REF _Ref457912966 \h  \* MERGEFORMAT </w:instrText>
      </w:r>
      <w:r w:rsidR="00FF3730">
        <w:fldChar w:fldCharType="separate"/>
      </w:r>
      <w:r w:rsidR="00FF3730" w:rsidRPr="00FF3730">
        <w:rPr>
          <w:rFonts w:ascii="Arial" w:hAnsi="Arial" w:cs="Arial"/>
          <w:sz w:val="18"/>
          <w:szCs w:val="18"/>
        </w:rPr>
        <w:t>Figure 3</w:t>
      </w:r>
      <w:r w:rsidR="00FF3730">
        <w:fldChar w:fldCharType="end"/>
      </w:r>
      <w:r w:rsidRPr="000523CF">
        <w:rPr>
          <w:rFonts w:ascii="Arial" w:hAnsi="Arial" w:cs="Arial"/>
          <w:sz w:val="18"/>
          <w:szCs w:val="18"/>
        </w:rPr>
        <w:t xml:space="preserve"> </w:t>
      </w:r>
      <w:r>
        <w:rPr>
          <w:rFonts w:ascii="Arial" w:hAnsi="Arial" w:cs="Arial"/>
          <w:sz w:val="18"/>
          <w:szCs w:val="18"/>
        </w:rPr>
        <w:t xml:space="preserve">on page </w:t>
      </w:r>
      <w:r>
        <w:rPr>
          <w:rFonts w:ascii="Arial" w:hAnsi="Arial" w:cs="Arial"/>
          <w:sz w:val="18"/>
          <w:szCs w:val="18"/>
        </w:rPr>
        <w:fldChar w:fldCharType="begin"/>
      </w:r>
      <w:r>
        <w:rPr>
          <w:rFonts w:ascii="Arial" w:hAnsi="Arial" w:cs="Arial"/>
          <w:sz w:val="18"/>
          <w:szCs w:val="18"/>
        </w:rPr>
        <w:instrText xml:space="preserve"> PAGEREF _Ref458075572 \h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14</w:t>
      </w:r>
      <w:r>
        <w:rPr>
          <w:rFonts w:ascii="Arial" w:hAnsi="Arial" w:cs="Arial"/>
          <w:sz w:val="18"/>
          <w:szCs w:val="18"/>
        </w:rPr>
        <w:fldChar w:fldCharType="end"/>
      </w:r>
      <w:r>
        <w:rPr>
          <w:rFonts w:ascii="Arial" w:hAnsi="Arial" w:cs="Arial"/>
          <w:sz w:val="18"/>
          <w:szCs w:val="18"/>
        </w:rPr>
        <w:t xml:space="preserve"> </w:t>
      </w:r>
      <w:r w:rsidRPr="000523CF">
        <w:rPr>
          <w:rFonts w:ascii="Arial" w:hAnsi="Arial" w:cs="Arial"/>
          <w:sz w:val="18"/>
          <w:szCs w:val="18"/>
        </w:rPr>
        <w:t>for</w:t>
      </w:r>
      <w:r w:rsidRPr="00CA3ABF">
        <w:rPr>
          <w:rFonts w:ascii="Arial" w:hAnsi="Arial" w:cs="Arial"/>
          <w:sz w:val="18"/>
          <w:szCs w:val="18"/>
        </w:rPr>
        <w:t xml:space="preserve"> overview of the environmental impact assessments process</w:t>
      </w:r>
    </w:p>
  </w:footnote>
  <w:footnote w:id="12">
    <w:p w:rsidR="00661E25" w:rsidRPr="0038426D" w:rsidRDefault="00661E25">
      <w:pPr>
        <w:pStyle w:val="FootnoteText"/>
        <w:rPr>
          <w:rFonts w:ascii="Arial" w:hAnsi="Arial" w:cs="Arial"/>
          <w:sz w:val="18"/>
          <w:szCs w:val="18"/>
        </w:rPr>
      </w:pPr>
      <w:r w:rsidRPr="00CA3ABF">
        <w:rPr>
          <w:rStyle w:val="FootnoteReference"/>
          <w:rFonts w:ascii="Arial" w:hAnsi="Arial" w:cs="Arial"/>
          <w:sz w:val="18"/>
          <w:szCs w:val="18"/>
        </w:rPr>
        <w:footnoteRef/>
      </w:r>
      <w:r w:rsidRPr="00CA3ABF">
        <w:rPr>
          <w:rFonts w:ascii="Arial" w:hAnsi="Arial" w:cs="Arial"/>
          <w:sz w:val="18"/>
          <w:szCs w:val="18"/>
        </w:rPr>
        <w:t xml:space="preserve"> </w:t>
      </w:r>
      <w:r w:rsidRPr="009F1471">
        <w:rPr>
          <w:rFonts w:ascii="Arial" w:hAnsi="Arial" w:cs="Arial"/>
          <w:sz w:val="18"/>
          <w:szCs w:val="18"/>
        </w:rPr>
        <w:t>http://www.finance.gov.au/procurement/procurement-policy-and-guidance/commonwealth-procurement-rules/</w:t>
      </w:r>
    </w:p>
  </w:footnote>
  <w:footnote w:id="13">
    <w:p w:rsidR="00661E25" w:rsidRPr="00F36214" w:rsidRDefault="00661E25" w:rsidP="001A641D">
      <w:pPr>
        <w:pStyle w:val="ListParagraph"/>
        <w:numPr>
          <w:ilvl w:val="0"/>
          <w:numId w:val="0"/>
        </w:numPr>
        <w:rPr>
          <w:rFonts w:cs="Arial"/>
          <w:sz w:val="18"/>
          <w:szCs w:val="18"/>
          <w:lang w:val="en-US"/>
        </w:rPr>
      </w:pPr>
      <w:r w:rsidRPr="00F36214">
        <w:rPr>
          <w:rStyle w:val="FootnoteReference"/>
          <w:rFonts w:cs="Arial"/>
          <w:sz w:val="18"/>
          <w:szCs w:val="18"/>
        </w:rPr>
        <w:footnoteRef/>
      </w:r>
      <w:r w:rsidRPr="00F36214">
        <w:rPr>
          <w:rFonts w:cs="Arial"/>
          <w:sz w:val="18"/>
          <w:szCs w:val="18"/>
        </w:rPr>
        <w:t xml:space="preserve"> </w:t>
      </w:r>
      <w:r w:rsidRPr="00F36214">
        <w:rPr>
          <w:rFonts w:cs="Arial"/>
          <w:sz w:val="18"/>
          <w:szCs w:val="18"/>
          <w:lang w:val="en-US"/>
        </w:rPr>
        <w:t xml:space="preserve">Total expenses </w:t>
      </w:r>
      <w:r>
        <w:rPr>
          <w:rFonts w:cs="Arial"/>
          <w:sz w:val="18"/>
          <w:szCs w:val="18"/>
          <w:lang w:val="en-US"/>
        </w:rPr>
        <w:t xml:space="preserve">and revenue </w:t>
      </w:r>
      <w:r w:rsidRPr="00F36214">
        <w:rPr>
          <w:rFonts w:cs="Arial"/>
          <w:sz w:val="18"/>
          <w:szCs w:val="18"/>
          <w:lang w:val="en-US"/>
        </w:rPr>
        <w:t xml:space="preserve">do not include assessments by Public Inquiry </w:t>
      </w:r>
      <w:r>
        <w:rPr>
          <w:rFonts w:cs="Arial"/>
          <w:sz w:val="18"/>
          <w:szCs w:val="18"/>
          <w:lang w:val="en-US"/>
        </w:rPr>
        <w:t xml:space="preserve">or strategic assessments </w:t>
      </w:r>
      <w:r w:rsidRPr="00F36214">
        <w:rPr>
          <w:rFonts w:cs="Arial"/>
          <w:sz w:val="18"/>
          <w:szCs w:val="18"/>
          <w:lang w:val="en-US"/>
        </w:rPr>
        <w:t xml:space="preserve">as expenses and revenue for </w:t>
      </w:r>
      <w:r>
        <w:rPr>
          <w:rFonts w:cs="Arial"/>
          <w:sz w:val="18"/>
          <w:szCs w:val="18"/>
          <w:lang w:val="en-US"/>
        </w:rPr>
        <w:t>these</w:t>
      </w:r>
      <w:r w:rsidRPr="00F36214">
        <w:rPr>
          <w:rFonts w:cs="Arial"/>
          <w:sz w:val="18"/>
          <w:szCs w:val="18"/>
          <w:lang w:val="en-US"/>
        </w:rPr>
        <w:t xml:space="preserve"> assessment</w:t>
      </w:r>
      <w:r>
        <w:rPr>
          <w:rFonts w:cs="Arial"/>
          <w:sz w:val="18"/>
          <w:szCs w:val="18"/>
          <w:lang w:val="en-US"/>
        </w:rPr>
        <w:t>s</w:t>
      </w:r>
      <w:r w:rsidRPr="00F36214">
        <w:rPr>
          <w:rFonts w:cs="Arial"/>
          <w:sz w:val="18"/>
          <w:szCs w:val="18"/>
          <w:lang w:val="en-US"/>
        </w:rPr>
        <w:t xml:space="preserve"> will be determined on a case-by-case basis.</w:t>
      </w:r>
    </w:p>
  </w:footnote>
  <w:footnote w:id="14">
    <w:p w:rsidR="00661E25" w:rsidRDefault="00661E25" w:rsidP="001A641D">
      <w:pPr>
        <w:pStyle w:val="FootnoteText"/>
      </w:pPr>
      <w:r>
        <w:rPr>
          <w:rStyle w:val="FootnoteReference"/>
        </w:rPr>
        <w:footnoteRef/>
      </w:r>
      <w:r>
        <w:t xml:space="preserve"> </w:t>
      </w:r>
      <w:r w:rsidRPr="00F56B06">
        <w:rPr>
          <w:sz w:val="20"/>
        </w:rPr>
        <w:t xml:space="preserve">Note that </w:t>
      </w:r>
      <w:r>
        <w:rPr>
          <w:sz w:val="20"/>
        </w:rPr>
        <w:t xml:space="preserve">the average calendar days from referral to approval will increase over time as current projects referred in earlier years are finalised (e.g. approved) and able to be counted.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rsidP="001A641D">
    <w:pPr>
      <w:pStyle w:val="Classification"/>
    </w:pPr>
    <w:r>
      <w:fldChar w:fldCharType="begin"/>
    </w:r>
    <w:r>
      <w:instrText xml:space="preserve"> DOCPROPERTY SecurityClassification \* MERGEFORMAT </w:instrText>
    </w:r>
    <w:r>
      <w:fldChar w:fldCharType="separate"/>
    </w:r>
    <w:r w:rsidR="00FF3730">
      <w:rPr>
        <w:b/>
        <w:bCs/>
        <w:lang w:val="en-US"/>
      </w:rPr>
      <w:t>Error! Unknown document property name.</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Pr="00F54E6B" w:rsidRDefault="00661E25" w:rsidP="001A641D">
    <w:pPr>
      <w:pStyle w:val="Heade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rsidP="001A641D">
    <w:pPr>
      <w:pStyle w:val="Header"/>
      <w:jc w:val="right"/>
      <w:rPr>
        <w:sz w:val="16"/>
        <w:szCs w:val="16"/>
      </w:rPr>
    </w:pPr>
    <w:r>
      <w:rPr>
        <w:sz w:val="16"/>
        <w:szCs w:val="16"/>
      </w:rPr>
      <w:t xml:space="preserve">Provisional </w:t>
    </w:r>
    <w:r w:rsidRPr="00E10F05">
      <w:rPr>
        <w:sz w:val="16"/>
        <w:szCs w:val="16"/>
      </w:rPr>
      <w:t xml:space="preserve">EPBC Act Cost Recovery Impact Statement </w:t>
    </w:r>
  </w:p>
  <w:p w:rsidR="00661E25" w:rsidRPr="00E10F05" w:rsidRDefault="00661E25" w:rsidP="001A641D">
    <w:pPr>
      <w:pStyle w:val="Header"/>
      <w:jc w:val="right"/>
      <w:rPr>
        <w:sz w:val="16"/>
        <w:szCs w:val="16"/>
      </w:rPr>
    </w:pPr>
    <w:r w:rsidRPr="00E10F05">
      <w:rPr>
        <w:sz w:val="16"/>
        <w:szCs w:val="16"/>
      </w:rPr>
      <w:t>July 2014 – June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230" w:rsidRDefault="0032723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Pr="0061219F" w:rsidRDefault="00661E25" w:rsidP="001A641D">
    <w:pPr>
      <w:spacing w:after="0"/>
      <w:jc w:val="right"/>
      <w:rPr>
        <w:i/>
        <w:color w:val="000000"/>
        <w:sz w:val="16"/>
        <w:szCs w:val="16"/>
      </w:rPr>
    </w:pPr>
    <w:r>
      <w:rPr>
        <w:i/>
        <w:color w:val="000000"/>
        <w:sz w:val="16"/>
        <w:szCs w:val="16"/>
      </w:rPr>
      <w:t>EPBC Act Cost Recovery Im</w:t>
    </w:r>
    <w:r w:rsidRPr="0061219F">
      <w:rPr>
        <w:i/>
        <w:color w:val="000000"/>
        <w:sz w:val="16"/>
        <w:szCs w:val="16"/>
      </w:rPr>
      <w:t>plementation Statement</w:t>
    </w:r>
  </w:p>
  <w:p w:rsidR="00661E25" w:rsidRDefault="00661E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Default="00661E25" w:rsidP="001A641D">
    <w:pPr>
      <w:pStyle w:val="Classification"/>
    </w:pPr>
    <w:r>
      <w:fldChar w:fldCharType="begin"/>
    </w:r>
    <w:r>
      <w:instrText xml:space="preserve"> DOCPROPERTY SecurityClassification \* MERGEFORMAT </w:instrText>
    </w:r>
    <w:r>
      <w:fldChar w:fldCharType="separate"/>
    </w:r>
    <w:r w:rsidR="00FF3730">
      <w:rPr>
        <w:b/>
        <w:bCs/>
        <w:lang w:val="en-US"/>
      </w:rPr>
      <w:t>Error! Unknown document property name.</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Pr="000D637E" w:rsidRDefault="00661E25" w:rsidP="001A641D">
    <w:pPr>
      <w:pStyle w:val="Header"/>
      <w:jc w:val="right"/>
      <w:rPr>
        <w:i/>
        <w:sz w:val="16"/>
        <w:szCs w:val="16"/>
      </w:rPr>
    </w:pPr>
    <w:r w:rsidRPr="000D637E">
      <w:rPr>
        <w:i/>
        <w:sz w:val="16"/>
        <w:szCs w:val="16"/>
      </w:rPr>
      <w:t>EPBC Act Cost Recovery Imp</w:t>
    </w:r>
    <w:r>
      <w:rPr>
        <w:i/>
        <w:sz w:val="16"/>
        <w:szCs w:val="16"/>
      </w:rPr>
      <w:t>lementation</w:t>
    </w:r>
    <w:r w:rsidRPr="000D637E">
      <w:rPr>
        <w:i/>
        <w:sz w:val="16"/>
        <w:szCs w:val="16"/>
      </w:rPr>
      <w:t xml:space="preserve"> Statement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E25" w:rsidRPr="00C6709F" w:rsidRDefault="00661E25" w:rsidP="001A6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1B436E"/>
    <w:multiLevelType w:val="multilevel"/>
    <w:tmpl w:val="39026798"/>
    <w:lvl w:ilvl="0">
      <w:start w:val="1"/>
      <w:numFmt w:val="decimal"/>
      <w:pStyle w:val="Heading1"/>
      <w:lvlText w:val="%1"/>
      <w:lvlJc w:val="left"/>
      <w:pPr>
        <w:ind w:left="432" w:hanging="432"/>
      </w:pPr>
      <w:rPr>
        <w:rFonts w:cs="Times New Roman"/>
        <w:b w:val="0"/>
        <w:b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997"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9A32D76"/>
    <w:multiLevelType w:val="hybridMultilevel"/>
    <w:tmpl w:val="3938695E"/>
    <w:lvl w:ilvl="0" w:tplc="5A82C566">
      <w:start w:val="1"/>
      <w:numFmt w:val="decimal"/>
      <w:pStyle w:val="ListNumber"/>
      <w:lvlText w:val="%1)"/>
      <w:lvlJc w:val="left"/>
      <w:pPr>
        <w:ind w:left="720" w:hanging="360"/>
      </w:pPr>
    </w:lvl>
    <w:lvl w:ilvl="1" w:tplc="58F2A644" w:tentative="1">
      <w:start w:val="1"/>
      <w:numFmt w:val="lowerLetter"/>
      <w:lvlText w:val="%2."/>
      <w:lvlJc w:val="left"/>
      <w:pPr>
        <w:ind w:left="1440" w:hanging="360"/>
      </w:pPr>
    </w:lvl>
    <w:lvl w:ilvl="2" w:tplc="2EB64860" w:tentative="1">
      <w:start w:val="1"/>
      <w:numFmt w:val="lowerRoman"/>
      <w:lvlText w:val="%3."/>
      <w:lvlJc w:val="right"/>
      <w:pPr>
        <w:ind w:left="2160" w:hanging="180"/>
      </w:pPr>
    </w:lvl>
    <w:lvl w:ilvl="3" w:tplc="F5682402" w:tentative="1">
      <w:start w:val="1"/>
      <w:numFmt w:val="decimal"/>
      <w:lvlText w:val="%4."/>
      <w:lvlJc w:val="left"/>
      <w:pPr>
        <w:ind w:left="2880" w:hanging="360"/>
      </w:pPr>
    </w:lvl>
    <w:lvl w:ilvl="4" w:tplc="A9E08D1A" w:tentative="1">
      <w:start w:val="1"/>
      <w:numFmt w:val="lowerLetter"/>
      <w:lvlText w:val="%5."/>
      <w:lvlJc w:val="left"/>
      <w:pPr>
        <w:ind w:left="3600" w:hanging="360"/>
      </w:pPr>
    </w:lvl>
    <w:lvl w:ilvl="5" w:tplc="9E64E294" w:tentative="1">
      <w:start w:val="1"/>
      <w:numFmt w:val="lowerRoman"/>
      <w:lvlText w:val="%6."/>
      <w:lvlJc w:val="right"/>
      <w:pPr>
        <w:ind w:left="4320" w:hanging="180"/>
      </w:pPr>
    </w:lvl>
    <w:lvl w:ilvl="6" w:tplc="D1426264" w:tentative="1">
      <w:start w:val="1"/>
      <w:numFmt w:val="decimal"/>
      <w:lvlText w:val="%7."/>
      <w:lvlJc w:val="left"/>
      <w:pPr>
        <w:ind w:left="5040" w:hanging="360"/>
      </w:pPr>
    </w:lvl>
    <w:lvl w:ilvl="7" w:tplc="2F02B944" w:tentative="1">
      <w:start w:val="1"/>
      <w:numFmt w:val="lowerLetter"/>
      <w:lvlText w:val="%8."/>
      <w:lvlJc w:val="left"/>
      <w:pPr>
        <w:ind w:left="5760" w:hanging="360"/>
      </w:pPr>
    </w:lvl>
    <w:lvl w:ilvl="8" w:tplc="01F8DFB2" w:tentative="1">
      <w:start w:val="1"/>
      <w:numFmt w:val="lowerRoman"/>
      <w:lvlText w:val="%9."/>
      <w:lvlJc w:val="right"/>
      <w:pPr>
        <w:ind w:left="6480" w:hanging="180"/>
      </w:pPr>
    </w:lvl>
  </w:abstractNum>
  <w:abstractNum w:abstractNumId="3" w15:restartNumberingAfterBreak="0">
    <w:nsid w:val="1B52524E"/>
    <w:multiLevelType w:val="hybridMultilevel"/>
    <w:tmpl w:val="A74CC338"/>
    <w:lvl w:ilvl="0" w:tplc="1F8A6CE8">
      <w:start w:val="1"/>
      <w:numFmt w:val="bullet"/>
      <w:lvlText w:val=""/>
      <w:lvlJc w:val="left"/>
      <w:pPr>
        <w:ind w:left="720" w:hanging="360"/>
      </w:pPr>
      <w:rPr>
        <w:rFonts w:ascii="Symbol" w:hAnsi="Symbol" w:hint="default"/>
      </w:rPr>
    </w:lvl>
    <w:lvl w:ilvl="1" w:tplc="7004D704" w:tentative="1">
      <w:start w:val="1"/>
      <w:numFmt w:val="bullet"/>
      <w:lvlText w:val="o"/>
      <w:lvlJc w:val="left"/>
      <w:pPr>
        <w:ind w:left="1440" w:hanging="360"/>
      </w:pPr>
      <w:rPr>
        <w:rFonts w:ascii="Courier New" w:hAnsi="Courier New" w:cs="Courier New" w:hint="default"/>
      </w:rPr>
    </w:lvl>
    <w:lvl w:ilvl="2" w:tplc="2BFCC878" w:tentative="1">
      <w:start w:val="1"/>
      <w:numFmt w:val="bullet"/>
      <w:lvlText w:val=""/>
      <w:lvlJc w:val="left"/>
      <w:pPr>
        <w:ind w:left="2160" w:hanging="360"/>
      </w:pPr>
      <w:rPr>
        <w:rFonts w:ascii="Wingdings" w:hAnsi="Wingdings" w:hint="default"/>
      </w:rPr>
    </w:lvl>
    <w:lvl w:ilvl="3" w:tplc="22B85506" w:tentative="1">
      <w:start w:val="1"/>
      <w:numFmt w:val="bullet"/>
      <w:lvlText w:val=""/>
      <w:lvlJc w:val="left"/>
      <w:pPr>
        <w:ind w:left="2880" w:hanging="360"/>
      </w:pPr>
      <w:rPr>
        <w:rFonts w:ascii="Symbol" w:hAnsi="Symbol" w:hint="default"/>
      </w:rPr>
    </w:lvl>
    <w:lvl w:ilvl="4" w:tplc="3584894C" w:tentative="1">
      <w:start w:val="1"/>
      <w:numFmt w:val="bullet"/>
      <w:lvlText w:val="o"/>
      <w:lvlJc w:val="left"/>
      <w:pPr>
        <w:ind w:left="3600" w:hanging="360"/>
      </w:pPr>
      <w:rPr>
        <w:rFonts w:ascii="Courier New" w:hAnsi="Courier New" w:cs="Courier New" w:hint="default"/>
      </w:rPr>
    </w:lvl>
    <w:lvl w:ilvl="5" w:tplc="B35A32A4" w:tentative="1">
      <w:start w:val="1"/>
      <w:numFmt w:val="bullet"/>
      <w:lvlText w:val=""/>
      <w:lvlJc w:val="left"/>
      <w:pPr>
        <w:ind w:left="4320" w:hanging="360"/>
      </w:pPr>
      <w:rPr>
        <w:rFonts w:ascii="Wingdings" w:hAnsi="Wingdings" w:hint="default"/>
      </w:rPr>
    </w:lvl>
    <w:lvl w:ilvl="6" w:tplc="47003DEE" w:tentative="1">
      <w:start w:val="1"/>
      <w:numFmt w:val="bullet"/>
      <w:lvlText w:val=""/>
      <w:lvlJc w:val="left"/>
      <w:pPr>
        <w:ind w:left="5040" w:hanging="360"/>
      </w:pPr>
      <w:rPr>
        <w:rFonts w:ascii="Symbol" w:hAnsi="Symbol" w:hint="default"/>
      </w:rPr>
    </w:lvl>
    <w:lvl w:ilvl="7" w:tplc="4D0661AA" w:tentative="1">
      <w:start w:val="1"/>
      <w:numFmt w:val="bullet"/>
      <w:lvlText w:val="o"/>
      <w:lvlJc w:val="left"/>
      <w:pPr>
        <w:ind w:left="5760" w:hanging="360"/>
      </w:pPr>
      <w:rPr>
        <w:rFonts w:ascii="Courier New" w:hAnsi="Courier New" w:cs="Courier New" w:hint="default"/>
      </w:rPr>
    </w:lvl>
    <w:lvl w:ilvl="8" w:tplc="3D684130" w:tentative="1">
      <w:start w:val="1"/>
      <w:numFmt w:val="bullet"/>
      <w:lvlText w:val=""/>
      <w:lvlJc w:val="left"/>
      <w:pPr>
        <w:ind w:left="6480" w:hanging="360"/>
      </w:pPr>
      <w:rPr>
        <w:rFonts w:ascii="Wingdings" w:hAnsi="Wingdings" w:hint="default"/>
      </w:rPr>
    </w:lvl>
  </w:abstractNum>
  <w:abstractNum w:abstractNumId="4" w15:restartNumberingAfterBreak="0">
    <w:nsid w:val="1E4578DA"/>
    <w:multiLevelType w:val="hybridMultilevel"/>
    <w:tmpl w:val="4E50E86C"/>
    <w:lvl w:ilvl="0" w:tplc="07B4F69A">
      <w:start w:val="1"/>
      <w:numFmt w:val="bullet"/>
      <w:lvlText w:val=""/>
      <w:lvlJc w:val="left"/>
      <w:pPr>
        <w:ind w:left="720" w:hanging="360"/>
      </w:pPr>
      <w:rPr>
        <w:rFonts w:ascii="Symbol" w:hAnsi="Symbol" w:hint="default"/>
      </w:rPr>
    </w:lvl>
    <w:lvl w:ilvl="1" w:tplc="08F6050A" w:tentative="1">
      <w:start w:val="1"/>
      <w:numFmt w:val="bullet"/>
      <w:lvlText w:val="o"/>
      <w:lvlJc w:val="left"/>
      <w:pPr>
        <w:ind w:left="1440" w:hanging="360"/>
      </w:pPr>
      <w:rPr>
        <w:rFonts w:ascii="Courier New" w:hAnsi="Courier New" w:cs="Courier New" w:hint="default"/>
      </w:rPr>
    </w:lvl>
    <w:lvl w:ilvl="2" w:tplc="B104819E" w:tentative="1">
      <w:start w:val="1"/>
      <w:numFmt w:val="bullet"/>
      <w:lvlText w:val=""/>
      <w:lvlJc w:val="left"/>
      <w:pPr>
        <w:ind w:left="2160" w:hanging="360"/>
      </w:pPr>
      <w:rPr>
        <w:rFonts w:ascii="Wingdings" w:hAnsi="Wingdings" w:hint="default"/>
      </w:rPr>
    </w:lvl>
    <w:lvl w:ilvl="3" w:tplc="03D68252" w:tentative="1">
      <w:start w:val="1"/>
      <w:numFmt w:val="bullet"/>
      <w:lvlText w:val=""/>
      <w:lvlJc w:val="left"/>
      <w:pPr>
        <w:ind w:left="2880" w:hanging="360"/>
      </w:pPr>
      <w:rPr>
        <w:rFonts w:ascii="Symbol" w:hAnsi="Symbol" w:hint="default"/>
      </w:rPr>
    </w:lvl>
    <w:lvl w:ilvl="4" w:tplc="29FADC76" w:tentative="1">
      <w:start w:val="1"/>
      <w:numFmt w:val="bullet"/>
      <w:lvlText w:val="o"/>
      <w:lvlJc w:val="left"/>
      <w:pPr>
        <w:ind w:left="3600" w:hanging="360"/>
      </w:pPr>
      <w:rPr>
        <w:rFonts w:ascii="Courier New" w:hAnsi="Courier New" w:cs="Courier New" w:hint="default"/>
      </w:rPr>
    </w:lvl>
    <w:lvl w:ilvl="5" w:tplc="17A2EF1C" w:tentative="1">
      <w:start w:val="1"/>
      <w:numFmt w:val="bullet"/>
      <w:lvlText w:val=""/>
      <w:lvlJc w:val="left"/>
      <w:pPr>
        <w:ind w:left="4320" w:hanging="360"/>
      </w:pPr>
      <w:rPr>
        <w:rFonts w:ascii="Wingdings" w:hAnsi="Wingdings" w:hint="default"/>
      </w:rPr>
    </w:lvl>
    <w:lvl w:ilvl="6" w:tplc="8EE0C77E" w:tentative="1">
      <w:start w:val="1"/>
      <w:numFmt w:val="bullet"/>
      <w:lvlText w:val=""/>
      <w:lvlJc w:val="left"/>
      <w:pPr>
        <w:ind w:left="5040" w:hanging="360"/>
      </w:pPr>
      <w:rPr>
        <w:rFonts w:ascii="Symbol" w:hAnsi="Symbol" w:hint="default"/>
      </w:rPr>
    </w:lvl>
    <w:lvl w:ilvl="7" w:tplc="D43A4F66" w:tentative="1">
      <w:start w:val="1"/>
      <w:numFmt w:val="bullet"/>
      <w:lvlText w:val="o"/>
      <w:lvlJc w:val="left"/>
      <w:pPr>
        <w:ind w:left="5760" w:hanging="360"/>
      </w:pPr>
      <w:rPr>
        <w:rFonts w:ascii="Courier New" w:hAnsi="Courier New" w:cs="Courier New" w:hint="default"/>
      </w:rPr>
    </w:lvl>
    <w:lvl w:ilvl="8" w:tplc="59D48402" w:tentative="1">
      <w:start w:val="1"/>
      <w:numFmt w:val="bullet"/>
      <w:lvlText w:val=""/>
      <w:lvlJc w:val="left"/>
      <w:pPr>
        <w:ind w:left="6480" w:hanging="360"/>
      </w:pPr>
      <w:rPr>
        <w:rFonts w:ascii="Wingdings" w:hAnsi="Wingdings" w:hint="default"/>
      </w:rPr>
    </w:lvl>
  </w:abstractNum>
  <w:abstractNum w:abstractNumId="5" w15:restartNumberingAfterBreak="0">
    <w:nsid w:val="1F745BC2"/>
    <w:multiLevelType w:val="multilevel"/>
    <w:tmpl w:val="E5E89F92"/>
    <w:numStyleLink w:val="BulletList"/>
  </w:abstractNum>
  <w:abstractNum w:abstractNumId="6" w15:restartNumberingAfterBreak="0">
    <w:nsid w:val="23B80817"/>
    <w:multiLevelType w:val="hybridMultilevel"/>
    <w:tmpl w:val="39144164"/>
    <w:lvl w:ilvl="0" w:tplc="1DF8FAC4">
      <w:start w:val="1"/>
      <w:numFmt w:val="bullet"/>
      <w:lvlText w:val=""/>
      <w:lvlJc w:val="left"/>
      <w:pPr>
        <w:ind w:left="720" w:hanging="360"/>
      </w:pPr>
      <w:rPr>
        <w:rFonts w:ascii="Symbol" w:hAnsi="Symbol" w:hint="default"/>
      </w:rPr>
    </w:lvl>
    <w:lvl w:ilvl="1" w:tplc="E394653E" w:tentative="1">
      <w:start w:val="1"/>
      <w:numFmt w:val="bullet"/>
      <w:lvlText w:val="o"/>
      <w:lvlJc w:val="left"/>
      <w:pPr>
        <w:ind w:left="1440" w:hanging="360"/>
      </w:pPr>
      <w:rPr>
        <w:rFonts w:ascii="Courier New" w:hAnsi="Courier New" w:cs="Courier New" w:hint="default"/>
      </w:rPr>
    </w:lvl>
    <w:lvl w:ilvl="2" w:tplc="557E1D7C" w:tentative="1">
      <w:start w:val="1"/>
      <w:numFmt w:val="bullet"/>
      <w:lvlText w:val=""/>
      <w:lvlJc w:val="left"/>
      <w:pPr>
        <w:ind w:left="2160" w:hanging="360"/>
      </w:pPr>
      <w:rPr>
        <w:rFonts w:ascii="Wingdings" w:hAnsi="Wingdings" w:hint="default"/>
      </w:rPr>
    </w:lvl>
    <w:lvl w:ilvl="3" w:tplc="8D488142" w:tentative="1">
      <w:start w:val="1"/>
      <w:numFmt w:val="bullet"/>
      <w:lvlText w:val=""/>
      <w:lvlJc w:val="left"/>
      <w:pPr>
        <w:ind w:left="2880" w:hanging="360"/>
      </w:pPr>
      <w:rPr>
        <w:rFonts w:ascii="Symbol" w:hAnsi="Symbol" w:hint="default"/>
      </w:rPr>
    </w:lvl>
    <w:lvl w:ilvl="4" w:tplc="20769AC2" w:tentative="1">
      <w:start w:val="1"/>
      <w:numFmt w:val="bullet"/>
      <w:lvlText w:val="o"/>
      <w:lvlJc w:val="left"/>
      <w:pPr>
        <w:ind w:left="3600" w:hanging="360"/>
      </w:pPr>
      <w:rPr>
        <w:rFonts w:ascii="Courier New" w:hAnsi="Courier New" w:cs="Courier New" w:hint="default"/>
      </w:rPr>
    </w:lvl>
    <w:lvl w:ilvl="5" w:tplc="893E9F2C" w:tentative="1">
      <w:start w:val="1"/>
      <w:numFmt w:val="bullet"/>
      <w:lvlText w:val=""/>
      <w:lvlJc w:val="left"/>
      <w:pPr>
        <w:ind w:left="4320" w:hanging="360"/>
      </w:pPr>
      <w:rPr>
        <w:rFonts w:ascii="Wingdings" w:hAnsi="Wingdings" w:hint="default"/>
      </w:rPr>
    </w:lvl>
    <w:lvl w:ilvl="6" w:tplc="CE92731C" w:tentative="1">
      <w:start w:val="1"/>
      <w:numFmt w:val="bullet"/>
      <w:lvlText w:val=""/>
      <w:lvlJc w:val="left"/>
      <w:pPr>
        <w:ind w:left="5040" w:hanging="360"/>
      </w:pPr>
      <w:rPr>
        <w:rFonts w:ascii="Symbol" w:hAnsi="Symbol" w:hint="default"/>
      </w:rPr>
    </w:lvl>
    <w:lvl w:ilvl="7" w:tplc="7D360C66" w:tentative="1">
      <w:start w:val="1"/>
      <w:numFmt w:val="bullet"/>
      <w:lvlText w:val="o"/>
      <w:lvlJc w:val="left"/>
      <w:pPr>
        <w:ind w:left="5760" w:hanging="360"/>
      </w:pPr>
      <w:rPr>
        <w:rFonts w:ascii="Courier New" w:hAnsi="Courier New" w:cs="Courier New" w:hint="default"/>
      </w:rPr>
    </w:lvl>
    <w:lvl w:ilvl="8" w:tplc="20ACBDD4" w:tentative="1">
      <w:start w:val="1"/>
      <w:numFmt w:val="bullet"/>
      <w:lvlText w:val=""/>
      <w:lvlJc w:val="left"/>
      <w:pPr>
        <w:ind w:left="6480" w:hanging="360"/>
      </w:pPr>
      <w:rPr>
        <w:rFonts w:ascii="Wingdings" w:hAnsi="Wingdings" w:hint="default"/>
      </w:rPr>
    </w:lvl>
  </w:abstractNum>
  <w:abstractNum w:abstractNumId="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E4F2A7C"/>
    <w:multiLevelType w:val="hybridMultilevel"/>
    <w:tmpl w:val="27369F50"/>
    <w:lvl w:ilvl="0" w:tplc="C24C7A26">
      <w:start w:val="1"/>
      <w:numFmt w:val="bullet"/>
      <w:lvlText w:val=""/>
      <w:lvlJc w:val="left"/>
      <w:pPr>
        <w:ind w:left="720" w:hanging="360"/>
      </w:pPr>
      <w:rPr>
        <w:rFonts w:ascii="Symbol" w:hAnsi="Symbol" w:hint="default"/>
      </w:rPr>
    </w:lvl>
    <w:lvl w:ilvl="1" w:tplc="9D5C4BA6" w:tentative="1">
      <w:start w:val="1"/>
      <w:numFmt w:val="bullet"/>
      <w:lvlText w:val="o"/>
      <w:lvlJc w:val="left"/>
      <w:pPr>
        <w:ind w:left="1440" w:hanging="360"/>
      </w:pPr>
      <w:rPr>
        <w:rFonts w:ascii="Courier New" w:hAnsi="Courier New" w:cs="Courier New" w:hint="default"/>
      </w:rPr>
    </w:lvl>
    <w:lvl w:ilvl="2" w:tplc="802A6CB2" w:tentative="1">
      <w:start w:val="1"/>
      <w:numFmt w:val="bullet"/>
      <w:lvlText w:val=""/>
      <w:lvlJc w:val="left"/>
      <w:pPr>
        <w:ind w:left="2160" w:hanging="360"/>
      </w:pPr>
      <w:rPr>
        <w:rFonts w:ascii="Wingdings" w:hAnsi="Wingdings" w:hint="default"/>
      </w:rPr>
    </w:lvl>
    <w:lvl w:ilvl="3" w:tplc="67B62276" w:tentative="1">
      <w:start w:val="1"/>
      <w:numFmt w:val="bullet"/>
      <w:lvlText w:val=""/>
      <w:lvlJc w:val="left"/>
      <w:pPr>
        <w:ind w:left="2880" w:hanging="360"/>
      </w:pPr>
      <w:rPr>
        <w:rFonts w:ascii="Symbol" w:hAnsi="Symbol" w:hint="default"/>
      </w:rPr>
    </w:lvl>
    <w:lvl w:ilvl="4" w:tplc="68282036" w:tentative="1">
      <w:start w:val="1"/>
      <w:numFmt w:val="bullet"/>
      <w:lvlText w:val="o"/>
      <w:lvlJc w:val="left"/>
      <w:pPr>
        <w:ind w:left="3600" w:hanging="360"/>
      </w:pPr>
      <w:rPr>
        <w:rFonts w:ascii="Courier New" w:hAnsi="Courier New" w:cs="Courier New" w:hint="default"/>
      </w:rPr>
    </w:lvl>
    <w:lvl w:ilvl="5" w:tplc="39AE227A" w:tentative="1">
      <w:start w:val="1"/>
      <w:numFmt w:val="bullet"/>
      <w:lvlText w:val=""/>
      <w:lvlJc w:val="left"/>
      <w:pPr>
        <w:ind w:left="4320" w:hanging="360"/>
      </w:pPr>
      <w:rPr>
        <w:rFonts w:ascii="Wingdings" w:hAnsi="Wingdings" w:hint="default"/>
      </w:rPr>
    </w:lvl>
    <w:lvl w:ilvl="6" w:tplc="F11A3C3E" w:tentative="1">
      <w:start w:val="1"/>
      <w:numFmt w:val="bullet"/>
      <w:lvlText w:val=""/>
      <w:lvlJc w:val="left"/>
      <w:pPr>
        <w:ind w:left="5040" w:hanging="360"/>
      </w:pPr>
      <w:rPr>
        <w:rFonts w:ascii="Symbol" w:hAnsi="Symbol" w:hint="default"/>
      </w:rPr>
    </w:lvl>
    <w:lvl w:ilvl="7" w:tplc="990AA6FE" w:tentative="1">
      <w:start w:val="1"/>
      <w:numFmt w:val="bullet"/>
      <w:lvlText w:val="o"/>
      <w:lvlJc w:val="left"/>
      <w:pPr>
        <w:ind w:left="5760" w:hanging="360"/>
      </w:pPr>
      <w:rPr>
        <w:rFonts w:ascii="Courier New" w:hAnsi="Courier New" w:cs="Courier New" w:hint="default"/>
      </w:rPr>
    </w:lvl>
    <w:lvl w:ilvl="8" w:tplc="FA30A660" w:tentative="1">
      <w:start w:val="1"/>
      <w:numFmt w:val="bullet"/>
      <w:lvlText w:val=""/>
      <w:lvlJc w:val="left"/>
      <w:pPr>
        <w:ind w:left="6480" w:hanging="360"/>
      </w:pPr>
      <w:rPr>
        <w:rFonts w:ascii="Wingdings" w:hAnsi="Wingdings" w:hint="default"/>
      </w:rPr>
    </w:lvl>
  </w:abstractNum>
  <w:abstractNum w:abstractNumId="10" w15:restartNumberingAfterBreak="0">
    <w:nsid w:val="443F666C"/>
    <w:multiLevelType w:val="hybridMultilevel"/>
    <w:tmpl w:val="17C2C314"/>
    <w:lvl w:ilvl="0" w:tplc="5B60D9E4">
      <w:start w:val="1"/>
      <w:numFmt w:val="bullet"/>
      <w:lvlText w:val=""/>
      <w:lvlJc w:val="left"/>
      <w:pPr>
        <w:ind w:left="720" w:hanging="360"/>
      </w:pPr>
      <w:rPr>
        <w:rFonts w:ascii="Symbol" w:hAnsi="Symbol" w:hint="default"/>
      </w:rPr>
    </w:lvl>
    <w:lvl w:ilvl="1" w:tplc="A70AA868">
      <w:start w:val="1"/>
      <w:numFmt w:val="bullet"/>
      <w:lvlText w:val="o"/>
      <w:lvlJc w:val="left"/>
      <w:pPr>
        <w:ind w:left="1440" w:hanging="360"/>
      </w:pPr>
      <w:rPr>
        <w:rFonts w:ascii="Courier New" w:hAnsi="Courier New" w:cs="Courier New" w:hint="default"/>
      </w:rPr>
    </w:lvl>
    <w:lvl w:ilvl="2" w:tplc="1A1AC73E" w:tentative="1">
      <w:start w:val="1"/>
      <w:numFmt w:val="bullet"/>
      <w:lvlText w:val=""/>
      <w:lvlJc w:val="left"/>
      <w:pPr>
        <w:ind w:left="2160" w:hanging="360"/>
      </w:pPr>
      <w:rPr>
        <w:rFonts w:ascii="Wingdings" w:hAnsi="Wingdings" w:hint="default"/>
      </w:rPr>
    </w:lvl>
    <w:lvl w:ilvl="3" w:tplc="4D94A6D2" w:tentative="1">
      <w:start w:val="1"/>
      <w:numFmt w:val="bullet"/>
      <w:lvlText w:val=""/>
      <w:lvlJc w:val="left"/>
      <w:pPr>
        <w:ind w:left="2880" w:hanging="360"/>
      </w:pPr>
      <w:rPr>
        <w:rFonts w:ascii="Symbol" w:hAnsi="Symbol" w:hint="default"/>
      </w:rPr>
    </w:lvl>
    <w:lvl w:ilvl="4" w:tplc="522A914A" w:tentative="1">
      <w:start w:val="1"/>
      <w:numFmt w:val="bullet"/>
      <w:lvlText w:val="o"/>
      <w:lvlJc w:val="left"/>
      <w:pPr>
        <w:ind w:left="3600" w:hanging="360"/>
      </w:pPr>
      <w:rPr>
        <w:rFonts w:ascii="Courier New" w:hAnsi="Courier New" w:cs="Courier New" w:hint="default"/>
      </w:rPr>
    </w:lvl>
    <w:lvl w:ilvl="5" w:tplc="6A26B336" w:tentative="1">
      <w:start w:val="1"/>
      <w:numFmt w:val="bullet"/>
      <w:lvlText w:val=""/>
      <w:lvlJc w:val="left"/>
      <w:pPr>
        <w:ind w:left="4320" w:hanging="360"/>
      </w:pPr>
      <w:rPr>
        <w:rFonts w:ascii="Wingdings" w:hAnsi="Wingdings" w:hint="default"/>
      </w:rPr>
    </w:lvl>
    <w:lvl w:ilvl="6" w:tplc="8C425D98" w:tentative="1">
      <w:start w:val="1"/>
      <w:numFmt w:val="bullet"/>
      <w:lvlText w:val=""/>
      <w:lvlJc w:val="left"/>
      <w:pPr>
        <w:ind w:left="5040" w:hanging="360"/>
      </w:pPr>
      <w:rPr>
        <w:rFonts w:ascii="Symbol" w:hAnsi="Symbol" w:hint="default"/>
      </w:rPr>
    </w:lvl>
    <w:lvl w:ilvl="7" w:tplc="045802B4" w:tentative="1">
      <w:start w:val="1"/>
      <w:numFmt w:val="bullet"/>
      <w:lvlText w:val="o"/>
      <w:lvlJc w:val="left"/>
      <w:pPr>
        <w:ind w:left="5760" w:hanging="360"/>
      </w:pPr>
      <w:rPr>
        <w:rFonts w:ascii="Courier New" w:hAnsi="Courier New" w:cs="Courier New" w:hint="default"/>
      </w:rPr>
    </w:lvl>
    <w:lvl w:ilvl="8" w:tplc="07F22D60" w:tentative="1">
      <w:start w:val="1"/>
      <w:numFmt w:val="bullet"/>
      <w:lvlText w:val=""/>
      <w:lvlJc w:val="left"/>
      <w:pPr>
        <w:ind w:left="6480" w:hanging="360"/>
      </w:pPr>
      <w:rPr>
        <w:rFonts w:ascii="Wingdings" w:hAnsi="Wingdings" w:hint="default"/>
      </w:rPr>
    </w:lvl>
  </w:abstractNum>
  <w:abstractNum w:abstractNumId="11" w15:restartNumberingAfterBreak="0">
    <w:nsid w:val="44D8534D"/>
    <w:multiLevelType w:val="hybridMultilevel"/>
    <w:tmpl w:val="DF28C298"/>
    <w:lvl w:ilvl="0" w:tplc="24AEA2FC">
      <w:start w:val="1"/>
      <w:numFmt w:val="bullet"/>
      <w:lvlText w:val=""/>
      <w:lvlJc w:val="left"/>
      <w:pPr>
        <w:ind w:left="720" w:hanging="360"/>
      </w:pPr>
      <w:rPr>
        <w:rFonts w:ascii="Symbol" w:hAnsi="Symbol" w:hint="default"/>
      </w:rPr>
    </w:lvl>
    <w:lvl w:ilvl="1" w:tplc="2620E922" w:tentative="1">
      <w:start w:val="1"/>
      <w:numFmt w:val="bullet"/>
      <w:lvlText w:val="o"/>
      <w:lvlJc w:val="left"/>
      <w:pPr>
        <w:ind w:left="1440" w:hanging="360"/>
      </w:pPr>
      <w:rPr>
        <w:rFonts w:ascii="Courier New" w:hAnsi="Courier New" w:cs="Courier New" w:hint="default"/>
      </w:rPr>
    </w:lvl>
    <w:lvl w:ilvl="2" w:tplc="59C44092" w:tentative="1">
      <w:start w:val="1"/>
      <w:numFmt w:val="bullet"/>
      <w:lvlText w:val=""/>
      <w:lvlJc w:val="left"/>
      <w:pPr>
        <w:ind w:left="2160" w:hanging="360"/>
      </w:pPr>
      <w:rPr>
        <w:rFonts w:ascii="Wingdings" w:hAnsi="Wingdings" w:hint="default"/>
      </w:rPr>
    </w:lvl>
    <w:lvl w:ilvl="3" w:tplc="76CAA32C" w:tentative="1">
      <w:start w:val="1"/>
      <w:numFmt w:val="bullet"/>
      <w:lvlText w:val=""/>
      <w:lvlJc w:val="left"/>
      <w:pPr>
        <w:ind w:left="2880" w:hanging="360"/>
      </w:pPr>
      <w:rPr>
        <w:rFonts w:ascii="Symbol" w:hAnsi="Symbol" w:hint="default"/>
      </w:rPr>
    </w:lvl>
    <w:lvl w:ilvl="4" w:tplc="576AD40E" w:tentative="1">
      <w:start w:val="1"/>
      <w:numFmt w:val="bullet"/>
      <w:lvlText w:val="o"/>
      <w:lvlJc w:val="left"/>
      <w:pPr>
        <w:ind w:left="3600" w:hanging="360"/>
      </w:pPr>
      <w:rPr>
        <w:rFonts w:ascii="Courier New" w:hAnsi="Courier New" w:cs="Courier New" w:hint="default"/>
      </w:rPr>
    </w:lvl>
    <w:lvl w:ilvl="5" w:tplc="B0B82832" w:tentative="1">
      <w:start w:val="1"/>
      <w:numFmt w:val="bullet"/>
      <w:lvlText w:val=""/>
      <w:lvlJc w:val="left"/>
      <w:pPr>
        <w:ind w:left="4320" w:hanging="360"/>
      </w:pPr>
      <w:rPr>
        <w:rFonts w:ascii="Wingdings" w:hAnsi="Wingdings" w:hint="default"/>
      </w:rPr>
    </w:lvl>
    <w:lvl w:ilvl="6" w:tplc="92206C3C" w:tentative="1">
      <w:start w:val="1"/>
      <w:numFmt w:val="bullet"/>
      <w:lvlText w:val=""/>
      <w:lvlJc w:val="left"/>
      <w:pPr>
        <w:ind w:left="5040" w:hanging="360"/>
      </w:pPr>
      <w:rPr>
        <w:rFonts w:ascii="Symbol" w:hAnsi="Symbol" w:hint="default"/>
      </w:rPr>
    </w:lvl>
    <w:lvl w:ilvl="7" w:tplc="C674CEC6" w:tentative="1">
      <w:start w:val="1"/>
      <w:numFmt w:val="bullet"/>
      <w:lvlText w:val="o"/>
      <w:lvlJc w:val="left"/>
      <w:pPr>
        <w:ind w:left="5760" w:hanging="360"/>
      </w:pPr>
      <w:rPr>
        <w:rFonts w:ascii="Courier New" w:hAnsi="Courier New" w:cs="Courier New" w:hint="default"/>
      </w:rPr>
    </w:lvl>
    <w:lvl w:ilvl="8" w:tplc="426EDAC6" w:tentative="1">
      <w:start w:val="1"/>
      <w:numFmt w:val="bullet"/>
      <w:lvlText w:val=""/>
      <w:lvlJc w:val="left"/>
      <w:pPr>
        <w:ind w:left="6480" w:hanging="360"/>
      </w:pPr>
      <w:rPr>
        <w:rFonts w:ascii="Wingdings" w:hAnsi="Wingdings" w:hint="default"/>
      </w:rPr>
    </w:lvl>
  </w:abstractNum>
  <w:abstractNum w:abstractNumId="12" w15:restartNumberingAfterBreak="0">
    <w:nsid w:val="4F2C7F26"/>
    <w:multiLevelType w:val="multilevel"/>
    <w:tmpl w:val="DB12C778"/>
    <w:lvl w:ilvl="0">
      <w:start w:val="1"/>
      <w:numFmt w:val="decimal"/>
      <w:lvlText w:val="%1)"/>
      <w:lvlJc w:val="left"/>
      <w:pPr>
        <w:ind w:left="369" w:hanging="369"/>
      </w:pPr>
      <w:rPr>
        <w:rFonts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3" w15:restartNumberingAfterBreak="0">
    <w:nsid w:val="65DE49B0"/>
    <w:multiLevelType w:val="hybridMultilevel"/>
    <w:tmpl w:val="5378A0BA"/>
    <w:lvl w:ilvl="0" w:tplc="5A3AC874">
      <w:start w:val="1"/>
      <w:numFmt w:val="bullet"/>
      <w:lvlText w:val=""/>
      <w:lvlJc w:val="left"/>
      <w:pPr>
        <w:ind w:left="720" w:hanging="360"/>
      </w:pPr>
      <w:rPr>
        <w:rFonts w:ascii="Symbol" w:hAnsi="Symbol" w:hint="default"/>
      </w:rPr>
    </w:lvl>
    <w:lvl w:ilvl="1" w:tplc="8FAC4426">
      <w:start w:val="1"/>
      <w:numFmt w:val="bullet"/>
      <w:lvlText w:val="o"/>
      <w:lvlJc w:val="left"/>
      <w:pPr>
        <w:ind w:left="1440" w:hanging="360"/>
      </w:pPr>
      <w:rPr>
        <w:rFonts w:ascii="Courier New" w:hAnsi="Courier New" w:cs="Courier New" w:hint="default"/>
      </w:rPr>
    </w:lvl>
    <w:lvl w:ilvl="2" w:tplc="F372F020" w:tentative="1">
      <w:start w:val="1"/>
      <w:numFmt w:val="bullet"/>
      <w:lvlText w:val=""/>
      <w:lvlJc w:val="left"/>
      <w:pPr>
        <w:ind w:left="2160" w:hanging="360"/>
      </w:pPr>
      <w:rPr>
        <w:rFonts w:ascii="Wingdings" w:hAnsi="Wingdings" w:hint="default"/>
      </w:rPr>
    </w:lvl>
    <w:lvl w:ilvl="3" w:tplc="8674AC5E" w:tentative="1">
      <w:start w:val="1"/>
      <w:numFmt w:val="bullet"/>
      <w:lvlText w:val=""/>
      <w:lvlJc w:val="left"/>
      <w:pPr>
        <w:ind w:left="2880" w:hanging="360"/>
      </w:pPr>
      <w:rPr>
        <w:rFonts w:ascii="Symbol" w:hAnsi="Symbol" w:hint="default"/>
      </w:rPr>
    </w:lvl>
    <w:lvl w:ilvl="4" w:tplc="0D083D3A" w:tentative="1">
      <w:start w:val="1"/>
      <w:numFmt w:val="bullet"/>
      <w:lvlText w:val="o"/>
      <w:lvlJc w:val="left"/>
      <w:pPr>
        <w:ind w:left="3600" w:hanging="360"/>
      </w:pPr>
      <w:rPr>
        <w:rFonts w:ascii="Courier New" w:hAnsi="Courier New" w:cs="Courier New" w:hint="default"/>
      </w:rPr>
    </w:lvl>
    <w:lvl w:ilvl="5" w:tplc="33ACB904" w:tentative="1">
      <w:start w:val="1"/>
      <w:numFmt w:val="bullet"/>
      <w:lvlText w:val=""/>
      <w:lvlJc w:val="left"/>
      <w:pPr>
        <w:ind w:left="4320" w:hanging="360"/>
      </w:pPr>
      <w:rPr>
        <w:rFonts w:ascii="Wingdings" w:hAnsi="Wingdings" w:hint="default"/>
      </w:rPr>
    </w:lvl>
    <w:lvl w:ilvl="6" w:tplc="6D20F520" w:tentative="1">
      <w:start w:val="1"/>
      <w:numFmt w:val="bullet"/>
      <w:lvlText w:val=""/>
      <w:lvlJc w:val="left"/>
      <w:pPr>
        <w:ind w:left="5040" w:hanging="360"/>
      </w:pPr>
      <w:rPr>
        <w:rFonts w:ascii="Symbol" w:hAnsi="Symbol" w:hint="default"/>
      </w:rPr>
    </w:lvl>
    <w:lvl w:ilvl="7" w:tplc="8982B6B0" w:tentative="1">
      <w:start w:val="1"/>
      <w:numFmt w:val="bullet"/>
      <w:lvlText w:val="o"/>
      <w:lvlJc w:val="left"/>
      <w:pPr>
        <w:ind w:left="5760" w:hanging="360"/>
      </w:pPr>
      <w:rPr>
        <w:rFonts w:ascii="Courier New" w:hAnsi="Courier New" w:cs="Courier New" w:hint="default"/>
      </w:rPr>
    </w:lvl>
    <w:lvl w:ilvl="8" w:tplc="3410A500" w:tentative="1">
      <w:start w:val="1"/>
      <w:numFmt w:val="bullet"/>
      <w:lvlText w:val=""/>
      <w:lvlJc w:val="left"/>
      <w:pPr>
        <w:ind w:left="6480" w:hanging="360"/>
      </w:pPr>
      <w:rPr>
        <w:rFonts w:ascii="Wingdings" w:hAnsi="Wingdings" w:hint="default"/>
      </w:rPr>
    </w:lvl>
  </w:abstractNum>
  <w:abstractNum w:abstractNumId="14" w15:restartNumberingAfterBreak="0">
    <w:nsid w:val="67322473"/>
    <w:multiLevelType w:val="hybridMultilevel"/>
    <w:tmpl w:val="26388FBC"/>
    <w:lvl w:ilvl="0" w:tplc="B1D4979C">
      <w:start w:val="1"/>
      <w:numFmt w:val="bullet"/>
      <w:lvlText w:val=""/>
      <w:lvlJc w:val="left"/>
      <w:pPr>
        <w:ind w:left="720" w:hanging="360"/>
      </w:pPr>
      <w:rPr>
        <w:rFonts w:ascii="Symbol" w:hAnsi="Symbol" w:hint="default"/>
      </w:rPr>
    </w:lvl>
    <w:lvl w:ilvl="1" w:tplc="E856E33E">
      <w:start w:val="1"/>
      <w:numFmt w:val="bullet"/>
      <w:lvlText w:val="o"/>
      <w:lvlJc w:val="left"/>
      <w:pPr>
        <w:ind w:left="1440" w:hanging="360"/>
      </w:pPr>
      <w:rPr>
        <w:rFonts w:ascii="Courier New" w:hAnsi="Courier New" w:cs="Courier New" w:hint="default"/>
      </w:rPr>
    </w:lvl>
    <w:lvl w:ilvl="2" w:tplc="6004E0B2" w:tentative="1">
      <w:start w:val="1"/>
      <w:numFmt w:val="bullet"/>
      <w:lvlText w:val=""/>
      <w:lvlJc w:val="left"/>
      <w:pPr>
        <w:ind w:left="2160" w:hanging="360"/>
      </w:pPr>
      <w:rPr>
        <w:rFonts w:ascii="Wingdings" w:hAnsi="Wingdings" w:hint="default"/>
      </w:rPr>
    </w:lvl>
    <w:lvl w:ilvl="3" w:tplc="C9A446FC" w:tentative="1">
      <w:start w:val="1"/>
      <w:numFmt w:val="bullet"/>
      <w:lvlText w:val=""/>
      <w:lvlJc w:val="left"/>
      <w:pPr>
        <w:ind w:left="2880" w:hanging="360"/>
      </w:pPr>
      <w:rPr>
        <w:rFonts w:ascii="Symbol" w:hAnsi="Symbol" w:hint="default"/>
      </w:rPr>
    </w:lvl>
    <w:lvl w:ilvl="4" w:tplc="8A1602EE" w:tentative="1">
      <w:start w:val="1"/>
      <w:numFmt w:val="bullet"/>
      <w:lvlText w:val="o"/>
      <w:lvlJc w:val="left"/>
      <w:pPr>
        <w:ind w:left="3600" w:hanging="360"/>
      </w:pPr>
      <w:rPr>
        <w:rFonts w:ascii="Courier New" w:hAnsi="Courier New" w:cs="Courier New" w:hint="default"/>
      </w:rPr>
    </w:lvl>
    <w:lvl w:ilvl="5" w:tplc="E0EAEDEA" w:tentative="1">
      <w:start w:val="1"/>
      <w:numFmt w:val="bullet"/>
      <w:lvlText w:val=""/>
      <w:lvlJc w:val="left"/>
      <w:pPr>
        <w:ind w:left="4320" w:hanging="360"/>
      </w:pPr>
      <w:rPr>
        <w:rFonts w:ascii="Wingdings" w:hAnsi="Wingdings" w:hint="default"/>
      </w:rPr>
    </w:lvl>
    <w:lvl w:ilvl="6" w:tplc="EABE183C" w:tentative="1">
      <w:start w:val="1"/>
      <w:numFmt w:val="bullet"/>
      <w:lvlText w:val=""/>
      <w:lvlJc w:val="left"/>
      <w:pPr>
        <w:ind w:left="5040" w:hanging="360"/>
      </w:pPr>
      <w:rPr>
        <w:rFonts w:ascii="Symbol" w:hAnsi="Symbol" w:hint="default"/>
      </w:rPr>
    </w:lvl>
    <w:lvl w:ilvl="7" w:tplc="FF96D89E" w:tentative="1">
      <w:start w:val="1"/>
      <w:numFmt w:val="bullet"/>
      <w:lvlText w:val="o"/>
      <w:lvlJc w:val="left"/>
      <w:pPr>
        <w:ind w:left="5760" w:hanging="360"/>
      </w:pPr>
      <w:rPr>
        <w:rFonts w:ascii="Courier New" w:hAnsi="Courier New" w:cs="Courier New" w:hint="default"/>
      </w:rPr>
    </w:lvl>
    <w:lvl w:ilvl="8" w:tplc="9DA41DB0" w:tentative="1">
      <w:start w:val="1"/>
      <w:numFmt w:val="bullet"/>
      <w:lvlText w:val=""/>
      <w:lvlJc w:val="left"/>
      <w:pPr>
        <w:ind w:left="6480" w:hanging="360"/>
      </w:pPr>
      <w:rPr>
        <w:rFonts w:ascii="Wingdings" w:hAnsi="Wingdings" w:hint="default"/>
      </w:rPr>
    </w:lvl>
  </w:abstractNum>
  <w:abstractNum w:abstractNumId="15" w15:restartNumberingAfterBreak="0">
    <w:nsid w:val="75E946B5"/>
    <w:multiLevelType w:val="hybridMultilevel"/>
    <w:tmpl w:val="DAF23A58"/>
    <w:lvl w:ilvl="0" w:tplc="792AE2CC">
      <w:start w:val="1"/>
      <w:numFmt w:val="decimal"/>
      <w:pStyle w:val="HeadingLevel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vertAlign w:val="baseline"/>
      </w:rPr>
    </w:lvl>
    <w:lvl w:ilvl="1" w:tplc="3768E422">
      <w:start w:val="1"/>
      <w:numFmt w:val="lowerLetter"/>
      <w:lvlText w:val="%2."/>
      <w:lvlJc w:val="left"/>
      <w:pPr>
        <w:ind w:left="1080" w:hanging="360"/>
      </w:pPr>
    </w:lvl>
    <w:lvl w:ilvl="2" w:tplc="76F4D1A8">
      <w:start w:val="1"/>
      <w:numFmt w:val="lowerRoman"/>
      <w:lvlText w:val="%3."/>
      <w:lvlJc w:val="right"/>
      <w:pPr>
        <w:ind w:left="1800" w:hanging="180"/>
      </w:pPr>
    </w:lvl>
    <w:lvl w:ilvl="3" w:tplc="92508070">
      <w:start w:val="1"/>
      <w:numFmt w:val="decimal"/>
      <w:lvlText w:val="%4."/>
      <w:lvlJc w:val="left"/>
      <w:pPr>
        <w:ind w:left="2520" w:hanging="360"/>
      </w:pPr>
    </w:lvl>
    <w:lvl w:ilvl="4" w:tplc="E3E8C15A">
      <w:start w:val="1"/>
      <w:numFmt w:val="lowerLetter"/>
      <w:lvlText w:val="%5."/>
      <w:lvlJc w:val="left"/>
      <w:pPr>
        <w:ind w:left="3240" w:hanging="360"/>
      </w:pPr>
    </w:lvl>
    <w:lvl w:ilvl="5" w:tplc="269A349C">
      <w:start w:val="1"/>
      <w:numFmt w:val="lowerRoman"/>
      <w:lvlText w:val="%6."/>
      <w:lvlJc w:val="right"/>
      <w:pPr>
        <w:ind w:left="3960" w:hanging="180"/>
      </w:pPr>
    </w:lvl>
    <w:lvl w:ilvl="6" w:tplc="C29A07CC">
      <w:start w:val="1"/>
      <w:numFmt w:val="decimal"/>
      <w:lvlText w:val="%7."/>
      <w:lvlJc w:val="left"/>
      <w:pPr>
        <w:ind w:left="4680" w:hanging="360"/>
      </w:pPr>
    </w:lvl>
    <w:lvl w:ilvl="7" w:tplc="7C787590">
      <w:start w:val="1"/>
      <w:numFmt w:val="lowerLetter"/>
      <w:lvlText w:val="%8."/>
      <w:lvlJc w:val="left"/>
      <w:pPr>
        <w:ind w:left="5400" w:hanging="360"/>
      </w:pPr>
    </w:lvl>
    <w:lvl w:ilvl="8" w:tplc="B4E08D20">
      <w:start w:val="1"/>
      <w:numFmt w:val="lowerRoman"/>
      <w:lvlText w:val="%9."/>
      <w:lvlJc w:val="right"/>
      <w:pPr>
        <w:ind w:left="6120" w:hanging="180"/>
      </w:pPr>
    </w:lvl>
  </w:abstractNum>
  <w:abstractNum w:abstractNumId="16" w15:restartNumberingAfterBreak="0">
    <w:nsid w:val="762964D5"/>
    <w:multiLevelType w:val="multilevel"/>
    <w:tmpl w:val="283022DC"/>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79550201"/>
    <w:multiLevelType w:val="hybridMultilevel"/>
    <w:tmpl w:val="0A1650B4"/>
    <w:lvl w:ilvl="0" w:tplc="D534C1E0">
      <w:start w:val="1"/>
      <w:numFmt w:val="bullet"/>
      <w:lvlText w:val=""/>
      <w:lvlJc w:val="left"/>
      <w:pPr>
        <w:ind w:left="750" w:hanging="360"/>
      </w:pPr>
      <w:rPr>
        <w:rFonts w:ascii="Symbol" w:hAnsi="Symbol" w:hint="default"/>
      </w:rPr>
    </w:lvl>
    <w:lvl w:ilvl="1" w:tplc="5372A09E" w:tentative="1">
      <w:start w:val="1"/>
      <w:numFmt w:val="bullet"/>
      <w:lvlText w:val="o"/>
      <w:lvlJc w:val="left"/>
      <w:pPr>
        <w:ind w:left="1470" w:hanging="360"/>
      </w:pPr>
      <w:rPr>
        <w:rFonts w:ascii="Courier New" w:hAnsi="Courier New" w:cs="Courier New" w:hint="default"/>
      </w:rPr>
    </w:lvl>
    <w:lvl w:ilvl="2" w:tplc="66540DBC" w:tentative="1">
      <w:start w:val="1"/>
      <w:numFmt w:val="bullet"/>
      <w:lvlText w:val=""/>
      <w:lvlJc w:val="left"/>
      <w:pPr>
        <w:ind w:left="2190" w:hanging="360"/>
      </w:pPr>
      <w:rPr>
        <w:rFonts w:ascii="Wingdings" w:hAnsi="Wingdings" w:hint="default"/>
      </w:rPr>
    </w:lvl>
    <w:lvl w:ilvl="3" w:tplc="24C61016" w:tentative="1">
      <w:start w:val="1"/>
      <w:numFmt w:val="bullet"/>
      <w:lvlText w:val=""/>
      <w:lvlJc w:val="left"/>
      <w:pPr>
        <w:ind w:left="2910" w:hanging="360"/>
      </w:pPr>
      <w:rPr>
        <w:rFonts w:ascii="Symbol" w:hAnsi="Symbol" w:hint="default"/>
      </w:rPr>
    </w:lvl>
    <w:lvl w:ilvl="4" w:tplc="58681C36" w:tentative="1">
      <w:start w:val="1"/>
      <w:numFmt w:val="bullet"/>
      <w:lvlText w:val="o"/>
      <w:lvlJc w:val="left"/>
      <w:pPr>
        <w:ind w:left="3630" w:hanging="360"/>
      </w:pPr>
      <w:rPr>
        <w:rFonts w:ascii="Courier New" w:hAnsi="Courier New" w:cs="Courier New" w:hint="default"/>
      </w:rPr>
    </w:lvl>
    <w:lvl w:ilvl="5" w:tplc="C8169354" w:tentative="1">
      <w:start w:val="1"/>
      <w:numFmt w:val="bullet"/>
      <w:lvlText w:val=""/>
      <w:lvlJc w:val="left"/>
      <w:pPr>
        <w:ind w:left="4350" w:hanging="360"/>
      </w:pPr>
      <w:rPr>
        <w:rFonts w:ascii="Wingdings" w:hAnsi="Wingdings" w:hint="default"/>
      </w:rPr>
    </w:lvl>
    <w:lvl w:ilvl="6" w:tplc="A97C8AA0" w:tentative="1">
      <w:start w:val="1"/>
      <w:numFmt w:val="bullet"/>
      <w:lvlText w:val=""/>
      <w:lvlJc w:val="left"/>
      <w:pPr>
        <w:ind w:left="5070" w:hanging="360"/>
      </w:pPr>
      <w:rPr>
        <w:rFonts w:ascii="Symbol" w:hAnsi="Symbol" w:hint="default"/>
      </w:rPr>
    </w:lvl>
    <w:lvl w:ilvl="7" w:tplc="9DE03300" w:tentative="1">
      <w:start w:val="1"/>
      <w:numFmt w:val="bullet"/>
      <w:lvlText w:val="o"/>
      <w:lvlJc w:val="left"/>
      <w:pPr>
        <w:ind w:left="5790" w:hanging="360"/>
      </w:pPr>
      <w:rPr>
        <w:rFonts w:ascii="Courier New" w:hAnsi="Courier New" w:cs="Courier New" w:hint="default"/>
      </w:rPr>
    </w:lvl>
    <w:lvl w:ilvl="8" w:tplc="FD10F9AC" w:tentative="1">
      <w:start w:val="1"/>
      <w:numFmt w:val="bullet"/>
      <w:lvlText w:val=""/>
      <w:lvlJc w:val="left"/>
      <w:pPr>
        <w:ind w:left="6510" w:hanging="360"/>
      </w:pPr>
      <w:rPr>
        <w:rFonts w:ascii="Wingdings" w:hAnsi="Wingdings" w:hint="default"/>
      </w:rPr>
    </w:lvl>
  </w:abstractNum>
  <w:num w:numId="1">
    <w:abstractNumId w:val="16"/>
  </w:num>
  <w:num w:numId="2">
    <w:abstractNumId w:val="0"/>
  </w:num>
  <w:num w:numId="3">
    <w:abstractNumId w:val="8"/>
  </w:num>
  <w:num w:numId="4">
    <w:abstractNumId w:val="7"/>
  </w:num>
  <w:num w:numId="5">
    <w:abstractNumId w:val="5"/>
  </w:num>
  <w:num w:numId="6">
    <w:abstractNumId w:val="10"/>
  </w:num>
  <w:num w:numId="7">
    <w:abstractNumId w:val="15"/>
  </w:num>
  <w:num w:numId="8">
    <w:abstractNumId w:val="12"/>
  </w:num>
  <w:num w:numId="9">
    <w:abstractNumId w:val="1"/>
  </w:num>
  <w:num w:numId="10">
    <w:abstractNumId w:val="2"/>
  </w:num>
  <w:num w:numId="11">
    <w:abstractNumId w:val="3"/>
  </w:num>
  <w:num w:numId="12">
    <w:abstractNumId w:val="13"/>
  </w:num>
  <w:num w:numId="13">
    <w:abstractNumId w:val="14"/>
  </w:num>
  <w:num w:numId="14">
    <w:abstractNumId w:val="11"/>
  </w:num>
  <w:num w:numId="15">
    <w:abstractNumId w:val="17"/>
  </w:num>
  <w:num w:numId="16">
    <w:abstractNumId w:val="9"/>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SecurityClassificationInHeader" w:val="False"/>
  </w:docVars>
  <w:rsids>
    <w:rsidRoot w:val="00397365"/>
    <w:rsid w:val="000009BD"/>
    <w:rsid w:val="000D7902"/>
    <w:rsid w:val="00185DDA"/>
    <w:rsid w:val="001A641D"/>
    <w:rsid w:val="00327230"/>
    <w:rsid w:val="003366B4"/>
    <w:rsid w:val="00357B56"/>
    <w:rsid w:val="003806DA"/>
    <w:rsid w:val="00397365"/>
    <w:rsid w:val="003A4433"/>
    <w:rsid w:val="003D530F"/>
    <w:rsid w:val="003E43FE"/>
    <w:rsid w:val="003F37E1"/>
    <w:rsid w:val="00406244"/>
    <w:rsid w:val="0049167D"/>
    <w:rsid w:val="00496D35"/>
    <w:rsid w:val="004C09C0"/>
    <w:rsid w:val="004F2400"/>
    <w:rsid w:val="004F728D"/>
    <w:rsid w:val="00566D68"/>
    <w:rsid w:val="00575562"/>
    <w:rsid w:val="005E3E51"/>
    <w:rsid w:val="005F2388"/>
    <w:rsid w:val="00661E25"/>
    <w:rsid w:val="00696189"/>
    <w:rsid w:val="006B7D63"/>
    <w:rsid w:val="006E52DA"/>
    <w:rsid w:val="007053F1"/>
    <w:rsid w:val="007921AE"/>
    <w:rsid w:val="007E311F"/>
    <w:rsid w:val="007E5C0A"/>
    <w:rsid w:val="00823019"/>
    <w:rsid w:val="00860EDF"/>
    <w:rsid w:val="0087649B"/>
    <w:rsid w:val="008C0F88"/>
    <w:rsid w:val="008C6997"/>
    <w:rsid w:val="0091157B"/>
    <w:rsid w:val="00963A5A"/>
    <w:rsid w:val="00981A7F"/>
    <w:rsid w:val="009A1154"/>
    <w:rsid w:val="009C6384"/>
    <w:rsid w:val="009F6557"/>
    <w:rsid w:val="009F6965"/>
    <w:rsid w:val="00A21E44"/>
    <w:rsid w:val="00A7050E"/>
    <w:rsid w:val="00AA402C"/>
    <w:rsid w:val="00AF6EB6"/>
    <w:rsid w:val="00B21529"/>
    <w:rsid w:val="00B22181"/>
    <w:rsid w:val="00B2523F"/>
    <w:rsid w:val="00BA4033"/>
    <w:rsid w:val="00BB4019"/>
    <w:rsid w:val="00BC2640"/>
    <w:rsid w:val="00C01915"/>
    <w:rsid w:val="00C03CC4"/>
    <w:rsid w:val="00C75BFF"/>
    <w:rsid w:val="00C86422"/>
    <w:rsid w:val="00C877E2"/>
    <w:rsid w:val="00D04F9B"/>
    <w:rsid w:val="00DC0CFA"/>
    <w:rsid w:val="00DE2115"/>
    <w:rsid w:val="00DF6F36"/>
    <w:rsid w:val="00E45972"/>
    <w:rsid w:val="00E97AF8"/>
    <w:rsid w:val="00EF22E2"/>
    <w:rsid w:val="00F5209B"/>
    <w:rsid w:val="00F7699A"/>
    <w:rsid w:val="00FF37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9"/>
        <o:r id="V:Rule5" type="connector" idref="#_x0000_s1028"/>
        <o:r id="V:Rule6"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25A"/>
    <w:pPr>
      <w:spacing w:after="200" w:line="276" w:lineRule="auto"/>
    </w:pPr>
    <w:rPr>
      <w:sz w:val="22"/>
      <w:szCs w:val="22"/>
      <w:lang w:eastAsia="en-US"/>
    </w:rPr>
  </w:style>
  <w:style w:type="paragraph" w:styleId="Heading1">
    <w:name w:val="heading 1"/>
    <w:basedOn w:val="Normal"/>
    <w:next w:val="Normal"/>
    <w:link w:val="Heading1Char"/>
    <w:uiPriority w:val="9"/>
    <w:qFormat/>
    <w:rsid w:val="00BE02B0"/>
    <w:pPr>
      <w:keepNext/>
      <w:numPr>
        <w:numId w:val="9"/>
      </w:numPr>
      <w:outlineLvl w:val="0"/>
    </w:pPr>
    <w:rPr>
      <w:rFonts w:cs="Arial"/>
      <w:b/>
    </w:rPr>
  </w:style>
  <w:style w:type="paragraph" w:styleId="Heading2">
    <w:name w:val="heading 2"/>
    <w:basedOn w:val="Normal"/>
    <w:next w:val="Normal"/>
    <w:link w:val="Heading2Char"/>
    <w:uiPriority w:val="9"/>
    <w:qFormat/>
    <w:rsid w:val="000E31C1"/>
    <w:pPr>
      <w:keepNext/>
      <w:numPr>
        <w:ilvl w:val="1"/>
        <w:numId w:val="9"/>
      </w:numPr>
      <w:outlineLvl w:val="1"/>
    </w:pPr>
    <w:rPr>
      <w:rFonts w:cs="Arial"/>
      <w:b/>
    </w:rPr>
  </w:style>
  <w:style w:type="paragraph" w:styleId="Heading3">
    <w:name w:val="heading 3"/>
    <w:basedOn w:val="Normal"/>
    <w:next w:val="Normal"/>
    <w:link w:val="Heading3Char"/>
    <w:uiPriority w:val="9"/>
    <w:qFormat/>
    <w:rsid w:val="000E31C1"/>
    <w:pPr>
      <w:keepNext/>
      <w:numPr>
        <w:ilvl w:val="2"/>
        <w:numId w:val="9"/>
      </w:numPr>
      <w:outlineLvl w:val="2"/>
    </w:pPr>
    <w:rPr>
      <w:rFonts w:cs="Arial"/>
      <w:b/>
      <w:i/>
    </w:rPr>
  </w:style>
  <w:style w:type="paragraph" w:styleId="Heading4">
    <w:name w:val="heading 4"/>
    <w:basedOn w:val="Normal"/>
    <w:next w:val="Normal"/>
    <w:link w:val="Heading4Char"/>
    <w:uiPriority w:val="9"/>
    <w:qFormat/>
    <w:rsid w:val="0023120F"/>
    <w:pPr>
      <w:keepNext/>
      <w:numPr>
        <w:ilvl w:val="3"/>
        <w:numId w:val="9"/>
      </w:numPr>
      <w:outlineLvl w:val="3"/>
    </w:pPr>
    <w:rPr>
      <w:rFonts w:cs="Arial"/>
      <w:i/>
      <w:u w:val="single"/>
    </w:rPr>
  </w:style>
  <w:style w:type="paragraph" w:styleId="Heading5">
    <w:name w:val="heading 5"/>
    <w:basedOn w:val="Normal"/>
    <w:next w:val="Normal"/>
    <w:link w:val="Heading5Char"/>
    <w:uiPriority w:val="99"/>
    <w:qFormat/>
    <w:rsid w:val="00183736"/>
    <w:pPr>
      <w:numPr>
        <w:ilvl w:val="4"/>
        <w:numId w:val="9"/>
      </w:numPr>
      <w:spacing w:before="240" w:after="60" w:line="240" w:lineRule="auto"/>
      <w:jc w:val="both"/>
      <w:outlineLvl w:val="4"/>
    </w:pPr>
    <w:rPr>
      <w:rFonts w:asciiTheme="minorHAnsi" w:eastAsia="Times New Roman" w:hAnsiTheme="minorHAnsi" w:cstheme="minorHAnsi"/>
      <w:b/>
      <w:bCs/>
      <w:i/>
      <w:iCs/>
      <w:sz w:val="26"/>
      <w:szCs w:val="26"/>
    </w:rPr>
  </w:style>
  <w:style w:type="paragraph" w:styleId="Heading6">
    <w:name w:val="heading 6"/>
    <w:basedOn w:val="Normal"/>
    <w:next w:val="Normal"/>
    <w:link w:val="Heading6Char"/>
    <w:uiPriority w:val="99"/>
    <w:qFormat/>
    <w:rsid w:val="00183736"/>
    <w:pPr>
      <w:numPr>
        <w:ilvl w:val="5"/>
        <w:numId w:val="9"/>
      </w:numPr>
      <w:spacing w:before="240" w:after="60" w:line="240" w:lineRule="auto"/>
      <w:jc w:val="both"/>
      <w:outlineLvl w:val="5"/>
    </w:pPr>
    <w:rPr>
      <w:rFonts w:asciiTheme="minorHAnsi" w:eastAsia="Times New Roman" w:hAnsiTheme="minorHAnsi" w:cstheme="minorHAnsi"/>
      <w:b/>
      <w:bCs/>
    </w:rPr>
  </w:style>
  <w:style w:type="paragraph" w:styleId="Heading7">
    <w:name w:val="heading 7"/>
    <w:basedOn w:val="Normal"/>
    <w:next w:val="Normal"/>
    <w:link w:val="Heading7Char"/>
    <w:uiPriority w:val="99"/>
    <w:qFormat/>
    <w:rsid w:val="00183736"/>
    <w:pPr>
      <w:numPr>
        <w:ilvl w:val="6"/>
        <w:numId w:val="9"/>
      </w:numPr>
      <w:spacing w:before="240" w:after="60" w:line="240" w:lineRule="auto"/>
      <w:jc w:val="both"/>
      <w:outlineLvl w:val="6"/>
    </w:pPr>
    <w:rPr>
      <w:rFonts w:asciiTheme="minorHAnsi" w:eastAsia="Times New Roman" w:hAnsiTheme="minorHAnsi" w:cstheme="minorHAnsi"/>
      <w:sz w:val="24"/>
      <w:szCs w:val="24"/>
    </w:rPr>
  </w:style>
  <w:style w:type="paragraph" w:styleId="Heading8">
    <w:name w:val="heading 8"/>
    <w:basedOn w:val="Normal"/>
    <w:next w:val="Normal"/>
    <w:link w:val="Heading8Char"/>
    <w:uiPriority w:val="99"/>
    <w:qFormat/>
    <w:rsid w:val="00183736"/>
    <w:pPr>
      <w:numPr>
        <w:ilvl w:val="7"/>
        <w:numId w:val="9"/>
      </w:numPr>
      <w:spacing w:before="240" w:after="60" w:line="240" w:lineRule="auto"/>
      <w:jc w:val="both"/>
      <w:outlineLvl w:val="7"/>
    </w:pPr>
    <w:rPr>
      <w:rFonts w:asciiTheme="minorHAnsi" w:eastAsia="Times New Roman" w:hAnsiTheme="minorHAnsi" w:cstheme="minorHAnsi"/>
      <w:i/>
      <w:iCs/>
      <w:sz w:val="24"/>
      <w:szCs w:val="24"/>
    </w:rPr>
  </w:style>
  <w:style w:type="paragraph" w:styleId="Heading9">
    <w:name w:val="heading 9"/>
    <w:basedOn w:val="Normal"/>
    <w:next w:val="Normal"/>
    <w:link w:val="Heading9Char"/>
    <w:uiPriority w:val="99"/>
    <w:qFormat/>
    <w:rsid w:val="00183736"/>
    <w:pPr>
      <w:numPr>
        <w:ilvl w:val="8"/>
        <w:numId w:val="9"/>
      </w:numPr>
      <w:spacing w:before="240" w:after="60" w:line="240" w:lineRule="auto"/>
      <w:jc w:val="both"/>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BE02B0"/>
    <w:rPr>
      <w:rFonts w:cs="Arial"/>
      <w:b/>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23120F"/>
    <w:rPr>
      <w:rFonts w:cs="Arial"/>
      <w:i/>
      <w:sz w:val="22"/>
      <w:szCs w:val="22"/>
      <w:u w:val="single"/>
      <w:lang w:eastAsia="en-US"/>
    </w:rPr>
  </w:style>
  <w:style w:type="paragraph" w:styleId="ListBullet">
    <w:name w:val="List Bullet"/>
    <w:basedOn w:val="Normal"/>
    <w:uiPriority w:val="99"/>
    <w:unhideWhenUsed/>
    <w:qFormat/>
    <w:rsid w:val="008F17D2"/>
    <w:pPr>
      <w:numPr>
        <w:numId w:val="5"/>
      </w:numPr>
    </w:pPr>
  </w:style>
  <w:style w:type="paragraph" w:styleId="ListBullet2">
    <w:name w:val="List Bullet 2"/>
    <w:basedOn w:val="Normal"/>
    <w:uiPriority w:val="99"/>
    <w:unhideWhenUsed/>
    <w:rsid w:val="00091608"/>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link w:val="ListParagraphChar"/>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394D9E"/>
    <w:pPr>
      <w:numPr>
        <w:numId w:val="10"/>
      </w:numPr>
    </w:pPr>
    <w:rPr>
      <w:lang w:val="en-US"/>
    </w:rPr>
  </w:style>
  <w:style w:type="paragraph" w:styleId="ListNumber2">
    <w:name w:val="List Number 2"/>
    <w:basedOn w:val="Normal"/>
    <w:uiPriority w:val="99"/>
    <w:rsid w:val="00005CAA"/>
    <w:pPr>
      <w:numPr>
        <w:ilvl w:val="1"/>
        <w:numId w:val="8"/>
      </w:numPr>
    </w:pPr>
  </w:style>
  <w:style w:type="paragraph" w:styleId="ListNumber3">
    <w:name w:val="List Number 3"/>
    <w:basedOn w:val="Normal"/>
    <w:uiPriority w:val="99"/>
    <w:rsid w:val="00005CAA"/>
    <w:pPr>
      <w:numPr>
        <w:ilvl w:val="2"/>
        <w:numId w:val="8"/>
      </w:numPr>
    </w:pPr>
  </w:style>
  <w:style w:type="paragraph" w:styleId="ListNumber4">
    <w:name w:val="List Number 4"/>
    <w:basedOn w:val="Normal"/>
    <w:uiPriority w:val="99"/>
    <w:rsid w:val="00005CAA"/>
    <w:pPr>
      <w:numPr>
        <w:ilvl w:val="3"/>
        <w:numId w:val="8"/>
      </w:numPr>
    </w:pPr>
  </w:style>
  <w:style w:type="paragraph" w:styleId="ListNumber5">
    <w:name w:val="List Number 5"/>
    <w:basedOn w:val="Normal"/>
    <w:uiPriority w:val="99"/>
    <w:rsid w:val="00005CAA"/>
    <w:pPr>
      <w:numPr>
        <w:ilvl w:val="4"/>
        <w:numId w:val="8"/>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3E3DA2"/>
    <w:pPr>
      <w:keepNext/>
      <w:outlineLvl w:val="0"/>
    </w:pPr>
    <w:rPr>
      <w:rFonts w:ascii="Times New Roman" w:eastAsia="Times New Roman" w:hAnsi="Times New Roman" w:cs="Arial"/>
      <w:sz w:val="18"/>
      <w:szCs w:val="18"/>
      <w:lang w:val="en-US"/>
    </w:rPr>
  </w:style>
  <w:style w:type="paragraph" w:customStyle="1" w:styleId="Classificationsensitivity">
    <w:name w:val="Classification sensitivity"/>
    <w:basedOn w:val="Classification"/>
    <w:rsid w:val="002C5813"/>
    <w:rPr>
      <w:sz w:val="22"/>
    </w:rPr>
  </w:style>
  <w:style w:type="paragraph" w:customStyle="1" w:styleId="Pa12">
    <w:name w:val="Pa12"/>
    <w:basedOn w:val="Normal"/>
    <w:next w:val="Normal"/>
    <w:uiPriority w:val="99"/>
    <w:rsid w:val="006D4CF5"/>
    <w:pPr>
      <w:widowControl w:val="0"/>
      <w:autoSpaceDE w:val="0"/>
      <w:autoSpaceDN w:val="0"/>
      <w:adjustRightInd w:val="0"/>
      <w:spacing w:after="160" w:line="241" w:lineRule="atLeast"/>
      <w:jc w:val="both"/>
    </w:pPr>
    <w:rPr>
      <w:rFonts w:ascii="Univers" w:eastAsia="SimSun" w:hAnsi="Univers" w:cs="Univers"/>
      <w:sz w:val="24"/>
      <w:szCs w:val="24"/>
      <w:lang w:val="en-US"/>
    </w:rPr>
  </w:style>
  <w:style w:type="character" w:styleId="Hyperlink">
    <w:name w:val="Hyperlink"/>
    <w:basedOn w:val="DefaultParagraphFont"/>
    <w:uiPriority w:val="99"/>
    <w:rsid w:val="006D4CF5"/>
    <w:rPr>
      <w:rFonts w:cs="Times New Roman"/>
      <w:color w:val="000000"/>
      <w:u w:val="none"/>
    </w:rPr>
  </w:style>
  <w:style w:type="paragraph" w:styleId="FootnoteText">
    <w:name w:val="footnote text"/>
    <w:basedOn w:val="Normal"/>
    <w:link w:val="FootnoteTextChar"/>
    <w:uiPriority w:val="99"/>
    <w:unhideWhenUsed/>
    <w:rsid w:val="006D4CF5"/>
    <w:pPr>
      <w:spacing w:after="0" w:line="240" w:lineRule="auto"/>
      <w:jc w:val="both"/>
    </w:pPr>
    <w:rPr>
      <w:rFonts w:asciiTheme="minorHAnsi" w:eastAsiaTheme="minorHAnsi" w:hAnsiTheme="minorHAnsi" w:cstheme="minorBidi"/>
      <w:sz w:val="24"/>
      <w:szCs w:val="24"/>
    </w:rPr>
  </w:style>
  <w:style w:type="character" w:customStyle="1" w:styleId="FootnoteTextChar">
    <w:name w:val="Footnote Text Char"/>
    <w:basedOn w:val="DefaultParagraphFont"/>
    <w:link w:val="FootnoteText"/>
    <w:uiPriority w:val="99"/>
    <w:rsid w:val="006D4CF5"/>
    <w:rPr>
      <w:rFonts w:asciiTheme="minorHAnsi" w:eastAsiaTheme="minorHAnsi" w:hAnsiTheme="minorHAnsi" w:cstheme="minorBidi"/>
      <w:sz w:val="24"/>
      <w:szCs w:val="24"/>
      <w:lang w:eastAsia="en-US"/>
    </w:rPr>
  </w:style>
  <w:style w:type="character" w:styleId="FootnoteReference">
    <w:name w:val="footnote reference"/>
    <w:basedOn w:val="DefaultParagraphFont"/>
    <w:uiPriority w:val="99"/>
    <w:unhideWhenUsed/>
    <w:rsid w:val="006D4CF5"/>
    <w:rPr>
      <w:vertAlign w:val="superscript"/>
    </w:rPr>
  </w:style>
  <w:style w:type="character" w:styleId="CommentReference">
    <w:name w:val="annotation reference"/>
    <w:basedOn w:val="DefaultParagraphFont"/>
    <w:uiPriority w:val="99"/>
    <w:unhideWhenUsed/>
    <w:rsid w:val="00853227"/>
    <w:rPr>
      <w:sz w:val="16"/>
      <w:szCs w:val="16"/>
    </w:rPr>
  </w:style>
  <w:style w:type="paragraph" w:styleId="CommentText">
    <w:name w:val="annotation text"/>
    <w:basedOn w:val="Normal"/>
    <w:link w:val="CommentTextChar"/>
    <w:uiPriority w:val="99"/>
    <w:semiHidden/>
    <w:unhideWhenUsed/>
    <w:rsid w:val="00853227"/>
    <w:pPr>
      <w:spacing w:line="240" w:lineRule="auto"/>
    </w:pPr>
    <w:rPr>
      <w:sz w:val="20"/>
      <w:szCs w:val="20"/>
    </w:rPr>
  </w:style>
  <w:style w:type="character" w:customStyle="1" w:styleId="CommentTextChar">
    <w:name w:val="Comment Text Char"/>
    <w:basedOn w:val="DefaultParagraphFont"/>
    <w:link w:val="CommentText"/>
    <w:uiPriority w:val="99"/>
    <w:semiHidden/>
    <w:rsid w:val="00853227"/>
    <w:rPr>
      <w:lang w:eastAsia="en-US"/>
    </w:rPr>
  </w:style>
  <w:style w:type="paragraph" w:styleId="CommentSubject">
    <w:name w:val="annotation subject"/>
    <w:basedOn w:val="CommentText"/>
    <w:next w:val="CommentText"/>
    <w:link w:val="CommentSubjectChar"/>
    <w:uiPriority w:val="99"/>
    <w:semiHidden/>
    <w:unhideWhenUsed/>
    <w:rsid w:val="00853227"/>
    <w:rPr>
      <w:b/>
      <w:bCs/>
    </w:rPr>
  </w:style>
  <w:style w:type="character" w:customStyle="1" w:styleId="CommentSubjectChar">
    <w:name w:val="Comment Subject Char"/>
    <w:basedOn w:val="CommentTextChar"/>
    <w:link w:val="CommentSubject"/>
    <w:uiPriority w:val="99"/>
    <w:semiHidden/>
    <w:rsid w:val="00853227"/>
    <w:rPr>
      <w:b/>
      <w:bCs/>
      <w:lang w:eastAsia="en-US"/>
    </w:rPr>
  </w:style>
  <w:style w:type="paragraph" w:styleId="BodyText">
    <w:name w:val="Body Text"/>
    <w:basedOn w:val="Normal"/>
    <w:link w:val="BodyTextChar"/>
    <w:uiPriority w:val="99"/>
    <w:rsid w:val="00B50F79"/>
    <w:pPr>
      <w:spacing w:after="0" w:line="240" w:lineRule="auto"/>
      <w:jc w:val="both"/>
    </w:pPr>
    <w:rPr>
      <w:rFonts w:asciiTheme="minorHAnsi" w:eastAsia="Times New Roman" w:hAnsiTheme="minorHAnsi" w:cstheme="minorHAnsi"/>
      <w:i/>
      <w:iCs/>
      <w:color w:val="999999"/>
      <w:sz w:val="24"/>
      <w:szCs w:val="24"/>
    </w:rPr>
  </w:style>
  <w:style w:type="character" w:customStyle="1" w:styleId="BodyTextChar">
    <w:name w:val="Body Text Char"/>
    <w:basedOn w:val="DefaultParagraphFont"/>
    <w:link w:val="BodyText"/>
    <w:uiPriority w:val="99"/>
    <w:rsid w:val="00B50F79"/>
    <w:rPr>
      <w:rFonts w:asciiTheme="minorHAnsi" w:eastAsia="Times New Roman" w:hAnsiTheme="minorHAnsi" w:cstheme="minorHAnsi"/>
      <w:i/>
      <w:iCs/>
      <w:color w:val="999999"/>
      <w:sz w:val="24"/>
      <w:szCs w:val="24"/>
      <w:lang w:eastAsia="en-US"/>
    </w:rPr>
  </w:style>
  <w:style w:type="character" w:customStyle="1" w:styleId="ListParagraphChar">
    <w:name w:val="List Paragraph Char"/>
    <w:basedOn w:val="DefaultParagraphFont"/>
    <w:link w:val="ListParagraph"/>
    <w:uiPriority w:val="34"/>
    <w:locked/>
    <w:rsid w:val="00B50F79"/>
    <w:rPr>
      <w:sz w:val="22"/>
      <w:szCs w:val="22"/>
      <w:lang w:eastAsia="en-US"/>
    </w:rPr>
  </w:style>
  <w:style w:type="paragraph" w:styleId="Caption">
    <w:name w:val="caption"/>
    <w:basedOn w:val="Normal"/>
    <w:next w:val="Normal"/>
    <w:uiPriority w:val="35"/>
    <w:unhideWhenUsed/>
    <w:qFormat/>
    <w:rsid w:val="00570BD5"/>
    <w:pPr>
      <w:spacing w:line="240" w:lineRule="auto"/>
      <w:jc w:val="both"/>
    </w:pPr>
    <w:rPr>
      <w:rFonts w:asciiTheme="minorHAnsi" w:eastAsia="Times New Roman" w:hAnsiTheme="minorHAnsi" w:cstheme="minorHAnsi"/>
      <w:b/>
      <w:bCs/>
      <w:color w:val="4F81BD" w:themeColor="accent1"/>
      <w:sz w:val="20"/>
      <w:szCs w:val="20"/>
    </w:rPr>
  </w:style>
  <w:style w:type="table" w:customStyle="1" w:styleId="LightShading1">
    <w:name w:val="Light Shading1"/>
    <w:basedOn w:val="TableNormal"/>
    <w:uiPriority w:val="60"/>
    <w:rsid w:val="000A1583"/>
    <w:rPr>
      <w:rFonts w:ascii="Times New Roman" w:eastAsia="Times New Roman" w:hAnsi="Times New Roman"/>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5A76A6"/>
    <w:pPr>
      <w:autoSpaceDE w:val="0"/>
      <w:autoSpaceDN w:val="0"/>
      <w:adjustRightInd w:val="0"/>
    </w:pPr>
    <w:rPr>
      <w:rFonts w:ascii="Calibri" w:eastAsia="Times New Roman" w:hAnsi="Calibri" w:cs="Calibri"/>
      <w:color w:val="000000"/>
      <w:sz w:val="24"/>
      <w:szCs w:val="24"/>
    </w:rPr>
  </w:style>
  <w:style w:type="character" w:customStyle="1" w:styleId="Heading5Char">
    <w:name w:val="Heading 5 Char"/>
    <w:basedOn w:val="DefaultParagraphFont"/>
    <w:link w:val="Heading5"/>
    <w:uiPriority w:val="99"/>
    <w:rsid w:val="00183736"/>
    <w:rPr>
      <w:rFonts w:asciiTheme="minorHAnsi" w:eastAsia="Times New Roman" w:hAnsiTheme="minorHAnsi" w:cstheme="minorHAnsi"/>
      <w:b/>
      <w:bCs/>
      <w:i/>
      <w:iCs/>
      <w:sz w:val="26"/>
      <w:szCs w:val="26"/>
      <w:lang w:eastAsia="en-US"/>
    </w:rPr>
  </w:style>
  <w:style w:type="character" w:customStyle="1" w:styleId="Heading6Char">
    <w:name w:val="Heading 6 Char"/>
    <w:basedOn w:val="DefaultParagraphFont"/>
    <w:link w:val="Heading6"/>
    <w:uiPriority w:val="99"/>
    <w:rsid w:val="00183736"/>
    <w:rPr>
      <w:rFonts w:asciiTheme="minorHAnsi" w:eastAsia="Times New Roman" w:hAnsiTheme="minorHAnsi" w:cstheme="minorHAnsi"/>
      <w:b/>
      <w:bCs/>
      <w:sz w:val="22"/>
      <w:szCs w:val="22"/>
      <w:lang w:eastAsia="en-US"/>
    </w:rPr>
  </w:style>
  <w:style w:type="character" w:customStyle="1" w:styleId="Heading7Char">
    <w:name w:val="Heading 7 Char"/>
    <w:basedOn w:val="DefaultParagraphFont"/>
    <w:link w:val="Heading7"/>
    <w:uiPriority w:val="99"/>
    <w:rsid w:val="00183736"/>
    <w:rPr>
      <w:rFonts w:asciiTheme="minorHAnsi" w:eastAsia="Times New Roman" w:hAnsiTheme="minorHAnsi" w:cstheme="minorHAnsi"/>
      <w:sz w:val="24"/>
      <w:szCs w:val="24"/>
      <w:lang w:eastAsia="en-US"/>
    </w:rPr>
  </w:style>
  <w:style w:type="character" w:customStyle="1" w:styleId="Heading8Char">
    <w:name w:val="Heading 8 Char"/>
    <w:basedOn w:val="DefaultParagraphFont"/>
    <w:link w:val="Heading8"/>
    <w:uiPriority w:val="99"/>
    <w:rsid w:val="00183736"/>
    <w:rPr>
      <w:rFonts w:asciiTheme="minorHAnsi" w:eastAsia="Times New Roman" w:hAnsiTheme="minorHAnsi" w:cstheme="minorHAnsi"/>
      <w:i/>
      <w:iCs/>
      <w:sz w:val="24"/>
      <w:szCs w:val="24"/>
      <w:lang w:eastAsia="en-US"/>
    </w:rPr>
  </w:style>
  <w:style w:type="character" w:customStyle="1" w:styleId="Heading9Char">
    <w:name w:val="Heading 9 Char"/>
    <w:basedOn w:val="DefaultParagraphFont"/>
    <w:link w:val="Heading9"/>
    <w:uiPriority w:val="99"/>
    <w:rsid w:val="00183736"/>
    <w:rPr>
      <w:rFonts w:eastAsia="Times New Roman" w:cs="Arial"/>
      <w:sz w:val="22"/>
      <w:szCs w:val="22"/>
      <w:lang w:eastAsia="en-US"/>
    </w:rPr>
  </w:style>
  <w:style w:type="paragraph" w:customStyle="1" w:styleId="Pa4">
    <w:name w:val="Pa4"/>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paragraph" w:customStyle="1" w:styleId="Pa11">
    <w:name w:val="Pa11"/>
    <w:basedOn w:val="Normal"/>
    <w:next w:val="Normal"/>
    <w:uiPriority w:val="99"/>
    <w:rsid w:val="00183736"/>
    <w:pPr>
      <w:widowControl w:val="0"/>
      <w:autoSpaceDE w:val="0"/>
      <w:autoSpaceDN w:val="0"/>
      <w:adjustRightInd w:val="0"/>
      <w:spacing w:after="160" w:line="201" w:lineRule="atLeast"/>
      <w:jc w:val="both"/>
    </w:pPr>
    <w:rPr>
      <w:rFonts w:ascii="Univers" w:eastAsia="SimSun" w:hAnsi="Univers" w:cs="Univers"/>
      <w:sz w:val="24"/>
      <w:szCs w:val="24"/>
      <w:lang w:val="en-US"/>
    </w:rPr>
  </w:style>
  <w:style w:type="character" w:styleId="PageNumber">
    <w:name w:val="page number"/>
    <w:basedOn w:val="DefaultParagraphFont"/>
    <w:uiPriority w:val="99"/>
    <w:rsid w:val="00183736"/>
    <w:rPr>
      <w:rFonts w:cs="Times New Roman"/>
    </w:rPr>
  </w:style>
  <w:style w:type="character" w:styleId="FollowedHyperlink">
    <w:name w:val="FollowedHyperlink"/>
    <w:basedOn w:val="DefaultParagraphFont"/>
    <w:uiPriority w:val="99"/>
    <w:rsid w:val="00183736"/>
    <w:rPr>
      <w:rFonts w:cs="Times New Roman"/>
      <w:color w:val="000000"/>
      <w:u w:val="none"/>
    </w:rPr>
  </w:style>
  <w:style w:type="table" w:styleId="TableList4">
    <w:name w:val="Table List 4"/>
    <w:basedOn w:val="TableNormal"/>
    <w:uiPriority w:val="99"/>
    <w:rsid w:val="00183736"/>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il"/>
          <w:tr2bl w:val="nil"/>
        </w:tcBorders>
        <w:shd w:val="solid" w:color="808080" w:fill="FFFFFF"/>
      </w:tcPr>
    </w:tblStylePr>
  </w:style>
  <w:style w:type="paragraph" w:styleId="Revision">
    <w:name w:val="Revision"/>
    <w:hidden/>
    <w:uiPriority w:val="99"/>
    <w:semiHidden/>
    <w:rsid w:val="00183736"/>
    <w:rPr>
      <w:rFonts w:ascii="Times New Roman" w:eastAsia="Times New Roman" w:hAnsi="Times New Roman"/>
      <w:sz w:val="24"/>
      <w:szCs w:val="24"/>
      <w:lang w:eastAsia="en-US"/>
    </w:rPr>
  </w:style>
  <w:style w:type="table" w:styleId="LightShading-Accent5">
    <w:name w:val="Light Shading Accent 5"/>
    <w:basedOn w:val="TableNormal"/>
    <w:uiPriority w:val="60"/>
    <w:rsid w:val="00183736"/>
    <w:rPr>
      <w:rFonts w:ascii="Times New Roman" w:eastAsia="Times New Roman" w:hAnsi="Times New Roman"/>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Grid-Accent11">
    <w:name w:val="Light Grid - Accent 11"/>
    <w:basedOn w:val="TableNormal"/>
    <w:uiPriority w:val="62"/>
    <w:rsid w:val="00183736"/>
    <w:rPr>
      <w:rFonts w:ascii="Times New Roman" w:eastAsia="Times New Roman" w:hAnsi="Times New Roman"/>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Shading2-Accent11">
    <w:name w:val="Medium Shading 2 - Accent 11"/>
    <w:basedOn w:val="TableNormal"/>
    <w:uiPriority w:val="64"/>
    <w:rsid w:val="00183736"/>
    <w:rPr>
      <w:rFonts w:ascii="Times New Roman" w:eastAsia="Times New Roman" w:hAnsi="Times New Roman"/>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6">
    <w:name w:val="Medium Grid 2 Accent 6"/>
    <w:basedOn w:val="TableNormal"/>
    <w:uiPriority w:val="68"/>
    <w:rsid w:val="00183736"/>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ColorfulGrid-Accent6">
    <w:name w:val="Colorful Grid Accent 6"/>
    <w:basedOn w:val="TableNormal"/>
    <w:uiPriority w:val="73"/>
    <w:rsid w:val="00183736"/>
    <w:rPr>
      <w:rFonts w:ascii="Times New Roman" w:eastAsia="Times New Roman" w:hAnsi="Times New Roman"/>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3-Accent1">
    <w:name w:val="Medium Grid 3 Accent 1"/>
    <w:basedOn w:val="TableNormal"/>
    <w:uiPriority w:val="69"/>
    <w:rsid w:val="00183736"/>
    <w:rPr>
      <w:rFonts w:ascii="Times New Roman" w:eastAsia="Times New Roman" w:hAnsi="Times New Roman"/>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Shading-Accent11">
    <w:name w:val="Light Shading - Accent 11"/>
    <w:basedOn w:val="TableNormal"/>
    <w:uiPriority w:val="60"/>
    <w:rsid w:val="00183736"/>
    <w:rPr>
      <w:rFonts w:ascii="Times New Roman" w:eastAsia="Times New Roman" w:hAnsi="Times New Roman"/>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183736"/>
    <w:pPr>
      <w:spacing w:before="100" w:beforeAutospacing="1" w:after="100" w:afterAutospacing="1" w:line="240" w:lineRule="auto"/>
      <w:jc w:val="both"/>
    </w:pPr>
    <w:rPr>
      <w:rFonts w:asciiTheme="minorHAnsi" w:eastAsia="Times New Roman" w:hAnsiTheme="minorHAnsi" w:cstheme="minorHAnsi"/>
      <w:sz w:val="24"/>
      <w:szCs w:val="24"/>
      <w:lang w:eastAsia="en-AU"/>
    </w:rPr>
  </w:style>
  <w:style w:type="paragraph" w:customStyle="1" w:styleId="HeadingLevel1">
    <w:name w:val="Heading Level 1"/>
    <w:basedOn w:val="ListParagraph"/>
    <w:link w:val="HeadingLevel1Char"/>
    <w:qFormat/>
    <w:rsid w:val="00183736"/>
    <w:pPr>
      <w:numPr>
        <w:numId w:val="7"/>
      </w:numPr>
      <w:contextualSpacing/>
      <w:jc w:val="both"/>
    </w:pPr>
    <w:rPr>
      <w:rFonts w:asciiTheme="minorHAnsi" w:eastAsiaTheme="minorHAnsi" w:hAnsiTheme="minorHAnsi" w:cstheme="minorBidi"/>
      <w:b/>
      <w:sz w:val="28"/>
      <w:szCs w:val="28"/>
      <w:lang w:val="en-US"/>
    </w:rPr>
  </w:style>
  <w:style w:type="character" w:customStyle="1" w:styleId="HeadingLevel1Char">
    <w:name w:val="Heading Level 1 Char"/>
    <w:basedOn w:val="ListParagraphChar"/>
    <w:link w:val="HeadingLevel1"/>
    <w:rsid w:val="00183736"/>
    <w:rPr>
      <w:rFonts w:asciiTheme="minorHAnsi" w:eastAsiaTheme="minorHAnsi" w:hAnsiTheme="minorHAnsi" w:cstheme="minorBidi"/>
      <w:b/>
      <w:sz w:val="28"/>
      <w:szCs w:val="28"/>
      <w:lang w:val="en-US" w:eastAsia="en-US"/>
    </w:rPr>
  </w:style>
  <w:style w:type="paragraph" w:styleId="NoSpacing">
    <w:name w:val="No Spacing"/>
    <w:basedOn w:val="Normal"/>
    <w:uiPriority w:val="1"/>
    <w:qFormat/>
    <w:rsid w:val="00183736"/>
    <w:pPr>
      <w:spacing w:after="0" w:line="240" w:lineRule="auto"/>
      <w:jc w:val="both"/>
    </w:pPr>
    <w:rPr>
      <w:rFonts w:ascii="Calibri" w:eastAsiaTheme="minorHAnsi" w:hAnsi="Calibri" w:cs="Calibri"/>
      <w:lang w:eastAsia="en-AU"/>
    </w:rPr>
  </w:style>
  <w:style w:type="paragraph" w:styleId="TOCHeading">
    <w:name w:val="TOC Heading"/>
    <w:basedOn w:val="Heading1"/>
    <w:next w:val="Normal"/>
    <w:uiPriority w:val="39"/>
    <w:unhideWhenUsed/>
    <w:qFormat/>
    <w:rsid w:val="003E3DA2"/>
    <w:pPr>
      <w:keepNext w:val="0"/>
      <w:keepLines/>
      <w:widowControl w:val="0"/>
      <w:numPr>
        <w:numId w:val="0"/>
      </w:numPr>
      <w:autoSpaceDE w:val="0"/>
      <w:autoSpaceDN w:val="0"/>
      <w:adjustRightInd w:val="0"/>
      <w:spacing w:before="480" w:after="120"/>
      <w:outlineLvl w:val="9"/>
    </w:pPr>
    <w:rPr>
      <w:rFonts w:eastAsiaTheme="majorEastAsia"/>
      <w:bCs/>
      <w:iCs/>
      <w:color w:val="000000" w:themeColor="text1"/>
      <w:lang w:val="en-US"/>
    </w:rPr>
  </w:style>
  <w:style w:type="paragraph" w:styleId="TOC2">
    <w:name w:val="toc 2"/>
    <w:basedOn w:val="Normal"/>
    <w:next w:val="Normal"/>
    <w:autoRedefine/>
    <w:uiPriority w:val="39"/>
    <w:unhideWhenUsed/>
    <w:qFormat/>
    <w:rsid w:val="001C66D1"/>
    <w:pPr>
      <w:spacing w:after="0" w:line="240" w:lineRule="auto"/>
      <w:ind w:left="238"/>
      <w:jc w:val="both"/>
    </w:pPr>
    <w:rPr>
      <w:rFonts w:ascii="Calibri" w:eastAsia="Times New Roman" w:hAnsi="Calibri" w:cstheme="minorHAnsi"/>
      <w:i/>
      <w:szCs w:val="24"/>
    </w:rPr>
  </w:style>
  <w:style w:type="paragraph" w:styleId="TOC1">
    <w:name w:val="toc 1"/>
    <w:basedOn w:val="Normal"/>
    <w:next w:val="Normal"/>
    <w:autoRedefine/>
    <w:uiPriority w:val="39"/>
    <w:unhideWhenUsed/>
    <w:qFormat/>
    <w:rsid w:val="001C66D1"/>
    <w:pPr>
      <w:tabs>
        <w:tab w:val="left" w:pos="440"/>
        <w:tab w:val="right" w:leader="dot" w:pos="9202"/>
      </w:tabs>
      <w:spacing w:after="0" w:line="240" w:lineRule="auto"/>
    </w:pPr>
    <w:rPr>
      <w:rFonts w:ascii="Calibri" w:eastAsia="Times New Roman" w:hAnsi="Calibri" w:cstheme="minorHAnsi"/>
      <w:color w:val="0070C0"/>
      <w:sz w:val="24"/>
      <w:szCs w:val="24"/>
    </w:rPr>
  </w:style>
  <w:style w:type="paragraph" w:styleId="TOC3">
    <w:name w:val="toc 3"/>
    <w:basedOn w:val="Normal"/>
    <w:next w:val="Normal"/>
    <w:autoRedefine/>
    <w:uiPriority w:val="39"/>
    <w:unhideWhenUsed/>
    <w:qFormat/>
    <w:rsid w:val="001C66D1"/>
    <w:pPr>
      <w:spacing w:after="0" w:line="240" w:lineRule="auto"/>
      <w:ind w:left="442"/>
      <w:jc w:val="both"/>
    </w:pPr>
    <w:rPr>
      <w:rFonts w:ascii="Calibri" w:eastAsiaTheme="minorEastAsia" w:hAnsi="Calibri" w:cstheme="minorBidi"/>
      <w:lang w:eastAsia="en-AU"/>
    </w:rPr>
  </w:style>
  <w:style w:type="paragraph" w:styleId="TOC4">
    <w:name w:val="toc 4"/>
    <w:basedOn w:val="Normal"/>
    <w:next w:val="Normal"/>
    <w:autoRedefine/>
    <w:uiPriority w:val="39"/>
    <w:unhideWhenUsed/>
    <w:rsid w:val="00183736"/>
    <w:pPr>
      <w:spacing w:after="100"/>
      <w:ind w:left="660"/>
      <w:jc w:val="both"/>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183736"/>
    <w:pPr>
      <w:spacing w:after="100"/>
      <w:ind w:left="880"/>
      <w:jc w:val="both"/>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183736"/>
    <w:pPr>
      <w:spacing w:after="100"/>
      <w:ind w:left="1100"/>
      <w:jc w:val="both"/>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183736"/>
    <w:pPr>
      <w:spacing w:after="100"/>
      <w:ind w:left="1320"/>
      <w:jc w:val="both"/>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183736"/>
    <w:pPr>
      <w:spacing w:after="100"/>
      <w:ind w:left="1540"/>
      <w:jc w:val="both"/>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183736"/>
    <w:pPr>
      <w:spacing w:after="100"/>
      <w:ind w:left="1760"/>
      <w:jc w:val="both"/>
    </w:pPr>
    <w:rPr>
      <w:rFonts w:asciiTheme="minorHAnsi" w:eastAsiaTheme="minorEastAsia" w:hAnsiTheme="minorHAnsi" w:cstheme="minorBidi"/>
      <w:lang w:eastAsia="en-AU"/>
    </w:rPr>
  </w:style>
  <w:style w:type="character" w:styleId="Emphasis">
    <w:name w:val="Emphasis"/>
    <w:basedOn w:val="DefaultParagraphFont"/>
    <w:uiPriority w:val="20"/>
    <w:qFormat/>
    <w:rsid w:val="00E66E02"/>
    <w:rPr>
      <w:i/>
      <w:iCs/>
      <w:sz w:val="24"/>
      <w:szCs w:val="24"/>
      <w:bdr w:val="nil"/>
      <w:vertAlign w:val="baseline"/>
    </w:rPr>
  </w:style>
  <w:style w:type="paragraph" w:styleId="EndnoteText">
    <w:name w:val="endnote text"/>
    <w:basedOn w:val="Normal"/>
    <w:link w:val="EndnoteTextChar"/>
    <w:uiPriority w:val="99"/>
    <w:semiHidden/>
    <w:unhideWhenUsed/>
    <w:rsid w:val="00333E6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3E65"/>
    <w:rPr>
      <w:lang w:eastAsia="en-US"/>
    </w:rPr>
  </w:style>
  <w:style w:type="character" w:styleId="EndnoteReference">
    <w:name w:val="endnote reference"/>
    <w:basedOn w:val="DefaultParagraphFont"/>
    <w:uiPriority w:val="99"/>
    <w:semiHidden/>
    <w:unhideWhenUsed/>
    <w:rsid w:val="00333E65"/>
    <w:rPr>
      <w:vertAlign w:val="superscript"/>
    </w:rPr>
  </w:style>
  <w:style w:type="paragraph" w:styleId="List">
    <w:name w:val="List"/>
    <w:basedOn w:val="Normal"/>
    <w:uiPriority w:val="99"/>
    <w:rsid w:val="00431B6C"/>
    <w:pPr>
      <w:ind w:left="283" w:hanging="283"/>
      <w:contextualSpacing/>
    </w:pPr>
  </w:style>
  <w:style w:type="paragraph" w:styleId="TableofAuthorities">
    <w:name w:val="table of authorities"/>
    <w:basedOn w:val="Normal"/>
    <w:next w:val="Normal"/>
    <w:uiPriority w:val="99"/>
    <w:unhideWhenUsed/>
    <w:rsid w:val="0030725A"/>
    <w:pPr>
      <w:spacing w:after="0"/>
      <w:ind w:left="220" w:hanging="220"/>
    </w:pPr>
  </w:style>
  <w:style w:type="paragraph" w:styleId="TableofFigures">
    <w:name w:val="table of figures"/>
    <w:basedOn w:val="Normal"/>
    <w:next w:val="Normal"/>
    <w:uiPriority w:val="99"/>
    <w:unhideWhenUsed/>
    <w:rsid w:val="0030725A"/>
    <w:pPr>
      <w:spacing w:after="0"/>
    </w:pPr>
    <w:rPr>
      <w:rFonts w:asciiTheme="minorHAnsi" w:hAnsiTheme="minorHAnsi"/>
      <w:i/>
      <w:iCs/>
      <w:sz w:val="20"/>
      <w:szCs w:val="20"/>
    </w:rPr>
  </w:style>
  <w:style w:type="paragraph" w:styleId="TOAHeading">
    <w:name w:val="toa heading"/>
    <w:basedOn w:val="Normal"/>
    <w:next w:val="Normal"/>
    <w:uiPriority w:val="99"/>
    <w:unhideWhenUsed/>
    <w:rsid w:val="0030725A"/>
    <w:pPr>
      <w:spacing w:before="120"/>
    </w:pPr>
    <w:rPr>
      <w:rFonts w:asciiTheme="majorHAnsi" w:eastAsiaTheme="majorEastAsia" w:hAnsiTheme="majorHAnsi" w:cstheme="majorBidi"/>
      <w:b/>
      <w:bCs/>
      <w:sz w:val="24"/>
      <w:szCs w:val="24"/>
    </w:rPr>
  </w:style>
  <w:style w:type="paragraph" w:styleId="Title">
    <w:name w:val="Title"/>
    <w:basedOn w:val="Normal"/>
    <w:next w:val="Normal"/>
    <w:link w:val="TitleChar"/>
    <w:uiPriority w:val="10"/>
    <w:qFormat/>
    <w:rsid w:val="00361B95"/>
    <w:rPr>
      <w:b/>
    </w:rPr>
  </w:style>
  <w:style w:type="character" w:customStyle="1" w:styleId="TitleChar">
    <w:name w:val="Title Char"/>
    <w:basedOn w:val="DefaultParagraphFont"/>
    <w:link w:val="Title"/>
    <w:uiPriority w:val="10"/>
    <w:rsid w:val="00361B95"/>
    <w:rPr>
      <w:b/>
      <w:sz w:val="22"/>
      <w:szCs w:val="22"/>
      <w:lang w:eastAsia="en-US"/>
    </w:rPr>
  </w:style>
  <w:style w:type="paragraph" w:styleId="ListContinue">
    <w:name w:val="List Continue"/>
    <w:basedOn w:val="Normal"/>
    <w:uiPriority w:val="99"/>
    <w:rsid w:val="00C47A9C"/>
    <w:pPr>
      <w:spacing w:after="120"/>
      <w:ind w:left="283"/>
      <w:contextualSpacing/>
    </w:pPr>
  </w:style>
  <w:style w:type="paragraph" w:styleId="ListContinue2">
    <w:name w:val="List Continue 2"/>
    <w:basedOn w:val="Normal"/>
    <w:uiPriority w:val="99"/>
    <w:unhideWhenUsed/>
    <w:rsid w:val="00C47A9C"/>
    <w:pPr>
      <w:spacing w:after="120"/>
      <w:ind w:left="566"/>
      <w:contextualSpacing/>
    </w:pPr>
  </w:style>
  <w:style w:type="paragraph" w:styleId="ListContinue3">
    <w:name w:val="List Continue 3"/>
    <w:basedOn w:val="Normal"/>
    <w:uiPriority w:val="99"/>
    <w:unhideWhenUsed/>
    <w:rsid w:val="00C47A9C"/>
    <w:pPr>
      <w:spacing w:after="120"/>
      <w:ind w:left="849"/>
      <w:contextualSpacing/>
    </w:pPr>
  </w:style>
  <w:style w:type="paragraph" w:styleId="ListContinue4">
    <w:name w:val="List Continue 4"/>
    <w:basedOn w:val="Normal"/>
    <w:uiPriority w:val="99"/>
    <w:unhideWhenUsed/>
    <w:rsid w:val="00C47A9C"/>
    <w:pPr>
      <w:spacing w:after="120"/>
      <w:ind w:left="1132"/>
      <w:contextualSpacing/>
    </w:pPr>
  </w:style>
  <w:style w:type="paragraph" w:styleId="ListContinue5">
    <w:name w:val="List Continue 5"/>
    <w:basedOn w:val="Normal"/>
    <w:uiPriority w:val="99"/>
    <w:unhideWhenUsed/>
    <w:rsid w:val="00C47A9C"/>
    <w:pPr>
      <w:spacing w:after="120"/>
      <w:ind w:left="1415"/>
      <w:contextualSpacing/>
    </w:pPr>
  </w:style>
  <w:style w:type="paragraph" w:styleId="List5">
    <w:name w:val="List 5"/>
    <w:basedOn w:val="Normal"/>
    <w:uiPriority w:val="99"/>
    <w:unhideWhenUsed/>
    <w:rsid w:val="00C47A9C"/>
    <w:pPr>
      <w:ind w:left="1415" w:hanging="283"/>
      <w:contextualSpacing/>
    </w:pPr>
  </w:style>
  <w:style w:type="paragraph" w:styleId="List4">
    <w:name w:val="List 4"/>
    <w:basedOn w:val="Normal"/>
    <w:uiPriority w:val="99"/>
    <w:unhideWhenUsed/>
    <w:rsid w:val="00C47A9C"/>
    <w:pPr>
      <w:ind w:left="1132" w:hanging="283"/>
      <w:contextualSpacing/>
    </w:pPr>
  </w:style>
  <w:style w:type="paragraph" w:styleId="List3">
    <w:name w:val="List 3"/>
    <w:basedOn w:val="Normal"/>
    <w:uiPriority w:val="99"/>
    <w:unhideWhenUsed/>
    <w:rsid w:val="00C47A9C"/>
    <w:pPr>
      <w:ind w:left="849" w:hanging="283"/>
      <w:contextualSpacing/>
    </w:pPr>
  </w:style>
  <w:style w:type="paragraph" w:styleId="List2">
    <w:name w:val="List 2"/>
    <w:basedOn w:val="Normal"/>
    <w:uiPriority w:val="99"/>
    <w:unhideWhenUsed/>
    <w:rsid w:val="00C47A9C"/>
    <w:pPr>
      <w:ind w:left="566" w:hanging="283"/>
      <w:contextualSpacing/>
    </w:pPr>
  </w:style>
  <w:style w:type="paragraph" w:styleId="Index1">
    <w:name w:val="index 1"/>
    <w:basedOn w:val="Normal"/>
    <w:next w:val="Normal"/>
    <w:autoRedefine/>
    <w:uiPriority w:val="99"/>
    <w:unhideWhenUsed/>
    <w:rsid w:val="00486C16"/>
    <w:pPr>
      <w:spacing w:after="0" w:line="240" w:lineRule="auto"/>
      <w:ind w:left="220" w:hanging="220"/>
    </w:pPr>
  </w:style>
  <w:style w:type="paragraph" w:styleId="IndexHeading">
    <w:name w:val="index heading"/>
    <w:basedOn w:val="Normal"/>
    <w:next w:val="Index1"/>
    <w:uiPriority w:val="99"/>
    <w:unhideWhenUsed/>
    <w:rsid w:val="00486C16"/>
    <w:rPr>
      <w:rFonts w:asciiTheme="majorHAnsi" w:eastAsiaTheme="majorEastAsia" w:hAnsiTheme="majorHAnsi" w:cstheme="majorBidi"/>
      <w:b/>
      <w:bCs/>
    </w:rPr>
  </w:style>
  <w:style w:type="table" w:customStyle="1" w:styleId="GridTable21">
    <w:name w:val="Grid Table 21"/>
    <w:basedOn w:val="TableNormal"/>
    <w:uiPriority w:val="47"/>
    <w:rsid w:val="00C205F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50"/>
    <w:rsid w:val="00C205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a16">
    <w:name w:val="Pa16"/>
    <w:basedOn w:val="Default"/>
    <w:next w:val="Default"/>
    <w:uiPriority w:val="99"/>
    <w:rsid w:val="0013722D"/>
    <w:pPr>
      <w:spacing w:line="171" w:lineRule="atLeast"/>
    </w:pPr>
    <w:rPr>
      <w:rFonts w:ascii="Arial" w:eastAsia="Calibri"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environment.gov.au/" TargetMode="External"/><Relationship Id="rId26" Type="http://schemas.openxmlformats.org/officeDocument/2006/relationships/image" Target="media/image7.emf"/><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http://www.legislation.gov.au" TargetMode="External"/><Relationship Id="rId34" Type="http://schemas.openxmlformats.org/officeDocument/2006/relationships/footer" Target="footer5.xml"/><Relationship Id="rId42"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6.emf"/><Relationship Id="rId33" Type="http://schemas.openxmlformats.org/officeDocument/2006/relationships/header" Target="header8.xml"/><Relationship Id="rId38"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image" Target="media/image10.emf"/><Relationship Id="rId41"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emf"/><Relationship Id="rId32" Type="http://schemas.openxmlformats.org/officeDocument/2006/relationships/header" Target="header7.xml"/><Relationship Id="rId37" Type="http://schemas.openxmlformats.org/officeDocument/2006/relationships/footer" Target="footer7.xml"/><Relationship Id="rId40"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header" Target="header9.xml"/><Relationship Id="rId10" Type="http://schemas.openxmlformats.org/officeDocument/2006/relationships/footer" Target="footer1.xml"/><Relationship Id="rId19" Type="http://schemas.openxmlformats.org/officeDocument/2006/relationships/chart" Target="charts/chart1.xml"/><Relationship Id="rId31" Type="http://schemas.openxmlformats.org/officeDocument/2006/relationships/hyperlink" Target="mailto:epbc.costrecovery@environment.gov.a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hyperlink" Target="http://www.environment.gov.au/epbc/cost-recovery" TargetMode="External"/><Relationship Id="rId35" Type="http://schemas.openxmlformats.org/officeDocument/2006/relationships/footer" Target="footer6.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01562\AppData\Local\Microsoft\Windows\Temporary%20Internet%20Files\Content.Outlook\0EGV9R00\EPBC%20referrals%20by%20Industry%20Typ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pire.environment.gov.au/spire/855732/855002/110/Policy%20-%20EPBC%20cost%20recovery%20review%202016/CRIS%20-%20Average%20days%20from%20Ref%20to%20Approval%2015-16%20FY.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clip"/>
          <a:lstStyle/>
          <a:p>
            <a:pPr>
              <a:defRPr sz="1600"/>
            </a:pPr>
            <a:r>
              <a:rPr lang="en-AU" sz="1600" b="1" i="0" baseline="0"/>
              <a:t>Number of EPBC Act referrals by industry</a:t>
            </a:r>
            <a:endParaRPr lang="en-AU" sz="1600"/>
          </a:p>
          <a:p>
            <a:pPr>
              <a:defRPr sz="1600"/>
            </a:pPr>
            <a:r>
              <a:rPr lang="en-AU" sz="1600" b="0" i="0" baseline="0"/>
              <a:t>1 July 2007 - 30 June 2016</a:t>
            </a:r>
            <a:endParaRPr lang="en-AU" sz="1600"/>
          </a:p>
        </c:rich>
      </c:tx>
      <c:layout>
        <c:manualLayout>
          <c:xMode val="edge"/>
          <c:yMode val="edge"/>
          <c:x val="0.22011595069603654"/>
          <c:y val="7.9207920792079417E-3"/>
        </c:manualLayout>
      </c:layout>
      <c:overlay val="0"/>
    </c:title>
    <c:autoTitleDeleted val="0"/>
    <c:plotArea>
      <c:layout/>
      <c:areaChart>
        <c:grouping val="stacked"/>
        <c:varyColors val="0"/>
        <c:ser>
          <c:idx val="0"/>
          <c:order val="0"/>
          <c:tx>
            <c:strRef>
              <c:f>'EPBC referrals - broad industry'!$A$38</c:f>
              <c:strCache>
                <c:ptCount val="1"/>
                <c:pt idx="0">
                  <c:v>Transport</c:v>
                </c:pt>
              </c:strCache>
            </c:strRef>
          </c:tx>
          <c:spPr>
            <a:solidFill>
              <a:schemeClr val="accent4">
                <a:lumMod val="75000"/>
              </a:schemeClr>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industry'!$B$38:$J$38</c:f>
              <c:numCache>
                <c:formatCode>General</c:formatCode>
                <c:ptCount val="9"/>
                <c:pt idx="0">
                  <c:v>49</c:v>
                </c:pt>
                <c:pt idx="1">
                  <c:v>54</c:v>
                </c:pt>
                <c:pt idx="2">
                  <c:v>71</c:v>
                </c:pt>
                <c:pt idx="3">
                  <c:v>69</c:v>
                </c:pt>
                <c:pt idx="4">
                  <c:v>55</c:v>
                </c:pt>
                <c:pt idx="5">
                  <c:v>60</c:v>
                </c:pt>
                <c:pt idx="6">
                  <c:v>45</c:v>
                </c:pt>
                <c:pt idx="7">
                  <c:v>33</c:v>
                </c:pt>
                <c:pt idx="8">
                  <c:v>51</c:v>
                </c:pt>
              </c:numCache>
            </c:numRef>
          </c:val>
        </c:ser>
        <c:ser>
          <c:idx val="10"/>
          <c:order val="1"/>
          <c:tx>
            <c:strRef>
              <c:f>'EPBC referrals - broad industry'!$A$43</c:f>
              <c:strCache>
                <c:ptCount val="1"/>
                <c:pt idx="0">
                  <c:v>Mining</c:v>
                </c:pt>
              </c:strCache>
            </c:strRef>
          </c:tx>
          <c:spPr>
            <a:solidFill>
              <a:schemeClr val="accent2"/>
            </a:solidFill>
            <a:ln w="25400">
              <a:noFill/>
            </a:ln>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industry'!$B$43:$J$43</c:f>
              <c:numCache>
                <c:formatCode>General</c:formatCode>
                <c:ptCount val="9"/>
                <c:pt idx="0">
                  <c:v>36</c:v>
                </c:pt>
                <c:pt idx="1">
                  <c:v>39</c:v>
                </c:pt>
                <c:pt idx="2">
                  <c:v>55</c:v>
                </c:pt>
                <c:pt idx="3">
                  <c:v>64</c:v>
                </c:pt>
                <c:pt idx="4">
                  <c:v>66</c:v>
                </c:pt>
                <c:pt idx="5">
                  <c:v>77</c:v>
                </c:pt>
                <c:pt idx="6">
                  <c:v>41</c:v>
                </c:pt>
                <c:pt idx="7">
                  <c:v>47</c:v>
                </c:pt>
                <c:pt idx="8">
                  <c:v>32</c:v>
                </c:pt>
              </c:numCache>
            </c:numRef>
          </c:val>
        </c:ser>
        <c:ser>
          <c:idx val="3"/>
          <c:order val="2"/>
          <c:tx>
            <c:strRef>
              <c:f>'EPBC referrals - broad industry'!$A$41</c:f>
              <c:strCache>
                <c:ptCount val="1"/>
                <c:pt idx="0">
                  <c:v>Exploration (mineral, oil and gas)</c:v>
                </c:pt>
              </c:strCache>
            </c:strRef>
          </c:tx>
          <c:spPr>
            <a:solidFill>
              <a:schemeClr val="accent2">
                <a:lumMod val="50000"/>
              </a:schemeClr>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industry'!$B$41:$J$41</c:f>
              <c:numCache>
                <c:formatCode>General</c:formatCode>
                <c:ptCount val="9"/>
                <c:pt idx="0">
                  <c:v>54</c:v>
                </c:pt>
                <c:pt idx="1">
                  <c:v>40</c:v>
                </c:pt>
                <c:pt idx="2">
                  <c:v>39</c:v>
                </c:pt>
                <c:pt idx="3">
                  <c:v>35</c:v>
                </c:pt>
                <c:pt idx="4">
                  <c:v>28</c:v>
                </c:pt>
                <c:pt idx="5">
                  <c:v>32</c:v>
                </c:pt>
                <c:pt idx="6">
                  <c:v>17</c:v>
                </c:pt>
                <c:pt idx="7">
                  <c:v>3</c:v>
                </c:pt>
                <c:pt idx="8">
                  <c:v>2</c:v>
                </c:pt>
              </c:numCache>
            </c:numRef>
          </c:val>
        </c:ser>
        <c:ser>
          <c:idx val="11"/>
          <c:order val="3"/>
          <c:tx>
            <c:strRef>
              <c:f>'EPBC referrals - broad industry'!$A$44</c:f>
              <c:strCache>
                <c:ptCount val="1"/>
                <c:pt idx="0">
                  <c:v>Residential Development</c:v>
                </c:pt>
              </c:strCache>
            </c:strRef>
          </c:tx>
          <c:spPr>
            <a:solidFill>
              <a:schemeClr val="accent6"/>
            </a:solidFill>
            <a:ln w="25400">
              <a:noFill/>
            </a:ln>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industry'!$B$44:$J$44</c:f>
              <c:numCache>
                <c:formatCode>General</c:formatCode>
                <c:ptCount val="9"/>
                <c:pt idx="0">
                  <c:v>64</c:v>
                </c:pt>
                <c:pt idx="1">
                  <c:v>55</c:v>
                </c:pt>
                <c:pt idx="2">
                  <c:v>38</c:v>
                </c:pt>
                <c:pt idx="3">
                  <c:v>50</c:v>
                </c:pt>
                <c:pt idx="4">
                  <c:v>47</c:v>
                </c:pt>
                <c:pt idx="5">
                  <c:v>58</c:v>
                </c:pt>
                <c:pt idx="6">
                  <c:v>55</c:v>
                </c:pt>
                <c:pt idx="7">
                  <c:v>40</c:v>
                </c:pt>
                <c:pt idx="8">
                  <c:v>29</c:v>
                </c:pt>
              </c:numCache>
            </c:numRef>
          </c:val>
        </c:ser>
        <c:ser>
          <c:idx val="2"/>
          <c:order val="4"/>
          <c:tx>
            <c:strRef>
              <c:f>'EPBC referrals - broad industry'!$A$37</c:f>
              <c:strCache>
                <c:ptCount val="1"/>
                <c:pt idx="0">
                  <c:v>Commercial Development and Manufacturing</c:v>
                </c:pt>
              </c:strCache>
            </c:strRef>
          </c:tx>
          <c:spPr>
            <a:solidFill>
              <a:schemeClr val="accent6">
                <a:lumMod val="50000"/>
              </a:schemeClr>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industry'!$B$37:$J$37</c:f>
              <c:numCache>
                <c:formatCode>General</c:formatCode>
                <c:ptCount val="9"/>
                <c:pt idx="0">
                  <c:v>25</c:v>
                </c:pt>
                <c:pt idx="1">
                  <c:v>26</c:v>
                </c:pt>
                <c:pt idx="2">
                  <c:v>21</c:v>
                </c:pt>
                <c:pt idx="3">
                  <c:v>20</c:v>
                </c:pt>
                <c:pt idx="4">
                  <c:v>22</c:v>
                </c:pt>
                <c:pt idx="5">
                  <c:v>30</c:v>
                </c:pt>
                <c:pt idx="6">
                  <c:v>33</c:v>
                </c:pt>
                <c:pt idx="7">
                  <c:v>22</c:v>
                </c:pt>
                <c:pt idx="8">
                  <c:v>33</c:v>
                </c:pt>
              </c:numCache>
            </c:numRef>
          </c:val>
        </c:ser>
        <c:ser>
          <c:idx val="1"/>
          <c:order val="5"/>
          <c:tx>
            <c:strRef>
              <c:f>'EPBC referrals - broad industry'!$A$40</c:f>
              <c:strCache>
                <c:ptCount val="1"/>
                <c:pt idx="0">
                  <c:v>Energy Generation and Supply</c:v>
                </c:pt>
              </c:strCache>
            </c:strRef>
          </c:tx>
          <c:spPr>
            <a:solidFill>
              <a:srgbClr val="FFFF66"/>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industry'!$B$40:$J$40</c:f>
              <c:numCache>
                <c:formatCode>General</c:formatCode>
                <c:ptCount val="9"/>
                <c:pt idx="0">
                  <c:v>35</c:v>
                </c:pt>
                <c:pt idx="1">
                  <c:v>43</c:v>
                </c:pt>
                <c:pt idx="2">
                  <c:v>35</c:v>
                </c:pt>
                <c:pt idx="3">
                  <c:v>33</c:v>
                </c:pt>
                <c:pt idx="4">
                  <c:v>28</c:v>
                </c:pt>
                <c:pt idx="5">
                  <c:v>35</c:v>
                </c:pt>
                <c:pt idx="6">
                  <c:v>17</c:v>
                </c:pt>
                <c:pt idx="7">
                  <c:v>17</c:v>
                </c:pt>
                <c:pt idx="8">
                  <c:v>13</c:v>
                </c:pt>
              </c:numCache>
            </c:numRef>
          </c:val>
        </c:ser>
        <c:ser>
          <c:idx val="7"/>
          <c:order val="6"/>
          <c:tx>
            <c:strRef>
              <c:f>'EPBC referrals - broad industry'!$A$42</c:f>
              <c:strCache>
                <c:ptCount val="1"/>
                <c:pt idx="0">
                  <c:v>Waste Management and Use</c:v>
                </c:pt>
              </c:strCache>
            </c:strRef>
          </c:tx>
          <c:spPr>
            <a:solidFill>
              <a:srgbClr val="808080"/>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industry'!$B$42:$J$42</c:f>
              <c:numCache>
                <c:formatCode>General</c:formatCode>
                <c:ptCount val="9"/>
                <c:pt idx="0">
                  <c:v>6</c:v>
                </c:pt>
                <c:pt idx="1">
                  <c:v>17</c:v>
                </c:pt>
                <c:pt idx="2">
                  <c:v>13</c:v>
                </c:pt>
                <c:pt idx="3">
                  <c:v>15</c:v>
                </c:pt>
                <c:pt idx="4">
                  <c:v>9</c:v>
                </c:pt>
                <c:pt idx="5">
                  <c:v>12</c:v>
                </c:pt>
                <c:pt idx="6">
                  <c:v>6</c:v>
                </c:pt>
                <c:pt idx="7">
                  <c:v>10</c:v>
                </c:pt>
                <c:pt idx="8">
                  <c:v>7</c:v>
                </c:pt>
              </c:numCache>
            </c:numRef>
          </c:val>
        </c:ser>
        <c:ser>
          <c:idx val="9"/>
          <c:order val="7"/>
          <c:tx>
            <c:strRef>
              <c:f>'EPBC referrals - broad industry'!$A$35</c:f>
              <c:strCache>
                <c:ptCount val="1"/>
                <c:pt idx="0">
                  <c:v>Water Management and Use</c:v>
                </c:pt>
              </c:strCache>
            </c:strRef>
          </c:tx>
          <c:spPr>
            <a:solidFill>
              <a:schemeClr val="accent1">
                <a:lumMod val="75000"/>
              </a:schemeClr>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industry'!$B$35:$J$35</c:f>
              <c:numCache>
                <c:formatCode>General</c:formatCode>
                <c:ptCount val="9"/>
                <c:pt idx="0">
                  <c:v>24</c:v>
                </c:pt>
                <c:pt idx="1">
                  <c:v>21</c:v>
                </c:pt>
                <c:pt idx="2">
                  <c:v>21</c:v>
                </c:pt>
                <c:pt idx="3">
                  <c:v>25</c:v>
                </c:pt>
                <c:pt idx="4">
                  <c:v>26</c:v>
                </c:pt>
                <c:pt idx="5">
                  <c:v>19</c:v>
                </c:pt>
                <c:pt idx="6">
                  <c:v>9</c:v>
                </c:pt>
                <c:pt idx="7">
                  <c:v>9</c:v>
                </c:pt>
                <c:pt idx="8">
                  <c:v>10</c:v>
                </c:pt>
              </c:numCache>
            </c:numRef>
          </c:val>
        </c:ser>
        <c:ser>
          <c:idx val="6"/>
          <c:order val="8"/>
          <c:tx>
            <c:strRef>
              <c:f>'EPBC referrals - broad industry'!$A$39</c:f>
              <c:strCache>
                <c:ptCount val="1"/>
                <c:pt idx="0">
                  <c:v>Natural Resources Management</c:v>
                </c:pt>
              </c:strCache>
            </c:strRef>
          </c:tx>
          <c:spPr>
            <a:solidFill>
              <a:schemeClr val="accent3">
                <a:lumMod val="75000"/>
              </a:schemeClr>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industry'!$B$39:$J$39</c:f>
              <c:numCache>
                <c:formatCode>General</c:formatCode>
                <c:ptCount val="9"/>
                <c:pt idx="0">
                  <c:v>15</c:v>
                </c:pt>
                <c:pt idx="1">
                  <c:v>20</c:v>
                </c:pt>
                <c:pt idx="2">
                  <c:v>20</c:v>
                </c:pt>
                <c:pt idx="3">
                  <c:v>23</c:v>
                </c:pt>
                <c:pt idx="4">
                  <c:v>30</c:v>
                </c:pt>
                <c:pt idx="5">
                  <c:v>25</c:v>
                </c:pt>
                <c:pt idx="6">
                  <c:v>30</c:v>
                </c:pt>
                <c:pt idx="7">
                  <c:v>12</c:v>
                </c:pt>
                <c:pt idx="8">
                  <c:v>10</c:v>
                </c:pt>
              </c:numCache>
            </c:numRef>
          </c:val>
        </c:ser>
        <c:ser>
          <c:idx val="8"/>
          <c:order val="9"/>
          <c:tx>
            <c:strRef>
              <c:f>'EPBC referrals - broad industry'!$A$36</c:f>
              <c:strCache>
                <c:ptCount val="1"/>
                <c:pt idx="0">
                  <c:v>Tourism and Recreation</c:v>
                </c:pt>
              </c:strCache>
            </c:strRef>
          </c:tx>
          <c:spPr>
            <a:solidFill>
              <a:schemeClr val="accent2">
                <a:lumMod val="60000"/>
                <a:lumOff val="40000"/>
              </a:schemeClr>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industry'!$B$36:$J$36</c:f>
              <c:numCache>
                <c:formatCode>General</c:formatCode>
                <c:ptCount val="9"/>
                <c:pt idx="0">
                  <c:v>8</c:v>
                </c:pt>
                <c:pt idx="1">
                  <c:v>27</c:v>
                </c:pt>
                <c:pt idx="2">
                  <c:v>25</c:v>
                </c:pt>
                <c:pt idx="3">
                  <c:v>11</c:v>
                </c:pt>
                <c:pt idx="4">
                  <c:v>17</c:v>
                </c:pt>
                <c:pt idx="5">
                  <c:v>23</c:v>
                </c:pt>
                <c:pt idx="6">
                  <c:v>11</c:v>
                </c:pt>
                <c:pt idx="7">
                  <c:v>9</c:v>
                </c:pt>
                <c:pt idx="8">
                  <c:v>7</c:v>
                </c:pt>
              </c:numCache>
            </c:numRef>
          </c:val>
        </c:ser>
        <c:ser>
          <c:idx val="4"/>
          <c:order val="10"/>
          <c:tx>
            <c:strRef>
              <c:f>'EPBC referrals - broad industry'!$A$34</c:f>
              <c:strCache>
                <c:ptCount val="1"/>
                <c:pt idx="0">
                  <c:v>Commonwealth Development</c:v>
                </c:pt>
              </c:strCache>
            </c:strRef>
          </c:tx>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industry'!$B$34:$J$34</c:f>
              <c:numCache>
                <c:formatCode>General</c:formatCode>
                <c:ptCount val="9"/>
                <c:pt idx="0">
                  <c:v>10</c:v>
                </c:pt>
                <c:pt idx="1">
                  <c:v>13</c:v>
                </c:pt>
                <c:pt idx="2">
                  <c:v>9</c:v>
                </c:pt>
                <c:pt idx="3">
                  <c:v>10</c:v>
                </c:pt>
                <c:pt idx="4">
                  <c:v>8</c:v>
                </c:pt>
                <c:pt idx="5">
                  <c:v>10</c:v>
                </c:pt>
                <c:pt idx="6">
                  <c:v>6</c:v>
                </c:pt>
                <c:pt idx="7">
                  <c:v>3</c:v>
                </c:pt>
                <c:pt idx="8">
                  <c:v>5</c:v>
                </c:pt>
              </c:numCache>
            </c:numRef>
          </c:val>
        </c:ser>
        <c:ser>
          <c:idx val="5"/>
          <c:order val="11"/>
          <c:tx>
            <c:strRef>
              <c:f>'EPBC referrals - broad industry'!$A$33</c:f>
              <c:strCache>
                <c:ptCount val="1"/>
                <c:pt idx="0">
                  <c:v>Other</c:v>
                </c:pt>
              </c:strCache>
            </c:strRef>
          </c:tx>
          <c:spPr>
            <a:solidFill>
              <a:srgbClr val="66FFFF"/>
            </a:solidFill>
          </c:spPr>
          <c:cat>
            <c:strRef>
              <c:f>'EPBC referrals - broad industry'!$B$32:$J$32</c:f>
              <c:strCache>
                <c:ptCount val="9"/>
                <c:pt idx="0">
                  <c:v>2007/08</c:v>
                </c:pt>
                <c:pt idx="1">
                  <c:v>2008/09</c:v>
                </c:pt>
                <c:pt idx="2">
                  <c:v>2009/10</c:v>
                </c:pt>
                <c:pt idx="3">
                  <c:v>2010/11</c:v>
                </c:pt>
                <c:pt idx="4">
                  <c:v>2011/12</c:v>
                </c:pt>
                <c:pt idx="5">
                  <c:v>2012/13</c:v>
                </c:pt>
                <c:pt idx="6">
                  <c:v>2013/14</c:v>
                </c:pt>
                <c:pt idx="7">
                  <c:v>2014/15</c:v>
                </c:pt>
                <c:pt idx="8">
                  <c:v>2015/16</c:v>
                </c:pt>
              </c:strCache>
            </c:strRef>
          </c:cat>
          <c:val>
            <c:numRef>
              <c:f>'EPBC referrals - broad industry'!$B$33:$J$33</c:f>
              <c:numCache>
                <c:formatCode>General</c:formatCode>
                <c:ptCount val="9"/>
                <c:pt idx="0">
                  <c:v>19</c:v>
                </c:pt>
                <c:pt idx="1">
                  <c:v>10</c:v>
                </c:pt>
                <c:pt idx="2">
                  <c:v>11</c:v>
                </c:pt>
                <c:pt idx="3">
                  <c:v>18</c:v>
                </c:pt>
                <c:pt idx="4">
                  <c:v>18</c:v>
                </c:pt>
                <c:pt idx="5">
                  <c:v>12</c:v>
                </c:pt>
                <c:pt idx="6">
                  <c:v>13</c:v>
                </c:pt>
                <c:pt idx="7">
                  <c:v>9</c:v>
                </c:pt>
                <c:pt idx="8">
                  <c:v>5</c:v>
                </c:pt>
              </c:numCache>
            </c:numRef>
          </c:val>
        </c:ser>
        <c:dLbls>
          <c:showLegendKey val="0"/>
          <c:showVal val="0"/>
          <c:showCatName val="0"/>
          <c:showSerName val="0"/>
          <c:showPercent val="0"/>
          <c:showBubbleSize val="0"/>
        </c:dLbls>
        <c:axId val="117739048"/>
        <c:axId val="117739440"/>
      </c:areaChart>
      <c:catAx>
        <c:axId val="117739048"/>
        <c:scaling>
          <c:orientation val="minMax"/>
        </c:scaling>
        <c:delete val="0"/>
        <c:axPos val="b"/>
        <c:numFmt formatCode="General" sourceLinked="1"/>
        <c:majorTickMark val="out"/>
        <c:minorTickMark val="none"/>
        <c:tickLblPos val="nextTo"/>
        <c:crossAx val="117739440"/>
        <c:crosses val="autoZero"/>
        <c:auto val="1"/>
        <c:lblAlgn val="ctr"/>
        <c:lblOffset val="100"/>
        <c:noMultiLvlLbl val="0"/>
      </c:catAx>
      <c:valAx>
        <c:axId val="117739440"/>
        <c:scaling>
          <c:orientation val="minMax"/>
        </c:scaling>
        <c:delete val="0"/>
        <c:axPos val="l"/>
        <c:majorGridlines/>
        <c:numFmt formatCode="General" sourceLinked="1"/>
        <c:majorTickMark val="out"/>
        <c:minorTickMark val="none"/>
        <c:tickLblPos val="nextTo"/>
        <c:crossAx val="117739048"/>
        <c:crosses val="autoZero"/>
        <c:crossBetween val="midCat"/>
      </c:valAx>
    </c:plotArea>
    <c:legend>
      <c:legendPos val="b"/>
      <c:layout/>
      <c:overlay val="0"/>
      <c:txPr>
        <a:bodyPr/>
        <a:lstStyle/>
        <a:p>
          <a:pPr>
            <a:defRPr sz="900"/>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vertOverflow="clip"/>
          <a:lstStyle/>
          <a:p>
            <a:pPr>
              <a:defRPr sz="1800" b="1" i="0" u="none" strike="noStrike" baseline="0">
                <a:solidFill>
                  <a:srgbClr val="333333"/>
                </a:solidFill>
                <a:latin typeface="Calibri"/>
                <a:ea typeface="Calibri"/>
                <a:cs typeface="Calibri"/>
              </a:defRPr>
            </a:pPr>
            <a:r>
              <a:rPr lang="en-US"/>
              <a:t>Average time from Referral to Approval</a:t>
            </a:r>
            <a:r>
              <a:rPr lang="en-US" baseline="0"/>
              <a:t> </a:t>
            </a:r>
            <a:endParaRPr lang="en-US"/>
          </a:p>
        </c:rich>
      </c:tx>
      <c:layout/>
      <c:overlay val="0"/>
    </c:title>
    <c:autoTitleDeleted val="0"/>
    <c:plotArea>
      <c:layout/>
      <c:lineChart>
        <c:grouping val="standard"/>
        <c:varyColors val="0"/>
        <c:ser>
          <c:idx val="1"/>
          <c:order val="0"/>
          <c:tx>
            <c:strRef>
              <c:f>'Final Tables'!$G$3</c:f>
              <c:strCache>
                <c:ptCount val="1"/>
                <c:pt idx="0">
                  <c:v>Calendar Days
(referral to approval)</c:v>
                </c:pt>
              </c:strCache>
            </c:strRef>
          </c:tx>
          <c:cat>
            <c:strRef>
              <c:f>'Final Tables'!$A$12:$A$19</c:f>
              <c:strCache>
                <c:ptCount val="8"/>
                <c:pt idx="0">
                  <c:v>2008</c:v>
                </c:pt>
                <c:pt idx="1">
                  <c:v>2009</c:v>
                </c:pt>
                <c:pt idx="2">
                  <c:v>2010</c:v>
                </c:pt>
                <c:pt idx="3">
                  <c:v>2011</c:v>
                </c:pt>
                <c:pt idx="4">
                  <c:v>2012</c:v>
                </c:pt>
                <c:pt idx="5">
                  <c:v>2013</c:v>
                </c:pt>
                <c:pt idx="6">
                  <c:v>2014</c:v>
                </c:pt>
                <c:pt idx="7">
                  <c:v>2015</c:v>
                </c:pt>
              </c:strCache>
            </c:strRef>
          </c:cat>
          <c:val>
            <c:numRef>
              <c:f>'Final Tables'!$G$12:$G$19</c:f>
              <c:numCache>
                <c:formatCode>0</c:formatCode>
                <c:ptCount val="8"/>
                <c:pt idx="0">
                  <c:v>766.59982638888152</c:v>
                </c:pt>
                <c:pt idx="1">
                  <c:v>638.5753968253905</c:v>
                </c:pt>
                <c:pt idx="2">
                  <c:v>629.04654255319804</c:v>
                </c:pt>
                <c:pt idx="3">
                  <c:v>640.58192883895447</c:v>
                </c:pt>
                <c:pt idx="4">
                  <c:v>614.67661691542537</c:v>
                </c:pt>
                <c:pt idx="5">
                  <c:v>438.84177927927823</c:v>
                </c:pt>
                <c:pt idx="6">
                  <c:v>355.02573529410864</c:v>
                </c:pt>
                <c:pt idx="7">
                  <c:v>324.17129629628869</c:v>
                </c:pt>
              </c:numCache>
            </c:numRef>
          </c:val>
          <c:smooth val="0"/>
        </c:ser>
        <c:dLbls>
          <c:showLegendKey val="0"/>
          <c:showVal val="0"/>
          <c:showCatName val="0"/>
          <c:showSerName val="0"/>
          <c:showPercent val="0"/>
          <c:showBubbleSize val="0"/>
        </c:dLbls>
        <c:marker val="1"/>
        <c:smooth val="0"/>
        <c:axId val="391447064"/>
        <c:axId val="391447456"/>
      </c:lineChart>
      <c:catAx>
        <c:axId val="391447064"/>
        <c:scaling>
          <c:orientation val="minMax"/>
        </c:scaling>
        <c:delete val="0"/>
        <c:axPos val="b"/>
        <c:title>
          <c:tx>
            <c:rich>
              <a:bodyPr vertOverflow="clip"/>
              <a:lstStyle/>
              <a:p>
                <a:pPr>
                  <a:defRPr/>
                </a:pPr>
                <a:r>
                  <a:rPr lang="en-AU" baseline="0"/>
                  <a:t>Year of referral</a:t>
                </a:r>
                <a:endParaRPr lang="en-AU"/>
              </a:p>
            </c:rich>
          </c:tx>
          <c:layout>
            <c:manualLayout>
              <c:xMode val="edge"/>
              <c:yMode val="edge"/>
              <c:x val="0.54039056186678958"/>
              <c:y val="0.9331599197159175"/>
            </c:manualLayout>
          </c:layout>
          <c:overlay val="0"/>
        </c:title>
        <c:numFmt formatCode="General" sourceLinked="1"/>
        <c:majorTickMark val="none"/>
        <c:minorTickMark val="none"/>
        <c:tickLblPos val="nextTo"/>
        <c:txPr>
          <a:bodyPr rot="-2700000" vert="horz"/>
          <a:lstStyle/>
          <a:p>
            <a:pPr>
              <a:defRPr sz="1000" b="0" i="0" u="none" strike="noStrike" baseline="0">
                <a:solidFill>
                  <a:srgbClr val="333333"/>
                </a:solidFill>
                <a:latin typeface="Calibri"/>
                <a:ea typeface="Calibri"/>
                <a:cs typeface="Calibri"/>
              </a:defRPr>
            </a:pPr>
            <a:endParaRPr lang="en-US"/>
          </a:p>
        </c:txPr>
        <c:crossAx val="391447456"/>
        <c:crosses val="autoZero"/>
        <c:auto val="1"/>
        <c:lblAlgn val="ctr"/>
        <c:lblOffset val="100"/>
        <c:noMultiLvlLbl val="0"/>
      </c:catAx>
      <c:valAx>
        <c:axId val="391447456"/>
        <c:scaling>
          <c:orientation val="minMax"/>
        </c:scaling>
        <c:delete val="0"/>
        <c:axPos val="l"/>
        <c:majorGridlines/>
        <c:numFmt formatCode="0" sourceLinked="0"/>
        <c:majorTickMark val="none"/>
        <c:minorTickMark val="none"/>
        <c:tickLblPos val="nextTo"/>
        <c:txPr>
          <a:bodyPr rot="0" vert="horz"/>
          <a:lstStyle/>
          <a:p>
            <a:pPr>
              <a:defRPr sz="1000" b="0" i="0" u="none" strike="noStrike" baseline="0">
                <a:solidFill>
                  <a:srgbClr val="333333"/>
                </a:solidFill>
                <a:latin typeface="Calibri"/>
                <a:ea typeface="Calibri"/>
                <a:cs typeface="Calibri"/>
              </a:defRPr>
            </a:pPr>
            <a:endParaRPr lang="en-US"/>
          </a:p>
        </c:txPr>
        <c:crossAx val="391447064"/>
        <c:crosses val="autoZero"/>
        <c:crossBetween val="between"/>
      </c:valAx>
      <c:dTable>
        <c:showHorzBorder val="1"/>
        <c:showVertBorder val="1"/>
        <c:showOutline val="1"/>
        <c:showKeys val="0"/>
        <c:txPr>
          <a:bodyPr/>
          <a:lstStyle/>
          <a:p>
            <a:pPr rtl="0">
              <a:defRPr sz="800"/>
            </a:pPr>
            <a:endParaRPr lang="en-US"/>
          </a:p>
        </c:txPr>
      </c:dTable>
    </c:plotArea>
    <c:plotVisOnly val="1"/>
    <c:dispBlanksAs val="gap"/>
    <c:showDLblsOverMax val="0"/>
  </c:chart>
  <c:txPr>
    <a:bodyPr/>
    <a:lstStyle/>
    <a:p>
      <a:pPr>
        <a:defRPr sz="1000" b="0" i="0" u="none" strike="noStrike" baseline="0">
          <a:solidFill>
            <a:srgbClr val="333333"/>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FCF50A7B.dotm</Template>
  <TotalTime>0</TotalTime>
  <Pages>87</Pages>
  <Words>24906</Words>
  <Characters>141968</Characters>
  <Application>Microsoft Office Word</Application>
  <DocSecurity>0</DocSecurity>
  <Lines>1183</Lines>
  <Paragraphs>333</Paragraphs>
  <ScaleCrop>false</ScaleCrop>
  <LinksUpToDate>false</LinksUpToDate>
  <CharactersWithSpaces>166541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RECOVERY IMPLEMENTATION STATEMENT</dc:title>
  <dc:creator/>
  <cp:lastModifiedBy/>
  <cp:revision>1</cp:revision>
  <dcterms:created xsi:type="dcterms:W3CDTF">2016-10-18T02:54:00Z</dcterms:created>
  <dcterms:modified xsi:type="dcterms:W3CDTF">2016-10-18T02:57:00Z</dcterms:modified>
</cp:coreProperties>
</file>