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16A9" w14:textId="0E9527A9" w:rsidR="00764D6A" w:rsidRDefault="00617E1C" w:rsidP="00617E1C">
      <w:pPr>
        <w:pStyle w:val="Heading1"/>
        <w:spacing w:before="2160"/>
      </w:pPr>
      <w:bookmarkStart w:id="0" w:name="_Hlk77923587"/>
      <w:bookmarkStart w:id="1" w:name="_Toc173762846"/>
      <w:r w:rsidRPr="00617E1C">
        <w:t xml:space="preserve">Cost </w:t>
      </w:r>
      <w:r>
        <w:t>r</w:t>
      </w:r>
      <w:r w:rsidRPr="00617E1C">
        <w:t xml:space="preserve">ecovery </w:t>
      </w:r>
      <w:r>
        <w:t>i</w:t>
      </w:r>
      <w:r w:rsidRPr="00617E1C">
        <w:t xml:space="preserve">mplementation </w:t>
      </w:r>
      <w:r>
        <w:t>s</w:t>
      </w:r>
      <w:r w:rsidRPr="00617E1C">
        <w:t>tatement 2024</w:t>
      </w:r>
      <w:r>
        <w:t>–</w:t>
      </w:r>
      <w:r w:rsidRPr="00617E1C">
        <w:t>25</w:t>
      </w:r>
      <w:r>
        <w:t xml:space="preserve">: </w:t>
      </w:r>
      <w:r w:rsidR="001A37E3">
        <w:t xml:space="preserve">low-value goods </w:t>
      </w:r>
      <w:r w:rsidR="007C6B7C">
        <w:t xml:space="preserve">imported under a self-assessed </w:t>
      </w:r>
      <w:r w:rsidR="00BE1A23">
        <w:t xml:space="preserve">clearance </w:t>
      </w:r>
      <w:r w:rsidR="007C6B7C">
        <w:t>declaration</w:t>
      </w:r>
      <w:bookmarkEnd w:id="0"/>
      <w:bookmarkEnd w:id="1"/>
    </w:p>
    <w:p w14:paraId="79A7C846" w14:textId="5AC85766" w:rsidR="00D2660A" w:rsidRPr="00D2660A" w:rsidRDefault="00E91D72" w:rsidP="00D2660A">
      <w:pPr>
        <w:pStyle w:val="Normalsmall"/>
        <w:rPr>
          <w:rFonts w:ascii="Calibri" w:hAnsi="Calibri" w:cs="Calibri"/>
        </w:rPr>
      </w:pPr>
      <w:r w:rsidRPr="00D2660A">
        <w:rPr>
          <w:sz w:val="14"/>
          <w:szCs w:val="14"/>
        </w:rPr>
        <w:br w:type="page"/>
      </w:r>
      <w:r w:rsidR="00D2660A" w:rsidRPr="00D2660A">
        <w:rPr>
          <w:rFonts w:ascii="Calibri" w:hAnsi="Calibri" w:cs="Calibri"/>
        </w:rPr>
        <w:lastRenderedPageBreak/>
        <w:t>© Commonwealth of Australia 202</w:t>
      </w:r>
      <w:r w:rsidR="000A34C2">
        <w:rPr>
          <w:rFonts w:ascii="Calibri" w:hAnsi="Calibri" w:cs="Calibri"/>
        </w:rPr>
        <w:t>4</w:t>
      </w:r>
    </w:p>
    <w:p w14:paraId="34BB0D0E" w14:textId="77777777" w:rsidR="00D2660A" w:rsidRPr="00D2660A" w:rsidRDefault="00D2660A" w:rsidP="00D2660A">
      <w:pPr>
        <w:pStyle w:val="Normalsmall"/>
        <w:rPr>
          <w:rStyle w:val="Strong"/>
          <w:rFonts w:ascii="Calibri" w:hAnsi="Calibri" w:cs="Calibri"/>
        </w:rPr>
      </w:pPr>
      <w:r w:rsidRPr="00D2660A">
        <w:rPr>
          <w:rStyle w:val="Strong"/>
          <w:rFonts w:ascii="Calibri" w:hAnsi="Calibri" w:cs="Calibri"/>
        </w:rPr>
        <w:t>Ownership of intellectual property rights</w:t>
      </w:r>
    </w:p>
    <w:p w14:paraId="06F0B405" w14:textId="77777777" w:rsidR="00D2660A" w:rsidRPr="00D2660A" w:rsidRDefault="00D2660A" w:rsidP="00D2660A">
      <w:pPr>
        <w:pStyle w:val="Normalsmall"/>
        <w:rPr>
          <w:rFonts w:ascii="Calibri" w:hAnsi="Calibri" w:cs="Calibri"/>
        </w:rPr>
      </w:pPr>
      <w:r w:rsidRPr="00D2660A">
        <w:rPr>
          <w:rFonts w:ascii="Calibri" w:hAnsi="Calibri" w:cs="Calibri"/>
        </w:rPr>
        <w:t>Unless otherwise noted, copyright (and any other intellectual property rights) in this publication is owned by the Commonwealth of Australia (referred to as the Commonwealth).</w:t>
      </w:r>
    </w:p>
    <w:p w14:paraId="5B36E6CD" w14:textId="77777777" w:rsidR="00D2660A" w:rsidRPr="00D2660A" w:rsidRDefault="00D2660A" w:rsidP="00D2660A">
      <w:pPr>
        <w:pStyle w:val="Normalsmall"/>
        <w:rPr>
          <w:rStyle w:val="Strong"/>
          <w:rFonts w:ascii="Calibri" w:hAnsi="Calibri" w:cs="Calibri"/>
        </w:rPr>
      </w:pPr>
      <w:r w:rsidRPr="00D2660A">
        <w:rPr>
          <w:rStyle w:val="Strong"/>
          <w:rFonts w:ascii="Calibri" w:hAnsi="Calibri" w:cs="Calibri"/>
        </w:rPr>
        <w:t>Creative Commons licence</w:t>
      </w:r>
    </w:p>
    <w:p w14:paraId="64412F25" w14:textId="77777777" w:rsidR="00D2660A" w:rsidRPr="00D2660A" w:rsidRDefault="00D2660A" w:rsidP="00D2660A">
      <w:pPr>
        <w:pStyle w:val="Normalsmall"/>
        <w:rPr>
          <w:rFonts w:ascii="Calibri" w:hAnsi="Calibri" w:cs="Calibri"/>
        </w:rPr>
      </w:pPr>
      <w:r w:rsidRPr="00D2660A">
        <w:rPr>
          <w:rFonts w:ascii="Calibri" w:hAnsi="Calibri" w:cs="Calibri"/>
        </w:rPr>
        <w:t xml:space="preserve">All material in this publication is licensed under a </w:t>
      </w:r>
      <w:hyperlink r:id="rId11" w:history="1">
        <w:r w:rsidRPr="00D2660A">
          <w:rPr>
            <w:rStyle w:val="Hyperlink"/>
            <w:rFonts w:ascii="Calibri" w:hAnsi="Calibri" w:cs="Calibri"/>
          </w:rPr>
          <w:t>Creative Commons Attribution 4.0 International Licence</w:t>
        </w:r>
      </w:hyperlink>
      <w:r w:rsidRPr="00D2660A">
        <w:rPr>
          <w:rFonts w:ascii="Calibri" w:hAnsi="Calibri" w:cs="Calibri"/>
        </w:rPr>
        <w:t xml:space="preserve"> except content supplied by third parties, logos and the Commonwealth Coat of Arms.</w:t>
      </w:r>
    </w:p>
    <w:p w14:paraId="33BA9521" w14:textId="77777777" w:rsidR="00D2660A" w:rsidRPr="00D2660A" w:rsidRDefault="00D2660A" w:rsidP="00D2660A">
      <w:pPr>
        <w:pStyle w:val="Normalsmall"/>
        <w:rPr>
          <w:rFonts w:ascii="Calibri" w:hAnsi="Calibri" w:cs="Calibri"/>
        </w:rPr>
      </w:pPr>
      <w:r w:rsidRPr="00D2660A">
        <w:rPr>
          <w:rFonts w:ascii="Calibri" w:hAnsi="Calibri" w:cs="Calibri"/>
          <w:noProof/>
          <w:lang w:eastAsia="en-AU"/>
        </w:rPr>
        <w:drawing>
          <wp:inline distT="0" distB="0" distL="0" distR="0" wp14:anchorId="572C3FD7" wp14:editId="5799F00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7F7E20A" w14:textId="77777777" w:rsidR="00D2660A" w:rsidRPr="00D2660A" w:rsidRDefault="00D2660A" w:rsidP="00D2660A">
      <w:pPr>
        <w:pStyle w:val="Normalsmall"/>
        <w:rPr>
          <w:rStyle w:val="Strong"/>
          <w:rFonts w:ascii="Calibri" w:hAnsi="Calibri" w:cs="Calibri"/>
        </w:rPr>
      </w:pPr>
      <w:r w:rsidRPr="00D2660A">
        <w:rPr>
          <w:rStyle w:val="Strong"/>
          <w:rFonts w:ascii="Calibri" w:hAnsi="Calibri" w:cs="Calibri"/>
        </w:rPr>
        <w:t>Cataloguing data</w:t>
      </w:r>
    </w:p>
    <w:p w14:paraId="1BA76550" w14:textId="7A64ED49" w:rsidR="00D2660A" w:rsidRPr="00D2660A" w:rsidRDefault="00D2660A" w:rsidP="00D2660A">
      <w:pPr>
        <w:pStyle w:val="Normalsmall"/>
        <w:rPr>
          <w:rFonts w:ascii="Calibri" w:hAnsi="Calibri" w:cs="Calibri"/>
        </w:rPr>
      </w:pPr>
      <w:r w:rsidRPr="00D2660A">
        <w:rPr>
          <w:rFonts w:ascii="Calibri" w:hAnsi="Calibri" w:cs="Calibri"/>
        </w:rPr>
        <w:t>This publication (and any material sourced from it) should be attributed as: DAFF 202</w:t>
      </w:r>
      <w:r w:rsidR="006E2DB3">
        <w:rPr>
          <w:rFonts w:ascii="Calibri" w:hAnsi="Calibri" w:cs="Calibri"/>
        </w:rPr>
        <w:t>4</w:t>
      </w:r>
      <w:r w:rsidRPr="00D2660A">
        <w:rPr>
          <w:rFonts w:ascii="Calibri" w:hAnsi="Calibri" w:cs="Calibri"/>
        </w:rPr>
        <w:t xml:space="preserve">, </w:t>
      </w:r>
      <w:r w:rsidR="00F5390D" w:rsidRPr="00F5390D">
        <w:rPr>
          <w:rFonts w:ascii="Calibri" w:hAnsi="Calibri" w:cs="Calibri"/>
          <w:i/>
          <w:iCs/>
        </w:rPr>
        <w:t>Cost recovery implementation statement 2024–25: low-value goods imported under a self-assessed clearance declaration</w:t>
      </w:r>
      <w:r w:rsidR="006F1BD0">
        <w:rPr>
          <w:rFonts w:ascii="Calibri" w:hAnsi="Calibri" w:cs="Calibri"/>
        </w:rPr>
        <w:t xml:space="preserve">, </w:t>
      </w:r>
      <w:r w:rsidRPr="00D2660A">
        <w:rPr>
          <w:rFonts w:ascii="Calibri" w:hAnsi="Calibri" w:cs="Calibri"/>
        </w:rPr>
        <w:t xml:space="preserve">Department of Agriculture, Fisheries and Forestry, Canberra, </w:t>
      </w:r>
      <w:r w:rsidR="00165C97">
        <w:rPr>
          <w:rFonts w:ascii="Calibri" w:hAnsi="Calibri" w:cs="Calibri"/>
        </w:rPr>
        <w:t>September</w:t>
      </w:r>
      <w:r w:rsidRPr="00D2660A">
        <w:rPr>
          <w:rFonts w:ascii="Calibri" w:hAnsi="Calibri" w:cs="Calibri"/>
        </w:rPr>
        <w:t>. CC BY 4.0.</w:t>
      </w:r>
    </w:p>
    <w:p w14:paraId="462C5CE8" w14:textId="5A2F2A4F" w:rsidR="00697489" w:rsidRPr="00D2660A" w:rsidRDefault="00D2660A" w:rsidP="00D2660A">
      <w:pPr>
        <w:pStyle w:val="Normalsmall"/>
        <w:rPr>
          <w:rFonts w:ascii="Calibri" w:hAnsi="Calibri" w:cs="Calibri"/>
        </w:rPr>
      </w:pPr>
      <w:r w:rsidRPr="00D2660A">
        <w:rPr>
          <w:rFonts w:ascii="Calibri" w:hAnsi="Calibri" w:cs="Calibri"/>
        </w:rPr>
        <w:t xml:space="preserve">This publication is available at </w:t>
      </w:r>
      <w:hyperlink r:id="rId13" w:history="1">
        <w:r w:rsidR="003B6B43">
          <w:rPr>
            <w:rStyle w:val="Hyperlink"/>
          </w:rPr>
          <w:t>agriculture.gov.au/biosecurity-trade/policy/self-assessed-clearances-cost-recovery</w:t>
        </w:r>
      </w:hyperlink>
      <w:r w:rsidR="00D6663A">
        <w:t>.</w:t>
      </w:r>
    </w:p>
    <w:p w14:paraId="46D95E8B" w14:textId="77777777" w:rsidR="00D2660A" w:rsidRPr="00D2660A" w:rsidRDefault="00D2660A" w:rsidP="00D2660A">
      <w:pPr>
        <w:pStyle w:val="Normalsmall"/>
        <w:spacing w:after="0"/>
        <w:rPr>
          <w:rFonts w:ascii="Calibri" w:hAnsi="Calibri" w:cs="Calibri"/>
        </w:rPr>
      </w:pPr>
      <w:r w:rsidRPr="00D2660A">
        <w:rPr>
          <w:rFonts w:ascii="Calibri" w:hAnsi="Calibri" w:cs="Calibri"/>
        </w:rPr>
        <w:t>Department of Agriculture, Fisheries and Forestry</w:t>
      </w:r>
    </w:p>
    <w:p w14:paraId="1C0CCEA5" w14:textId="77777777" w:rsidR="00D2660A" w:rsidRPr="00D2660A" w:rsidRDefault="00D2660A" w:rsidP="00D2660A">
      <w:pPr>
        <w:pStyle w:val="Normalsmall"/>
        <w:spacing w:after="0"/>
        <w:rPr>
          <w:rFonts w:ascii="Calibri" w:hAnsi="Calibri" w:cs="Calibri"/>
        </w:rPr>
      </w:pPr>
      <w:r w:rsidRPr="00D2660A">
        <w:rPr>
          <w:rFonts w:ascii="Calibri" w:hAnsi="Calibri" w:cs="Calibri"/>
        </w:rPr>
        <w:t>GPO Box 858 Canberra ACT 2601</w:t>
      </w:r>
    </w:p>
    <w:p w14:paraId="326042BE" w14:textId="77777777" w:rsidR="00D2660A" w:rsidRPr="00D2660A" w:rsidRDefault="00D2660A" w:rsidP="00D2660A">
      <w:pPr>
        <w:pStyle w:val="Normalsmall"/>
        <w:spacing w:after="0"/>
        <w:rPr>
          <w:rFonts w:ascii="Calibri" w:hAnsi="Calibri" w:cs="Calibri"/>
        </w:rPr>
      </w:pPr>
      <w:r w:rsidRPr="00D2660A">
        <w:rPr>
          <w:rFonts w:ascii="Calibri" w:hAnsi="Calibri" w:cs="Calibri"/>
        </w:rPr>
        <w:t>Telephone 1800 900 090</w:t>
      </w:r>
    </w:p>
    <w:p w14:paraId="31ED52B5" w14:textId="77777777" w:rsidR="00D2660A" w:rsidRPr="00D2660A" w:rsidRDefault="00D2660A" w:rsidP="00D2660A">
      <w:pPr>
        <w:pStyle w:val="Normalsmall"/>
        <w:rPr>
          <w:rFonts w:ascii="Calibri" w:hAnsi="Calibri" w:cs="Calibri"/>
        </w:rPr>
      </w:pPr>
      <w:r w:rsidRPr="00D2660A">
        <w:rPr>
          <w:rFonts w:ascii="Calibri" w:hAnsi="Calibri" w:cs="Calibri"/>
        </w:rPr>
        <w:t xml:space="preserve">Web </w:t>
      </w:r>
      <w:hyperlink r:id="rId14" w:history="1">
        <w:r w:rsidRPr="00D2660A">
          <w:rPr>
            <w:rStyle w:val="Hyperlink"/>
            <w:rFonts w:ascii="Calibri" w:hAnsi="Calibri" w:cs="Calibri"/>
          </w:rPr>
          <w:t>agriculture.gov.au</w:t>
        </w:r>
      </w:hyperlink>
    </w:p>
    <w:p w14:paraId="788AC1DE" w14:textId="77777777" w:rsidR="00D2660A" w:rsidRPr="00D2660A" w:rsidRDefault="00D2660A" w:rsidP="00D2660A">
      <w:pPr>
        <w:pStyle w:val="Normalsmall"/>
        <w:rPr>
          <w:rFonts w:ascii="Calibri" w:hAnsi="Calibri" w:cs="Calibri"/>
        </w:rPr>
      </w:pPr>
      <w:r w:rsidRPr="00D2660A">
        <w:rPr>
          <w:rStyle w:val="Strong"/>
          <w:rFonts w:ascii="Calibri" w:hAnsi="Calibri" w:cs="Calibri"/>
        </w:rPr>
        <w:t>Disclaimer</w:t>
      </w:r>
    </w:p>
    <w:p w14:paraId="7E3C52DD" w14:textId="77777777" w:rsidR="00D2660A" w:rsidRPr="00450991" w:rsidRDefault="00D2660A" w:rsidP="00450991">
      <w:pPr>
        <w:pStyle w:val="Normalsmall"/>
      </w:pPr>
      <w:r w:rsidRPr="00450991">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w:t>
      </w:r>
      <w:proofErr w:type="gramStart"/>
      <w:r w:rsidRPr="00450991">
        <w:t>as a result of</w:t>
      </w:r>
      <w:proofErr w:type="gramEnd"/>
      <w:r w:rsidRPr="00450991">
        <w:t xml:space="preserve"> accessing, using or relying on any of the information or data in this publication to the maximum extent permitted by law.</w:t>
      </w:r>
    </w:p>
    <w:p w14:paraId="6B43D3CE" w14:textId="77777777" w:rsidR="00D2660A" w:rsidRPr="00D2660A" w:rsidRDefault="00D2660A" w:rsidP="00D2660A">
      <w:pPr>
        <w:pStyle w:val="Normalsmall"/>
        <w:rPr>
          <w:rFonts w:ascii="Calibri" w:hAnsi="Calibri" w:cs="Calibri"/>
        </w:rPr>
      </w:pPr>
      <w:r w:rsidRPr="00D2660A">
        <w:rPr>
          <w:rStyle w:val="Strong"/>
          <w:rFonts w:ascii="Calibri" w:hAnsi="Calibri" w:cs="Calibri"/>
        </w:rPr>
        <w:t>Acknowledgement of Country</w:t>
      </w:r>
    </w:p>
    <w:p w14:paraId="2502A4FD" w14:textId="75C5F2EE" w:rsidR="00764D6A" w:rsidRDefault="00D2660A" w:rsidP="00D2660A">
      <w:pPr>
        <w:pStyle w:val="Normalsmall"/>
      </w:pPr>
      <w:r w:rsidRPr="00D2660A">
        <w:rPr>
          <w:rFonts w:ascii="Calibri" w:hAnsi="Calibri" w:cs="Calibri"/>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r w:rsidR="00E91D72">
        <w:br w:type="page"/>
      </w:r>
    </w:p>
    <w:sdt>
      <w:sdtPr>
        <w:rPr>
          <w:rFonts w:ascii="Cambria" w:hAnsi="Cambria"/>
          <w:b/>
          <w:noProof/>
          <w:sz w:val="22"/>
          <w:szCs w:val="22"/>
          <w:lang w:eastAsia="en-US"/>
        </w:rPr>
        <w:id w:val="-760297017"/>
        <w:docPartObj>
          <w:docPartGallery w:val="Table of Contents"/>
          <w:docPartUnique/>
        </w:docPartObj>
      </w:sdtPr>
      <w:sdtEndPr>
        <w:rPr>
          <w:rFonts w:asciiTheme="minorHAnsi" w:hAnsiTheme="minorHAnsi"/>
        </w:rPr>
      </w:sdtEndPr>
      <w:sdtContent>
        <w:p w14:paraId="29C27644" w14:textId="46D290EE" w:rsidR="00AD5228" w:rsidRDefault="00AD5228" w:rsidP="00AD5228">
          <w:pPr>
            <w:pStyle w:val="TOCHeading"/>
            <w:tabs>
              <w:tab w:val="left" w:pos="8219"/>
            </w:tabs>
          </w:pPr>
          <w:r>
            <w:t>Contents</w:t>
          </w:r>
        </w:p>
        <w:p w14:paraId="58891C56" w14:textId="01A3E143" w:rsidR="00573294" w:rsidRDefault="00AD5228">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77103771" w:history="1">
            <w:r w:rsidR="00573294" w:rsidRPr="00CB787B">
              <w:rPr>
                <w:rStyle w:val="Hyperlink"/>
              </w:rPr>
              <w:t>Introduction</w:t>
            </w:r>
            <w:r w:rsidR="00573294">
              <w:rPr>
                <w:webHidden/>
              </w:rPr>
              <w:tab/>
            </w:r>
            <w:r w:rsidR="00573294">
              <w:rPr>
                <w:webHidden/>
              </w:rPr>
              <w:fldChar w:fldCharType="begin"/>
            </w:r>
            <w:r w:rsidR="00573294">
              <w:rPr>
                <w:webHidden/>
              </w:rPr>
              <w:instrText xml:space="preserve"> PAGEREF _Toc177103771 \h </w:instrText>
            </w:r>
            <w:r w:rsidR="00573294">
              <w:rPr>
                <w:webHidden/>
              </w:rPr>
            </w:r>
            <w:r w:rsidR="00573294">
              <w:rPr>
                <w:webHidden/>
              </w:rPr>
              <w:fldChar w:fldCharType="separate"/>
            </w:r>
            <w:r w:rsidR="00573294">
              <w:rPr>
                <w:webHidden/>
              </w:rPr>
              <w:t>1</w:t>
            </w:r>
            <w:r w:rsidR="00573294">
              <w:rPr>
                <w:webHidden/>
              </w:rPr>
              <w:fldChar w:fldCharType="end"/>
            </w:r>
          </w:hyperlink>
        </w:p>
        <w:p w14:paraId="1F10FBF7" w14:textId="41559DF8" w:rsidR="00573294" w:rsidRDefault="001670BC">
          <w:pPr>
            <w:pStyle w:val="TOC2"/>
            <w:rPr>
              <w:rFonts w:eastAsiaTheme="minorEastAsia"/>
              <w:kern w:val="2"/>
              <w:sz w:val="24"/>
              <w:szCs w:val="24"/>
              <w:lang w:eastAsia="en-AU"/>
              <w14:ligatures w14:val="standardContextual"/>
            </w:rPr>
          </w:pPr>
          <w:hyperlink w:anchor="_Toc177103772" w:history="1">
            <w:r w:rsidR="00573294" w:rsidRPr="00CB787B">
              <w:rPr>
                <w:rStyle w:val="Hyperlink"/>
              </w:rPr>
              <w:t>Purpose</w:t>
            </w:r>
            <w:r w:rsidR="00573294">
              <w:rPr>
                <w:webHidden/>
              </w:rPr>
              <w:tab/>
            </w:r>
            <w:r w:rsidR="00573294">
              <w:rPr>
                <w:webHidden/>
              </w:rPr>
              <w:fldChar w:fldCharType="begin"/>
            </w:r>
            <w:r w:rsidR="00573294">
              <w:rPr>
                <w:webHidden/>
              </w:rPr>
              <w:instrText xml:space="preserve"> PAGEREF _Toc177103772 \h </w:instrText>
            </w:r>
            <w:r w:rsidR="00573294">
              <w:rPr>
                <w:webHidden/>
              </w:rPr>
            </w:r>
            <w:r w:rsidR="00573294">
              <w:rPr>
                <w:webHidden/>
              </w:rPr>
              <w:fldChar w:fldCharType="separate"/>
            </w:r>
            <w:r w:rsidR="00573294">
              <w:rPr>
                <w:webHidden/>
              </w:rPr>
              <w:t>1</w:t>
            </w:r>
            <w:r w:rsidR="00573294">
              <w:rPr>
                <w:webHidden/>
              </w:rPr>
              <w:fldChar w:fldCharType="end"/>
            </w:r>
          </w:hyperlink>
        </w:p>
        <w:p w14:paraId="699EFBB5" w14:textId="2800C370" w:rsidR="00573294" w:rsidRDefault="001670BC">
          <w:pPr>
            <w:pStyle w:val="TOC2"/>
            <w:rPr>
              <w:rFonts w:eastAsiaTheme="minorEastAsia"/>
              <w:kern w:val="2"/>
              <w:sz w:val="24"/>
              <w:szCs w:val="24"/>
              <w:lang w:eastAsia="en-AU"/>
              <w14:ligatures w14:val="standardContextual"/>
            </w:rPr>
          </w:pPr>
          <w:hyperlink w:anchor="_Toc177103773" w:history="1">
            <w:r w:rsidR="00573294" w:rsidRPr="00CB787B">
              <w:rPr>
                <w:rStyle w:val="Hyperlink"/>
              </w:rPr>
              <w:t>Description of the regulatory activity</w:t>
            </w:r>
            <w:r w:rsidR="00573294">
              <w:rPr>
                <w:webHidden/>
              </w:rPr>
              <w:tab/>
            </w:r>
            <w:r w:rsidR="00573294">
              <w:rPr>
                <w:webHidden/>
              </w:rPr>
              <w:fldChar w:fldCharType="begin"/>
            </w:r>
            <w:r w:rsidR="00573294">
              <w:rPr>
                <w:webHidden/>
              </w:rPr>
              <w:instrText xml:space="preserve"> PAGEREF _Toc177103773 \h </w:instrText>
            </w:r>
            <w:r w:rsidR="00573294">
              <w:rPr>
                <w:webHidden/>
              </w:rPr>
            </w:r>
            <w:r w:rsidR="00573294">
              <w:rPr>
                <w:webHidden/>
              </w:rPr>
              <w:fldChar w:fldCharType="separate"/>
            </w:r>
            <w:r w:rsidR="00573294">
              <w:rPr>
                <w:webHidden/>
              </w:rPr>
              <w:t>1</w:t>
            </w:r>
            <w:r w:rsidR="00573294">
              <w:rPr>
                <w:webHidden/>
              </w:rPr>
              <w:fldChar w:fldCharType="end"/>
            </w:r>
          </w:hyperlink>
        </w:p>
        <w:p w14:paraId="132B4BD0" w14:textId="107AC959" w:rsidR="00573294" w:rsidRDefault="001670BC">
          <w:pPr>
            <w:pStyle w:val="TOC2"/>
            <w:rPr>
              <w:rFonts w:eastAsiaTheme="minorEastAsia"/>
              <w:kern w:val="2"/>
              <w:sz w:val="24"/>
              <w:szCs w:val="24"/>
              <w:lang w:eastAsia="en-AU"/>
              <w14:ligatures w14:val="standardContextual"/>
            </w:rPr>
          </w:pPr>
          <w:hyperlink w:anchor="_Toc177103774" w:history="1">
            <w:r w:rsidR="00573294" w:rsidRPr="00CB787B">
              <w:rPr>
                <w:rStyle w:val="Hyperlink"/>
              </w:rPr>
              <w:t>Industry and regulatory groups</w:t>
            </w:r>
            <w:r w:rsidR="00573294">
              <w:rPr>
                <w:webHidden/>
              </w:rPr>
              <w:tab/>
            </w:r>
            <w:r w:rsidR="00573294">
              <w:rPr>
                <w:webHidden/>
              </w:rPr>
              <w:fldChar w:fldCharType="begin"/>
            </w:r>
            <w:r w:rsidR="00573294">
              <w:rPr>
                <w:webHidden/>
              </w:rPr>
              <w:instrText xml:space="preserve"> PAGEREF _Toc177103774 \h </w:instrText>
            </w:r>
            <w:r w:rsidR="00573294">
              <w:rPr>
                <w:webHidden/>
              </w:rPr>
            </w:r>
            <w:r w:rsidR="00573294">
              <w:rPr>
                <w:webHidden/>
              </w:rPr>
              <w:fldChar w:fldCharType="separate"/>
            </w:r>
            <w:r w:rsidR="00573294">
              <w:rPr>
                <w:webHidden/>
              </w:rPr>
              <w:t>1</w:t>
            </w:r>
            <w:r w:rsidR="00573294">
              <w:rPr>
                <w:webHidden/>
              </w:rPr>
              <w:fldChar w:fldCharType="end"/>
            </w:r>
          </w:hyperlink>
        </w:p>
        <w:p w14:paraId="7F08241B" w14:textId="50C7FBC6" w:rsidR="00573294" w:rsidRDefault="001670BC">
          <w:pPr>
            <w:pStyle w:val="TOC2"/>
            <w:rPr>
              <w:rFonts w:eastAsiaTheme="minorEastAsia"/>
              <w:kern w:val="2"/>
              <w:sz w:val="24"/>
              <w:szCs w:val="24"/>
              <w:lang w:eastAsia="en-AU"/>
              <w14:ligatures w14:val="standardContextual"/>
            </w:rPr>
          </w:pPr>
          <w:hyperlink w:anchor="_Toc177103775" w:history="1">
            <w:r w:rsidR="00573294" w:rsidRPr="00CB787B">
              <w:rPr>
                <w:rStyle w:val="Hyperlink"/>
              </w:rPr>
              <w:t>Why cost recovery is appropriate</w:t>
            </w:r>
            <w:r w:rsidR="00573294">
              <w:rPr>
                <w:webHidden/>
              </w:rPr>
              <w:tab/>
            </w:r>
            <w:r w:rsidR="00573294">
              <w:rPr>
                <w:webHidden/>
              </w:rPr>
              <w:fldChar w:fldCharType="begin"/>
            </w:r>
            <w:r w:rsidR="00573294">
              <w:rPr>
                <w:webHidden/>
              </w:rPr>
              <w:instrText xml:space="preserve"> PAGEREF _Toc177103775 \h </w:instrText>
            </w:r>
            <w:r w:rsidR="00573294">
              <w:rPr>
                <w:webHidden/>
              </w:rPr>
            </w:r>
            <w:r w:rsidR="00573294">
              <w:rPr>
                <w:webHidden/>
              </w:rPr>
              <w:fldChar w:fldCharType="separate"/>
            </w:r>
            <w:r w:rsidR="00573294">
              <w:rPr>
                <w:webHidden/>
              </w:rPr>
              <w:t>1</w:t>
            </w:r>
            <w:r w:rsidR="00573294">
              <w:rPr>
                <w:webHidden/>
              </w:rPr>
              <w:fldChar w:fldCharType="end"/>
            </w:r>
          </w:hyperlink>
        </w:p>
        <w:p w14:paraId="765E0CD4" w14:textId="301F805F" w:rsidR="00573294" w:rsidRDefault="001670BC">
          <w:pPr>
            <w:pStyle w:val="TOC1"/>
            <w:rPr>
              <w:rFonts w:eastAsiaTheme="minorEastAsia"/>
              <w:b w:val="0"/>
              <w:kern w:val="2"/>
              <w:sz w:val="24"/>
              <w:szCs w:val="24"/>
              <w:lang w:eastAsia="en-AU"/>
              <w14:ligatures w14:val="standardContextual"/>
            </w:rPr>
          </w:pPr>
          <w:hyperlink w:anchor="_Toc177103776" w:history="1">
            <w:r w:rsidR="00573294" w:rsidRPr="00CB787B">
              <w:rPr>
                <w:rStyle w:val="Hyperlink"/>
              </w:rPr>
              <w:t>1</w:t>
            </w:r>
            <w:r w:rsidR="00573294">
              <w:rPr>
                <w:rFonts w:eastAsiaTheme="minorEastAsia"/>
                <w:b w:val="0"/>
                <w:kern w:val="2"/>
                <w:sz w:val="24"/>
                <w:szCs w:val="24"/>
                <w:lang w:eastAsia="en-AU"/>
                <w14:ligatures w14:val="standardContextual"/>
              </w:rPr>
              <w:tab/>
            </w:r>
            <w:r w:rsidR="00573294" w:rsidRPr="00CB787B">
              <w:rPr>
                <w:rStyle w:val="Hyperlink"/>
              </w:rPr>
              <w:t>The biosecurity system</w:t>
            </w:r>
            <w:r w:rsidR="00573294">
              <w:rPr>
                <w:webHidden/>
              </w:rPr>
              <w:tab/>
            </w:r>
            <w:r w:rsidR="00573294">
              <w:rPr>
                <w:webHidden/>
              </w:rPr>
              <w:fldChar w:fldCharType="begin"/>
            </w:r>
            <w:r w:rsidR="00573294">
              <w:rPr>
                <w:webHidden/>
              </w:rPr>
              <w:instrText xml:space="preserve"> PAGEREF _Toc177103776 \h </w:instrText>
            </w:r>
            <w:r w:rsidR="00573294">
              <w:rPr>
                <w:webHidden/>
              </w:rPr>
            </w:r>
            <w:r w:rsidR="00573294">
              <w:rPr>
                <w:webHidden/>
              </w:rPr>
              <w:fldChar w:fldCharType="separate"/>
            </w:r>
            <w:r w:rsidR="00573294">
              <w:rPr>
                <w:webHidden/>
              </w:rPr>
              <w:t>3</w:t>
            </w:r>
            <w:r w:rsidR="00573294">
              <w:rPr>
                <w:webHidden/>
              </w:rPr>
              <w:fldChar w:fldCharType="end"/>
            </w:r>
          </w:hyperlink>
        </w:p>
        <w:p w14:paraId="111F05F2" w14:textId="5C3761A2" w:rsidR="00573294" w:rsidRDefault="001670BC">
          <w:pPr>
            <w:pStyle w:val="TOC2"/>
            <w:tabs>
              <w:tab w:val="left" w:pos="1100"/>
            </w:tabs>
            <w:rPr>
              <w:rFonts w:eastAsiaTheme="minorEastAsia"/>
              <w:kern w:val="2"/>
              <w:sz w:val="24"/>
              <w:szCs w:val="24"/>
              <w:lang w:eastAsia="en-AU"/>
              <w14:ligatures w14:val="standardContextual"/>
            </w:rPr>
          </w:pPr>
          <w:hyperlink w:anchor="_Toc177103777" w:history="1">
            <w:r w:rsidR="00573294" w:rsidRPr="00CB787B">
              <w:rPr>
                <w:rStyle w:val="Hyperlink"/>
              </w:rPr>
              <w:t>1.1</w:t>
            </w:r>
            <w:r w:rsidR="00573294">
              <w:rPr>
                <w:rFonts w:eastAsiaTheme="minorEastAsia"/>
                <w:kern w:val="2"/>
                <w:sz w:val="24"/>
                <w:szCs w:val="24"/>
                <w:lang w:eastAsia="en-AU"/>
                <w14:ligatures w14:val="standardContextual"/>
              </w:rPr>
              <w:tab/>
            </w:r>
            <w:r w:rsidR="00573294" w:rsidRPr="00CB787B">
              <w:rPr>
                <w:rStyle w:val="Hyperlink"/>
              </w:rPr>
              <w:t>The changing nature of the low-value goods pathway</w:t>
            </w:r>
            <w:r w:rsidR="00573294">
              <w:rPr>
                <w:webHidden/>
              </w:rPr>
              <w:tab/>
            </w:r>
            <w:r w:rsidR="00573294">
              <w:rPr>
                <w:webHidden/>
              </w:rPr>
              <w:fldChar w:fldCharType="begin"/>
            </w:r>
            <w:r w:rsidR="00573294">
              <w:rPr>
                <w:webHidden/>
              </w:rPr>
              <w:instrText xml:space="preserve"> PAGEREF _Toc177103777 \h </w:instrText>
            </w:r>
            <w:r w:rsidR="00573294">
              <w:rPr>
                <w:webHidden/>
              </w:rPr>
            </w:r>
            <w:r w:rsidR="00573294">
              <w:rPr>
                <w:webHidden/>
              </w:rPr>
              <w:fldChar w:fldCharType="separate"/>
            </w:r>
            <w:r w:rsidR="00573294">
              <w:rPr>
                <w:webHidden/>
              </w:rPr>
              <w:t>3</w:t>
            </w:r>
            <w:r w:rsidR="00573294">
              <w:rPr>
                <w:webHidden/>
              </w:rPr>
              <w:fldChar w:fldCharType="end"/>
            </w:r>
          </w:hyperlink>
        </w:p>
        <w:p w14:paraId="6E33E22A" w14:textId="75AB5B45" w:rsidR="00573294" w:rsidRDefault="001670BC">
          <w:pPr>
            <w:pStyle w:val="TOC1"/>
            <w:rPr>
              <w:rFonts w:eastAsiaTheme="minorEastAsia"/>
              <w:b w:val="0"/>
              <w:kern w:val="2"/>
              <w:sz w:val="24"/>
              <w:szCs w:val="24"/>
              <w:lang w:eastAsia="en-AU"/>
              <w14:ligatures w14:val="standardContextual"/>
            </w:rPr>
          </w:pPr>
          <w:hyperlink w:anchor="_Toc177103778" w:history="1">
            <w:r w:rsidR="00573294" w:rsidRPr="00CB787B">
              <w:rPr>
                <w:rStyle w:val="Hyperlink"/>
              </w:rPr>
              <w:t>2</w:t>
            </w:r>
            <w:r w:rsidR="00573294">
              <w:rPr>
                <w:rFonts w:eastAsiaTheme="minorEastAsia"/>
                <w:b w:val="0"/>
                <w:kern w:val="2"/>
                <w:sz w:val="24"/>
                <w:szCs w:val="24"/>
                <w:lang w:eastAsia="en-AU"/>
                <w14:ligatures w14:val="standardContextual"/>
              </w:rPr>
              <w:tab/>
            </w:r>
            <w:r w:rsidR="00573294" w:rsidRPr="00CB787B">
              <w:rPr>
                <w:rStyle w:val="Hyperlink"/>
              </w:rPr>
              <w:t>Policy guidance and statutory authority to cost recover</w:t>
            </w:r>
            <w:r w:rsidR="00573294">
              <w:rPr>
                <w:webHidden/>
              </w:rPr>
              <w:tab/>
            </w:r>
            <w:r w:rsidR="00573294">
              <w:rPr>
                <w:webHidden/>
              </w:rPr>
              <w:fldChar w:fldCharType="begin"/>
            </w:r>
            <w:r w:rsidR="00573294">
              <w:rPr>
                <w:webHidden/>
              </w:rPr>
              <w:instrText xml:space="preserve"> PAGEREF _Toc177103778 \h </w:instrText>
            </w:r>
            <w:r w:rsidR="00573294">
              <w:rPr>
                <w:webHidden/>
              </w:rPr>
            </w:r>
            <w:r w:rsidR="00573294">
              <w:rPr>
                <w:webHidden/>
              </w:rPr>
              <w:fldChar w:fldCharType="separate"/>
            </w:r>
            <w:r w:rsidR="00573294">
              <w:rPr>
                <w:webHidden/>
              </w:rPr>
              <w:t>4</w:t>
            </w:r>
            <w:r w:rsidR="00573294">
              <w:rPr>
                <w:webHidden/>
              </w:rPr>
              <w:fldChar w:fldCharType="end"/>
            </w:r>
          </w:hyperlink>
        </w:p>
        <w:p w14:paraId="57784983" w14:textId="57369BFA" w:rsidR="00573294" w:rsidRDefault="001670BC">
          <w:pPr>
            <w:pStyle w:val="TOC2"/>
            <w:tabs>
              <w:tab w:val="left" w:pos="1100"/>
            </w:tabs>
            <w:rPr>
              <w:rFonts w:eastAsiaTheme="minorEastAsia"/>
              <w:kern w:val="2"/>
              <w:sz w:val="24"/>
              <w:szCs w:val="24"/>
              <w:lang w:eastAsia="en-AU"/>
              <w14:ligatures w14:val="standardContextual"/>
            </w:rPr>
          </w:pPr>
          <w:hyperlink w:anchor="_Toc177103779" w:history="1">
            <w:r w:rsidR="00573294" w:rsidRPr="00CB787B">
              <w:rPr>
                <w:rStyle w:val="Hyperlink"/>
                <w:lang w:eastAsia="ja-JP"/>
              </w:rPr>
              <w:t>2.1</w:t>
            </w:r>
            <w:r w:rsidR="00573294">
              <w:rPr>
                <w:rFonts w:eastAsiaTheme="minorEastAsia"/>
                <w:kern w:val="2"/>
                <w:sz w:val="24"/>
                <w:szCs w:val="24"/>
                <w:lang w:eastAsia="en-AU"/>
                <w14:ligatures w14:val="standardContextual"/>
              </w:rPr>
              <w:tab/>
            </w:r>
            <w:r w:rsidR="00573294" w:rsidRPr="00CB787B">
              <w:rPr>
                <w:rStyle w:val="Hyperlink"/>
                <w:lang w:eastAsia="ja-JP"/>
              </w:rPr>
              <w:t>Statutory authority to impose fees and charges (levies)</w:t>
            </w:r>
            <w:r w:rsidR="00573294">
              <w:rPr>
                <w:webHidden/>
              </w:rPr>
              <w:tab/>
            </w:r>
            <w:r w:rsidR="00573294">
              <w:rPr>
                <w:webHidden/>
              </w:rPr>
              <w:fldChar w:fldCharType="begin"/>
            </w:r>
            <w:r w:rsidR="00573294">
              <w:rPr>
                <w:webHidden/>
              </w:rPr>
              <w:instrText xml:space="preserve"> PAGEREF _Toc177103779 \h </w:instrText>
            </w:r>
            <w:r w:rsidR="00573294">
              <w:rPr>
                <w:webHidden/>
              </w:rPr>
            </w:r>
            <w:r w:rsidR="00573294">
              <w:rPr>
                <w:webHidden/>
              </w:rPr>
              <w:fldChar w:fldCharType="separate"/>
            </w:r>
            <w:r w:rsidR="00573294">
              <w:rPr>
                <w:webHidden/>
              </w:rPr>
              <w:t>4</w:t>
            </w:r>
            <w:r w:rsidR="00573294">
              <w:rPr>
                <w:webHidden/>
              </w:rPr>
              <w:fldChar w:fldCharType="end"/>
            </w:r>
          </w:hyperlink>
        </w:p>
        <w:p w14:paraId="3CA901EE" w14:textId="6C811ADC" w:rsidR="00573294" w:rsidRDefault="001670BC">
          <w:pPr>
            <w:pStyle w:val="TOC1"/>
            <w:rPr>
              <w:rFonts w:eastAsiaTheme="minorEastAsia"/>
              <w:b w:val="0"/>
              <w:kern w:val="2"/>
              <w:sz w:val="24"/>
              <w:szCs w:val="24"/>
              <w:lang w:eastAsia="en-AU"/>
              <w14:ligatures w14:val="standardContextual"/>
            </w:rPr>
          </w:pPr>
          <w:hyperlink w:anchor="_Toc177103780" w:history="1">
            <w:r w:rsidR="00573294" w:rsidRPr="00CB787B">
              <w:rPr>
                <w:rStyle w:val="Hyperlink"/>
              </w:rPr>
              <w:t>3</w:t>
            </w:r>
            <w:r w:rsidR="00573294">
              <w:rPr>
                <w:rFonts w:eastAsiaTheme="minorEastAsia"/>
                <w:b w:val="0"/>
                <w:kern w:val="2"/>
                <w:sz w:val="24"/>
                <w:szCs w:val="24"/>
                <w:lang w:eastAsia="en-AU"/>
                <w14:ligatures w14:val="standardContextual"/>
              </w:rPr>
              <w:tab/>
            </w:r>
            <w:r w:rsidR="00573294" w:rsidRPr="00CB787B">
              <w:rPr>
                <w:rStyle w:val="Hyperlink"/>
              </w:rPr>
              <w:t>Regulatory charging model</w:t>
            </w:r>
            <w:r w:rsidR="00573294">
              <w:rPr>
                <w:webHidden/>
              </w:rPr>
              <w:tab/>
            </w:r>
            <w:r w:rsidR="00573294">
              <w:rPr>
                <w:webHidden/>
              </w:rPr>
              <w:fldChar w:fldCharType="begin"/>
            </w:r>
            <w:r w:rsidR="00573294">
              <w:rPr>
                <w:webHidden/>
              </w:rPr>
              <w:instrText xml:space="preserve"> PAGEREF _Toc177103780 \h </w:instrText>
            </w:r>
            <w:r w:rsidR="00573294">
              <w:rPr>
                <w:webHidden/>
              </w:rPr>
            </w:r>
            <w:r w:rsidR="00573294">
              <w:rPr>
                <w:webHidden/>
              </w:rPr>
              <w:fldChar w:fldCharType="separate"/>
            </w:r>
            <w:r w:rsidR="00573294">
              <w:rPr>
                <w:webHidden/>
              </w:rPr>
              <w:t>5</w:t>
            </w:r>
            <w:r w:rsidR="00573294">
              <w:rPr>
                <w:webHidden/>
              </w:rPr>
              <w:fldChar w:fldCharType="end"/>
            </w:r>
          </w:hyperlink>
        </w:p>
        <w:p w14:paraId="3ABBCB0C" w14:textId="40BE2515" w:rsidR="00573294" w:rsidRDefault="001670BC">
          <w:pPr>
            <w:pStyle w:val="TOC2"/>
            <w:tabs>
              <w:tab w:val="left" w:pos="1100"/>
            </w:tabs>
            <w:rPr>
              <w:rFonts w:eastAsiaTheme="minorEastAsia"/>
              <w:kern w:val="2"/>
              <w:sz w:val="24"/>
              <w:szCs w:val="24"/>
              <w:lang w:eastAsia="en-AU"/>
              <w14:ligatures w14:val="standardContextual"/>
            </w:rPr>
          </w:pPr>
          <w:hyperlink w:anchor="_Toc177103781" w:history="1">
            <w:r w:rsidR="00573294" w:rsidRPr="00CB787B">
              <w:rPr>
                <w:rStyle w:val="Hyperlink"/>
              </w:rPr>
              <w:t>3.1</w:t>
            </w:r>
            <w:r w:rsidR="00573294">
              <w:rPr>
                <w:rFonts w:eastAsiaTheme="minorEastAsia"/>
                <w:kern w:val="2"/>
                <w:sz w:val="24"/>
                <w:szCs w:val="24"/>
                <w:lang w:eastAsia="en-AU"/>
                <w14:ligatures w14:val="standardContextual"/>
              </w:rPr>
              <w:tab/>
            </w:r>
            <w:r w:rsidR="00573294" w:rsidRPr="00CB787B">
              <w:rPr>
                <w:rStyle w:val="Hyperlink"/>
              </w:rPr>
              <w:t>Cost recovery reserves</w:t>
            </w:r>
            <w:r w:rsidR="00573294">
              <w:rPr>
                <w:webHidden/>
              </w:rPr>
              <w:tab/>
            </w:r>
            <w:r w:rsidR="00573294">
              <w:rPr>
                <w:webHidden/>
              </w:rPr>
              <w:fldChar w:fldCharType="begin"/>
            </w:r>
            <w:r w:rsidR="00573294">
              <w:rPr>
                <w:webHidden/>
              </w:rPr>
              <w:instrText xml:space="preserve"> PAGEREF _Toc177103781 \h </w:instrText>
            </w:r>
            <w:r w:rsidR="00573294">
              <w:rPr>
                <w:webHidden/>
              </w:rPr>
            </w:r>
            <w:r w:rsidR="00573294">
              <w:rPr>
                <w:webHidden/>
              </w:rPr>
              <w:fldChar w:fldCharType="separate"/>
            </w:r>
            <w:r w:rsidR="00573294">
              <w:rPr>
                <w:webHidden/>
              </w:rPr>
              <w:t>5</w:t>
            </w:r>
            <w:r w:rsidR="00573294">
              <w:rPr>
                <w:webHidden/>
              </w:rPr>
              <w:fldChar w:fldCharType="end"/>
            </w:r>
          </w:hyperlink>
        </w:p>
        <w:p w14:paraId="51695F0E" w14:textId="26E838E1" w:rsidR="00573294" w:rsidRDefault="001670BC">
          <w:pPr>
            <w:pStyle w:val="TOC2"/>
            <w:tabs>
              <w:tab w:val="left" w:pos="1100"/>
            </w:tabs>
            <w:rPr>
              <w:rFonts w:eastAsiaTheme="minorEastAsia"/>
              <w:kern w:val="2"/>
              <w:sz w:val="24"/>
              <w:szCs w:val="24"/>
              <w:lang w:eastAsia="en-AU"/>
              <w14:ligatures w14:val="standardContextual"/>
            </w:rPr>
          </w:pPr>
          <w:hyperlink w:anchor="_Toc177103782" w:history="1">
            <w:r w:rsidR="00573294" w:rsidRPr="00CB787B">
              <w:rPr>
                <w:rStyle w:val="Hyperlink"/>
              </w:rPr>
              <w:t>3.2</w:t>
            </w:r>
            <w:r w:rsidR="00573294">
              <w:rPr>
                <w:rFonts w:eastAsiaTheme="minorEastAsia"/>
                <w:kern w:val="2"/>
                <w:sz w:val="24"/>
                <w:szCs w:val="24"/>
                <w:lang w:eastAsia="en-AU"/>
                <w14:ligatures w14:val="standardContextual"/>
              </w:rPr>
              <w:tab/>
            </w:r>
            <w:r w:rsidR="00573294" w:rsidRPr="00CB787B">
              <w:rPr>
                <w:rStyle w:val="Hyperlink"/>
              </w:rPr>
              <w:t>Self-assessed clearance cost recovery charge</w:t>
            </w:r>
            <w:r w:rsidR="00573294">
              <w:rPr>
                <w:webHidden/>
              </w:rPr>
              <w:tab/>
            </w:r>
            <w:r w:rsidR="00573294">
              <w:rPr>
                <w:webHidden/>
              </w:rPr>
              <w:fldChar w:fldCharType="begin"/>
            </w:r>
            <w:r w:rsidR="00573294">
              <w:rPr>
                <w:webHidden/>
              </w:rPr>
              <w:instrText xml:space="preserve"> PAGEREF _Toc177103782 \h </w:instrText>
            </w:r>
            <w:r w:rsidR="00573294">
              <w:rPr>
                <w:webHidden/>
              </w:rPr>
            </w:r>
            <w:r w:rsidR="00573294">
              <w:rPr>
                <w:webHidden/>
              </w:rPr>
              <w:fldChar w:fldCharType="separate"/>
            </w:r>
            <w:r w:rsidR="00573294">
              <w:rPr>
                <w:webHidden/>
              </w:rPr>
              <w:t>6</w:t>
            </w:r>
            <w:r w:rsidR="00573294">
              <w:rPr>
                <w:webHidden/>
              </w:rPr>
              <w:fldChar w:fldCharType="end"/>
            </w:r>
          </w:hyperlink>
        </w:p>
        <w:p w14:paraId="527071CE" w14:textId="13E72DF0" w:rsidR="00573294" w:rsidRDefault="001670BC">
          <w:pPr>
            <w:pStyle w:val="TOC2"/>
            <w:tabs>
              <w:tab w:val="left" w:pos="1100"/>
            </w:tabs>
            <w:rPr>
              <w:rFonts w:eastAsiaTheme="minorEastAsia"/>
              <w:kern w:val="2"/>
              <w:sz w:val="24"/>
              <w:szCs w:val="24"/>
              <w:lang w:eastAsia="en-AU"/>
              <w14:ligatures w14:val="standardContextual"/>
            </w:rPr>
          </w:pPr>
          <w:hyperlink w:anchor="_Toc177103783" w:history="1">
            <w:r w:rsidR="00573294" w:rsidRPr="00CB787B">
              <w:rPr>
                <w:rStyle w:val="Hyperlink"/>
              </w:rPr>
              <w:t>3.3</w:t>
            </w:r>
            <w:r w:rsidR="00573294">
              <w:rPr>
                <w:rFonts w:eastAsiaTheme="minorEastAsia"/>
                <w:kern w:val="2"/>
                <w:sz w:val="24"/>
                <w:szCs w:val="24"/>
                <w:lang w:eastAsia="en-AU"/>
                <w14:ligatures w14:val="standardContextual"/>
              </w:rPr>
              <w:tab/>
            </w:r>
            <w:r w:rsidR="00573294" w:rsidRPr="00CB787B">
              <w:rPr>
                <w:rStyle w:val="Hyperlink"/>
              </w:rPr>
              <w:t>Biosecurity fees and charges</w:t>
            </w:r>
            <w:r w:rsidR="00573294">
              <w:rPr>
                <w:webHidden/>
              </w:rPr>
              <w:tab/>
            </w:r>
            <w:r w:rsidR="00573294">
              <w:rPr>
                <w:webHidden/>
              </w:rPr>
              <w:fldChar w:fldCharType="begin"/>
            </w:r>
            <w:r w:rsidR="00573294">
              <w:rPr>
                <w:webHidden/>
              </w:rPr>
              <w:instrText xml:space="preserve"> PAGEREF _Toc177103783 \h </w:instrText>
            </w:r>
            <w:r w:rsidR="00573294">
              <w:rPr>
                <w:webHidden/>
              </w:rPr>
            </w:r>
            <w:r w:rsidR="00573294">
              <w:rPr>
                <w:webHidden/>
              </w:rPr>
              <w:fldChar w:fldCharType="separate"/>
            </w:r>
            <w:r w:rsidR="00573294">
              <w:rPr>
                <w:webHidden/>
              </w:rPr>
              <w:t>7</w:t>
            </w:r>
            <w:r w:rsidR="00573294">
              <w:rPr>
                <w:webHidden/>
              </w:rPr>
              <w:fldChar w:fldCharType="end"/>
            </w:r>
          </w:hyperlink>
        </w:p>
        <w:p w14:paraId="3ECABDE2" w14:textId="045C719D" w:rsidR="00573294" w:rsidRDefault="001670BC">
          <w:pPr>
            <w:pStyle w:val="TOC1"/>
            <w:rPr>
              <w:rFonts w:eastAsiaTheme="minorEastAsia"/>
              <w:b w:val="0"/>
              <w:kern w:val="2"/>
              <w:sz w:val="24"/>
              <w:szCs w:val="24"/>
              <w:lang w:eastAsia="en-AU"/>
              <w14:ligatures w14:val="standardContextual"/>
            </w:rPr>
          </w:pPr>
          <w:hyperlink w:anchor="_Toc177103784" w:history="1">
            <w:r w:rsidR="00573294" w:rsidRPr="00CB787B">
              <w:rPr>
                <w:rStyle w:val="Hyperlink"/>
              </w:rPr>
              <w:t>4</w:t>
            </w:r>
            <w:r w:rsidR="00573294">
              <w:rPr>
                <w:rFonts w:eastAsiaTheme="minorEastAsia"/>
                <w:b w:val="0"/>
                <w:kern w:val="2"/>
                <w:sz w:val="24"/>
                <w:szCs w:val="24"/>
                <w:lang w:eastAsia="en-AU"/>
                <w14:ligatures w14:val="standardContextual"/>
              </w:rPr>
              <w:tab/>
            </w:r>
            <w:r w:rsidR="00573294" w:rsidRPr="00CB787B">
              <w:rPr>
                <w:rStyle w:val="Hyperlink"/>
              </w:rPr>
              <w:t>Risk assessment</w:t>
            </w:r>
            <w:r w:rsidR="00573294">
              <w:rPr>
                <w:webHidden/>
              </w:rPr>
              <w:tab/>
            </w:r>
            <w:r w:rsidR="00573294">
              <w:rPr>
                <w:webHidden/>
              </w:rPr>
              <w:fldChar w:fldCharType="begin"/>
            </w:r>
            <w:r w:rsidR="00573294">
              <w:rPr>
                <w:webHidden/>
              </w:rPr>
              <w:instrText xml:space="preserve"> PAGEREF _Toc177103784 \h </w:instrText>
            </w:r>
            <w:r w:rsidR="00573294">
              <w:rPr>
                <w:webHidden/>
              </w:rPr>
            </w:r>
            <w:r w:rsidR="00573294">
              <w:rPr>
                <w:webHidden/>
              </w:rPr>
              <w:fldChar w:fldCharType="separate"/>
            </w:r>
            <w:r w:rsidR="00573294">
              <w:rPr>
                <w:webHidden/>
              </w:rPr>
              <w:t>8</w:t>
            </w:r>
            <w:r w:rsidR="00573294">
              <w:rPr>
                <w:webHidden/>
              </w:rPr>
              <w:fldChar w:fldCharType="end"/>
            </w:r>
          </w:hyperlink>
        </w:p>
        <w:p w14:paraId="02E35CF9" w14:textId="041547F1" w:rsidR="00573294" w:rsidRDefault="001670BC">
          <w:pPr>
            <w:pStyle w:val="TOC1"/>
            <w:rPr>
              <w:rFonts w:eastAsiaTheme="minorEastAsia"/>
              <w:b w:val="0"/>
              <w:kern w:val="2"/>
              <w:sz w:val="24"/>
              <w:szCs w:val="24"/>
              <w:lang w:eastAsia="en-AU"/>
              <w14:ligatures w14:val="standardContextual"/>
            </w:rPr>
          </w:pPr>
          <w:hyperlink w:anchor="_Toc177103785" w:history="1">
            <w:r w:rsidR="00573294" w:rsidRPr="00CB787B">
              <w:rPr>
                <w:rStyle w:val="Hyperlink"/>
              </w:rPr>
              <w:t>5</w:t>
            </w:r>
            <w:r w:rsidR="00573294">
              <w:rPr>
                <w:rFonts w:eastAsiaTheme="minorEastAsia"/>
                <w:b w:val="0"/>
                <w:kern w:val="2"/>
                <w:sz w:val="24"/>
                <w:szCs w:val="24"/>
                <w:lang w:eastAsia="en-AU"/>
                <w14:ligatures w14:val="standardContextual"/>
              </w:rPr>
              <w:tab/>
            </w:r>
            <w:r w:rsidR="00573294" w:rsidRPr="00CB787B">
              <w:rPr>
                <w:rStyle w:val="Hyperlink"/>
              </w:rPr>
              <w:t>Stakeholder engagement</w:t>
            </w:r>
            <w:r w:rsidR="00573294">
              <w:rPr>
                <w:webHidden/>
              </w:rPr>
              <w:tab/>
            </w:r>
            <w:r w:rsidR="00573294">
              <w:rPr>
                <w:webHidden/>
              </w:rPr>
              <w:fldChar w:fldCharType="begin"/>
            </w:r>
            <w:r w:rsidR="00573294">
              <w:rPr>
                <w:webHidden/>
              </w:rPr>
              <w:instrText xml:space="preserve"> PAGEREF _Toc177103785 \h </w:instrText>
            </w:r>
            <w:r w:rsidR="00573294">
              <w:rPr>
                <w:webHidden/>
              </w:rPr>
            </w:r>
            <w:r w:rsidR="00573294">
              <w:rPr>
                <w:webHidden/>
              </w:rPr>
              <w:fldChar w:fldCharType="separate"/>
            </w:r>
            <w:r w:rsidR="00573294">
              <w:rPr>
                <w:webHidden/>
              </w:rPr>
              <w:t>9</w:t>
            </w:r>
            <w:r w:rsidR="00573294">
              <w:rPr>
                <w:webHidden/>
              </w:rPr>
              <w:fldChar w:fldCharType="end"/>
            </w:r>
          </w:hyperlink>
        </w:p>
        <w:p w14:paraId="67727613" w14:textId="0F0CAB5A" w:rsidR="00573294" w:rsidRDefault="001670BC">
          <w:pPr>
            <w:pStyle w:val="TOC2"/>
            <w:tabs>
              <w:tab w:val="left" w:pos="1100"/>
            </w:tabs>
            <w:rPr>
              <w:rFonts w:eastAsiaTheme="minorEastAsia"/>
              <w:kern w:val="2"/>
              <w:sz w:val="24"/>
              <w:szCs w:val="24"/>
              <w:lang w:eastAsia="en-AU"/>
              <w14:ligatures w14:val="standardContextual"/>
            </w:rPr>
          </w:pPr>
          <w:hyperlink w:anchor="_Toc177103786" w:history="1">
            <w:r w:rsidR="00573294" w:rsidRPr="00CB787B">
              <w:rPr>
                <w:rStyle w:val="Hyperlink"/>
                <w:lang w:eastAsia="ja-JP"/>
              </w:rPr>
              <w:t>5.1</w:t>
            </w:r>
            <w:r w:rsidR="00573294">
              <w:rPr>
                <w:rFonts w:eastAsiaTheme="minorEastAsia"/>
                <w:kern w:val="2"/>
                <w:sz w:val="24"/>
                <w:szCs w:val="24"/>
                <w:lang w:eastAsia="en-AU"/>
                <w14:ligatures w14:val="standardContextual"/>
              </w:rPr>
              <w:tab/>
            </w:r>
            <w:r w:rsidR="00573294" w:rsidRPr="00CB787B">
              <w:rPr>
                <w:rStyle w:val="Hyperlink"/>
                <w:lang w:eastAsia="ja-JP"/>
              </w:rPr>
              <w:t>Consultation on proposed changes</w:t>
            </w:r>
            <w:r w:rsidR="00573294">
              <w:rPr>
                <w:webHidden/>
              </w:rPr>
              <w:tab/>
            </w:r>
            <w:r w:rsidR="00573294">
              <w:rPr>
                <w:webHidden/>
              </w:rPr>
              <w:fldChar w:fldCharType="begin"/>
            </w:r>
            <w:r w:rsidR="00573294">
              <w:rPr>
                <w:webHidden/>
              </w:rPr>
              <w:instrText xml:space="preserve"> PAGEREF _Toc177103786 \h </w:instrText>
            </w:r>
            <w:r w:rsidR="00573294">
              <w:rPr>
                <w:webHidden/>
              </w:rPr>
            </w:r>
            <w:r w:rsidR="00573294">
              <w:rPr>
                <w:webHidden/>
              </w:rPr>
              <w:fldChar w:fldCharType="separate"/>
            </w:r>
            <w:r w:rsidR="00573294">
              <w:rPr>
                <w:webHidden/>
              </w:rPr>
              <w:t>9</w:t>
            </w:r>
            <w:r w:rsidR="00573294">
              <w:rPr>
                <w:webHidden/>
              </w:rPr>
              <w:fldChar w:fldCharType="end"/>
            </w:r>
          </w:hyperlink>
        </w:p>
        <w:p w14:paraId="2D28AAE5" w14:textId="1EA6BF4C" w:rsidR="00573294" w:rsidRDefault="001670BC">
          <w:pPr>
            <w:pStyle w:val="TOC2"/>
            <w:tabs>
              <w:tab w:val="left" w:pos="1100"/>
            </w:tabs>
            <w:rPr>
              <w:rFonts w:eastAsiaTheme="minorEastAsia"/>
              <w:kern w:val="2"/>
              <w:sz w:val="24"/>
              <w:szCs w:val="24"/>
              <w:lang w:eastAsia="en-AU"/>
              <w14:ligatures w14:val="standardContextual"/>
            </w:rPr>
          </w:pPr>
          <w:hyperlink w:anchor="_Toc177103787" w:history="1">
            <w:r w:rsidR="00573294" w:rsidRPr="00CB787B">
              <w:rPr>
                <w:rStyle w:val="Hyperlink"/>
              </w:rPr>
              <w:t>5.2</w:t>
            </w:r>
            <w:r w:rsidR="00573294">
              <w:rPr>
                <w:rFonts w:eastAsiaTheme="minorEastAsia"/>
                <w:kern w:val="2"/>
                <w:sz w:val="24"/>
                <w:szCs w:val="24"/>
                <w:lang w:eastAsia="en-AU"/>
                <w14:ligatures w14:val="standardContextual"/>
              </w:rPr>
              <w:tab/>
            </w:r>
            <w:r w:rsidR="00573294" w:rsidRPr="00CB787B">
              <w:rPr>
                <w:rStyle w:val="Hyperlink"/>
              </w:rPr>
              <w:t>Ongoing engagement strategy</w:t>
            </w:r>
            <w:r w:rsidR="00573294">
              <w:rPr>
                <w:webHidden/>
              </w:rPr>
              <w:tab/>
            </w:r>
            <w:r w:rsidR="00573294">
              <w:rPr>
                <w:webHidden/>
              </w:rPr>
              <w:fldChar w:fldCharType="begin"/>
            </w:r>
            <w:r w:rsidR="00573294">
              <w:rPr>
                <w:webHidden/>
              </w:rPr>
              <w:instrText xml:space="preserve"> PAGEREF _Toc177103787 \h </w:instrText>
            </w:r>
            <w:r w:rsidR="00573294">
              <w:rPr>
                <w:webHidden/>
              </w:rPr>
            </w:r>
            <w:r w:rsidR="00573294">
              <w:rPr>
                <w:webHidden/>
              </w:rPr>
              <w:fldChar w:fldCharType="separate"/>
            </w:r>
            <w:r w:rsidR="00573294">
              <w:rPr>
                <w:webHidden/>
              </w:rPr>
              <w:t>9</w:t>
            </w:r>
            <w:r w:rsidR="00573294">
              <w:rPr>
                <w:webHidden/>
              </w:rPr>
              <w:fldChar w:fldCharType="end"/>
            </w:r>
          </w:hyperlink>
        </w:p>
        <w:p w14:paraId="0C30E491" w14:textId="53C0C0FD" w:rsidR="00573294" w:rsidRDefault="001670BC">
          <w:pPr>
            <w:pStyle w:val="TOC1"/>
            <w:rPr>
              <w:rFonts w:eastAsiaTheme="minorEastAsia"/>
              <w:b w:val="0"/>
              <w:kern w:val="2"/>
              <w:sz w:val="24"/>
              <w:szCs w:val="24"/>
              <w:lang w:eastAsia="en-AU"/>
              <w14:ligatures w14:val="standardContextual"/>
            </w:rPr>
          </w:pPr>
          <w:hyperlink w:anchor="_Toc177103788" w:history="1">
            <w:r w:rsidR="00573294" w:rsidRPr="00CB787B">
              <w:rPr>
                <w:rStyle w:val="Hyperlink"/>
              </w:rPr>
              <w:t>6</w:t>
            </w:r>
            <w:r w:rsidR="00573294">
              <w:rPr>
                <w:rFonts w:eastAsiaTheme="minorEastAsia"/>
                <w:b w:val="0"/>
                <w:kern w:val="2"/>
                <w:sz w:val="24"/>
                <w:szCs w:val="24"/>
                <w:lang w:eastAsia="en-AU"/>
                <w14:ligatures w14:val="standardContextual"/>
              </w:rPr>
              <w:tab/>
            </w:r>
            <w:r w:rsidR="00573294" w:rsidRPr="00CB787B">
              <w:rPr>
                <w:rStyle w:val="Hyperlink"/>
              </w:rPr>
              <w:t>Financial estimates</w:t>
            </w:r>
            <w:r w:rsidR="00573294">
              <w:rPr>
                <w:webHidden/>
              </w:rPr>
              <w:tab/>
            </w:r>
            <w:r w:rsidR="00573294">
              <w:rPr>
                <w:webHidden/>
              </w:rPr>
              <w:fldChar w:fldCharType="begin"/>
            </w:r>
            <w:r w:rsidR="00573294">
              <w:rPr>
                <w:webHidden/>
              </w:rPr>
              <w:instrText xml:space="preserve"> PAGEREF _Toc177103788 \h </w:instrText>
            </w:r>
            <w:r w:rsidR="00573294">
              <w:rPr>
                <w:webHidden/>
              </w:rPr>
            </w:r>
            <w:r w:rsidR="00573294">
              <w:rPr>
                <w:webHidden/>
              </w:rPr>
              <w:fldChar w:fldCharType="separate"/>
            </w:r>
            <w:r w:rsidR="00573294">
              <w:rPr>
                <w:webHidden/>
              </w:rPr>
              <w:t>11</w:t>
            </w:r>
            <w:r w:rsidR="00573294">
              <w:rPr>
                <w:webHidden/>
              </w:rPr>
              <w:fldChar w:fldCharType="end"/>
            </w:r>
          </w:hyperlink>
        </w:p>
        <w:p w14:paraId="4ABD4C31" w14:textId="278A9F3B" w:rsidR="00573294" w:rsidRDefault="001670BC">
          <w:pPr>
            <w:pStyle w:val="TOC2"/>
            <w:tabs>
              <w:tab w:val="left" w:pos="1100"/>
            </w:tabs>
            <w:rPr>
              <w:rFonts w:eastAsiaTheme="minorEastAsia"/>
              <w:kern w:val="2"/>
              <w:sz w:val="24"/>
              <w:szCs w:val="24"/>
              <w:lang w:eastAsia="en-AU"/>
              <w14:ligatures w14:val="standardContextual"/>
            </w:rPr>
          </w:pPr>
          <w:hyperlink w:anchor="_Toc177103789" w:history="1">
            <w:r w:rsidR="00573294" w:rsidRPr="00CB787B">
              <w:rPr>
                <w:rStyle w:val="Hyperlink"/>
              </w:rPr>
              <w:t>6.1</w:t>
            </w:r>
            <w:r w:rsidR="00573294">
              <w:rPr>
                <w:rFonts w:eastAsiaTheme="minorEastAsia"/>
                <w:kern w:val="2"/>
                <w:sz w:val="24"/>
                <w:szCs w:val="24"/>
                <w:lang w:eastAsia="en-AU"/>
                <w14:ligatures w14:val="standardContextual"/>
              </w:rPr>
              <w:tab/>
            </w:r>
            <w:r w:rsidR="00573294" w:rsidRPr="00CB787B">
              <w:rPr>
                <w:rStyle w:val="Hyperlink"/>
              </w:rPr>
              <w:t>Annual estimates</w:t>
            </w:r>
            <w:r w:rsidR="00573294">
              <w:rPr>
                <w:webHidden/>
              </w:rPr>
              <w:tab/>
            </w:r>
            <w:r w:rsidR="00573294">
              <w:rPr>
                <w:webHidden/>
              </w:rPr>
              <w:fldChar w:fldCharType="begin"/>
            </w:r>
            <w:r w:rsidR="00573294">
              <w:rPr>
                <w:webHidden/>
              </w:rPr>
              <w:instrText xml:space="preserve"> PAGEREF _Toc177103789 \h </w:instrText>
            </w:r>
            <w:r w:rsidR="00573294">
              <w:rPr>
                <w:webHidden/>
              </w:rPr>
            </w:r>
            <w:r w:rsidR="00573294">
              <w:rPr>
                <w:webHidden/>
              </w:rPr>
              <w:fldChar w:fldCharType="separate"/>
            </w:r>
            <w:r w:rsidR="00573294">
              <w:rPr>
                <w:webHidden/>
              </w:rPr>
              <w:t>11</w:t>
            </w:r>
            <w:r w:rsidR="00573294">
              <w:rPr>
                <w:webHidden/>
              </w:rPr>
              <w:fldChar w:fldCharType="end"/>
            </w:r>
          </w:hyperlink>
        </w:p>
        <w:p w14:paraId="5B20D282" w14:textId="3AAF93D5" w:rsidR="00573294" w:rsidRDefault="001670BC">
          <w:pPr>
            <w:pStyle w:val="TOC2"/>
            <w:tabs>
              <w:tab w:val="left" w:pos="1100"/>
            </w:tabs>
            <w:rPr>
              <w:rFonts w:eastAsiaTheme="minorEastAsia"/>
              <w:kern w:val="2"/>
              <w:sz w:val="24"/>
              <w:szCs w:val="24"/>
              <w:lang w:eastAsia="en-AU"/>
              <w14:ligatures w14:val="standardContextual"/>
            </w:rPr>
          </w:pPr>
          <w:hyperlink w:anchor="_Toc177103790" w:history="1">
            <w:r w:rsidR="00573294" w:rsidRPr="00CB787B">
              <w:rPr>
                <w:rStyle w:val="Hyperlink"/>
                <w:lang w:eastAsia="ja-JP"/>
              </w:rPr>
              <w:t>6.2</w:t>
            </w:r>
            <w:r w:rsidR="00573294">
              <w:rPr>
                <w:rFonts w:eastAsiaTheme="minorEastAsia"/>
                <w:kern w:val="2"/>
                <w:sz w:val="24"/>
                <w:szCs w:val="24"/>
                <w:lang w:eastAsia="en-AU"/>
                <w14:ligatures w14:val="standardContextual"/>
              </w:rPr>
              <w:tab/>
            </w:r>
            <w:r w:rsidR="00573294" w:rsidRPr="00CB787B">
              <w:rPr>
                <w:rStyle w:val="Hyperlink"/>
                <w:lang w:eastAsia="ja-JP"/>
              </w:rPr>
              <w:t>Expenses to be cost recovered</w:t>
            </w:r>
            <w:r w:rsidR="00573294">
              <w:rPr>
                <w:webHidden/>
              </w:rPr>
              <w:tab/>
            </w:r>
            <w:r w:rsidR="00573294">
              <w:rPr>
                <w:webHidden/>
              </w:rPr>
              <w:fldChar w:fldCharType="begin"/>
            </w:r>
            <w:r w:rsidR="00573294">
              <w:rPr>
                <w:webHidden/>
              </w:rPr>
              <w:instrText xml:space="preserve"> PAGEREF _Toc177103790 \h </w:instrText>
            </w:r>
            <w:r w:rsidR="00573294">
              <w:rPr>
                <w:webHidden/>
              </w:rPr>
            </w:r>
            <w:r w:rsidR="00573294">
              <w:rPr>
                <w:webHidden/>
              </w:rPr>
              <w:fldChar w:fldCharType="separate"/>
            </w:r>
            <w:r w:rsidR="00573294">
              <w:rPr>
                <w:webHidden/>
              </w:rPr>
              <w:t>11</w:t>
            </w:r>
            <w:r w:rsidR="00573294">
              <w:rPr>
                <w:webHidden/>
              </w:rPr>
              <w:fldChar w:fldCharType="end"/>
            </w:r>
          </w:hyperlink>
        </w:p>
        <w:p w14:paraId="1538B5D9" w14:textId="07CC8DDD" w:rsidR="00573294" w:rsidRDefault="001670BC">
          <w:pPr>
            <w:pStyle w:val="TOC2"/>
            <w:tabs>
              <w:tab w:val="left" w:pos="1100"/>
            </w:tabs>
            <w:rPr>
              <w:rFonts w:eastAsiaTheme="minorEastAsia"/>
              <w:kern w:val="2"/>
              <w:sz w:val="24"/>
              <w:szCs w:val="24"/>
              <w:lang w:eastAsia="en-AU"/>
              <w14:ligatures w14:val="standardContextual"/>
            </w:rPr>
          </w:pPr>
          <w:hyperlink w:anchor="_Toc177103791" w:history="1">
            <w:r w:rsidR="00573294" w:rsidRPr="00CB787B">
              <w:rPr>
                <w:rStyle w:val="Hyperlink"/>
              </w:rPr>
              <w:t>6.3</w:t>
            </w:r>
            <w:r w:rsidR="00573294">
              <w:rPr>
                <w:rFonts w:eastAsiaTheme="minorEastAsia"/>
                <w:kern w:val="2"/>
                <w:sz w:val="24"/>
                <w:szCs w:val="24"/>
                <w:lang w:eastAsia="en-AU"/>
                <w14:ligatures w14:val="standardContextual"/>
              </w:rPr>
              <w:tab/>
            </w:r>
            <w:r w:rsidR="00573294" w:rsidRPr="00CB787B">
              <w:rPr>
                <w:rStyle w:val="Hyperlink"/>
              </w:rPr>
              <w:t>Volume forecasts</w:t>
            </w:r>
            <w:r w:rsidR="00573294">
              <w:rPr>
                <w:webHidden/>
              </w:rPr>
              <w:tab/>
            </w:r>
            <w:r w:rsidR="00573294">
              <w:rPr>
                <w:webHidden/>
              </w:rPr>
              <w:fldChar w:fldCharType="begin"/>
            </w:r>
            <w:r w:rsidR="00573294">
              <w:rPr>
                <w:webHidden/>
              </w:rPr>
              <w:instrText xml:space="preserve"> PAGEREF _Toc177103791 \h </w:instrText>
            </w:r>
            <w:r w:rsidR="00573294">
              <w:rPr>
                <w:webHidden/>
              </w:rPr>
            </w:r>
            <w:r w:rsidR="00573294">
              <w:rPr>
                <w:webHidden/>
              </w:rPr>
              <w:fldChar w:fldCharType="separate"/>
            </w:r>
            <w:r w:rsidR="00573294">
              <w:rPr>
                <w:webHidden/>
              </w:rPr>
              <w:t>12</w:t>
            </w:r>
            <w:r w:rsidR="00573294">
              <w:rPr>
                <w:webHidden/>
              </w:rPr>
              <w:fldChar w:fldCharType="end"/>
            </w:r>
          </w:hyperlink>
        </w:p>
        <w:p w14:paraId="3BA4F988" w14:textId="54CFC86B" w:rsidR="00573294" w:rsidRDefault="001670BC">
          <w:pPr>
            <w:pStyle w:val="TOC1"/>
            <w:rPr>
              <w:rFonts w:eastAsiaTheme="minorEastAsia"/>
              <w:b w:val="0"/>
              <w:kern w:val="2"/>
              <w:sz w:val="24"/>
              <w:szCs w:val="24"/>
              <w:lang w:eastAsia="en-AU"/>
              <w14:ligatures w14:val="standardContextual"/>
            </w:rPr>
          </w:pPr>
          <w:hyperlink w:anchor="_Toc177103792" w:history="1">
            <w:r w:rsidR="00573294" w:rsidRPr="00CB787B">
              <w:rPr>
                <w:rStyle w:val="Hyperlink"/>
              </w:rPr>
              <w:t>7</w:t>
            </w:r>
            <w:r w:rsidR="00573294">
              <w:rPr>
                <w:rFonts w:eastAsiaTheme="minorEastAsia"/>
                <w:b w:val="0"/>
                <w:kern w:val="2"/>
                <w:sz w:val="24"/>
                <w:szCs w:val="24"/>
                <w:lang w:eastAsia="en-AU"/>
                <w14:ligatures w14:val="standardContextual"/>
              </w:rPr>
              <w:tab/>
            </w:r>
            <w:r w:rsidR="00573294" w:rsidRPr="00CB787B">
              <w:rPr>
                <w:rStyle w:val="Hyperlink"/>
              </w:rPr>
              <w:t>Financial and non-financial performance</w:t>
            </w:r>
            <w:r w:rsidR="00573294">
              <w:rPr>
                <w:webHidden/>
              </w:rPr>
              <w:tab/>
            </w:r>
            <w:r w:rsidR="00573294">
              <w:rPr>
                <w:webHidden/>
              </w:rPr>
              <w:fldChar w:fldCharType="begin"/>
            </w:r>
            <w:r w:rsidR="00573294">
              <w:rPr>
                <w:webHidden/>
              </w:rPr>
              <w:instrText xml:space="preserve"> PAGEREF _Toc177103792 \h </w:instrText>
            </w:r>
            <w:r w:rsidR="00573294">
              <w:rPr>
                <w:webHidden/>
              </w:rPr>
            </w:r>
            <w:r w:rsidR="00573294">
              <w:rPr>
                <w:webHidden/>
              </w:rPr>
              <w:fldChar w:fldCharType="separate"/>
            </w:r>
            <w:r w:rsidR="00573294">
              <w:rPr>
                <w:webHidden/>
              </w:rPr>
              <w:t>13</w:t>
            </w:r>
            <w:r w:rsidR="00573294">
              <w:rPr>
                <w:webHidden/>
              </w:rPr>
              <w:fldChar w:fldCharType="end"/>
            </w:r>
          </w:hyperlink>
        </w:p>
        <w:p w14:paraId="4305BCFC" w14:textId="70DDCDEA" w:rsidR="00573294" w:rsidRDefault="001670BC">
          <w:pPr>
            <w:pStyle w:val="TOC1"/>
            <w:rPr>
              <w:rFonts w:eastAsiaTheme="minorEastAsia"/>
              <w:b w:val="0"/>
              <w:kern w:val="2"/>
              <w:sz w:val="24"/>
              <w:szCs w:val="24"/>
              <w:lang w:eastAsia="en-AU"/>
              <w14:ligatures w14:val="standardContextual"/>
            </w:rPr>
          </w:pPr>
          <w:hyperlink w:anchor="_Toc177103793" w:history="1">
            <w:r w:rsidR="00573294" w:rsidRPr="00CB787B">
              <w:rPr>
                <w:rStyle w:val="Hyperlink"/>
              </w:rPr>
              <w:t>8</w:t>
            </w:r>
            <w:r w:rsidR="00573294">
              <w:rPr>
                <w:rFonts w:eastAsiaTheme="minorEastAsia"/>
                <w:b w:val="0"/>
                <w:kern w:val="2"/>
                <w:sz w:val="24"/>
                <w:szCs w:val="24"/>
                <w:lang w:eastAsia="en-AU"/>
                <w14:ligatures w14:val="standardContextual"/>
              </w:rPr>
              <w:tab/>
            </w:r>
            <w:r w:rsidR="00573294" w:rsidRPr="00CB787B">
              <w:rPr>
                <w:rStyle w:val="Hyperlink"/>
              </w:rPr>
              <w:t>Key dates and events</w:t>
            </w:r>
            <w:r w:rsidR="00573294">
              <w:rPr>
                <w:webHidden/>
              </w:rPr>
              <w:tab/>
            </w:r>
            <w:r w:rsidR="00573294">
              <w:rPr>
                <w:webHidden/>
              </w:rPr>
              <w:fldChar w:fldCharType="begin"/>
            </w:r>
            <w:r w:rsidR="00573294">
              <w:rPr>
                <w:webHidden/>
              </w:rPr>
              <w:instrText xml:space="preserve"> PAGEREF _Toc177103793 \h </w:instrText>
            </w:r>
            <w:r w:rsidR="00573294">
              <w:rPr>
                <w:webHidden/>
              </w:rPr>
            </w:r>
            <w:r w:rsidR="00573294">
              <w:rPr>
                <w:webHidden/>
              </w:rPr>
              <w:fldChar w:fldCharType="separate"/>
            </w:r>
            <w:r w:rsidR="00573294">
              <w:rPr>
                <w:webHidden/>
              </w:rPr>
              <w:t>14</w:t>
            </w:r>
            <w:r w:rsidR="00573294">
              <w:rPr>
                <w:webHidden/>
              </w:rPr>
              <w:fldChar w:fldCharType="end"/>
            </w:r>
          </w:hyperlink>
        </w:p>
        <w:p w14:paraId="4E2FDC93" w14:textId="5C91A095" w:rsidR="00573294" w:rsidRDefault="001670BC">
          <w:pPr>
            <w:pStyle w:val="TOC1"/>
            <w:rPr>
              <w:rFonts w:eastAsiaTheme="minorEastAsia"/>
              <w:b w:val="0"/>
              <w:kern w:val="2"/>
              <w:sz w:val="24"/>
              <w:szCs w:val="24"/>
              <w:lang w:eastAsia="en-AU"/>
              <w14:ligatures w14:val="standardContextual"/>
            </w:rPr>
          </w:pPr>
          <w:hyperlink w:anchor="_Toc177103794" w:history="1">
            <w:r w:rsidR="00573294" w:rsidRPr="00CB787B">
              <w:rPr>
                <w:rStyle w:val="Hyperlink"/>
              </w:rPr>
              <w:t>9</w:t>
            </w:r>
            <w:r w:rsidR="00573294">
              <w:rPr>
                <w:rFonts w:eastAsiaTheme="minorEastAsia"/>
                <w:b w:val="0"/>
                <w:kern w:val="2"/>
                <w:sz w:val="24"/>
                <w:szCs w:val="24"/>
                <w:lang w:eastAsia="en-AU"/>
                <w14:ligatures w14:val="standardContextual"/>
              </w:rPr>
              <w:tab/>
            </w:r>
            <w:r w:rsidR="00573294" w:rsidRPr="00CB787B">
              <w:rPr>
                <w:rStyle w:val="Hyperlink"/>
              </w:rPr>
              <w:t>CRIS approval and change register</w:t>
            </w:r>
            <w:r w:rsidR="00573294">
              <w:rPr>
                <w:webHidden/>
              </w:rPr>
              <w:tab/>
            </w:r>
            <w:r w:rsidR="00573294">
              <w:rPr>
                <w:webHidden/>
              </w:rPr>
              <w:fldChar w:fldCharType="begin"/>
            </w:r>
            <w:r w:rsidR="00573294">
              <w:rPr>
                <w:webHidden/>
              </w:rPr>
              <w:instrText xml:space="preserve"> PAGEREF _Toc177103794 \h </w:instrText>
            </w:r>
            <w:r w:rsidR="00573294">
              <w:rPr>
                <w:webHidden/>
              </w:rPr>
            </w:r>
            <w:r w:rsidR="00573294">
              <w:rPr>
                <w:webHidden/>
              </w:rPr>
              <w:fldChar w:fldCharType="separate"/>
            </w:r>
            <w:r w:rsidR="00573294">
              <w:rPr>
                <w:webHidden/>
              </w:rPr>
              <w:t>15</w:t>
            </w:r>
            <w:r w:rsidR="00573294">
              <w:rPr>
                <w:webHidden/>
              </w:rPr>
              <w:fldChar w:fldCharType="end"/>
            </w:r>
          </w:hyperlink>
        </w:p>
        <w:p w14:paraId="7B30742C" w14:textId="53006111" w:rsidR="00AD5228" w:rsidRPr="00AD5228" w:rsidRDefault="00AD5228" w:rsidP="00AD5228">
          <w:pPr>
            <w:pStyle w:val="TOC1"/>
            <w:rPr>
              <w:b w:val="0"/>
            </w:rPr>
          </w:pPr>
          <w:r>
            <w:rPr>
              <w:b w:val="0"/>
            </w:rPr>
            <w:fldChar w:fldCharType="end"/>
          </w:r>
        </w:p>
      </w:sdtContent>
    </w:sdt>
    <w:bookmarkStart w:id="2" w:name="_Toc430782150" w:displacedByCustomXml="prev"/>
    <w:bookmarkStart w:id="3" w:name="_Ref135815660" w:displacedByCustomXml="prev"/>
    <w:bookmarkStart w:id="4" w:name="_Toc173762847" w:displacedByCustomXml="prev"/>
    <w:p w14:paraId="65F55DCC" w14:textId="0C644046" w:rsidR="00AD5228" w:rsidRPr="003B319A" w:rsidRDefault="00AD5228" w:rsidP="00AD5228">
      <w:pPr>
        <w:pStyle w:val="TOCHeading2"/>
        <w:spacing w:before="240"/>
        <w:rPr>
          <w:rStyle w:val="Strong"/>
          <w:rFonts w:ascii="Calibri" w:hAnsi="Calibri" w:cs="Calibri"/>
        </w:rPr>
      </w:pPr>
      <w:r w:rsidRPr="003B319A">
        <w:rPr>
          <w:rStyle w:val="Strong"/>
          <w:rFonts w:ascii="Calibri" w:hAnsi="Calibri" w:cs="Calibri"/>
        </w:rPr>
        <w:t>Tables</w:t>
      </w:r>
    </w:p>
    <w:p w14:paraId="4DF166D4" w14:textId="66769AE6" w:rsidR="008D212A" w:rsidRDefault="00AD5228">
      <w:pPr>
        <w:pStyle w:val="TableofFigures"/>
        <w:tabs>
          <w:tab w:val="right" w:leader="dot" w:pos="9174"/>
        </w:tabs>
        <w:rPr>
          <w:rFonts w:eastAsiaTheme="minorEastAsia"/>
          <w:noProof/>
          <w:kern w:val="2"/>
          <w:sz w:val="24"/>
          <w:szCs w:val="24"/>
          <w:lang w:eastAsia="en-AU"/>
          <w14:ligatures w14:val="standardContextual"/>
        </w:rPr>
      </w:pPr>
      <w:r>
        <w:fldChar w:fldCharType="begin"/>
      </w:r>
      <w:r>
        <w:instrText xml:space="preserve"> TOC \c "Table" </w:instrText>
      </w:r>
      <w:r>
        <w:fldChar w:fldCharType="separate"/>
      </w:r>
      <w:r w:rsidR="008D212A">
        <w:rPr>
          <w:noProof/>
        </w:rPr>
        <w:t>Table 1 Biosecurity cost recovery arrangement cost breakdown, 2024–25 including SAC charge costs</w:t>
      </w:r>
      <w:r w:rsidR="008D212A">
        <w:rPr>
          <w:noProof/>
        </w:rPr>
        <w:tab/>
      </w:r>
      <w:r w:rsidR="008D212A">
        <w:rPr>
          <w:noProof/>
        </w:rPr>
        <w:fldChar w:fldCharType="begin"/>
      </w:r>
      <w:r w:rsidR="008D212A">
        <w:rPr>
          <w:noProof/>
        </w:rPr>
        <w:instrText xml:space="preserve"> PAGEREF _Toc176352600 \h </w:instrText>
      </w:r>
      <w:r w:rsidR="008D212A">
        <w:rPr>
          <w:noProof/>
        </w:rPr>
      </w:r>
      <w:r w:rsidR="008D212A">
        <w:rPr>
          <w:noProof/>
        </w:rPr>
        <w:fldChar w:fldCharType="separate"/>
      </w:r>
      <w:r w:rsidR="008D212A">
        <w:rPr>
          <w:noProof/>
        </w:rPr>
        <w:t>5</w:t>
      </w:r>
      <w:r w:rsidR="008D212A">
        <w:rPr>
          <w:noProof/>
        </w:rPr>
        <w:fldChar w:fldCharType="end"/>
      </w:r>
    </w:p>
    <w:p w14:paraId="4102A48A" w14:textId="5D2F3C9C" w:rsidR="008D212A" w:rsidRDefault="008D212A">
      <w:pPr>
        <w:pStyle w:val="TableofFigures"/>
        <w:tabs>
          <w:tab w:val="right" w:leader="dot" w:pos="9174"/>
        </w:tabs>
        <w:rPr>
          <w:rFonts w:eastAsiaTheme="minorEastAsia"/>
          <w:noProof/>
          <w:kern w:val="2"/>
          <w:sz w:val="24"/>
          <w:szCs w:val="24"/>
          <w:lang w:eastAsia="en-AU"/>
          <w14:ligatures w14:val="standardContextual"/>
        </w:rPr>
      </w:pPr>
      <w:r>
        <w:rPr>
          <w:noProof/>
        </w:rPr>
        <w:t>Table 2 SAC cost and estimated volumes and revenue for biosecurity arrangement, 2024–25</w:t>
      </w:r>
      <w:r>
        <w:rPr>
          <w:noProof/>
        </w:rPr>
        <w:tab/>
      </w:r>
      <w:r>
        <w:rPr>
          <w:noProof/>
        </w:rPr>
        <w:fldChar w:fldCharType="begin"/>
      </w:r>
      <w:r>
        <w:rPr>
          <w:noProof/>
        </w:rPr>
        <w:instrText xml:space="preserve"> PAGEREF _Toc176352601 \h </w:instrText>
      </w:r>
      <w:r>
        <w:rPr>
          <w:noProof/>
        </w:rPr>
      </w:r>
      <w:r>
        <w:rPr>
          <w:noProof/>
        </w:rPr>
        <w:fldChar w:fldCharType="separate"/>
      </w:r>
      <w:r>
        <w:rPr>
          <w:noProof/>
        </w:rPr>
        <w:t>7</w:t>
      </w:r>
      <w:r>
        <w:rPr>
          <w:noProof/>
        </w:rPr>
        <w:fldChar w:fldCharType="end"/>
      </w:r>
    </w:p>
    <w:p w14:paraId="1D6F0D97" w14:textId="6195C162" w:rsidR="008D212A" w:rsidRDefault="008D212A">
      <w:pPr>
        <w:pStyle w:val="TableofFigures"/>
        <w:tabs>
          <w:tab w:val="right" w:leader="dot" w:pos="9174"/>
        </w:tabs>
        <w:rPr>
          <w:rFonts w:eastAsiaTheme="minorEastAsia"/>
          <w:noProof/>
          <w:kern w:val="2"/>
          <w:sz w:val="24"/>
          <w:szCs w:val="24"/>
          <w:lang w:eastAsia="en-AU"/>
          <w14:ligatures w14:val="standardContextual"/>
        </w:rPr>
      </w:pPr>
      <w:r>
        <w:rPr>
          <w:noProof/>
        </w:rPr>
        <w:t>Table 3 Risks for biosecurity arrangement</w:t>
      </w:r>
      <w:r>
        <w:rPr>
          <w:noProof/>
        </w:rPr>
        <w:tab/>
      </w:r>
      <w:r>
        <w:rPr>
          <w:noProof/>
        </w:rPr>
        <w:fldChar w:fldCharType="begin"/>
      </w:r>
      <w:r>
        <w:rPr>
          <w:noProof/>
        </w:rPr>
        <w:instrText xml:space="preserve"> PAGEREF _Toc176352602 \h </w:instrText>
      </w:r>
      <w:r>
        <w:rPr>
          <w:noProof/>
        </w:rPr>
      </w:r>
      <w:r>
        <w:rPr>
          <w:noProof/>
        </w:rPr>
        <w:fldChar w:fldCharType="separate"/>
      </w:r>
      <w:r>
        <w:rPr>
          <w:noProof/>
        </w:rPr>
        <w:t>8</w:t>
      </w:r>
      <w:r>
        <w:rPr>
          <w:noProof/>
        </w:rPr>
        <w:fldChar w:fldCharType="end"/>
      </w:r>
    </w:p>
    <w:p w14:paraId="486909F6" w14:textId="77C2E644" w:rsidR="008D212A" w:rsidRDefault="008D212A">
      <w:pPr>
        <w:pStyle w:val="TableofFigures"/>
        <w:tabs>
          <w:tab w:val="right" w:leader="dot" w:pos="9174"/>
        </w:tabs>
        <w:rPr>
          <w:rFonts w:eastAsiaTheme="minorEastAsia"/>
          <w:noProof/>
          <w:kern w:val="2"/>
          <w:sz w:val="24"/>
          <w:szCs w:val="24"/>
          <w:lang w:eastAsia="en-AU"/>
          <w14:ligatures w14:val="standardContextual"/>
        </w:rPr>
      </w:pPr>
      <w:r>
        <w:rPr>
          <w:noProof/>
        </w:rPr>
        <w:t>Table 4 Financial estimates for the SAC charge, 2024–25</w:t>
      </w:r>
      <w:r>
        <w:rPr>
          <w:noProof/>
        </w:rPr>
        <w:tab/>
      </w:r>
      <w:r>
        <w:rPr>
          <w:noProof/>
        </w:rPr>
        <w:fldChar w:fldCharType="begin"/>
      </w:r>
      <w:r>
        <w:rPr>
          <w:noProof/>
        </w:rPr>
        <w:instrText xml:space="preserve"> PAGEREF _Toc176352603 \h </w:instrText>
      </w:r>
      <w:r>
        <w:rPr>
          <w:noProof/>
        </w:rPr>
      </w:r>
      <w:r>
        <w:rPr>
          <w:noProof/>
        </w:rPr>
        <w:fldChar w:fldCharType="separate"/>
      </w:r>
      <w:r>
        <w:rPr>
          <w:noProof/>
        </w:rPr>
        <w:t>11</w:t>
      </w:r>
      <w:r>
        <w:rPr>
          <w:noProof/>
        </w:rPr>
        <w:fldChar w:fldCharType="end"/>
      </w:r>
    </w:p>
    <w:p w14:paraId="00AFED60" w14:textId="1D3CB036" w:rsidR="008D212A" w:rsidRDefault="008D212A">
      <w:pPr>
        <w:pStyle w:val="TableofFigures"/>
        <w:tabs>
          <w:tab w:val="right" w:leader="dot" w:pos="9174"/>
        </w:tabs>
        <w:rPr>
          <w:rFonts w:eastAsiaTheme="minorEastAsia"/>
          <w:noProof/>
          <w:kern w:val="2"/>
          <w:sz w:val="24"/>
          <w:szCs w:val="24"/>
          <w:lang w:eastAsia="en-AU"/>
          <w14:ligatures w14:val="standardContextual"/>
        </w:rPr>
      </w:pPr>
      <w:r>
        <w:rPr>
          <w:noProof/>
        </w:rPr>
        <w:t>Table 5 Key forward dates and events</w:t>
      </w:r>
      <w:r>
        <w:rPr>
          <w:noProof/>
        </w:rPr>
        <w:tab/>
      </w:r>
      <w:r>
        <w:rPr>
          <w:noProof/>
        </w:rPr>
        <w:fldChar w:fldCharType="begin"/>
      </w:r>
      <w:r>
        <w:rPr>
          <w:noProof/>
        </w:rPr>
        <w:instrText xml:space="preserve"> PAGEREF _Toc176352604 \h </w:instrText>
      </w:r>
      <w:r>
        <w:rPr>
          <w:noProof/>
        </w:rPr>
      </w:r>
      <w:r>
        <w:rPr>
          <w:noProof/>
        </w:rPr>
        <w:fldChar w:fldCharType="separate"/>
      </w:r>
      <w:r>
        <w:rPr>
          <w:noProof/>
        </w:rPr>
        <w:t>14</w:t>
      </w:r>
      <w:r>
        <w:rPr>
          <w:noProof/>
        </w:rPr>
        <w:fldChar w:fldCharType="end"/>
      </w:r>
    </w:p>
    <w:p w14:paraId="78322887" w14:textId="190B5242" w:rsidR="008D212A" w:rsidRDefault="008D212A">
      <w:pPr>
        <w:pStyle w:val="TableofFigures"/>
        <w:tabs>
          <w:tab w:val="right" w:leader="dot" w:pos="9174"/>
        </w:tabs>
        <w:rPr>
          <w:rFonts w:eastAsiaTheme="minorEastAsia"/>
          <w:noProof/>
          <w:kern w:val="2"/>
          <w:sz w:val="24"/>
          <w:szCs w:val="24"/>
          <w:lang w:eastAsia="en-AU"/>
          <w14:ligatures w14:val="standardContextual"/>
        </w:rPr>
      </w:pPr>
      <w:r>
        <w:rPr>
          <w:noProof/>
        </w:rPr>
        <w:t>Table 6 Approval register</w:t>
      </w:r>
      <w:r>
        <w:rPr>
          <w:noProof/>
        </w:rPr>
        <w:tab/>
      </w:r>
      <w:r>
        <w:rPr>
          <w:noProof/>
        </w:rPr>
        <w:fldChar w:fldCharType="begin"/>
      </w:r>
      <w:r>
        <w:rPr>
          <w:noProof/>
        </w:rPr>
        <w:instrText xml:space="preserve"> PAGEREF _Toc176352605 \h </w:instrText>
      </w:r>
      <w:r>
        <w:rPr>
          <w:noProof/>
        </w:rPr>
      </w:r>
      <w:r>
        <w:rPr>
          <w:noProof/>
        </w:rPr>
        <w:fldChar w:fldCharType="separate"/>
      </w:r>
      <w:r>
        <w:rPr>
          <w:noProof/>
        </w:rPr>
        <w:t>15</w:t>
      </w:r>
      <w:r>
        <w:rPr>
          <w:noProof/>
        </w:rPr>
        <w:fldChar w:fldCharType="end"/>
      </w:r>
    </w:p>
    <w:p w14:paraId="2544F934" w14:textId="3749CD23" w:rsidR="00075D75" w:rsidRDefault="00AD5228" w:rsidP="00AD5228">
      <w:pPr>
        <w:sectPr w:rsidR="00075D75" w:rsidSect="00974A2E">
          <w:headerReference w:type="even" r:id="rId15"/>
          <w:headerReference w:type="default" r:id="rId16"/>
          <w:footerReference w:type="even" r:id="rId17"/>
          <w:footerReference w:type="default" r:id="rId18"/>
          <w:headerReference w:type="first" r:id="rId19"/>
          <w:pgSz w:w="11906" w:h="16838"/>
          <w:pgMar w:top="1361" w:right="1361" w:bottom="1361" w:left="1361" w:header="567" w:footer="284" w:gutter="0"/>
          <w:pgNumType w:fmt="lowerRoman"/>
          <w:cols w:space="708"/>
          <w:titlePg/>
          <w:docGrid w:linePitch="360"/>
        </w:sectPr>
      </w:pPr>
      <w:r>
        <w:fldChar w:fldCharType="end"/>
      </w:r>
    </w:p>
    <w:p w14:paraId="0DBFBAF3" w14:textId="0CE5C64E" w:rsidR="00764D6A" w:rsidRDefault="00E91D72" w:rsidP="00974A2E">
      <w:pPr>
        <w:pStyle w:val="Heading2"/>
        <w:numPr>
          <w:ilvl w:val="0"/>
          <w:numId w:val="0"/>
        </w:numPr>
        <w:ind w:left="720" w:hanging="720"/>
      </w:pPr>
      <w:bookmarkStart w:id="5" w:name="_Toc177103771"/>
      <w:r w:rsidRPr="008B4ABA">
        <w:lastRenderedPageBreak/>
        <w:t>Introduction</w:t>
      </w:r>
      <w:bookmarkEnd w:id="5"/>
      <w:bookmarkEnd w:id="4"/>
      <w:bookmarkEnd w:id="3"/>
      <w:bookmarkEnd w:id="2"/>
    </w:p>
    <w:p w14:paraId="48607690" w14:textId="1D89961F" w:rsidR="00C97065" w:rsidRDefault="00C97065" w:rsidP="00C97065">
      <w:r>
        <w:t xml:space="preserve">This </w:t>
      </w:r>
      <w:r w:rsidR="00770EF0">
        <w:t>c</w:t>
      </w:r>
      <w:r w:rsidR="00770EF0" w:rsidRPr="00450991">
        <w:t xml:space="preserve">ost recovery implementation statement </w:t>
      </w:r>
      <w:r w:rsidR="00770EF0">
        <w:t>(</w:t>
      </w:r>
      <w:r>
        <w:t>CRIS</w:t>
      </w:r>
      <w:r w:rsidR="00770EF0">
        <w:t>)</w:t>
      </w:r>
      <w:r>
        <w:t xml:space="preserve"> should be read in conjunction with the </w:t>
      </w:r>
      <w:hyperlink r:id="rId20" w:history="1">
        <w:r w:rsidR="000E4A56">
          <w:rPr>
            <w:rStyle w:val="Hyperlink"/>
          </w:rPr>
          <w:t>Biosecurity cost recovery arrangement: cost recovery implementation statement 2024–25</w:t>
        </w:r>
      </w:hyperlink>
      <w:r>
        <w:t xml:space="preserve"> (B</w:t>
      </w:r>
      <w:r w:rsidR="00F5390D">
        <w:t xml:space="preserve">iosecurity </w:t>
      </w:r>
      <w:r>
        <w:t>CRIS).</w:t>
      </w:r>
    </w:p>
    <w:p w14:paraId="69964187" w14:textId="1936DB6D" w:rsidR="00075AA9" w:rsidRPr="0029167F" w:rsidRDefault="00075AA9" w:rsidP="00974A2E">
      <w:pPr>
        <w:pStyle w:val="Heading3"/>
        <w:numPr>
          <w:ilvl w:val="0"/>
          <w:numId w:val="0"/>
        </w:numPr>
        <w:ind w:left="964" w:hanging="964"/>
        <w:rPr>
          <w:lang w:eastAsia="ja-JP"/>
        </w:rPr>
      </w:pPr>
      <w:bookmarkStart w:id="6" w:name="_Toc173762848"/>
      <w:bookmarkStart w:id="7" w:name="_Toc177103772"/>
      <w:r>
        <w:t>Purpose</w:t>
      </w:r>
      <w:bookmarkEnd w:id="6"/>
      <w:bookmarkEnd w:id="7"/>
    </w:p>
    <w:p w14:paraId="30CCB0B2" w14:textId="52313E67" w:rsidR="001B2ED4" w:rsidRDefault="160FF460" w:rsidP="082A85A9">
      <w:r w:rsidRPr="082A85A9">
        <w:rPr>
          <w:rFonts w:eastAsiaTheme="minorEastAsia"/>
        </w:rPr>
        <w:t xml:space="preserve">This cost recovery implementation statement (CRIS) provides information about how the Self-Assessed Clearance (SAC) cost recovery charge is implemented by the Department of Agriculture, Fisheries and Forestry. </w:t>
      </w:r>
      <w:r w:rsidR="00777BD8" w:rsidRPr="082A85A9">
        <w:rPr>
          <w:rFonts w:eastAsiaTheme="minorEastAsia"/>
        </w:rPr>
        <w:t>T</w:t>
      </w:r>
      <w:r w:rsidR="00A372F1">
        <w:t xml:space="preserve">he requirement for the charge follows the </w:t>
      </w:r>
      <w:r w:rsidR="00FD32BB">
        <w:t>government’s</w:t>
      </w:r>
      <w:r w:rsidR="00322F03">
        <w:t xml:space="preserve"> decision to extend biosecurity cost recovery arrangements to </w:t>
      </w:r>
      <w:r w:rsidR="001B2ED4">
        <w:t>include</w:t>
      </w:r>
      <w:r w:rsidR="00F335FC">
        <w:t xml:space="preserve"> low</w:t>
      </w:r>
      <w:r w:rsidR="00F5390D">
        <w:t>-</w:t>
      </w:r>
      <w:r w:rsidR="00F335FC">
        <w:t xml:space="preserve">value goods </w:t>
      </w:r>
      <w:r w:rsidR="001F6BA8">
        <w:t xml:space="preserve">(of the kind referred to in paragraph 68(1)(f) of the </w:t>
      </w:r>
      <w:r w:rsidR="001F6BA8" w:rsidRPr="082A85A9">
        <w:rPr>
          <w:i/>
          <w:iCs/>
        </w:rPr>
        <w:t>Customs Act 1901</w:t>
      </w:r>
      <w:r w:rsidR="001F6BA8">
        <w:t xml:space="preserve">) </w:t>
      </w:r>
      <w:r w:rsidR="00F335FC">
        <w:t xml:space="preserve">subject to </w:t>
      </w:r>
      <w:r w:rsidR="0065588E">
        <w:t xml:space="preserve">a </w:t>
      </w:r>
      <w:r w:rsidR="00D41FF5">
        <w:t>SAC declaration</w:t>
      </w:r>
      <w:r w:rsidR="009B1765">
        <w:t>.</w:t>
      </w:r>
      <w:r w:rsidR="000104A6">
        <w:t xml:space="preserve"> This decision was </w:t>
      </w:r>
      <w:r w:rsidR="00D07F9A">
        <w:t>announced</w:t>
      </w:r>
      <w:r w:rsidR="000C2CB8">
        <w:t xml:space="preserve"> </w:t>
      </w:r>
      <w:r w:rsidR="009C4CD1">
        <w:t xml:space="preserve">as part of the </w:t>
      </w:r>
      <w:r w:rsidR="00FD32BB">
        <w:t>Biosecurity</w:t>
      </w:r>
      <w:r w:rsidR="00257E62">
        <w:t xml:space="preserve"> </w:t>
      </w:r>
      <w:r w:rsidR="002A0DB6">
        <w:t>Sust</w:t>
      </w:r>
      <w:r w:rsidR="00862DF6">
        <w:t>ainable</w:t>
      </w:r>
      <w:r w:rsidR="002A0DB6">
        <w:t xml:space="preserve"> </w:t>
      </w:r>
      <w:r w:rsidR="00257E62">
        <w:t>Funding package</w:t>
      </w:r>
      <w:r w:rsidR="00165C97">
        <w:t xml:space="preserve"> in the 2023–24 Budget</w:t>
      </w:r>
      <w:r w:rsidR="00D07F9A">
        <w:t xml:space="preserve">. </w:t>
      </w:r>
    </w:p>
    <w:p w14:paraId="5F3F5486" w14:textId="68F76758" w:rsidR="00FA422A" w:rsidRDefault="00AD2A1C" w:rsidP="00A9537D">
      <w:r>
        <w:t>Our</w:t>
      </w:r>
      <w:r w:rsidR="0029167F" w:rsidRPr="00450991">
        <w:t xml:space="preserve"> </w:t>
      </w:r>
      <w:r w:rsidR="00957405">
        <w:t xml:space="preserve">biosecurity </w:t>
      </w:r>
      <w:r w:rsidR="0029167F" w:rsidRPr="00450991">
        <w:t>regulatory activities are associated with controls and measures to manage and minimise the risk of pests, weeds and diseases entering, emerging, establishing or spreading within Australia, while facilitating trade and the movement of plants, animals, people and products.</w:t>
      </w:r>
    </w:p>
    <w:p w14:paraId="15C2D26E" w14:textId="4C87A4BB" w:rsidR="004E115A" w:rsidRPr="006E449A" w:rsidRDefault="00A372F1" w:rsidP="00057C2E">
      <w:r>
        <w:t xml:space="preserve">We will implement the </w:t>
      </w:r>
      <w:r w:rsidR="00752068">
        <w:t>CRIS</w:t>
      </w:r>
      <w:r w:rsidR="00D54B5D">
        <w:t xml:space="preserve"> </w:t>
      </w:r>
      <w:r w:rsidR="008059E8">
        <w:t xml:space="preserve">over the first year of the </w:t>
      </w:r>
      <w:r w:rsidR="00F5390D">
        <w:t>SAC charge</w:t>
      </w:r>
      <w:r w:rsidR="00583BCC">
        <w:t xml:space="preserve">. </w:t>
      </w:r>
      <w:r w:rsidR="00AF0459">
        <w:t>Subsequently</w:t>
      </w:r>
      <w:r w:rsidR="00165C97">
        <w:t>,</w:t>
      </w:r>
      <w:r w:rsidR="00AF0459">
        <w:t xml:space="preserve"> the</w:t>
      </w:r>
      <w:r w:rsidR="000418EE">
        <w:t xml:space="preserve"> </w:t>
      </w:r>
      <w:hyperlink r:id="rId21" w:history="1">
        <w:r w:rsidR="4A67C263" w:rsidRPr="5EC6B84B">
          <w:rPr>
            <w:rStyle w:val="Hyperlink"/>
          </w:rPr>
          <w:t>Biosecurity CRIS</w:t>
        </w:r>
      </w:hyperlink>
      <w:r w:rsidR="4A67C263">
        <w:t xml:space="preserve"> </w:t>
      </w:r>
      <w:r w:rsidR="000418EE">
        <w:t xml:space="preserve">will </w:t>
      </w:r>
      <w:r w:rsidR="007C6560">
        <w:t xml:space="preserve">incorporate the </w:t>
      </w:r>
      <w:r w:rsidR="00A85927">
        <w:t>impl</w:t>
      </w:r>
      <w:r w:rsidR="00B072A3">
        <w:t xml:space="preserve">ementation </w:t>
      </w:r>
      <w:r w:rsidR="00691C56">
        <w:t xml:space="preserve">actions </w:t>
      </w:r>
      <w:r w:rsidR="00B072A3">
        <w:t xml:space="preserve">associated with </w:t>
      </w:r>
      <w:r w:rsidR="00915527">
        <w:t>the SAC</w:t>
      </w:r>
      <w:r w:rsidR="00B072A3">
        <w:t xml:space="preserve"> charge</w:t>
      </w:r>
      <w:r w:rsidR="00057C2E">
        <w:t>.</w:t>
      </w:r>
    </w:p>
    <w:p w14:paraId="180EEBEA" w14:textId="068387B6" w:rsidR="00075AA9" w:rsidRPr="00974A2E" w:rsidRDefault="00075AA9" w:rsidP="00974A2E">
      <w:pPr>
        <w:pStyle w:val="Heading3"/>
        <w:numPr>
          <w:ilvl w:val="0"/>
          <w:numId w:val="0"/>
        </w:numPr>
        <w:ind w:left="964" w:hanging="964"/>
      </w:pPr>
      <w:bookmarkStart w:id="8" w:name="_Toc173762849"/>
      <w:bookmarkStart w:id="9" w:name="_Toc177103773"/>
      <w:r w:rsidRPr="00974A2E">
        <w:t xml:space="preserve">Description of the </w:t>
      </w:r>
      <w:r w:rsidR="00D1103B" w:rsidRPr="00974A2E">
        <w:t xml:space="preserve">regulatory </w:t>
      </w:r>
      <w:r w:rsidRPr="00974A2E">
        <w:t>activity</w:t>
      </w:r>
      <w:bookmarkEnd w:id="8"/>
      <w:bookmarkEnd w:id="9"/>
    </w:p>
    <w:p w14:paraId="164BD4D7" w14:textId="6AC766BE" w:rsidR="00833596" w:rsidRDefault="001A37AC" w:rsidP="006D1256">
      <w:pPr>
        <w:rPr>
          <w:lang w:eastAsia="ja-JP"/>
        </w:rPr>
      </w:pPr>
      <w:r>
        <w:rPr>
          <w:rFonts w:cstheme="minorHAnsi"/>
          <w:lang w:eastAsia="ja-JP"/>
        </w:rPr>
        <w:t>We</w:t>
      </w:r>
      <w:r w:rsidR="00A91225">
        <w:rPr>
          <w:rFonts w:cstheme="minorHAnsi"/>
          <w:lang w:eastAsia="ja-JP"/>
        </w:rPr>
        <w:t xml:space="preserve"> u</w:t>
      </w:r>
      <w:r w:rsidR="00075AA9" w:rsidRPr="0029167F">
        <w:rPr>
          <w:rFonts w:cstheme="minorHAnsi"/>
          <w:lang w:eastAsia="ja-JP"/>
        </w:rPr>
        <w:t xml:space="preserve">ndertake regulatory activities to assess and manage biosecurity risks arising from </w:t>
      </w:r>
      <w:r w:rsidR="007F44CA">
        <w:rPr>
          <w:rFonts w:cstheme="minorHAnsi"/>
          <w:lang w:eastAsia="ja-JP"/>
        </w:rPr>
        <w:t>goods</w:t>
      </w:r>
      <w:r w:rsidR="00F85BED">
        <w:rPr>
          <w:rFonts w:cstheme="minorHAnsi"/>
          <w:lang w:eastAsia="ja-JP"/>
        </w:rPr>
        <w:t xml:space="preserve">, people and conveyances </w:t>
      </w:r>
      <w:r w:rsidR="00075AA9" w:rsidRPr="0029167F">
        <w:rPr>
          <w:rFonts w:cstheme="minorHAnsi"/>
          <w:lang w:eastAsia="ja-JP"/>
        </w:rPr>
        <w:t xml:space="preserve">entering Australia. </w:t>
      </w:r>
      <w:r w:rsidR="00A91225" w:rsidRPr="0029167F">
        <w:rPr>
          <w:rFonts w:cstheme="minorHAnsi"/>
          <w:lang w:eastAsia="ja-JP"/>
        </w:rPr>
        <w:t>Biosecurity activit</w:t>
      </w:r>
      <w:r w:rsidR="00A91225">
        <w:rPr>
          <w:rFonts w:cstheme="minorHAnsi"/>
          <w:lang w:eastAsia="ja-JP"/>
        </w:rPr>
        <w:t>ies</w:t>
      </w:r>
      <w:r w:rsidR="00A91225" w:rsidRPr="0029167F">
        <w:rPr>
          <w:rFonts w:cstheme="minorHAnsi"/>
          <w:lang w:eastAsia="ja-JP"/>
        </w:rPr>
        <w:t xml:space="preserve"> </w:t>
      </w:r>
      <w:r w:rsidR="00A91225">
        <w:rPr>
          <w:rFonts w:cstheme="minorHAnsi"/>
          <w:lang w:eastAsia="ja-JP"/>
        </w:rPr>
        <w:t>are</w:t>
      </w:r>
      <w:r w:rsidR="00A91225" w:rsidRPr="0029167F">
        <w:rPr>
          <w:rFonts w:cstheme="minorHAnsi"/>
          <w:lang w:eastAsia="ja-JP"/>
        </w:rPr>
        <w:t xml:space="preserve"> regulated in accordance with the biosecurity legislative framework </w:t>
      </w:r>
      <w:r w:rsidR="006021B8">
        <w:rPr>
          <w:rFonts w:cstheme="minorHAnsi"/>
          <w:lang w:eastAsia="ja-JP"/>
        </w:rPr>
        <w:t xml:space="preserve">as </w:t>
      </w:r>
      <w:r w:rsidR="00A91225" w:rsidRPr="0029167F">
        <w:rPr>
          <w:rFonts w:cstheme="minorHAnsi"/>
          <w:lang w:eastAsia="ja-JP"/>
        </w:rPr>
        <w:t xml:space="preserve">outlined in </w:t>
      </w:r>
      <w:r w:rsidR="00A91225" w:rsidRPr="00CA566B">
        <w:rPr>
          <w:rFonts w:cstheme="minorHAnsi"/>
          <w:lang w:eastAsia="ja-JP"/>
        </w:rPr>
        <w:t xml:space="preserve">section </w:t>
      </w:r>
      <w:r w:rsidR="00D1103B">
        <w:rPr>
          <w:rFonts w:cstheme="minorHAnsi"/>
          <w:lang w:eastAsia="ja-JP"/>
        </w:rPr>
        <w:t>2</w:t>
      </w:r>
      <w:r w:rsidR="00A91225" w:rsidRPr="00CA566B">
        <w:rPr>
          <w:rFonts w:cstheme="minorHAnsi"/>
          <w:lang w:eastAsia="ja-JP"/>
        </w:rPr>
        <w:t>.2</w:t>
      </w:r>
      <w:r w:rsidR="00770EF0" w:rsidRPr="00CA566B">
        <w:t xml:space="preserve"> of the </w:t>
      </w:r>
      <w:r w:rsidR="00BB5787">
        <w:t xml:space="preserve">current </w:t>
      </w:r>
      <w:hyperlink r:id="rId22" w:history="1">
        <w:r w:rsidR="00770EF0" w:rsidRPr="00226F30">
          <w:rPr>
            <w:rStyle w:val="Hyperlink"/>
          </w:rPr>
          <w:t>B</w:t>
        </w:r>
        <w:r w:rsidR="00F5390D" w:rsidRPr="00226F30">
          <w:rPr>
            <w:rStyle w:val="Hyperlink"/>
          </w:rPr>
          <w:t xml:space="preserve">iosecurity </w:t>
        </w:r>
        <w:r w:rsidR="00770EF0" w:rsidRPr="00226F30">
          <w:rPr>
            <w:rStyle w:val="Hyperlink"/>
          </w:rPr>
          <w:t>CRIS</w:t>
        </w:r>
      </w:hyperlink>
      <w:r w:rsidR="00A91225" w:rsidRPr="0029167F">
        <w:rPr>
          <w:rFonts w:cstheme="minorHAnsi"/>
          <w:lang w:eastAsia="ja-JP"/>
        </w:rPr>
        <w:t>.</w:t>
      </w:r>
      <w:r w:rsidR="004000CC">
        <w:rPr>
          <w:rFonts w:cstheme="minorHAnsi"/>
          <w:lang w:eastAsia="ja-JP"/>
        </w:rPr>
        <w:t xml:space="preserve"> </w:t>
      </w:r>
      <w:r w:rsidR="003C6D62" w:rsidRPr="3C9AAE86">
        <w:rPr>
          <w:lang w:eastAsia="ja-JP"/>
        </w:rPr>
        <w:t xml:space="preserve">These essential activities, which occur onshore, offshore and at the border, are a major part of </w:t>
      </w:r>
      <w:r w:rsidR="00AD2A1C">
        <w:rPr>
          <w:lang w:eastAsia="ja-JP"/>
        </w:rPr>
        <w:t xml:space="preserve">our </w:t>
      </w:r>
      <w:r w:rsidR="003C6D62" w:rsidRPr="3C9AAE86">
        <w:rPr>
          <w:lang w:eastAsia="ja-JP"/>
        </w:rPr>
        <w:t>day-to-day business</w:t>
      </w:r>
      <w:r w:rsidR="003C6D62" w:rsidRPr="00D9582D">
        <w:rPr>
          <w:lang w:eastAsia="ja-JP"/>
        </w:rPr>
        <w:t>.</w:t>
      </w:r>
    </w:p>
    <w:p w14:paraId="149A2DFE" w14:textId="77777777" w:rsidR="005B6F82" w:rsidRDefault="003E23BF" w:rsidP="006D1256">
      <w:pPr>
        <w:rPr>
          <w:lang w:eastAsia="ja-JP"/>
        </w:rPr>
      </w:pPr>
      <w:r w:rsidRPr="6B838233">
        <w:rPr>
          <w:lang w:eastAsia="ja-JP"/>
        </w:rPr>
        <w:t>W</w:t>
      </w:r>
      <w:r w:rsidR="003B1CDF" w:rsidRPr="6B838233">
        <w:rPr>
          <w:lang w:eastAsia="ja-JP"/>
        </w:rPr>
        <w:t>e</w:t>
      </w:r>
      <w:r w:rsidR="005355ED" w:rsidRPr="6B838233">
        <w:rPr>
          <w:lang w:eastAsia="ja-JP"/>
        </w:rPr>
        <w:t xml:space="preserve"> processed </w:t>
      </w:r>
      <w:r w:rsidR="003B1CDF" w:rsidRPr="6B838233">
        <w:rPr>
          <w:lang w:eastAsia="ja-JP"/>
        </w:rPr>
        <w:t>almost</w:t>
      </w:r>
      <w:r w:rsidR="005355ED" w:rsidRPr="6B838233">
        <w:rPr>
          <w:lang w:eastAsia="ja-JP"/>
        </w:rPr>
        <w:t xml:space="preserve"> </w:t>
      </w:r>
      <w:r w:rsidR="008B6369" w:rsidRPr="6B838233">
        <w:rPr>
          <w:lang w:eastAsia="ja-JP"/>
        </w:rPr>
        <w:t xml:space="preserve">124 </w:t>
      </w:r>
      <w:r w:rsidR="005355ED" w:rsidRPr="6B838233">
        <w:rPr>
          <w:lang w:eastAsia="ja-JP"/>
        </w:rPr>
        <w:t xml:space="preserve">million </w:t>
      </w:r>
      <w:r w:rsidR="00D03AEF" w:rsidRPr="6B838233">
        <w:rPr>
          <w:lang w:eastAsia="ja-JP"/>
        </w:rPr>
        <w:t xml:space="preserve">cargo </w:t>
      </w:r>
      <w:r w:rsidR="00F74039" w:rsidRPr="6B838233">
        <w:rPr>
          <w:lang w:eastAsia="ja-JP"/>
        </w:rPr>
        <w:t xml:space="preserve">import </w:t>
      </w:r>
      <w:r w:rsidR="00D03AEF" w:rsidRPr="6B838233">
        <w:rPr>
          <w:lang w:eastAsia="ja-JP"/>
        </w:rPr>
        <w:t>declaration</w:t>
      </w:r>
      <w:r w:rsidR="7E57F196" w:rsidRPr="6B838233">
        <w:rPr>
          <w:lang w:eastAsia="ja-JP"/>
        </w:rPr>
        <w:t>s</w:t>
      </w:r>
      <w:r w:rsidRPr="6B838233">
        <w:rPr>
          <w:lang w:eastAsia="ja-JP"/>
        </w:rPr>
        <w:t xml:space="preserve"> during the 2022–23 </w:t>
      </w:r>
      <w:r w:rsidR="00991410" w:rsidRPr="6B838233">
        <w:rPr>
          <w:lang w:eastAsia="ja-JP"/>
        </w:rPr>
        <w:t>financial</w:t>
      </w:r>
      <w:r w:rsidR="00915527" w:rsidRPr="6B838233">
        <w:rPr>
          <w:lang w:eastAsia="ja-JP"/>
        </w:rPr>
        <w:t xml:space="preserve"> year</w:t>
      </w:r>
      <w:r w:rsidR="0063544B" w:rsidRPr="6B838233">
        <w:rPr>
          <w:lang w:eastAsia="ja-JP"/>
        </w:rPr>
        <w:t>. Of these,</w:t>
      </w:r>
      <w:r w:rsidR="00D03AEF" w:rsidRPr="6B838233">
        <w:rPr>
          <w:lang w:eastAsia="ja-JP"/>
        </w:rPr>
        <w:t xml:space="preserve"> over </w:t>
      </w:r>
      <w:r w:rsidR="008B6369" w:rsidRPr="6B838233">
        <w:rPr>
          <w:lang w:eastAsia="ja-JP"/>
        </w:rPr>
        <w:t>120</w:t>
      </w:r>
      <w:r w:rsidR="00D03AEF" w:rsidRPr="6B838233">
        <w:rPr>
          <w:lang w:eastAsia="ja-JP"/>
        </w:rPr>
        <w:t xml:space="preserve"> million were for cargo valued at or </w:t>
      </w:r>
      <w:r w:rsidR="003B1CDF" w:rsidRPr="6B838233">
        <w:rPr>
          <w:lang w:eastAsia="ja-JP"/>
        </w:rPr>
        <w:t xml:space="preserve">less than </w:t>
      </w:r>
      <w:r w:rsidR="00D03AEF" w:rsidRPr="6B838233">
        <w:rPr>
          <w:lang w:eastAsia="ja-JP"/>
        </w:rPr>
        <w:t>AUD $1</w:t>
      </w:r>
      <w:r w:rsidR="005F7A5C" w:rsidRPr="6B838233">
        <w:rPr>
          <w:lang w:eastAsia="ja-JP"/>
        </w:rPr>
        <w:t>,</w:t>
      </w:r>
      <w:r w:rsidR="00D03AEF" w:rsidRPr="6B838233">
        <w:rPr>
          <w:lang w:eastAsia="ja-JP"/>
        </w:rPr>
        <w:t>000</w:t>
      </w:r>
      <w:r w:rsidR="0024731E" w:rsidRPr="6B838233">
        <w:rPr>
          <w:lang w:eastAsia="ja-JP"/>
        </w:rPr>
        <w:t xml:space="preserve"> – </w:t>
      </w:r>
      <w:r w:rsidR="00F437DF" w:rsidRPr="6B838233">
        <w:rPr>
          <w:lang w:eastAsia="ja-JP"/>
        </w:rPr>
        <w:t xml:space="preserve">known as </w:t>
      </w:r>
      <w:r w:rsidR="00991410" w:rsidRPr="6B838233">
        <w:rPr>
          <w:lang w:eastAsia="ja-JP"/>
        </w:rPr>
        <w:t>‘</w:t>
      </w:r>
      <w:r w:rsidR="00F5390D" w:rsidRPr="6B838233">
        <w:rPr>
          <w:lang w:eastAsia="ja-JP"/>
        </w:rPr>
        <w:t xml:space="preserve">low-value </w:t>
      </w:r>
      <w:bookmarkStart w:id="10" w:name="_Int_9bsI6ysc"/>
      <w:proofErr w:type="gramStart"/>
      <w:r w:rsidR="00F5390D" w:rsidRPr="6B838233">
        <w:rPr>
          <w:lang w:eastAsia="ja-JP"/>
        </w:rPr>
        <w:t>goods</w:t>
      </w:r>
      <w:r w:rsidR="00991410" w:rsidRPr="6B838233">
        <w:rPr>
          <w:lang w:eastAsia="ja-JP"/>
        </w:rPr>
        <w:t>’</w:t>
      </w:r>
      <w:bookmarkEnd w:id="10"/>
      <w:proofErr w:type="gramEnd"/>
      <w:r w:rsidR="0024731E" w:rsidRPr="6B838233">
        <w:rPr>
          <w:lang w:eastAsia="ja-JP"/>
        </w:rPr>
        <w:t xml:space="preserve">. </w:t>
      </w:r>
      <w:r w:rsidR="003B1CDF" w:rsidRPr="6B838233">
        <w:rPr>
          <w:lang w:eastAsia="ja-JP"/>
        </w:rPr>
        <w:t xml:space="preserve">Importers must make a SAC declaration for </w:t>
      </w:r>
      <w:r w:rsidR="00AA38BF" w:rsidRPr="6B838233">
        <w:rPr>
          <w:lang w:eastAsia="ja-JP"/>
        </w:rPr>
        <w:t xml:space="preserve">each </w:t>
      </w:r>
      <w:r w:rsidR="003B1CDF" w:rsidRPr="6B838233">
        <w:rPr>
          <w:lang w:eastAsia="ja-JP"/>
        </w:rPr>
        <w:t>l</w:t>
      </w:r>
      <w:r w:rsidR="0024731E" w:rsidRPr="6B838233">
        <w:rPr>
          <w:lang w:eastAsia="ja-JP"/>
        </w:rPr>
        <w:t>ow-value good</w:t>
      </w:r>
      <w:r w:rsidR="006F56EE" w:rsidRPr="6B838233">
        <w:rPr>
          <w:lang w:eastAsia="ja-JP"/>
        </w:rPr>
        <w:t xml:space="preserve"> </w:t>
      </w:r>
      <w:r w:rsidR="003F4C71" w:rsidRPr="6B838233">
        <w:rPr>
          <w:lang w:eastAsia="ja-JP"/>
        </w:rPr>
        <w:t>import</w:t>
      </w:r>
      <w:r w:rsidR="004055D1" w:rsidRPr="6B838233">
        <w:rPr>
          <w:lang w:eastAsia="ja-JP"/>
        </w:rPr>
        <w:t>ed</w:t>
      </w:r>
      <w:r w:rsidR="00721B89" w:rsidRPr="6B838233">
        <w:rPr>
          <w:lang w:eastAsia="ja-JP"/>
        </w:rPr>
        <w:t xml:space="preserve">. </w:t>
      </w:r>
    </w:p>
    <w:p w14:paraId="7262BA02" w14:textId="3B381177" w:rsidR="003D539E" w:rsidRDefault="00655551" w:rsidP="003D539E">
      <w:r w:rsidRPr="1F639913">
        <w:rPr>
          <w:lang w:eastAsia="ja-JP"/>
        </w:rPr>
        <w:t xml:space="preserve">This </w:t>
      </w:r>
      <w:r w:rsidR="00633C83" w:rsidRPr="1F639913">
        <w:rPr>
          <w:lang w:eastAsia="ja-JP"/>
        </w:rPr>
        <w:t>charge will</w:t>
      </w:r>
      <w:r w:rsidRPr="1F639913">
        <w:rPr>
          <w:lang w:eastAsia="ja-JP"/>
        </w:rPr>
        <w:t xml:space="preserve"> recover </w:t>
      </w:r>
      <w:r w:rsidR="00EF4B1F" w:rsidRPr="1F639913">
        <w:rPr>
          <w:lang w:eastAsia="ja-JP"/>
        </w:rPr>
        <w:t xml:space="preserve">direct and indirect </w:t>
      </w:r>
      <w:r w:rsidR="00E503B1" w:rsidRPr="1F639913">
        <w:rPr>
          <w:lang w:eastAsia="ja-JP"/>
        </w:rPr>
        <w:t>biosecurity costs</w:t>
      </w:r>
      <w:r w:rsidR="00D22094" w:rsidRPr="1F639913">
        <w:rPr>
          <w:lang w:eastAsia="ja-JP"/>
        </w:rPr>
        <w:t xml:space="preserve"> associated with this pathway</w:t>
      </w:r>
      <w:r w:rsidR="007B3CC7" w:rsidRPr="1F639913">
        <w:rPr>
          <w:lang w:eastAsia="ja-JP"/>
        </w:rPr>
        <w:t xml:space="preserve">. </w:t>
      </w:r>
      <w:r w:rsidR="00B448E2">
        <w:rPr>
          <w:lang w:eastAsia="ja-JP"/>
        </w:rPr>
        <w:t xml:space="preserve">An estimate of this cost is </w:t>
      </w:r>
      <w:r w:rsidR="00814380" w:rsidRPr="1F639913">
        <w:rPr>
          <w:lang w:eastAsia="ja-JP"/>
        </w:rPr>
        <w:t>over</w:t>
      </w:r>
      <w:r w:rsidR="00D22094" w:rsidRPr="1F639913">
        <w:rPr>
          <w:lang w:eastAsia="ja-JP"/>
        </w:rPr>
        <w:t xml:space="preserve"> </w:t>
      </w:r>
      <w:r w:rsidR="00F56CC8" w:rsidRPr="1F639913">
        <w:rPr>
          <w:lang w:eastAsia="ja-JP"/>
        </w:rPr>
        <w:t>$</w:t>
      </w:r>
      <w:r w:rsidR="00E503B1" w:rsidRPr="1F639913">
        <w:rPr>
          <w:lang w:eastAsia="ja-JP"/>
        </w:rPr>
        <w:t>27</w:t>
      </w:r>
      <w:r w:rsidR="00D343FA" w:rsidRPr="1F639913">
        <w:rPr>
          <w:lang w:eastAsia="ja-JP"/>
        </w:rPr>
        <w:t> </w:t>
      </w:r>
      <w:r w:rsidR="00420A36" w:rsidRPr="1F639913">
        <w:rPr>
          <w:lang w:eastAsia="ja-JP"/>
        </w:rPr>
        <w:t>m</w:t>
      </w:r>
      <w:r w:rsidR="00D343FA" w:rsidRPr="1F639913">
        <w:rPr>
          <w:lang w:eastAsia="ja-JP"/>
        </w:rPr>
        <w:t>illion</w:t>
      </w:r>
      <w:r w:rsidR="00420A36" w:rsidRPr="1F639913">
        <w:rPr>
          <w:lang w:eastAsia="ja-JP"/>
        </w:rPr>
        <w:t xml:space="preserve"> </w:t>
      </w:r>
      <w:r w:rsidR="00D22094" w:rsidRPr="1F639913">
        <w:rPr>
          <w:lang w:eastAsia="ja-JP"/>
        </w:rPr>
        <w:t>for the</w:t>
      </w:r>
      <w:r w:rsidR="00420A36" w:rsidRPr="1F639913">
        <w:rPr>
          <w:lang w:eastAsia="ja-JP"/>
        </w:rPr>
        <w:t xml:space="preserve"> 2024</w:t>
      </w:r>
      <w:r w:rsidR="00D343FA" w:rsidRPr="1F639913">
        <w:rPr>
          <w:lang w:eastAsia="ja-JP"/>
        </w:rPr>
        <w:t>–</w:t>
      </w:r>
      <w:r w:rsidR="00420A36" w:rsidRPr="1F639913">
        <w:rPr>
          <w:lang w:eastAsia="ja-JP"/>
        </w:rPr>
        <w:t>2</w:t>
      </w:r>
      <w:r w:rsidR="00CD04C2" w:rsidRPr="1F639913">
        <w:rPr>
          <w:lang w:eastAsia="ja-JP"/>
        </w:rPr>
        <w:t>5</w:t>
      </w:r>
      <w:r w:rsidR="46027766" w:rsidRPr="1F639913">
        <w:rPr>
          <w:lang w:eastAsia="ja-JP"/>
        </w:rPr>
        <w:t xml:space="preserve"> </w:t>
      </w:r>
      <w:r w:rsidR="00165C97">
        <w:rPr>
          <w:lang w:eastAsia="ja-JP"/>
        </w:rPr>
        <w:t>financial</w:t>
      </w:r>
      <w:r w:rsidR="00D41FF5" w:rsidRPr="1F639913">
        <w:rPr>
          <w:lang w:eastAsia="ja-JP"/>
        </w:rPr>
        <w:t xml:space="preserve"> year</w:t>
      </w:r>
      <w:r w:rsidR="00D22094" w:rsidRPr="1F639913">
        <w:rPr>
          <w:lang w:eastAsia="ja-JP"/>
        </w:rPr>
        <w:t>.</w:t>
      </w:r>
    </w:p>
    <w:p w14:paraId="4A7ED172" w14:textId="2E8041D9" w:rsidR="00DA6A48" w:rsidRPr="00974A2E" w:rsidRDefault="00DA6A48" w:rsidP="00974A2E">
      <w:pPr>
        <w:pStyle w:val="Heading3"/>
        <w:numPr>
          <w:ilvl w:val="0"/>
          <w:numId w:val="0"/>
        </w:numPr>
        <w:ind w:left="964" w:hanging="964"/>
      </w:pPr>
      <w:bookmarkStart w:id="11" w:name="_Toc173762850"/>
      <w:bookmarkStart w:id="12" w:name="_Toc177103774"/>
      <w:r w:rsidRPr="00974A2E">
        <w:t>Industry</w:t>
      </w:r>
      <w:r w:rsidR="00D343FA">
        <w:t xml:space="preserve"> and </w:t>
      </w:r>
      <w:r w:rsidRPr="00974A2E">
        <w:t>regulatory groups</w:t>
      </w:r>
      <w:bookmarkEnd w:id="11"/>
      <w:bookmarkEnd w:id="12"/>
    </w:p>
    <w:p w14:paraId="57978662" w14:textId="7753E8BB" w:rsidR="00B007A5" w:rsidRDefault="00E20B39" w:rsidP="004F4A59">
      <w:pPr>
        <w:rPr>
          <w:lang w:eastAsia="ja-JP"/>
        </w:rPr>
      </w:pPr>
      <w:r>
        <w:rPr>
          <w:lang w:eastAsia="ja-JP"/>
        </w:rPr>
        <w:t xml:space="preserve">The </w:t>
      </w:r>
      <w:r w:rsidR="00821C58">
        <w:rPr>
          <w:lang w:eastAsia="ja-JP"/>
        </w:rPr>
        <w:t xml:space="preserve">person who </w:t>
      </w:r>
      <w:r w:rsidR="00D82B40">
        <w:rPr>
          <w:lang w:eastAsia="ja-JP"/>
        </w:rPr>
        <w:t>makes</w:t>
      </w:r>
      <w:r w:rsidR="00774F3F">
        <w:rPr>
          <w:lang w:eastAsia="ja-JP"/>
        </w:rPr>
        <w:t xml:space="preserve"> </w:t>
      </w:r>
      <w:r w:rsidR="00821C58" w:rsidRPr="1EE934A1">
        <w:rPr>
          <w:lang w:eastAsia="ja-JP"/>
        </w:rPr>
        <w:t xml:space="preserve">the </w:t>
      </w:r>
      <w:r w:rsidR="0003497D">
        <w:rPr>
          <w:lang w:eastAsia="ja-JP"/>
        </w:rPr>
        <w:t>SAC</w:t>
      </w:r>
      <w:r w:rsidR="002B764A">
        <w:rPr>
          <w:lang w:eastAsia="ja-JP"/>
        </w:rPr>
        <w:t xml:space="preserve"> </w:t>
      </w:r>
      <w:r w:rsidR="002B764A" w:rsidRPr="1EE934A1">
        <w:rPr>
          <w:lang w:eastAsia="ja-JP"/>
        </w:rPr>
        <w:t>declaration</w:t>
      </w:r>
      <w:r w:rsidR="5FF5B0A0" w:rsidRPr="1EE934A1">
        <w:rPr>
          <w:lang w:eastAsia="ja-JP"/>
        </w:rPr>
        <w:t xml:space="preserve"> </w:t>
      </w:r>
      <w:r w:rsidR="003B1CDF">
        <w:rPr>
          <w:lang w:eastAsia="ja-JP"/>
        </w:rPr>
        <w:t xml:space="preserve">is responsible for paying </w:t>
      </w:r>
      <w:r w:rsidR="001B1737">
        <w:rPr>
          <w:lang w:eastAsia="ja-JP"/>
        </w:rPr>
        <w:t xml:space="preserve">the </w:t>
      </w:r>
      <w:r w:rsidR="00F5390D">
        <w:rPr>
          <w:lang w:eastAsia="ja-JP"/>
        </w:rPr>
        <w:t>SAC charge</w:t>
      </w:r>
      <w:r w:rsidR="000118D8">
        <w:rPr>
          <w:lang w:eastAsia="ja-JP"/>
        </w:rPr>
        <w:t xml:space="preserve">. </w:t>
      </w:r>
      <w:r w:rsidR="005F6511">
        <w:rPr>
          <w:lang w:eastAsia="ja-JP"/>
        </w:rPr>
        <w:t xml:space="preserve">The Department of Home Affairs </w:t>
      </w:r>
      <w:r w:rsidR="00CB0332">
        <w:rPr>
          <w:lang w:eastAsia="ja-JP"/>
        </w:rPr>
        <w:t>regulates</w:t>
      </w:r>
      <w:r w:rsidR="005F6511">
        <w:rPr>
          <w:lang w:eastAsia="ja-JP"/>
        </w:rPr>
        <w:t xml:space="preserve"> a</w:t>
      </w:r>
      <w:r w:rsidR="005801BC">
        <w:rPr>
          <w:lang w:eastAsia="ja-JP"/>
        </w:rPr>
        <w:t xml:space="preserve">ll </w:t>
      </w:r>
      <w:r w:rsidR="00B007A5">
        <w:rPr>
          <w:lang w:eastAsia="ja-JP"/>
        </w:rPr>
        <w:t>SAC declaration</w:t>
      </w:r>
      <w:r w:rsidR="005801BC">
        <w:rPr>
          <w:lang w:eastAsia="ja-JP"/>
        </w:rPr>
        <w:t>s</w:t>
      </w:r>
      <w:r w:rsidR="00B007A5">
        <w:rPr>
          <w:lang w:eastAsia="ja-JP"/>
        </w:rPr>
        <w:t xml:space="preserve"> </w:t>
      </w:r>
      <w:r w:rsidR="003542E9">
        <w:rPr>
          <w:lang w:eastAsia="ja-JP"/>
        </w:rPr>
        <w:t xml:space="preserve">lodged </w:t>
      </w:r>
      <w:r w:rsidR="00B007A5">
        <w:rPr>
          <w:lang w:eastAsia="ja-JP"/>
        </w:rPr>
        <w:t>into the Integrated Cargo System (ICS)</w:t>
      </w:r>
      <w:r w:rsidR="005F6511">
        <w:rPr>
          <w:lang w:eastAsia="ja-JP"/>
        </w:rPr>
        <w:t>.</w:t>
      </w:r>
    </w:p>
    <w:p w14:paraId="1DCD93B8" w14:textId="7FAF110C" w:rsidR="00075AA9" w:rsidRPr="00974A2E" w:rsidRDefault="00075AA9" w:rsidP="008D212A">
      <w:pPr>
        <w:pStyle w:val="Heading3"/>
        <w:numPr>
          <w:ilvl w:val="0"/>
          <w:numId w:val="0"/>
        </w:numPr>
        <w:ind w:left="964" w:hanging="964"/>
      </w:pPr>
      <w:bookmarkStart w:id="13" w:name="_Toc173762851"/>
      <w:bookmarkStart w:id="14" w:name="_Toc177103775"/>
      <w:r w:rsidRPr="00974A2E">
        <w:t>Why cost recovery is appropriate</w:t>
      </w:r>
      <w:bookmarkEnd w:id="13"/>
      <w:bookmarkEnd w:id="14"/>
    </w:p>
    <w:p w14:paraId="223B88F5" w14:textId="463EE57E" w:rsidR="00743E5C" w:rsidRDefault="005C21FD" w:rsidP="008D212A">
      <w:pPr>
        <w:rPr>
          <w:lang w:eastAsia="ja-JP"/>
        </w:rPr>
      </w:pPr>
      <w:r w:rsidRPr="6B838233">
        <w:rPr>
          <w:lang w:eastAsia="ja-JP"/>
        </w:rPr>
        <w:t xml:space="preserve">The </w:t>
      </w:r>
      <w:hyperlink r:id="rId23">
        <w:r w:rsidRPr="6B838233">
          <w:rPr>
            <w:rStyle w:val="Hyperlink"/>
          </w:rPr>
          <w:t>Australian Government Charging Framework</w:t>
        </w:r>
      </w:hyperlink>
      <w:r w:rsidRPr="6B838233">
        <w:rPr>
          <w:rStyle w:val="Hyperlink"/>
        </w:rPr>
        <w:t xml:space="preserve"> </w:t>
      </w:r>
      <w:r w:rsidRPr="6B838233">
        <w:rPr>
          <w:lang w:eastAsia="ja-JP"/>
        </w:rPr>
        <w:t xml:space="preserve">sets the rules and requirements </w:t>
      </w:r>
      <w:r w:rsidR="003B1CDF" w:rsidRPr="6B838233">
        <w:rPr>
          <w:lang w:eastAsia="ja-JP"/>
        </w:rPr>
        <w:t>for</w:t>
      </w:r>
      <w:r w:rsidRPr="6B838233">
        <w:rPr>
          <w:lang w:eastAsia="ja-JP"/>
        </w:rPr>
        <w:t xml:space="preserve"> </w:t>
      </w:r>
      <w:r w:rsidR="00093713" w:rsidRPr="6B838233">
        <w:rPr>
          <w:lang w:eastAsia="ja-JP"/>
        </w:rPr>
        <w:t xml:space="preserve">regulatory activities. </w:t>
      </w:r>
      <w:r w:rsidR="00554CAD" w:rsidRPr="6B838233">
        <w:rPr>
          <w:lang w:eastAsia="ja-JP"/>
        </w:rPr>
        <w:t xml:space="preserve">These include </w:t>
      </w:r>
      <w:r w:rsidR="00093713" w:rsidRPr="6B838233">
        <w:rPr>
          <w:lang w:eastAsia="ja-JP"/>
        </w:rPr>
        <w:t xml:space="preserve">how a regulator determines costs </w:t>
      </w:r>
      <w:r w:rsidR="00554CAD" w:rsidRPr="6B838233">
        <w:rPr>
          <w:lang w:eastAsia="ja-JP"/>
        </w:rPr>
        <w:t xml:space="preserve">and </w:t>
      </w:r>
      <w:r w:rsidR="00093713" w:rsidRPr="6B838233">
        <w:rPr>
          <w:lang w:eastAsia="ja-JP"/>
        </w:rPr>
        <w:t>sets and implements charges. The</w:t>
      </w:r>
      <w:r w:rsidR="008D212A" w:rsidRPr="6B838233">
        <w:rPr>
          <w:lang w:eastAsia="ja-JP"/>
        </w:rPr>
        <w:t> </w:t>
      </w:r>
      <w:r w:rsidR="00093713" w:rsidRPr="6B838233">
        <w:rPr>
          <w:lang w:eastAsia="ja-JP"/>
        </w:rPr>
        <w:t xml:space="preserve">government’s policy is that those who create the need </w:t>
      </w:r>
      <w:r w:rsidR="000B6ECE" w:rsidRPr="6B838233">
        <w:rPr>
          <w:lang w:eastAsia="ja-JP"/>
        </w:rPr>
        <w:t xml:space="preserve">for </w:t>
      </w:r>
      <w:r w:rsidR="00093713" w:rsidRPr="6B838233">
        <w:rPr>
          <w:lang w:eastAsia="ja-JP"/>
        </w:rPr>
        <w:t xml:space="preserve">regulation </w:t>
      </w:r>
      <w:r w:rsidR="007B26F2" w:rsidRPr="6B838233">
        <w:rPr>
          <w:lang w:eastAsia="ja-JP"/>
        </w:rPr>
        <w:t xml:space="preserve">should </w:t>
      </w:r>
      <w:r w:rsidR="00093713" w:rsidRPr="6B838233">
        <w:rPr>
          <w:lang w:eastAsia="ja-JP"/>
        </w:rPr>
        <w:t xml:space="preserve">cover the associated cost. Only the minimum efficient cost for conducting the activity can be </w:t>
      </w:r>
      <w:r w:rsidR="003E0E82" w:rsidRPr="6B838233">
        <w:rPr>
          <w:lang w:eastAsia="ja-JP"/>
        </w:rPr>
        <w:t>recovered.</w:t>
      </w:r>
    </w:p>
    <w:p w14:paraId="707330EE" w14:textId="51D062EE" w:rsidR="00743E5C" w:rsidRPr="005C21FD" w:rsidRDefault="00743E5C" w:rsidP="00743E5C">
      <w:pPr>
        <w:rPr>
          <w:rFonts w:cstheme="minorHAnsi"/>
          <w:lang w:eastAsia="ja-JP"/>
        </w:rPr>
      </w:pPr>
      <w:r w:rsidRPr="005C21FD">
        <w:rPr>
          <w:rFonts w:cstheme="minorHAnsi"/>
          <w:lang w:eastAsia="ja-JP"/>
        </w:rPr>
        <w:t xml:space="preserve">The Australian Government’s </w:t>
      </w:r>
      <w:hyperlink r:id="rId24" w:history="1">
        <w:r w:rsidRPr="00743E5C">
          <w:rPr>
            <w:rStyle w:val="Hyperlink"/>
            <w:rFonts w:cstheme="minorHAnsi"/>
            <w:lang w:eastAsia="ja-JP"/>
          </w:rPr>
          <w:t>Regulator Performance Guide 2021</w:t>
        </w:r>
      </w:hyperlink>
      <w:r>
        <w:rPr>
          <w:rFonts w:cstheme="minorHAnsi"/>
          <w:lang w:eastAsia="ja-JP"/>
        </w:rPr>
        <w:t xml:space="preserve"> </w:t>
      </w:r>
      <w:r w:rsidRPr="005C21FD">
        <w:rPr>
          <w:rFonts w:cstheme="minorHAnsi"/>
          <w:lang w:eastAsia="ja-JP"/>
        </w:rPr>
        <w:t>encourages regulators to minimise the regulatory burden created through regulatory administration.</w:t>
      </w:r>
    </w:p>
    <w:p w14:paraId="775F1DEA" w14:textId="77777777" w:rsidR="0047497D" w:rsidRPr="00974A2E" w:rsidRDefault="0047497D" w:rsidP="00974A2E">
      <w:pPr>
        <w:pStyle w:val="Heading2"/>
      </w:pPr>
      <w:bookmarkStart w:id="15" w:name="_Reforms:_Building_Australia’s"/>
      <w:bookmarkStart w:id="16" w:name="_Toc129926494"/>
      <w:bookmarkStart w:id="17" w:name="_Toc173762852"/>
      <w:bookmarkStart w:id="18" w:name="_Toc177103776"/>
      <w:bookmarkEnd w:id="15"/>
      <w:r w:rsidRPr="00974A2E">
        <w:lastRenderedPageBreak/>
        <w:t>The biosecurity system</w:t>
      </w:r>
      <w:bookmarkEnd w:id="16"/>
      <w:bookmarkEnd w:id="17"/>
      <w:bookmarkEnd w:id="18"/>
    </w:p>
    <w:p w14:paraId="24710543" w14:textId="5337DF7C" w:rsidR="0036359A" w:rsidRDefault="0047497D" w:rsidP="42E8EF1C">
      <w:pPr>
        <w:rPr>
          <w:lang w:eastAsia="ja-JP"/>
        </w:rPr>
      </w:pPr>
      <w:bookmarkStart w:id="19" w:name="_Hlk126739367"/>
      <w:r w:rsidRPr="42E8EF1C">
        <w:rPr>
          <w:lang w:eastAsia="ja-JP"/>
        </w:rPr>
        <w:t>Our biosecurity system is critical to protect</w:t>
      </w:r>
      <w:r w:rsidR="005304B1">
        <w:rPr>
          <w:lang w:eastAsia="ja-JP"/>
        </w:rPr>
        <w:t>ing</w:t>
      </w:r>
      <w:r w:rsidRPr="42E8EF1C">
        <w:rPr>
          <w:lang w:eastAsia="ja-JP"/>
        </w:rPr>
        <w:t xml:space="preserve"> Australia’s economy, </w:t>
      </w:r>
      <w:r w:rsidR="007C7605" w:rsidRPr="42E8EF1C">
        <w:rPr>
          <w:lang w:eastAsia="ja-JP"/>
        </w:rPr>
        <w:t>environment</w:t>
      </w:r>
      <w:r w:rsidRPr="42E8EF1C">
        <w:rPr>
          <w:lang w:eastAsia="ja-JP"/>
        </w:rPr>
        <w:t xml:space="preserve"> and way of life. By</w:t>
      </w:r>
      <w:r w:rsidR="00991410">
        <w:rPr>
          <w:lang w:eastAsia="ja-JP"/>
        </w:rPr>
        <w:t> </w:t>
      </w:r>
      <w:r w:rsidRPr="42E8EF1C">
        <w:rPr>
          <w:lang w:eastAsia="ja-JP"/>
        </w:rPr>
        <w:t>reducing the</w:t>
      </w:r>
      <w:r w:rsidR="00561663" w:rsidRPr="42E8EF1C">
        <w:rPr>
          <w:lang w:eastAsia="ja-JP"/>
        </w:rPr>
        <w:t xml:space="preserve"> risk of</w:t>
      </w:r>
      <w:r w:rsidRPr="42E8EF1C">
        <w:rPr>
          <w:lang w:eastAsia="ja-JP"/>
        </w:rPr>
        <w:t xml:space="preserve"> impacts </w:t>
      </w:r>
      <w:r w:rsidR="000D32B1">
        <w:rPr>
          <w:lang w:eastAsia="ja-JP"/>
        </w:rPr>
        <w:t>from</w:t>
      </w:r>
      <w:r w:rsidR="000D32B1" w:rsidRPr="42E8EF1C">
        <w:rPr>
          <w:lang w:eastAsia="ja-JP"/>
        </w:rPr>
        <w:t xml:space="preserve"> </w:t>
      </w:r>
      <w:r w:rsidR="004920A1">
        <w:rPr>
          <w:lang w:eastAsia="ja-JP"/>
        </w:rPr>
        <w:t xml:space="preserve">exotic </w:t>
      </w:r>
      <w:r w:rsidRPr="42E8EF1C">
        <w:rPr>
          <w:lang w:eastAsia="ja-JP"/>
        </w:rPr>
        <w:t xml:space="preserve">pests and diseases, an effective biosecurity system supports the sustainability, profitability and competitiveness of Australia’s agriculture, fisheries and forestry industries. </w:t>
      </w:r>
      <w:r w:rsidR="005622BA" w:rsidRPr="42E8EF1C">
        <w:rPr>
          <w:lang w:eastAsia="ja-JP"/>
        </w:rPr>
        <w:t xml:space="preserve">Further details can be found in the </w:t>
      </w:r>
      <w:hyperlink r:id="rId25">
        <w:r w:rsidR="000E4A56" w:rsidRPr="04D342AA">
          <w:rPr>
            <w:rStyle w:val="Hyperlink"/>
          </w:rPr>
          <w:t>Biosecurity CRIS</w:t>
        </w:r>
      </w:hyperlink>
      <w:r w:rsidR="00667AF3" w:rsidRPr="04D342AA">
        <w:rPr>
          <w:lang w:eastAsia="ja-JP"/>
        </w:rPr>
        <w:t>.</w:t>
      </w:r>
    </w:p>
    <w:p w14:paraId="1F23617D" w14:textId="0BE504B8" w:rsidR="0047497D" w:rsidRPr="00974A2E" w:rsidRDefault="00667AF3" w:rsidP="00974A2E">
      <w:pPr>
        <w:pStyle w:val="Heading3"/>
      </w:pPr>
      <w:bookmarkStart w:id="20" w:name="_Toc129926495"/>
      <w:bookmarkStart w:id="21" w:name="_Toc173762853"/>
      <w:bookmarkStart w:id="22" w:name="_Toc177103777"/>
      <w:bookmarkEnd w:id="19"/>
      <w:r w:rsidRPr="00974A2E">
        <w:t>The</w:t>
      </w:r>
      <w:r w:rsidR="0047497D" w:rsidRPr="00974A2E">
        <w:t xml:space="preserve"> changing </w:t>
      </w:r>
      <w:bookmarkEnd w:id="20"/>
      <w:r w:rsidRPr="00974A2E">
        <w:t xml:space="preserve">nature of the </w:t>
      </w:r>
      <w:r w:rsidR="00F5390D" w:rsidRPr="00974A2E">
        <w:t>low-value goods</w:t>
      </w:r>
      <w:r w:rsidRPr="00974A2E">
        <w:t xml:space="preserve"> pathway</w:t>
      </w:r>
      <w:bookmarkEnd w:id="21"/>
      <w:bookmarkEnd w:id="22"/>
    </w:p>
    <w:p w14:paraId="4034D146" w14:textId="77777777" w:rsidR="00A85EA9" w:rsidRDefault="002D7325" w:rsidP="008636E1">
      <w:r>
        <w:t xml:space="preserve">Shifting </w:t>
      </w:r>
      <w:r w:rsidR="00104BD3">
        <w:t>trade</w:t>
      </w:r>
      <w:r>
        <w:t xml:space="preserve"> patterns ha</w:t>
      </w:r>
      <w:r w:rsidR="2856D430">
        <w:t>ve</w:t>
      </w:r>
      <w:r>
        <w:t xml:space="preserve"> seen Australia’</w:t>
      </w:r>
      <w:r w:rsidR="00294800">
        <w:t>s demand for goods increase</w:t>
      </w:r>
      <w:r w:rsidR="003363DE">
        <w:t xml:space="preserve">. </w:t>
      </w:r>
      <w:r w:rsidR="00731974">
        <w:t>T</w:t>
      </w:r>
      <w:r w:rsidR="00294800">
        <w:t>he pathways th</w:t>
      </w:r>
      <w:r w:rsidR="4D11A5EE">
        <w:t>r</w:t>
      </w:r>
      <w:r w:rsidR="00294800">
        <w:t>ough which biosecurity risk</w:t>
      </w:r>
      <w:r w:rsidR="00104BD3">
        <w:t xml:space="preserve"> can</w:t>
      </w:r>
      <w:r w:rsidR="00294800">
        <w:t xml:space="preserve"> enter our borders</w:t>
      </w:r>
      <w:r w:rsidR="00731974">
        <w:t xml:space="preserve"> are changing</w:t>
      </w:r>
      <w:r w:rsidR="00294800">
        <w:t xml:space="preserve">. </w:t>
      </w:r>
      <w:r w:rsidR="0048040B">
        <w:t>O</w:t>
      </w:r>
      <w:r w:rsidR="007C0337">
        <w:t xml:space="preserve">ver </w:t>
      </w:r>
      <w:r w:rsidR="008B6369">
        <w:t>120</w:t>
      </w:r>
      <w:r w:rsidR="007C0337">
        <w:t xml:space="preserve"> million</w:t>
      </w:r>
      <w:r w:rsidR="00C21E03">
        <w:t xml:space="preserve"> declarations w</w:t>
      </w:r>
      <w:r w:rsidR="00823DF1">
        <w:t>e</w:t>
      </w:r>
      <w:r w:rsidR="00C21E03">
        <w:t xml:space="preserve">re made for </w:t>
      </w:r>
      <w:r w:rsidR="7F7654E6">
        <w:t>low</w:t>
      </w:r>
      <w:r w:rsidR="00FA2892">
        <w:t>-</w:t>
      </w:r>
      <w:r w:rsidR="7F7654E6">
        <w:t>value goods</w:t>
      </w:r>
      <w:r w:rsidR="00934A78">
        <w:t xml:space="preserve"> </w:t>
      </w:r>
      <w:r w:rsidR="0048040B">
        <w:t>in the 202</w:t>
      </w:r>
      <w:r w:rsidR="008B6369">
        <w:t>3</w:t>
      </w:r>
      <w:r w:rsidR="00644856" w:rsidRPr="6B838233">
        <w:rPr>
          <w:lang w:eastAsia="ja-JP"/>
        </w:rPr>
        <w:t>–2</w:t>
      </w:r>
      <w:r w:rsidR="008B6369" w:rsidRPr="6B838233">
        <w:rPr>
          <w:lang w:eastAsia="ja-JP"/>
        </w:rPr>
        <w:t>4</w:t>
      </w:r>
      <w:r w:rsidR="00644856" w:rsidRPr="6B838233">
        <w:rPr>
          <w:lang w:eastAsia="ja-JP"/>
        </w:rPr>
        <w:t xml:space="preserve"> financial year</w:t>
      </w:r>
      <w:r w:rsidR="007C0337">
        <w:t xml:space="preserve">. </w:t>
      </w:r>
      <w:r w:rsidR="005551FE">
        <w:t>Low-value goods come into Australia by air and sea.</w:t>
      </w:r>
      <w:r w:rsidR="00650F39">
        <w:t xml:space="preserve"> </w:t>
      </w:r>
    </w:p>
    <w:p w14:paraId="17B6B077" w14:textId="7CC96106" w:rsidR="00BB2C5D" w:rsidRDefault="00991410" w:rsidP="008636E1">
      <w:r>
        <w:t>T</w:t>
      </w:r>
      <w:r w:rsidR="00650F39">
        <w:t xml:space="preserve">he growth of international </w:t>
      </w:r>
      <w:r w:rsidR="00D41FF5">
        <w:t>e-commerce</w:t>
      </w:r>
      <w:r>
        <w:t xml:space="preserve"> has led to an expansion in</w:t>
      </w:r>
      <w:r w:rsidR="00650F39">
        <w:t xml:space="preserve"> </w:t>
      </w:r>
      <w:r w:rsidR="003E0E82">
        <w:t>the volume</w:t>
      </w:r>
      <w:r w:rsidR="00533992">
        <w:t xml:space="preserve">, </w:t>
      </w:r>
      <w:r w:rsidR="00077C39">
        <w:t>nature</w:t>
      </w:r>
      <w:r w:rsidR="00742989">
        <w:t xml:space="preserve"> and countries of origin </w:t>
      </w:r>
      <w:r w:rsidR="00D745BB">
        <w:t>of these goods</w:t>
      </w:r>
      <w:r w:rsidR="003A21A4">
        <w:t>.</w:t>
      </w:r>
      <w:r w:rsidR="00EF6F8B" w:rsidRPr="6B838233">
        <w:rPr>
          <w:lang w:eastAsia="ja-JP"/>
        </w:rPr>
        <w:t xml:space="preserve"> </w:t>
      </w:r>
    </w:p>
    <w:p w14:paraId="3FD7D248" w14:textId="29D065A4" w:rsidR="00C603C2" w:rsidRDefault="00B448E2" w:rsidP="00B77036">
      <w:r>
        <w:t xml:space="preserve">This expansion </w:t>
      </w:r>
      <w:r w:rsidR="00650F39">
        <w:t>increases</w:t>
      </w:r>
      <w:r w:rsidR="00EE3F84">
        <w:t xml:space="preserve"> biosecurity risk </w:t>
      </w:r>
      <w:r w:rsidR="00C17E2A">
        <w:t xml:space="preserve">on </w:t>
      </w:r>
      <w:r w:rsidR="003C090A">
        <w:t xml:space="preserve">the </w:t>
      </w:r>
      <w:r w:rsidR="00F5390D">
        <w:t>low-value goods</w:t>
      </w:r>
      <w:r w:rsidR="003C090A">
        <w:t xml:space="preserve"> </w:t>
      </w:r>
      <w:r w:rsidR="003E0E82">
        <w:t>pathway. Our</w:t>
      </w:r>
      <w:r w:rsidR="00AF07E4">
        <w:t xml:space="preserve"> biosecurity efforts, in partnership with industry, support efficient clearance of low-risk items whil</w:t>
      </w:r>
      <w:r w:rsidR="00100DE4">
        <w:t>e</w:t>
      </w:r>
      <w:r w:rsidR="00AF07E4">
        <w:t xml:space="preserve"> ensuring adequate protection against </w:t>
      </w:r>
      <w:r w:rsidR="64FEDCEF">
        <w:t>higher</w:t>
      </w:r>
      <w:r w:rsidR="002C0714">
        <w:t xml:space="preserve"> </w:t>
      </w:r>
      <w:r w:rsidR="00B77036">
        <w:t>risk</w:t>
      </w:r>
      <w:r w:rsidR="5EF3BBD2">
        <w:t>s</w:t>
      </w:r>
      <w:r w:rsidR="00AB7944">
        <w:t>.</w:t>
      </w:r>
    </w:p>
    <w:p w14:paraId="5BA80DB0" w14:textId="64A49B6A" w:rsidR="00667AF3" w:rsidRPr="008636E1" w:rsidRDefault="00EA29EC" w:rsidP="00B77036">
      <w:r w:rsidRPr="1F639913">
        <w:rPr>
          <w:lang w:eastAsia="ja-JP"/>
        </w:rPr>
        <w:t>T</w:t>
      </w:r>
      <w:r w:rsidR="00BD12A2" w:rsidRPr="1F639913">
        <w:rPr>
          <w:lang w:eastAsia="ja-JP"/>
        </w:rPr>
        <w:t>h</w:t>
      </w:r>
      <w:r w:rsidR="00B448E2">
        <w:rPr>
          <w:lang w:eastAsia="ja-JP"/>
        </w:rPr>
        <w:t>e</w:t>
      </w:r>
      <w:r w:rsidR="00BD12A2" w:rsidRPr="1F639913">
        <w:rPr>
          <w:lang w:eastAsia="ja-JP"/>
        </w:rPr>
        <w:t xml:space="preserve"> charge will remove a longstanding cost recovery gap, </w:t>
      </w:r>
      <w:r w:rsidR="00CE0092" w:rsidRPr="1F639913">
        <w:rPr>
          <w:lang w:eastAsia="ja-JP"/>
        </w:rPr>
        <w:t xml:space="preserve">previously </w:t>
      </w:r>
      <w:r w:rsidR="004F7A4D" w:rsidRPr="1F639913">
        <w:rPr>
          <w:lang w:eastAsia="ja-JP"/>
        </w:rPr>
        <w:t xml:space="preserve">covered through government appropriation. </w:t>
      </w:r>
      <w:r w:rsidR="00B448E2">
        <w:rPr>
          <w:lang w:eastAsia="ja-JP"/>
        </w:rPr>
        <w:t xml:space="preserve">It </w:t>
      </w:r>
      <w:r w:rsidR="00BD12A2" w:rsidRPr="1F639913">
        <w:rPr>
          <w:lang w:eastAsia="ja-JP"/>
        </w:rPr>
        <w:t xml:space="preserve">will provide a secure funding base for </w:t>
      </w:r>
      <w:r w:rsidR="00DD4840" w:rsidRPr="1F639913">
        <w:rPr>
          <w:lang w:eastAsia="ja-JP"/>
        </w:rPr>
        <w:t>the SAC pathway</w:t>
      </w:r>
      <w:r w:rsidR="00BD12A2" w:rsidRPr="1F639913">
        <w:rPr>
          <w:lang w:eastAsia="ja-JP"/>
        </w:rPr>
        <w:t>.</w:t>
      </w:r>
    </w:p>
    <w:p w14:paraId="4E1AEF76" w14:textId="1CABC70E" w:rsidR="000B128E" w:rsidRPr="0029167F" w:rsidRDefault="000B128E" w:rsidP="00F5390D">
      <w:pPr>
        <w:pStyle w:val="Heading2"/>
      </w:pPr>
      <w:bookmarkStart w:id="23" w:name="_Toc173762854"/>
      <w:bookmarkStart w:id="24" w:name="_Toc177103778"/>
      <w:r w:rsidRPr="00974A2E">
        <w:lastRenderedPageBreak/>
        <w:t xml:space="preserve">Policy </w:t>
      </w:r>
      <w:r w:rsidR="00386344" w:rsidRPr="00974A2E">
        <w:t xml:space="preserve">guidance </w:t>
      </w:r>
      <w:r w:rsidRPr="00974A2E">
        <w:t>and statutory</w:t>
      </w:r>
      <w:r w:rsidRPr="0029167F">
        <w:t xml:space="preserve"> authority to cost recover</w:t>
      </w:r>
      <w:bookmarkEnd w:id="23"/>
      <w:bookmarkEnd w:id="24"/>
    </w:p>
    <w:p w14:paraId="0029CC43" w14:textId="61046A73" w:rsidR="00B92A3D" w:rsidRDefault="00B952B5" w:rsidP="00B92A3D">
      <w:pPr>
        <w:rPr>
          <w:lang w:eastAsia="ja-JP"/>
        </w:rPr>
      </w:pPr>
      <w:r w:rsidRPr="182925BD">
        <w:rPr>
          <w:lang w:eastAsia="ja-JP"/>
        </w:rPr>
        <w:t>T</w:t>
      </w:r>
      <w:r w:rsidR="000B128E" w:rsidRPr="182925BD">
        <w:rPr>
          <w:lang w:eastAsia="ja-JP"/>
        </w:rPr>
        <w:t xml:space="preserve">he </w:t>
      </w:r>
      <w:r w:rsidR="002B20D1" w:rsidRPr="182925BD">
        <w:rPr>
          <w:lang w:eastAsia="ja-JP"/>
        </w:rPr>
        <w:t xml:space="preserve">Australian Government </w:t>
      </w:r>
      <w:r w:rsidRPr="182925BD">
        <w:rPr>
          <w:lang w:eastAsia="ja-JP"/>
        </w:rPr>
        <w:t xml:space="preserve">imposes charges for biosecurity </w:t>
      </w:r>
      <w:r w:rsidR="00045CB9" w:rsidRPr="182925BD">
        <w:rPr>
          <w:lang w:eastAsia="ja-JP"/>
        </w:rPr>
        <w:t>regula</w:t>
      </w:r>
      <w:r w:rsidR="0069434F" w:rsidRPr="182925BD">
        <w:rPr>
          <w:lang w:eastAsia="ja-JP"/>
        </w:rPr>
        <w:t xml:space="preserve">tory </w:t>
      </w:r>
      <w:r w:rsidRPr="182925BD">
        <w:rPr>
          <w:lang w:eastAsia="ja-JP"/>
        </w:rPr>
        <w:t>activities to prevent, respond to and recover from pests and diseases that threaten the economy and environment</w:t>
      </w:r>
      <w:r w:rsidR="000B128E" w:rsidRPr="182925BD">
        <w:rPr>
          <w:lang w:eastAsia="ja-JP"/>
        </w:rPr>
        <w:t>.</w:t>
      </w:r>
      <w:r w:rsidR="00B92A3D" w:rsidRPr="182925BD">
        <w:rPr>
          <w:lang w:eastAsia="ja-JP"/>
        </w:rPr>
        <w:t xml:space="preserve"> Further details can be found in the </w:t>
      </w:r>
      <w:hyperlink r:id="rId26" w:history="1">
        <w:r w:rsidR="39066E44" w:rsidRPr="182925BD">
          <w:rPr>
            <w:rStyle w:val="Hyperlink"/>
          </w:rPr>
          <w:t>Biosecurity CRIS</w:t>
        </w:r>
      </w:hyperlink>
      <w:r w:rsidR="39066E44" w:rsidRPr="182925BD">
        <w:rPr>
          <w:lang w:eastAsia="ja-JP"/>
        </w:rPr>
        <w:t>.</w:t>
      </w:r>
    </w:p>
    <w:p w14:paraId="08297F66" w14:textId="4FB065AF" w:rsidR="000B128E" w:rsidRPr="0029167F" w:rsidRDefault="000B128E" w:rsidP="00974A2E">
      <w:pPr>
        <w:pStyle w:val="Heading3"/>
        <w:rPr>
          <w:lang w:eastAsia="ja-JP"/>
        </w:rPr>
      </w:pPr>
      <w:bookmarkStart w:id="25" w:name="_Toc134948269"/>
      <w:bookmarkStart w:id="26" w:name="_Toc135050229"/>
      <w:bookmarkStart w:id="27" w:name="_Toc135304882"/>
      <w:bookmarkStart w:id="28" w:name="_Toc135331055"/>
      <w:bookmarkStart w:id="29" w:name="_Toc135331307"/>
      <w:bookmarkStart w:id="30" w:name="_Toc135332500"/>
      <w:bookmarkStart w:id="31" w:name="_Toc134948270"/>
      <w:bookmarkStart w:id="32" w:name="_Toc135050230"/>
      <w:bookmarkStart w:id="33" w:name="_Toc135304883"/>
      <w:bookmarkStart w:id="34" w:name="_Toc135331056"/>
      <w:bookmarkStart w:id="35" w:name="_Toc135331308"/>
      <w:bookmarkStart w:id="36" w:name="_Toc135332501"/>
      <w:bookmarkStart w:id="37" w:name="_Toc134948271"/>
      <w:bookmarkStart w:id="38" w:name="_Toc135050231"/>
      <w:bookmarkStart w:id="39" w:name="_Toc135304884"/>
      <w:bookmarkStart w:id="40" w:name="_Toc135331057"/>
      <w:bookmarkStart w:id="41" w:name="_Toc135331309"/>
      <w:bookmarkStart w:id="42" w:name="_Toc135332502"/>
      <w:bookmarkStart w:id="43" w:name="_Statutory_authority_to"/>
      <w:bookmarkStart w:id="44" w:name="section_3_2"/>
      <w:bookmarkStart w:id="45" w:name="_Toc173762855"/>
      <w:bookmarkStart w:id="46" w:name="_Toc177103779"/>
      <w:bookmarkStart w:id="47" w:name="_Hlk8613823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9167F">
        <w:rPr>
          <w:lang w:eastAsia="ja-JP"/>
        </w:rPr>
        <w:t xml:space="preserve">Statutory authority to </w:t>
      </w:r>
      <w:r w:rsidR="00FF3459">
        <w:rPr>
          <w:lang w:eastAsia="ja-JP"/>
        </w:rPr>
        <w:t>impose fees and charges (levies)</w:t>
      </w:r>
      <w:bookmarkEnd w:id="45"/>
      <w:bookmarkEnd w:id="46"/>
    </w:p>
    <w:p w14:paraId="300EAE62" w14:textId="03139376" w:rsidR="00561159" w:rsidRDefault="00930A82" w:rsidP="00561159">
      <w:pPr>
        <w:rPr>
          <w:rFonts w:cstheme="minorHAnsi"/>
          <w:lang w:eastAsia="ja-JP"/>
        </w:rPr>
      </w:pPr>
      <w:r>
        <w:rPr>
          <w:rFonts w:cstheme="minorHAnsi"/>
          <w:lang w:eastAsia="ja-JP"/>
        </w:rPr>
        <w:t xml:space="preserve">The </w:t>
      </w:r>
      <w:r w:rsidR="00F5390D">
        <w:rPr>
          <w:rFonts w:cstheme="minorHAnsi"/>
          <w:lang w:eastAsia="ja-JP"/>
        </w:rPr>
        <w:t>SAC charge</w:t>
      </w:r>
      <w:r w:rsidR="00561159" w:rsidRPr="004952EE">
        <w:rPr>
          <w:rFonts w:cstheme="minorHAnsi"/>
          <w:lang w:eastAsia="ja-JP"/>
        </w:rPr>
        <w:t xml:space="preserve"> is a tax </w:t>
      </w:r>
      <w:r w:rsidR="00561159">
        <w:rPr>
          <w:rFonts w:cstheme="minorHAnsi"/>
          <w:lang w:eastAsia="ja-JP"/>
        </w:rPr>
        <w:t xml:space="preserve">that may have a cost recovery component </w:t>
      </w:r>
      <w:r w:rsidR="00561159" w:rsidRPr="004952EE">
        <w:rPr>
          <w:rFonts w:cstheme="minorHAnsi"/>
          <w:lang w:eastAsia="ja-JP"/>
        </w:rPr>
        <w:t xml:space="preserve">and is imposed via a separate </w:t>
      </w:r>
      <w:r w:rsidR="00201ADD">
        <w:rPr>
          <w:rFonts w:cstheme="minorHAnsi"/>
          <w:lang w:eastAsia="ja-JP"/>
        </w:rPr>
        <w:t xml:space="preserve">biosecurity </w:t>
      </w:r>
      <w:r w:rsidR="00561159" w:rsidRPr="004952EE">
        <w:rPr>
          <w:rFonts w:cstheme="minorHAnsi"/>
          <w:lang w:eastAsia="ja-JP"/>
        </w:rPr>
        <w:t xml:space="preserve">taxation </w:t>
      </w:r>
      <w:r w:rsidR="00767B4D">
        <w:rPr>
          <w:rFonts w:cstheme="minorHAnsi"/>
          <w:lang w:eastAsia="ja-JP"/>
        </w:rPr>
        <w:t>a</w:t>
      </w:r>
      <w:r w:rsidR="00561159" w:rsidRPr="004952EE">
        <w:rPr>
          <w:rFonts w:cstheme="minorHAnsi"/>
          <w:lang w:eastAsia="ja-JP"/>
        </w:rPr>
        <w:t xml:space="preserve">ct. It differs from general taxation </w:t>
      </w:r>
      <w:r w:rsidR="00FA2892">
        <w:rPr>
          <w:rFonts w:cstheme="minorHAnsi"/>
          <w:lang w:eastAsia="ja-JP"/>
        </w:rPr>
        <w:t>because</w:t>
      </w:r>
      <w:r w:rsidR="00FA2892" w:rsidRPr="004952EE">
        <w:rPr>
          <w:rFonts w:cstheme="minorHAnsi"/>
          <w:lang w:eastAsia="ja-JP"/>
        </w:rPr>
        <w:t xml:space="preserve"> </w:t>
      </w:r>
      <w:r w:rsidR="00561159" w:rsidRPr="004952EE">
        <w:rPr>
          <w:rFonts w:cstheme="minorHAnsi"/>
          <w:lang w:eastAsia="ja-JP"/>
        </w:rPr>
        <w:t xml:space="preserve">it </w:t>
      </w:r>
      <w:r w:rsidR="00FC1A26">
        <w:rPr>
          <w:rFonts w:cstheme="minorHAnsi"/>
          <w:lang w:eastAsia="ja-JP"/>
        </w:rPr>
        <w:t>directly funds the department to undertake th</w:t>
      </w:r>
      <w:r w:rsidR="0069472A">
        <w:rPr>
          <w:rFonts w:cstheme="minorHAnsi"/>
          <w:lang w:eastAsia="ja-JP"/>
        </w:rPr>
        <w:t>e</w:t>
      </w:r>
      <w:r w:rsidR="00561159" w:rsidRPr="004952EE">
        <w:rPr>
          <w:rFonts w:cstheme="minorHAnsi"/>
          <w:lang w:eastAsia="ja-JP"/>
        </w:rPr>
        <w:t xml:space="preserve"> </w:t>
      </w:r>
      <w:r w:rsidR="00561159">
        <w:rPr>
          <w:rFonts w:cstheme="minorHAnsi"/>
          <w:lang w:eastAsia="ja-JP"/>
        </w:rPr>
        <w:t xml:space="preserve">regulatory </w:t>
      </w:r>
      <w:r w:rsidR="00561159" w:rsidRPr="004952EE">
        <w:rPr>
          <w:rFonts w:cstheme="minorHAnsi"/>
          <w:lang w:eastAsia="ja-JP"/>
        </w:rPr>
        <w:t xml:space="preserve">activities </w:t>
      </w:r>
      <w:r w:rsidR="0069472A">
        <w:rPr>
          <w:rFonts w:cstheme="minorHAnsi"/>
          <w:lang w:eastAsia="ja-JP"/>
        </w:rPr>
        <w:t>relevant</w:t>
      </w:r>
      <w:r w:rsidR="00561159" w:rsidRPr="004952EE">
        <w:rPr>
          <w:rFonts w:cstheme="minorHAnsi"/>
          <w:lang w:eastAsia="ja-JP"/>
        </w:rPr>
        <w:t xml:space="preserve"> to the group pay</w:t>
      </w:r>
      <w:r w:rsidR="00215F54">
        <w:rPr>
          <w:rFonts w:cstheme="minorHAnsi"/>
          <w:lang w:eastAsia="ja-JP"/>
        </w:rPr>
        <w:t>ing</w:t>
      </w:r>
      <w:r w:rsidR="00561159" w:rsidRPr="004952EE">
        <w:rPr>
          <w:rFonts w:cstheme="minorHAnsi"/>
          <w:lang w:eastAsia="ja-JP"/>
        </w:rPr>
        <w:t xml:space="preserve"> the </w:t>
      </w:r>
      <w:r w:rsidR="00561159">
        <w:rPr>
          <w:rFonts w:cstheme="minorHAnsi"/>
          <w:lang w:eastAsia="ja-JP"/>
        </w:rPr>
        <w:t>charge</w:t>
      </w:r>
      <w:r w:rsidR="00561159" w:rsidRPr="004952EE">
        <w:rPr>
          <w:rFonts w:cstheme="minorHAnsi"/>
          <w:lang w:eastAsia="ja-JP"/>
        </w:rPr>
        <w:t>.</w:t>
      </w:r>
    </w:p>
    <w:p w14:paraId="21AC3310" w14:textId="081A2696" w:rsidR="00227CD6" w:rsidRPr="0025656F" w:rsidRDefault="00903265" w:rsidP="0025656F">
      <w:r w:rsidRPr="0025656F">
        <w:t xml:space="preserve">The </w:t>
      </w:r>
      <w:r w:rsidR="00F5390D">
        <w:t>SAC charge</w:t>
      </w:r>
      <w:r w:rsidRPr="0025656F">
        <w:t xml:space="preserve"> will be established </w:t>
      </w:r>
      <w:r w:rsidR="00EA4A63" w:rsidRPr="0025656F">
        <w:t xml:space="preserve">through amendments to </w:t>
      </w:r>
      <w:r w:rsidR="000D12D8" w:rsidRPr="0025656F">
        <w:t>r</w:t>
      </w:r>
      <w:r w:rsidR="00522F1E" w:rsidRPr="0025656F">
        <w:t>egulations made under</w:t>
      </w:r>
      <w:r w:rsidR="00FA2892">
        <w:t xml:space="preserve"> the</w:t>
      </w:r>
      <w:r w:rsidR="00227CD6" w:rsidRPr="0025656F">
        <w:t>:</w:t>
      </w:r>
    </w:p>
    <w:p w14:paraId="512015ED" w14:textId="1226A165" w:rsidR="00227CD6" w:rsidRPr="00F5390D" w:rsidRDefault="00F5390D" w:rsidP="0002397D">
      <w:pPr>
        <w:pStyle w:val="ListBullet"/>
        <w:rPr>
          <w:rStyle w:val="Hyperlink"/>
        </w:rPr>
      </w:pPr>
      <w:r>
        <w:fldChar w:fldCharType="begin"/>
      </w:r>
      <w:r>
        <w:instrText>HYPERLINK "https://www.legislation.gov.au/Details/C2016C00675"</w:instrText>
      </w:r>
      <w:r>
        <w:fldChar w:fldCharType="separate"/>
      </w:r>
      <w:r w:rsidR="00227CD6" w:rsidRPr="00F5390D">
        <w:rPr>
          <w:rStyle w:val="Hyperlink"/>
        </w:rPr>
        <w:t>Biosecurity Charges Imposition (Customs) Act 2015</w:t>
      </w:r>
    </w:p>
    <w:p w14:paraId="357BB7C9" w14:textId="4EE027FC" w:rsidR="00227CD6" w:rsidRPr="00F5390D" w:rsidRDefault="00F5390D" w:rsidP="0002397D">
      <w:pPr>
        <w:pStyle w:val="ListBullet"/>
        <w:rPr>
          <w:rStyle w:val="Hyperlink"/>
        </w:rPr>
      </w:pPr>
      <w:r>
        <w:fldChar w:fldCharType="end"/>
      </w:r>
      <w:r>
        <w:fldChar w:fldCharType="begin"/>
      </w:r>
      <w:r>
        <w:instrText>HYPERLINK "https://www.legislation.gov.au/Details/C2016C00676"</w:instrText>
      </w:r>
      <w:r>
        <w:fldChar w:fldCharType="separate"/>
      </w:r>
      <w:r w:rsidR="00227CD6" w:rsidRPr="00F5390D">
        <w:rPr>
          <w:rStyle w:val="Hyperlink"/>
        </w:rPr>
        <w:t>Biosecurity Charges Imposition (General) Act 2015</w:t>
      </w:r>
      <w:r w:rsidRPr="00F5390D">
        <w:t>.</w:t>
      </w:r>
    </w:p>
    <w:p w14:paraId="12534FEB" w14:textId="0F5BE9F2" w:rsidR="00522F1E" w:rsidRDefault="00F5390D" w:rsidP="0002397D">
      <w:pPr>
        <w:rPr>
          <w:rStyle w:val="Hyperlink"/>
          <w:rFonts w:cstheme="minorHAnsi"/>
          <w:color w:val="auto"/>
          <w:u w:val="none"/>
          <w:lang w:eastAsia="ja-JP"/>
        </w:rPr>
      </w:pPr>
      <w:r>
        <w:fldChar w:fldCharType="end"/>
      </w:r>
      <w:r w:rsidR="00227CD6">
        <w:rPr>
          <w:lang w:eastAsia="ja-JP"/>
        </w:rPr>
        <w:t>There will also be amendments to the charging provisions within t</w:t>
      </w:r>
      <w:r w:rsidR="00227CD6" w:rsidRPr="0029167F">
        <w:rPr>
          <w:lang w:eastAsia="ja-JP"/>
        </w:rPr>
        <w:t xml:space="preserve">he </w:t>
      </w:r>
      <w:hyperlink r:id="rId27" w:history="1">
        <w:r w:rsidR="00227CD6" w:rsidRPr="0029167F">
          <w:rPr>
            <w:rStyle w:val="Hyperlink"/>
            <w:rFonts w:cstheme="minorHAnsi"/>
            <w:lang w:eastAsia="ja-JP"/>
          </w:rPr>
          <w:t>Biosecurity Regulation 2016</w:t>
        </w:r>
      </w:hyperlink>
      <w:r w:rsidR="00522F1E">
        <w:rPr>
          <w:rStyle w:val="Hyperlink"/>
          <w:rFonts w:cstheme="minorHAnsi"/>
          <w:lang w:eastAsia="ja-JP"/>
        </w:rPr>
        <w:t>.</w:t>
      </w:r>
    </w:p>
    <w:p w14:paraId="27B4B4E7" w14:textId="23F4ADBA" w:rsidR="00903265" w:rsidRPr="001561AA" w:rsidRDefault="00522F1E" w:rsidP="0002397D">
      <w:pPr>
        <w:rPr>
          <w:rFonts w:cstheme="minorHAnsi"/>
          <w:lang w:eastAsia="ja-JP"/>
        </w:rPr>
      </w:pPr>
      <w:r w:rsidRPr="001561AA">
        <w:rPr>
          <w:rStyle w:val="Hyperlink"/>
          <w:rFonts w:cstheme="minorHAnsi"/>
          <w:color w:val="auto"/>
          <w:u w:val="none"/>
          <w:lang w:eastAsia="ja-JP"/>
        </w:rPr>
        <w:t>The</w:t>
      </w:r>
      <w:r w:rsidR="005F5B5A" w:rsidRPr="001561AA">
        <w:rPr>
          <w:rStyle w:val="Hyperlink"/>
          <w:rFonts w:cstheme="minorHAnsi"/>
          <w:color w:val="auto"/>
          <w:u w:val="none"/>
          <w:lang w:eastAsia="ja-JP"/>
        </w:rPr>
        <w:t xml:space="preserve"> general charging provisions within the</w:t>
      </w:r>
      <w:r w:rsidR="005F5B5A" w:rsidRPr="001561AA">
        <w:rPr>
          <w:rFonts w:cstheme="minorHAnsi"/>
          <w:lang w:eastAsia="ja-JP"/>
        </w:rPr>
        <w:t xml:space="preserve"> </w:t>
      </w:r>
      <w:hyperlink r:id="rId28" w:history="1">
        <w:r w:rsidR="005F5B5A" w:rsidRPr="00F5390D">
          <w:rPr>
            <w:rStyle w:val="Hyperlink"/>
          </w:rPr>
          <w:t>Biosecurity Act 2015</w:t>
        </w:r>
      </w:hyperlink>
      <w:r w:rsidR="00391AAC" w:rsidRPr="00F5390D">
        <w:t xml:space="preserve"> </w:t>
      </w:r>
      <w:r w:rsidRPr="001561AA">
        <w:rPr>
          <w:rFonts w:cstheme="minorHAnsi"/>
          <w:lang w:eastAsia="ja-JP"/>
        </w:rPr>
        <w:t>will apply</w:t>
      </w:r>
      <w:r w:rsidR="00634200" w:rsidRPr="001561AA">
        <w:rPr>
          <w:rFonts w:cstheme="minorHAnsi"/>
          <w:lang w:eastAsia="ja-JP"/>
        </w:rPr>
        <w:t>.</w:t>
      </w:r>
    </w:p>
    <w:p w14:paraId="62766836" w14:textId="03195EE6" w:rsidR="00F97A23" w:rsidRPr="0029167F" w:rsidRDefault="006A45EA" w:rsidP="0002397D">
      <w:pPr>
        <w:rPr>
          <w:lang w:eastAsia="ja-JP"/>
        </w:rPr>
      </w:pPr>
      <w:r w:rsidRPr="3AFF628C">
        <w:rPr>
          <w:lang w:eastAsia="ja-JP"/>
        </w:rPr>
        <w:t xml:space="preserve">The </w:t>
      </w:r>
      <w:r w:rsidR="00262E55" w:rsidRPr="3AFF628C">
        <w:rPr>
          <w:lang w:eastAsia="ja-JP"/>
        </w:rPr>
        <w:t>required explanatory material</w:t>
      </w:r>
      <w:r w:rsidR="00100B87" w:rsidRPr="3AFF628C">
        <w:rPr>
          <w:lang w:eastAsia="ja-JP"/>
        </w:rPr>
        <w:t xml:space="preserve"> </w:t>
      </w:r>
      <w:r w:rsidR="00991410">
        <w:rPr>
          <w:lang w:eastAsia="ja-JP"/>
        </w:rPr>
        <w:t xml:space="preserve">will </w:t>
      </w:r>
      <w:r w:rsidRPr="3AFF628C">
        <w:rPr>
          <w:lang w:eastAsia="ja-JP"/>
        </w:rPr>
        <w:t>accompan</w:t>
      </w:r>
      <w:r w:rsidR="00991410">
        <w:rPr>
          <w:lang w:eastAsia="ja-JP"/>
        </w:rPr>
        <w:t>y</w:t>
      </w:r>
      <w:r w:rsidR="00100B87" w:rsidRPr="3AFF628C">
        <w:rPr>
          <w:lang w:eastAsia="ja-JP"/>
        </w:rPr>
        <w:t xml:space="preserve"> the </w:t>
      </w:r>
      <w:r w:rsidRPr="3AFF628C">
        <w:rPr>
          <w:lang w:eastAsia="ja-JP"/>
        </w:rPr>
        <w:t>amendments</w:t>
      </w:r>
      <w:r w:rsidR="00262E55" w:rsidRPr="3AFF628C">
        <w:rPr>
          <w:lang w:eastAsia="ja-JP"/>
        </w:rPr>
        <w:t>.</w:t>
      </w:r>
    </w:p>
    <w:p w14:paraId="01F46072" w14:textId="2F560013" w:rsidR="000B128E" w:rsidRPr="0018765C" w:rsidRDefault="000B128E" w:rsidP="00974A2E">
      <w:pPr>
        <w:pStyle w:val="Heading2"/>
      </w:pPr>
      <w:bookmarkStart w:id="48" w:name="_Regulatory_charging_model"/>
      <w:bookmarkStart w:id="49" w:name="_Toc173762856"/>
      <w:bookmarkStart w:id="50" w:name="_Toc177103780"/>
      <w:bookmarkEnd w:id="47"/>
      <w:bookmarkEnd w:id="48"/>
      <w:r w:rsidRPr="0018765C">
        <w:lastRenderedPageBreak/>
        <w:t>Regulatory charging model</w:t>
      </w:r>
      <w:bookmarkEnd w:id="49"/>
      <w:bookmarkEnd w:id="50"/>
    </w:p>
    <w:p w14:paraId="689F92F8" w14:textId="01749BD1" w:rsidR="00824282" w:rsidRDefault="006A45EA" w:rsidP="00824282">
      <w:pPr>
        <w:rPr>
          <w:lang w:eastAsia="ja-JP"/>
        </w:rPr>
      </w:pPr>
      <w:r w:rsidRPr="1FCD3758">
        <w:rPr>
          <w:lang w:eastAsia="ja-JP"/>
        </w:rPr>
        <w:t xml:space="preserve">The </w:t>
      </w:r>
      <w:hyperlink r:id="rId29" w:history="1">
        <w:r w:rsidR="3E9FB2D9" w:rsidRPr="00263D2F">
          <w:rPr>
            <w:rStyle w:val="Hyperlink"/>
            <w:color w:val="auto"/>
            <w:u w:val="none"/>
          </w:rPr>
          <w:t>Biosecurity CRIS</w:t>
        </w:r>
      </w:hyperlink>
      <w:r w:rsidRPr="1FCD3758">
        <w:rPr>
          <w:lang w:eastAsia="ja-JP"/>
        </w:rPr>
        <w:t xml:space="preserve"> provides f</w:t>
      </w:r>
      <w:r w:rsidR="00D70299" w:rsidRPr="1FCD3758">
        <w:rPr>
          <w:lang w:eastAsia="ja-JP"/>
        </w:rPr>
        <w:t>ull details</w:t>
      </w:r>
      <w:r w:rsidR="00412715" w:rsidRPr="1FCD3758">
        <w:rPr>
          <w:lang w:eastAsia="ja-JP"/>
        </w:rPr>
        <w:t xml:space="preserve"> of the objectives, </w:t>
      </w:r>
      <w:r w:rsidR="0006324E" w:rsidRPr="1FCD3758">
        <w:rPr>
          <w:lang w:eastAsia="ja-JP"/>
        </w:rPr>
        <w:t xml:space="preserve">business </w:t>
      </w:r>
      <w:r w:rsidR="00412715" w:rsidRPr="1FCD3758">
        <w:rPr>
          <w:lang w:eastAsia="ja-JP"/>
        </w:rPr>
        <w:t xml:space="preserve">processes, </w:t>
      </w:r>
      <w:r w:rsidR="001A4F54" w:rsidRPr="1FCD3758">
        <w:rPr>
          <w:lang w:eastAsia="ja-JP"/>
        </w:rPr>
        <w:t>design,</w:t>
      </w:r>
      <w:r w:rsidR="00412715" w:rsidRPr="1FCD3758">
        <w:rPr>
          <w:lang w:eastAsia="ja-JP"/>
        </w:rPr>
        <w:t xml:space="preserve"> costs for regulatory activities, and charging</w:t>
      </w:r>
      <w:r w:rsidR="001A4F54" w:rsidRPr="1FCD3758">
        <w:rPr>
          <w:lang w:eastAsia="ja-JP"/>
        </w:rPr>
        <w:t>.</w:t>
      </w:r>
    </w:p>
    <w:p w14:paraId="35C0C5B0" w14:textId="4131514F" w:rsidR="00E57444" w:rsidRPr="00561663" w:rsidRDefault="00E57444" w:rsidP="00E57444">
      <w:pPr>
        <w:rPr>
          <w:lang w:eastAsia="ja-JP"/>
        </w:rPr>
      </w:pPr>
      <w:r w:rsidRPr="3AFF628C">
        <w:rPr>
          <w:lang w:eastAsia="ja-JP"/>
        </w:rPr>
        <w:t xml:space="preserve">The </w:t>
      </w:r>
      <w:r w:rsidR="00F5390D" w:rsidRPr="3AFF628C">
        <w:rPr>
          <w:lang w:eastAsia="ja-JP"/>
        </w:rPr>
        <w:t>SAC charge</w:t>
      </w:r>
      <w:r w:rsidRPr="3AFF628C">
        <w:rPr>
          <w:lang w:eastAsia="ja-JP"/>
        </w:rPr>
        <w:t xml:space="preserve"> does not </w:t>
      </w:r>
      <w:r w:rsidR="00AF0459" w:rsidRPr="3AFF628C">
        <w:rPr>
          <w:lang w:eastAsia="ja-JP"/>
        </w:rPr>
        <w:t>replace fee</w:t>
      </w:r>
      <w:r w:rsidR="00FA2892" w:rsidRPr="3AFF628C">
        <w:rPr>
          <w:lang w:eastAsia="ja-JP"/>
        </w:rPr>
        <w:t>-</w:t>
      </w:r>
      <w:r w:rsidRPr="3AFF628C">
        <w:rPr>
          <w:lang w:eastAsia="ja-JP"/>
        </w:rPr>
        <w:t>for</w:t>
      </w:r>
      <w:r w:rsidR="00FA2892" w:rsidRPr="3AFF628C">
        <w:rPr>
          <w:lang w:eastAsia="ja-JP"/>
        </w:rPr>
        <w:t>-</w:t>
      </w:r>
      <w:r w:rsidRPr="3AFF628C">
        <w:rPr>
          <w:lang w:eastAsia="ja-JP"/>
        </w:rPr>
        <w:t xml:space="preserve">service fees </w:t>
      </w:r>
      <w:r w:rsidR="7174C174" w:rsidRPr="3AFF628C">
        <w:rPr>
          <w:lang w:eastAsia="ja-JP"/>
        </w:rPr>
        <w:t xml:space="preserve">applied </w:t>
      </w:r>
      <w:r w:rsidRPr="3AFF628C">
        <w:rPr>
          <w:lang w:eastAsia="ja-JP"/>
        </w:rPr>
        <w:t xml:space="preserve">for specific activities </w:t>
      </w:r>
      <w:r w:rsidR="00D93F3C" w:rsidRPr="3AFF628C">
        <w:rPr>
          <w:lang w:eastAsia="ja-JP"/>
        </w:rPr>
        <w:t xml:space="preserve">in relation to </w:t>
      </w:r>
      <w:r w:rsidR="00F5390D" w:rsidRPr="3AFF628C">
        <w:rPr>
          <w:lang w:eastAsia="ja-JP"/>
        </w:rPr>
        <w:t>low-value goods</w:t>
      </w:r>
      <w:r w:rsidR="00FA2892" w:rsidRPr="3AFF628C">
        <w:rPr>
          <w:lang w:eastAsia="ja-JP"/>
        </w:rPr>
        <w:t>,</w:t>
      </w:r>
      <w:r w:rsidR="00D93F3C" w:rsidRPr="3AFF628C">
        <w:rPr>
          <w:lang w:eastAsia="ja-JP"/>
        </w:rPr>
        <w:t xml:space="preserve"> </w:t>
      </w:r>
      <w:r w:rsidRPr="3AFF628C">
        <w:rPr>
          <w:lang w:eastAsia="ja-JP"/>
        </w:rPr>
        <w:t xml:space="preserve">such as inspections. </w:t>
      </w:r>
      <w:r w:rsidRPr="1A558E21">
        <w:rPr>
          <w:lang w:eastAsia="ja-JP"/>
        </w:rPr>
        <w:t xml:space="preserve">These fees are set out in the </w:t>
      </w:r>
      <w:hyperlink r:id="rId30" w:history="1">
        <w:r w:rsidR="30689AA4" w:rsidRPr="1A558E21">
          <w:rPr>
            <w:rStyle w:val="Hyperlink"/>
          </w:rPr>
          <w:t>Biosecurity CRIS</w:t>
        </w:r>
      </w:hyperlink>
      <w:r w:rsidR="30689AA4" w:rsidRPr="1A558E21">
        <w:rPr>
          <w:lang w:eastAsia="ja-JP"/>
        </w:rPr>
        <w:t>.</w:t>
      </w:r>
    </w:p>
    <w:bookmarkStart w:id="51" w:name="_Costs_of_regulatory"/>
    <w:bookmarkStart w:id="52" w:name="_Cost_allocation_process"/>
    <w:bookmarkEnd w:id="51"/>
    <w:bookmarkEnd w:id="52"/>
    <w:p w14:paraId="4C8A306E" w14:textId="09208E30" w:rsidR="00D46711" w:rsidRPr="0029167F" w:rsidRDefault="00DD2A39" w:rsidP="00735097">
      <w:pPr>
        <w:rPr>
          <w:rFonts w:cstheme="minorHAnsi"/>
        </w:rPr>
      </w:pPr>
      <w:r>
        <w:rPr>
          <w:rFonts w:cstheme="minorHAnsi"/>
        </w:rPr>
        <w:fldChar w:fldCharType="begin"/>
      </w:r>
      <w:r>
        <w:rPr>
          <w:rFonts w:cstheme="minorHAnsi"/>
        </w:rPr>
        <w:instrText xml:space="preserve"> REF _Ref171590003 \h </w:instrText>
      </w:r>
      <w:r>
        <w:rPr>
          <w:rFonts w:cstheme="minorHAnsi"/>
        </w:rPr>
      </w:r>
      <w:r>
        <w:rPr>
          <w:rFonts w:cstheme="minorHAnsi"/>
        </w:rPr>
        <w:fldChar w:fldCharType="separate"/>
      </w:r>
      <w:r>
        <w:t xml:space="preserve">Table </w:t>
      </w:r>
      <w:r>
        <w:rPr>
          <w:noProof/>
        </w:rPr>
        <w:t>1</w:t>
      </w:r>
      <w:r>
        <w:rPr>
          <w:rFonts w:cstheme="minorHAnsi"/>
        </w:rPr>
        <w:fldChar w:fldCharType="end"/>
      </w:r>
      <w:r>
        <w:rPr>
          <w:rFonts w:cstheme="minorHAnsi"/>
        </w:rPr>
        <w:t xml:space="preserve"> </w:t>
      </w:r>
      <w:r w:rsidR="00F96BC6">
        <w:rPr>
          <w:rFonts w:cstheme="minorHAnsi"/>
        </w:rPr>
        <w:t xml:space="preserve">adds the cost breakdown for the </w:t>
      </w:r>
      <w:r w:rsidR="00F5390D">
        <w:rPr>
          <w:rFonts w:cstheme="minorHAnsi"/>
        </w:rPr>
        <w:t>SAC charge</w:t>
      </w:r>
      <w:r w:rsidR="00F96BC6">
        <w:rPr>
          <w:rFonts w:cstheme="minorHAnsi"/>
        </w:rPr>
        <w:t xml:space="preserve"> to the</w:t>
      </w:r>
      <w:r w:rsidR="00F96BC6">
        <w:rPr>
          <w:rFonts w:cstheme="minorHAnsi"/>
          <w:lang w:eastAsia="ja-JP"/>
        </w:rPr>
        <w:t xml:space="preserve"> </w:t>
      </w:r>
      <w:r w:rsidR="00E25190" w:rsidRPr="0029167F">
        <w:rPr>
          <w:rFonts w:cstheme="minorHAnsi"/>
          <w:lang w:eastAsia="ja-JP"/>
        </w:rPr>
        <w:t xml:space="preserve">cost breakdown for </w:t>
      </w:r>
      <w:r w:rsidR="00F96BC6">
        <w:rPr>
          <w:rFonts w:cstheme="minorHAnsi"/>
          <w:lang w:eastAsia="ja-JP"/>
        </w:rPr>
        <w:t xml:space="preserve">each contribution to </w:t>
      </w:r>
      <w:r w:rsidR="00E25190" w:rsidRPr="0029167F">
        <w:rPr>
          <w:rFonts w:cstheme="minorHAnsi"/>
          <w:lang w:eastAsia="ja-JP"/>
        </w:rPr>
        <w:t xml:space="preserve">recover direct and indirect costs for </w:t>
      </w:r>
      <w:r w:rsidR="008B152D" w:rsidRPr="0029167F">
        <w:rPr>
          <w:rFonts w:cstheme="minorHAnsi"/>
          <w:lang w:eastAsia="ja-JP"/>
        </w:rPr>
        <w:t>202</w:t>
      </w:r>
      <w:r w:rsidR="00966527">
        <w:rPr>
          <w:rFonts w:cstheme="minorHAnsi"/>
          <w:lang w:eastAsia="ja-JP"/>
        </w:rPr>
        <w:t>4</w:t>
      </w:r>
      <w:r w:rsidR="008B152D" w:rsidRPr="0029167F">
        <w:rPr>
          <w:rFonts w:cstheme="minorHAnsi"/>
          <w:lang w:eastAsia="ja-JP"/>
        </w:rPr>
        <w:t>–2</w:t>
      </w:r>
      <w:r w:rsidR="00966527">
        <w:rPr>
          <w:rFonts w:cstheme="minorHAnsi"/>
          <w:lang w:eastAsia="ja-JP"/>
        </w:rPr>
        <w:t>5</w:t>
      </w:r>
      <w:r w:rsidR="00E25190" w:rsidRPr="0029167F">
        <w:rPr>
          <w:rFonts w:cstheme="minorHAnsi"/>
          <w:lang w:eastAsia="ja-JP"/>
        </w:rPr>
        <w:t>.</w:t>
      </w:r>
      <w:bookmarkStart w:id="53" w:name="_Ref77249876"/>
    </w:p>
    <w:p w14:paraId="44467F12" w14:textId="23B1913F" w:rsidR="006125F8" w:rsidRPr="006125F8" w:rsidRDefault="006A4B4C" w:rsidP="00B5611A">
      <w:pPr>
        <w:pStyle w:val="Caption"/>
        <w:spacing w:after="0"/>
      </w:pPr>
      <w:bookmarkStart w:id="54" w:name="_Ref171590003"/>
      <w:bookmarkStart w:id="55" w:name="Table_2"/>
      <w:bookmarkStart w:id="56" w:name="_Toc176352600"/>
      <w:bookmarkEnd w:id="53"/>
      <w:r>
        <w:t xml:space="preserve">Table </w:t>
      </w:r>
      <w:r>
        <w:fldChar w:fldCharType="begin"/>
      </w:r>
      <w:r>
        <w:instrText xml:space="preserve"> SEQ Table \* ARABIC </w:instrText>
      </w:r>
      <w:r>
        <w:fldChar w:fldCharType="separate"/>
      </w:r>
      <w:r w:rsidR="00711104">
        <w:rPr>
          <w:noProof/>
        </w:rPr>
        <w:t>1</w:t>
      </w:r>
      <w:r>
        <w:fldChar w:fldCharType="end"/>
      </w:r>
      <w:r>
        <w:t xml:space="preserve"> Biosecurity cost recovery arrangement cost </w:t>
      </w:r>
      <w:r w:rsidRPr="00C32120">
        <w:t>breakdown, 202</w:t>
      </w:r>
      <w:r>
        <w:t>4</w:t>
      </w:r>
      <w:r w:rsidRPr="00C32120">
        <w:t>–2</w:t>
      </w:r>
      <w:r>
        <w:t xml:space="preserve">5 including </w:t>
      </w:r>
      <w:r w:rsidR="00F5390D">
        <w:t>SAC charge</w:t>
      </w:r>
      <w:r>
        <w:t xml:space="preserve"> costs</w:t>
      </w:r>
      <w:bookmarkStart w:id="57" w:name="_Toc171425670"/>
      <w:bookmarkStart w:id="58" w:name="_Design_of_regulatory"/>
      <w:bookmarkStart w:id="59" w:name="_Cost_recovery_reserves"/>
      <w:bookmarkStart w:id="60" w:name="_Toc173762857"/>
      <w:bookmarkEnd w:id="54"/>
      <w:bookmarkEnd w:id="55"/>
      <w:bookmarkEnd w:id="56"/>
      <w:bookmarkEnd w:id="57"/>
      <w:bookmarkEnd w:id="58"/>
      <w:bookmarkEnd w:id="59"/>
    </w:p>
    <w:tbl>
      <w:tblPr>
        <w:tblpPr w:leftFromText="180" w:rightFromText="180" w:vertAnchor="text" w:horzAnchor="margin" w:tblpY="151"/>
        <w:tblW w:w="5000" w:type="pct"/>
        <w:tblBorders>
          <w:top w:val="single" w:sz="4" w:space="0" w:color="auto"/>
        </w:tblBorders>
        <w:tblLayout w:type="fixed"/>
        <w:tblLook w:val="04A0" w:firstRow="1" w:lastRow="0" w:firstColumn="1" w:lastColumn="0" w:noHBand="0" w:noVBand="1"/>
      </w:tblPr>
      <w:tblGrid>
        <w:gridCol w:w="1560"/>
        <w:gridCol w:w="3686"/>
        <w:gridCol w:w="1275"/>
        <w:gridCol w:w="1291"/>
        <w:gridCol w:w="1372"/>
      </w:tblGrid>
      <w:tr w:rsidR="006125F8" w:rsidRPr="009F1EFF" w14:paraId="7EBE22E6" w14:textId="77777777" w:rsidTr="006D3730">
        <w:trPr>
          <w:cantSplit/>
          <w:tblHeader/>
        </w:trPr>
        <w:tc>
          <w:tcPr>
            <w:tcW w:w="849" w:type="pct"/>
            <w:tcBorders>
              <w:top w:val="single" w:sz="4" w:space="0" w:color="auto"/>
              <w:bottom w:val="single" w:sz="4" w:space="0" w:color="auto"/>
            </w:tcBorders>
            <w:noWrap/>
          </w:tcPr>
          <w:p w14:paraId="0379E138" w14:textId="77777777" w:rsidR="006125F8" w:rsidRPr="0025656F" w:rsidRDefault="006125F8" w:rsidP="006125F8">
            <w:pPr>
              <w:pStyle w:val="TableHeading"/>
            </w:pPr>
            <w:bookmarkStart w:id="61" w:name="Title_1"/>
            <w:bookmarkEnd w:id="61"/>
            <w:r>
              <w:t>Category</w:t>
            </w:r>
          </w:p>
        </w:tc>
        <w:tc>
          <w:tcPr>
            <w:tcW w:w="2007" w:type="pct"/>
            <w:tcBorders>
              <w:top w:val="single" w:sz="4" w:space="0" w:color="auto"/>
              <w:bottom w:val="single" w:sz="4" w:space="0" w:color="auto"/>
            </w:tcBorders>
            <w:shd w:val="clear" w:color="auto" w:fill="auto"/>
            <w:noWrap/>
            <w:hideMark/>
          </w:tcPr>
          <w:p w14:paraId="75C1D80A" w14:textId="77777777" w:rsidR="006125F8" w:rsidRPr="0025656F" w:rsidRDefault="006125F8" w:rsidP="006125F8">
            <w:pPr>
              <w:pStyle w:val="TableHeading"/>
              <w:rPr>
                <w:highlight w:val="green"/>
              </w:rPr>
            </w:pPr>
            <w:r w:rsidRPr="0025656F">
              <w:t>Cost recovery activities</w:t>
            </w:r>
          </w:p>
        </w:tc>
        <w:tc>
          <w:tcPr>
            <w:tcW w:w="694" w:type="pct"/>
            <w:tcBorders>
              <w:top w:val="single" w:sz="4" w:space="0" w:color="auto"/>
              <w:bottom w:val="single" w:sz="4" w:space="0" w:color="auto"/>
            </w:tcBorders>
            <w:noWrap/>
            <w:hideMark/>
          </w:tcPr>
          <w:p w14:paraId="2889E867" w14:textId="77777777" w:rsidR="006125F8" w:rsidRPr="00134B12" w:rsidRDefault="006125F8" w:rsidP="006125F8">
            <w:pPr>
              <w:pStyle w:val="TableHeading"/>
              <w:jc w:val="right"/>
            </w:pPr>
            <w:r w:rsidRPr="00134B12">
              <w:t>Direct ($)</w:t>
            </w:r>
          </w:p>
        </w:tc>
        <w:tc>
          <w:tcPr>
            <w:tcW w:w="703" w:type="pct"/>
            <w:tcBorders>
              <w:top w:val="single" w:sz="4" w:space="0" w:color="auto"/>
              <w:bottom w:val="single" w:sz="4" w:space="0" w:color="auto"/>
            </w:tcBorders>
            <w:noWrap/>
            <w:hideMark/>
          </w:tcPr>
          <w:p w14:paraId="4DA57921" w14:textId="77777777" w:rsidR="006125F8" w:rsidRPr="00134B12" w:rsidRDefault="006125F8" w:rsidP="006125F8">
            <w:pPr>
              <w:pStyle w:val="TableHeading"/>
              <w:jc w:val="right"/>
            </w:pPr>
            <w:r w:rsidRPr="00134B12">
              <w:t>Indirect ($)</w:t>
            </w:r>
          </w:p>
        </w:tc>
        <w:tc>
          <w:tcPr>
            <w:tcW w:w="747" w:type="pct"/>
            <w:tcBorders>
              <w:top w:val="single" w:sz="4" w:space="0" w:color="auto"/>
              <w:bottom w:val="single" w:sz="4" w:space="0" w:color="auto"/>
            </w:tcBorders>
            <w:noWrap/>
            <w:hideMark/>
          </w:tcPr>
          <w:p w14:paraId="6024CC4A" w14:textId="77777777" w:rsidR="006125F8" w:rsidRPr="00134B12" w:rsidRDefault="006125F8" w:rsidP="006125F8">
            <w:pPr>
              <w:pStyle w:val="TableHeading"/>
              <w:jc w:val="right"/>
            </w:pPr>
            <w:r w:rsidRPr="00134B12">
              <w:t>Total ($)</w:t>
            </w:r>
          </w:p>
        </w:tc>
      </w:tr>
      <w:tr w:rsidR="006125F8" w:rsidRPr="009F1EFF" w14:paraId="5C1572C5" w14:textId="77777777" w:rsidTr="6C613F67">
        <w:tc>
          <w:tcPr>
            <w:tcW w:w="849" w:type="pct"/>
            <w:vMerge w:val="restart"/>
            <w:tcBorders>
              <w:top w:val="single" w:sz="4" w:space="0" w:color="auto"/>
            </w:tcBorders>
            <w:noWrap/>
          </w:tcPr>
          <w:p w14:paraId="5F4DC099" w14:textId="77777777" w:rsidR="006125F8" w:rsidRPr="00735097" w:rsidRDefault="006125F8" w:rsidP="006125F8">
            <w:pPr>
              <w:pStyle w:val="TableText"/>
              <w:rPr>
                <w:bCs/>
                <w:lang w:eastAsia="ja-JP"/>
              </w:rPr>
            </w:pPr>
            <w:r w:rsidRPr="00A968F0">
              <w:rPr>
                <w:rStyle w:val="Strong"/>
              </w:rPr>
              <w:t>Charges</w:t>
            </w:r>
          </w:p>
        </w:tc>
        <w:tc>
          <w:tcPr>
            <w:tcW w:w="2007" w:type="pct"/>
            <w:tcBorders>
              <w:top w:val="single" w:sz="4" w:space="0" w:color="auto"/>
              <w:bottom w:val="single" w:sz="4" w:space="0" w:color="auto"/>
            </w:tcBorders>
            <w:noWrap/>
          </w:tcPr>
          <w:p w14:paraId="44E28EEA" w14:textId="77777777" w:rsidR="006125F8" w:rsidRPr="00735097" w:rsidRDefault="006125F8" w:rsidP="006125F8">
            <w:pPr>
              <w:pStyle w:val="TableText"/>
              <w:rPr>
                <w:b/>
                <w:bCs/>
                <w:lang w:eastAsia="ja-JP"/>
              </w:rPr>
            </w:pPr>
            <w:r w:rsidRPr="00735097">
              <w:rPr>
                <w:bCs/>
                <w:lang w:eastAsia="ja-JP"/>
              </w:rPr>
              <w:t>Full import declaration charges</w:t>
            </w:r>
          </w:p>
        </w:tc>
        <w:tc>
          <w:tcPr>
            <w:tcW w:w="694" w:type="pct"/>
            <w:tcBorders>
              <w:top w:val="single" w:sz="4" w:space="0" w:color="auto"/>
              <w:bottom w:val="single" w:sz="4" w:space="0" w:color="auto"/>
            </w:tcBorders>
            <w:noWrap/>
          </w:tcPr>
          <w:p w14:paraId="42917EF9" w14:textId="77777777" w:rsidR="006125F8" w:rsidRPr="004375CA" w:rsidRDefault="006125F8" w:rsidP="006125F8">
            <w:pPr>
              <w:pStyle w:val="TableText"/>
              <w:jc w:val="right"/>
              <w:rPr>
                <w:b/>
                <w:bCs/>
                <w:strike/>
                <w:highlight w:val="yellow"/>
                <w:lang w:eastAsia="ja-JP"/>
              </w:rPr>
            </w:pPr>
            <w:r w:rsidRPr="006C2F56">
              <w:t>150,229,014</w:t>
            </w:r>
          </w:p>
        </w:tc>
        <w:tc>
          <w:tcPr>
            <w:tcW w:w="703" w:type="pct"/>
            <w:tcBorders>
              <w:top w:val="single" w:sz="4" w:space="0" w:color="auto"/>
              <w:bottom w:val="single" w:sz="4" w:space="0" w:color="auto"/>
            </w:tcBorders>
            <w:noWrap/>
          </w:tcPr>
          <w:p w14:paraId="62C0F9BC" w14:textId="77777777" w:rsidR="006125F8" w:rsidRPr="004375CA" w:rsidRDefault="006125F8" w:rsidP="006125F8">
            <w:pPr>
              <w:pStyle w:val="TableText"/>
              <w:jc w:val="right"/>
              <w:rPr>
                <w:b/>
                <w:bCs/>
                <w:strike/>
                <w:highlight w:val="yellow"/>
                <w:lang w:eastAsia="ja-JP"/>
              </w:rPr>
            </w:pPr>
            <w:r w:rsidRPr="006C2F56">
              <w:t>87,284,876</w:t>
            </w:r>
          </w:p>
        </w:tc>
        <w:tc>
          <w:tcPr>
            <w:tcW w:w="747" w:type="pct"/>
            <w:tcBorders>
              <w:top w:val="single" w:sz="4" w:space="0" w:color="auto"/>
              <w:bottom w:val="single" w:sz="4" w:space="0" w:color="auto"/>
            </w:tcBorders>
            <w:shd w:val="clear" w:color="auto" w:fill="auto"/>
            <w:noWrap/>
          </w:tcPr>
          <w:p w14:paraId="203994FD" w14:textId="77777777" w:rsidR="006125F8" w:rsidRPr="004375CA" w:rsidRDefault="006125F8" w:rsidP="006125F8">
            <w:pPr>
              <w:pStyle w:val="TableText"/>
              <w:jc w:val="right"/>
              <w:rPr>
                <w:b/>
                <w:bCs/>
                <w:strike/>
                <w:highlight w:val="yellow"/>
                <w:lang w:eastAsia="ja-JP"/>
              </w:rPr>
            </w:pPr>
            <w:r w:rsidRPr="006C2F56">
              <w:t>237,513,889</w:t>
            </w:r>
          </w:p>
        </w:tc>
      </w:tr>
      <w:tr w:rsidR="006125F8" w:rsidRPr="009F1EFF" w14:paraId="10471EC0" w14:textId="77777777" w:rsidTr="6C613F67">
        <w:tc>
          <w:tcPr>
            <w:tcW w:w="849" w:type="pct"/>
            <w:vMerge/>
            <w:noWrap/>
          </w:tcPr>
          <w:p w14:paraId="3DE0C6A2" w14:textId="77777777" w:rsidR="006125F8" w:rsidRPr="00735097" w:rsidRDefault="006125F8" w:rsidP="006125F8">
            <w:pPr>
              <w:pStyle w:val="TableText"/>
              <w:rPr>
                <w:bCs/>
                <w:lang w:eastAsia="ja-JP"/>
              </w:rPr>
            </w:pPr>
          </w:p>
        </w:tc>
        <w:tc>
          <w:tcPr>
            <w:tcW w:w="2007" w:type="pct"/>
            <w:tcBorders>
              <w:top w:val="single" w:sz="4" w:space="0" w:color="auto"/>
              <w:bottom w:val="single" w:sz="4" w:space="0" w:color="auto"/>
            </w:tcBorders>
            <w:noWrap/>
          </w:tcPr>
          <w:p w14:paraId="7331113C" w14:textId="77777777" w:rsidR="006125F8" w:rsidRPr="00735097" w:rsidRDefault="006125F8" w:rsidP="006125F8">
            <w:pPr>
              <w:pStyle w:val="TableText"/>
              <w:rPr>
                <w:b/>
                <w:bCs/>
                <w:lang w:eastAsia="ja-JP"/>
              </w:rPr>
            </w:pPr>
            <w:r w:rsidRPr="00735097">
              <w:rPr>
                <w:bCs/>
                <w:lang w:eastAsia="ja-JP"/>
              </w:rPr>
              <w:t>Approved arrangements</w:t>
            </w:r>
          </w:p>
        </w:tc>
        <w:tc>
          <w:tcPr>
            <w:tcW w:w="694" w:type="pct"/>
            <w:tcBorders>
              <w:top w:val="single" w:sz="4" w:space="0" w:color="auto"/>
              <w:bottom w:val="single" w:sz="4" w:space="0" w:color="auto"/>
            </w:tcBorders>
            <w:noWrap/>
          </w:tcPr>
          <w:p w14:paraId="3C6F2993" w14:textId="77777777" w:rsidR="006125F8" w:rsidRPr="004375CA" w:rsidRDefault="006125F8" w:rsidP="006125F8">
            <w:pPr>
              <w:pStyle w:val="TableText"/>
              <w:jc w:val="right"/>
              <w:rPr>
                <w:b/>
                <w:bCs/>
                <w:strike/>
                <w:highlight w:val="yellow"/>
                <w:lang w:eastAsia="ja-JP"/>
              </w:rPr>
            </w:pPr>
            <w:r w:rsidRPr="006C2F56">
              <w:t>4,818,362</w:t>
            </w:r>
          </w:p>
        </w:tc>
        <w:tc>
          <w:tcPr>
            <w:tcW w:w="703" w:type="pct"/>
            <w:tcBorders>
              <w:top w:val="single" w:sz="4" w:space="0" w:color="auto"/>
              <w:bottom w:val="single" w:sz="4" w:space="0" w:color="auto"/>
            </w:tcBorders>
            <w:noWrap/>
          </w:tcPr>
          <w:p w14:paraId="0F9AD322" w14:textId="77777777" w:rsidR="006125F8" w:rsidRPr="004375CA" w:rsidRDefault="006125F8" w:rsidP="006125F8">
            <w:pPr>
              <w:pStyle w:val="TableText"/>
              <w:jc w:val="right"/>
              <w:rPr>
                <w:b/>
                <w:bCs/>
                <w:strike/>
                <w:highlight w:val="yellow"/>
                <w:lang w:eastAsia="ja-JP"/>
              </w:rPr>
            </w:pPr>
            <w:r w:rsidRPr="006C2F56">
              <w:t>2,473,907</w:t>
            </w:r>
          </w:p>
        </w:tc>
        <w:tc>
          <w:tcPr>
            <w:tcW w:w="747" w:type="pct"/>
            <w:tcBorders>
              <w:top w:val="single" w:sz="4" w:space="0" w:color="auto"/>
              <w:bottom w:val="single" w:sz="4" w:space="0" w:color="auto"/>
            </w:tcBorders>
            <w:shd w:val="clear" w:color="auto" w:fill="auto"/>
            <w:noWrap/>
          </w:tcPr>
          <w:p w14:paraId="41A273F4" w14:textId="77777777" w:rsidR="006125F8" w:rsidRPr="004375CA" w:rsidRDefault="006125F8" w:rsidP="006125F8">
            <w:pPr>
              <w:pStyle w:val="TableText"/>
              <w:jc w:val="right"/>
              <w:rPr>
                <w:b/>
                <w:bCs/>
                <w:strike/>
                <w:highlight w:val="yellow"/>
                <w:lang w:eastAsia="ja-JP"/>
              </w:rPr>
            </w:pPr>
            <w:r w:rsidRPr="006C2F56">
              <w:t>7,292,269</w:t>
            </w:r>
          </w:p>
        </w:tc>
      </w:tr>
      <w:tr w:rsidR="006125F8" w:rsidRPr="009F1EFF" w14:paraId="219E26A5" w14:textId="77777777" w:rsidTr="6C613F67">
        <w:tc>
          <w:tcPr>
            <w:tcW w:w="849" w:type="pct"/>
            <w:vMerge/>
            <w:noWrap/>
          </w:tcPr>
          <w:p w14:paraId="13736DB1" w14:textId="77777777" w:rsidR="006125F8" w:rsidRPr="00735097" w:rsidRDefault="006125F8" w:rsidP="006125F8">
            <w:pPr>
              <w:pStyle w:val="TableText"/>
              <w:rPr>
                <w:bCs/>
                <w:lang w:eastAsia="ja-JP"/>
              </w:rPr>
            </w:pPr>
          </w:p>
        </w:tc>
        <w:tc>
          <w:tcPr>
            <w:tcW w:w="2007" w:type="pct"/>
            <w:tcBorders>
              <w:top w:val="single" w:sz="4" w:space="0" w:color="auto"/>
              <w:bottom w:val="single" w:sz="4" w:space="0" w:color="auto"/>
            </w:tcBorders>
            <w:noWrap/>
          </w:tcPr>
          <w:p w14:paraId="4E43CCC8" w14:textId="77777777" w:rsidR="006125F8" w:rsidRPr="00735097" w:rsidRDefault="006125F8" w:rsidP="006125F8">
            <w:pPr>
              <w:pStyle w:val="TableText"/>
              <w:rPr>
                <w:b/>
                <w:bCs/>
                <w:lang w:eastAsia="ja-JP"/>
              </w:rPr>
            </w:pPr>
            <w:r w:rsidRPr="00735097">
              <w:rPr>
                <w:bCs/>
                <w:lang w:eastAsia="ja-JP"/>
              </w:rPr>
              <w:t>Vessel arrival charges</w:t>
            </w:r>
          </w:p>
        </w:tc>
        <w:tc>
          <w:tcPr>
            <w:tcW w:w="694" w:type="pct"/>
            <w:tcBorders>
              <w:top w:val="single" w:sz="4" w:space="0" w:color="auto"/>
              <w:bottom w:val="single" w:sz="4" w:space="0" w:color="auto"/>
            </w:tcBorders>
            <w:noWrap/>
          </w:tcPr>
          <w:p w14:paraId="1A13F850" w14:textId="77777777" w:rsidR="006125F8" w:rsidRPr="004375CA" w:rsidRDefault="006125F8" w:rsidP="006125F8">
            <w:pPr>
              <w:pStyle w:val="TableText"/>
              <w:jc w:val="right"/>
              <w:rPr>
                <w:b/>
                <w:bCs/>
                <w:strike/>
                <w:highlight w:val="yellow"/>
                <w:lang w:eastAsia="ja-JP"/>
              </w:rPr>
            </w:pPr>
            <w:r w:rsidRPr="006C2F56">
              <w:t>14,661,830</w:t>
            </w:r>
          </w:p>
        </w:tc>
        <w:tc>
          <w:tcPr>
            <w:tcW w:w="703" w:type="pct"/>
            <w:tcBorders>
              <w:top w:val="single" w:sz="4" w:space="0" w:color="auto"/>
              <w:bottom w:val="single" w:sz="4" w:space="0" w:color="auto"/>
            </w:tcBorders>
            <w:noWrap/>
          </w:tcPr>
          <w:p w14:paraId="0B29DEDF" w14:textId="77777777" w:rsidR="006125F8" w:rsidRPr="004375CA" w:rsidRDefault="006125F8" w:rsidP="006125F8">
            <w:pPr>
              <w:pStyle w:val="TableText"/>
              <w:jc w:val="right"/>
              <w:rPr>
                <w:b/>
                <w:bCs/>
                <w:strike/>
                <w:highlight w:val="yellow"/>
                <w:lang w:eastAsia="ja-JP"/>
              </w:rPr>
            </w:pPr>
            <w:r w:rsidRPr="006C2F56">
              <w:t>10,966,685</w:t>
            </w:r>
          </w:p>
        </w:tc>
        <w:tc>
          <w:tcPr>
            <w:tcW w:w="747" w:type="pct"/>
            <w:tcBorders>
              <w:top w:val="single" w:sz="4" w:space="0" w:color="auto"/>
              <w:bottom w:val="single" w:sz="4" w:space="0" w:color="auto"/>
            </w:tcBorders>
            <w:shd w:val="clear" w:color="auto" w:fill="auto"/>
            <w:noWrap/>
          </w:tcPr>
          <w:p w14:paraId="6057C144" w14:textId="77777777" w:rsidR="006125F8" w:rsidRPr="004375CA" w:rsidRDefault="006125F8" w:rsidP="006125F8">
            <w:pPr>
              <w:pStyle w:val="TableText"/>
              <w:jc w:val="right"/>
              <w:rPr>
                <w:b/>
                <w:bCs/>
                <w:strike/>
                <w:highlight w:val="yellow"/>
                <w:lang w:eastAsia="ja-JP"/>
              </w:rPr>
            </w:pPr>
            <w:r w:rsidRPr="006C2F56">
              <w:t>25,628,515</w:t>
            </w:r>
          </w:p>
        </w:tc>
      </w:tr>
      <w:tr w:rsidR="006125F8" w:rsidRPr="009F1EFF" w14:paraId="7EA3DE77" w14:textId="77777777" w:rsidTr="6C613F67">
        <w:tc>
          <w:tcPr>
            <w:tcW w:w="849" w:type="pct"/>
            <w:vMerge/>
            <w:noWrap/>
          </w:tcPr>
          <w:p w14:paraId="4B3D52B8" w14:textId="77777777" w:rsidR="006125F8" w:rsidRPr="00735097" w:rsidRDefault="006125F8" w:rsidP="006125F8">
            <w:pPr>
              <w:pStyle w:val="TableText"/>
              <w:rPr>
                <w:bCs/>
                <w:lang w:eastAsia="ja-JP"/>
              </w:rPr>
            </w:pPr>
          </w:p>
        </w:tc>
        <w:tc>
          <w:tcPr>
            <w:tcW w:w="2007" w:type="pct"/>
            <w:tcBorders>
              <w:top w:val="single" w:sz="4" w:space="0" w:color="auto"/>
              <w:bottom w:val="single" w:sz="4" w:space="0" w:color="auto"/>
            </w:tcBorders>
            <w:noWrap/>
          </w:tcPr>
          <w:p w14:paraId="0A9B4154" w14:textId="77777777" w:rsidR="006125F8" w:rsidRPr="00735097" w:rsidRDefault="006125F8" w:rsidP="006125F8">
            <w:pPr>
              <w:pStyle w:val="TableText"/>
              <w:rPr>
                <w:b/>
                <w:bCs/>
                <w:lang w:eastAsia="ja-JP"/>
              </w:rPr>
            </w:pPr>
            <w:r w:rsidRPr="00735097">
              <w:rPr>
                <w:bCs/>
                <w:lang w:eastAsia="ja-JP"/>
              </w:rPr>
              <w:t xml:space="preserve">Permit </w:t>
            </w:r>
            <w:r>
              <w:rPr>
                <w:bCs/>
                <w:lang w:eastAsia="ja-JP"/>
              </w:rPr>
              <w:t>a</w:t>
            </w:r>
            <w:r w:rsidRPr="00735097">
              <w:rPr>
                <w:bCs/>
                <w:lang w:eastAsia="ja-JP"/>
              </w:rPr>
              <w:t>pplication</w:t>
            </w:r>
          </w:p>
        </w:tc>
        <w:tc>
          <w:tcPr>
            <w:tcW w:w="694" w:type="pct"/>
            <w:tcBorders>
              <w:top w:val="single" w:sz="4" w:space="0" w:color="auto"/>
              <w:bottom w:val="single" w:sz="4" w:space="0" w:color="auto"/>
            </w:tcBorders>
            <w:noWrap/>
          </w:tcPr>
          <w:p w14:paraId="0125D6E3" w14:textId="77777777" w:rsidR="006125F8" w:rsidRPr="004375CA" w:rsidRDefault="006125F8" w:rsidP="006125F8">
            <w:pPr>
              <w:pStyle w:val="TableText"/>
              <w:jc w:val="right"/>
              <w:rPr>
                <w:b/>
                <w:bCs/>
                <w:strike/>
                <w:highlight w:val="yellow"/>
                <w:lang w:eastAsia="ja-JP"/>
              </w:rPr>
            </w:pPr>
            <w:r w:rsidRPr="006C2F56">
              <w:t>1,007,361</w:t>
            </w:r>
          </w:p>
        </w:tc>
        <w:tc>
          <w:tcPr>
            <w:tcW w:w="703" w:type="pct"/>
            <w:tcBorders>
              <w:top w:val="single" w:sz="4" w:space="0" w:color="auto"/>
              <w:bottom w:val="single" w:sz="4" w:space="0" w:color="auto"/>
            </w:tcBorders>
            <w:noWrap/>
          </w:tcPr>
          <w:p w14:paraId="23B16BC1" w14:textId="77777777" w:rsidR="006125F8" w:rsidRPr="004375CA" w:rsidRDefault="006125F8" w:rsidP="006125F8">
            <w:pPr>
              <w:pStyle w:val="TableText"/>
              <w:jc w:val="right"/>
              <w:rPr>
                <w:b/>
                <w:bCs/>
                <w:strike/>
                <w:highlight w:val="yellow"/>
                <w:lang w:eastAsia="ja-JP"/>
              </w:rPr>
            </w:pPr>
            <w:r w:rsidRPr="006C2F56">
              <w:t>712,409</w:t>
            </w:r>
          </w:p>
        </w:tc>
        <w:tc>
          <w:tcPr>
            <w:tcW w:w="747" w:type="pct"/>
            <w:tcBorders>
              <w:top w:val="single" w:sz="4" w:space="0" w:color="auto"/>
              <w:bottom w:val="single" w:sz="4" w:space="0" w:color="auto"/>
            </w:tcBorders>
            <w:shd w:val="clear" w:color="auto" w:fill="auto"/>
            <w:noWrap/>
          </w:tcPr>
          <w:p w14:paraId="687F81CF" w14:textId="77777777" w:rsidR="006125F8" w:rsidRPr="004375CA" w:rsidRDefault="006125F8" w:rsidP="006125F8">
            <w:pPr>
              <w:pStyle w:val="TableText"/>
              <w:jc w:val="right"/>
              <w:rPr>
                <w:b/>
                <w:bCs/>
                <w:strike/>
                <w:highlight w:val="yellow"/>
                <w:lang w:eastAsia="ja-JP"/>
              </w:rPr>
            </w:pPr>
            <w:r w:rsidRPr="006C2F56">
              <w:t>1,719,769</w:t>
            </w:r>
          </w:p>
        </w:tc>
      </w:tr>
      <w:tr w:rsidR="006125F8" w:rsidRPr="009F1EFF" w14:paraId="4F08DDDA" w14:textId="77777777" w:rsidTr="6C613F67">
        <w:tc>
          <w:tcPr>
            <w:tcW w:w="849" w:type="pct"/>
            <w:vMerge/>
            <w:noWrap/>
          </w:tcPr>
          <w:p w14:paraId="6F9A71EA" w14:textId="77777777" w:rsidR="006125F8" w:rsidRDefault="006125F8" w:rsidP="006125F8">
            <w:pPr>
              <w:pStyle w:val="TableText"/>
              <w:rPr>
                <w:bCs/>
                <w:lang w:eastAsia="ja-JP"/>
              </w:rPr>
            </w:pPr>
          </w:p>
        </w:tc>
        <w:tc>
          <w:tcPr>
            <w:tcW w:w="2007" w:type="pct"/>
            <w:tcBorders>
              <w:top w:val="single" w:sz="4" w:space="0" w:color="auto"/>
              <w:bottom w:val="single" w:sz="4" w:space="0" w:color="auto"/>
            </w:tcBorders>
            <w:noWrap/>
          </w:tcPr>
          <w:p w14:paraId="1311136C" w14:textId="77777777" w:rsidR="006125F8" w:rsidRPr="00735097" w:rsidRDefault="006125F8" w:rsidP="006125F8">
            <w:pPr>
              <w:pStyle w:val="TableText"/>
              <w:rPr>
                <w:bCs/>
                <w:lang w:eastAsia="ja-JP"/>
              </w:rPr>
            </w:pPr>
            <w:r>
              <w:rPr>
                <w:bCs/>
                <w:lang w:eastAsia="ja-JP"/>
              </w:rPr>
              <w:t>I</w:t>
            </w:r>
            <w:r w:rsidRPr="00735097">
              <w:rPr>
                <w:bCs/>
                <w:lang w:eastAsia="ja-JP"/>
              </w:rPr>
              <w:t>mportation charges</w:t>
            </w:r>
            <w:r>
              <w:rPr>
                <w:bCs/>
                <w:lang w:eastAsia="ja-JP"/>
              </w:rPr>
              <w:t xml:space="preserve"> (PEQ)</w:t>
            </w:r>
          </w:p>
        </w:tc>
        <w:tc>
          <w:tcPr>
            <w:tcW w:w="694" w:type="pct"/>
            <w:tcBorders>
              <w:top w:val="single" w:sz="4" w:space="0" w:color="auto"/>
              <w:bottom w:val="single" w:sz="4" w:space="0" w:color="auto"/>
            </w:tcBorders>
            <w:noWrap/>
          </w:tcPr>
          <w:p w14:paraId="1122E1FD" w14:textId="77777777" w:rsidR="006125F8" w:rsidRPr="004375CA" w:rsidRDefault="006125F8" w:rsidP="006125F8">
            <w:pPr>
              <w:pStyle w:val="TableText"/>
              <w:jc w:val="right"/>
              <w:rPr>
                <w:bCs/>
                <w:strike/>
                <w:highlight w:val="yellow"/>
                <w:lang w:eastAsia="ja-JP"/>
              </w:rPr>
            </w:pPr>
            <w:r w:rsidRPr="006C2F56">
              <w:t>7,697,412</w:t>
            </w:r>
          </w:p>
        </w:tc>
        <w:tc>
          <w:tcPr>
            <w:tcW w:w="703" w:type="pct"/>
            <w:tcBorders>
              <w:top w:val="single" w:sz="4" w:space="0" w:color="auto"/>
              <w:bottom w:val="single" w:sz="4" w:space="0" w:color="auto"/>
            </w:tcBorders>
            <w:noWrap/>
          </w:tcPr>
          <w:p w14:paraId="024472E4" w14:textId="77777777" w:rsidR="006125F8" w:rsidRPr="004375CA" w:rsidRDefault="006125F8" w:rsidP="006125F8">
            <w:pPr>
              <w:pStyle w:val="TableText"/>
              <w:jc w:val="right"/>
              <w:rPr>
                <w:bCs/>
                <w:strike/>
                <w:highlight w:val="yellow"/>
                <w:lang w:eastAsia="ja-JP"/>
              </w:rPr>
            </w:pPr>
            <w:r w:rsidRPr="006C2F56">
              <w:t>8,810,849</w:t>
            </w:r>
          </w:p>
        </w:tc>
        <w:tc>
          <w:tcPr>
            <w:tcW w:w="747" w:type="pct"/>
            <w:tcBorders>
              <w:top w:val="single" w:sz="4" w:space="0" w:color="auto"/>
              <w:bottom w:val="single" w:sz="4" w:space="0" w:color="auto"/>
            </w:tcBorders>
            <w:shd w:val="clear" w:color="auto" w:fill="auto"/>
            <w:noWrap/>
          </w:tcPr>
          <w:p w14:paraId="16F84F5A" w14:textId="77777777" w:rsidR="006125F8" w:rsidRPr="004375CA" w:rsidRDefault="006125F8" w:rsidP="006125F8">
            <w:pPr>
              <w:pStyle w:val="TableText"/>
              <w:jc w:val="right"/>
              <w:rPr>
                <w:bCs/>
                <w:strike/>
                <w:highlight w:val="yellow"/>
                <w:lang w:eastAsia="ja-JP"/>
              </w:rPr>
            </w:pPr>
            <w:r w:rsidRPr="006C2F56">
              <w:t>16,508,261</w:t>
            </w:r>
          </w:p>
        </w:tc>
      </w:tr>
      <w:tr w:rsidR="006125F8" w:rsidRPr="009F1EFF" w14:paraId="6204C8CC" w14:textId="77777777" w:rsidTr="6C613F67">
        <w:tc>
          <w:tcPr>
            <w:tcW w:w="849" w:type="pct"/>
            <w:vMerge/>
            <w:noWrap/>
          </w:tcPr>
          <w:p w14:paraId="2233E0D8" w14:textId="77777777" w:rsidR="006125F8" w:rsidRDefault="006125F8" w:rsidP="006125F8">
            <w:pPr>
              <w:pStyle w:val="TableText"/>
              <w:rPr>
                <w:bCs/>
                <w:lang w:eastAsia="ja-JP"/>
              </w:rPr>
            </w:pPr>
          </w:p>
        </w:tc>
        <w:tc>
          <w:tcPr>
            <w:tcW w:w="2007" w:type="pct"/>
            <w:tcBorders>
              <w:top w:val="single" w:sz="4" w:space="0" w:color="auto"/>
              <w:bottom w:val="single" w:sz="4" w:space="0" w:color="auto"/>
            </w:tcBorders>
            <w:noWrap/>
          </w:tcPr>
          <w:p w14:paraId="3B45807B" w14:textId="77777777" w:rsidR="006125F8" w:rsidRDefault="006125F8" w:rsidP="006125F8">
            <w:pPr>
              <w:pStyle w:val="TableText"/>
              <w:rPr>
                <w:bCs/>
                <w:lang w:eastAsia="ja-JP"/>
              </w:rPr>
            </w:pPr>
            <w:r>
              <w:rPr>
                <w:bCs/>
                <w:lang w:eastAsia="ja-JP"/>
              </w:rPr>
              <w:t>Self-Assessed Clearance Charge</w:t>
            </w:r>
          </w:p>
        </w:tc>
        <w:tc>
          <w:tcPr>
            <w:tcW w:w="694" w:type="pct"/>
            <w:tcBorders>
              <w:top w:val="single" w:sz="4" w:space="0" w:color="auto"/>
              <w:bottom w:val="single" w:sz="4" w:space="0" w:color="auto"/>
            </w:tcBorders>
            <w:noWrap/>
          </w:tcPr>
          <w:p w14:paraId="745EC97E" w14:textId="77777777" w:rsidR="006125F8" w:rsidRPr="006C2F56" w:rsidRDefault="006125F8" w:rsidP="006125F8">
            <w:pPr>
              <w:pStyle w:val="TableText"/>
              <w:jc w:val="right"/>
            </w:pPr>
            <w:r w:rsidRPr="00705E5E">
              <w:t>17,277,885</w:t>
            </w:r>
          </w:p>
        </w:tc>
        <w:tc>
          <w:tcPr>
            <w:tcW w:w="703" w:type="pct"/>
            <w:tcBorders>
              <w:top w:val="single" w:sz="4" w:space="0" w:color="auto"/>
              <w:bottom w:val="single" w:sz="4" w:space="0" w:color="auto"/>
            </w:tcBorders>
            <w:noWrap/>
          </w:tcPr>
          <w:p w14:paraId="7364ECAB" w14:textId="77777777" w:rsidR="006125F8" w:rsidRPr="006C2F56" w:rsidRDefault="006125F8" w:rsidP="006125F8">
            <w:pPr>
              <w:pStyle w:val="TableText"/>
              <w:jc w:val="right"/>
            </w:pPr>
            <w:r w:rsidRPr="00705E5E">
              <w:t>9,820,114</w:t>
            </w:r>
          </w:p>
        </w:tc>
        <w:tc>
          <w:tcPr>
            <w:tcW w:w="747" w:type="pct"/>
            <w:tcBorders>
              <w:top w:val="single" w:sz="4" w:space="0" w:color="auto"/>
              <w:bottom w:val="single" w:sz="4" w:space="0" w:color="auto"/>
            </w:tcBorders>
            <w:shd w:val="clear" w:color="auto" w:fill="auto"/>
            <w:noWrap/>
          </w:tcPr>
          <w:p w14:paraId="01D84CBE" w14:textId="77777777" w:rsidR="006125F8" w:rsidRPr="006C2F56" w:rsidRDefault="006125F8" w:rsidP="006125F8">
            <w:pPr>
              <w:pStyle w:val="TableText"/>
              <w:jc w:val="right"/>
            </w:pPr>
            <w:r>
              <w:rPr>
                <w:bCs/>
                <w:lang w:eastAsia="ja-JP"/>
              </w:rPr>
              <w:t>27,098,000</w:t>
            </w:r>
          </w:p>
        </w:tc>
      </w:tr>
      <w:tr w:rsidR="006125F8" w:rsidRPr="009F1EFF" w14:paraId="2AE7E3A6" w14:textId="77777777" w:rsidTr="6C613F67">
        <w:tc>
          <w:tcPr>
            <w:tcW w:w="849" w:type="pct"/>
            <w:vMerge/>
            <w:noWrap/>
          </w:tcPr>
          <w:p w14:paraId="6C9827A8" w14:textId="77777777" w:rsidR="006125F8" w:rsidRPr="00A968F0" w:rsidRDefault="006125F8" w:rsidP="006125F8">
            <w:pPr>
              <w:pStyle w:val="TableText"/>
              <w:rPr>
                <w:rStyle w:val="Strong"/>
              </w:rPr>
            </w:pPr>
          </w:p>
        </w:tc>
        <w:tc>
          <w:tcPr>
            <w:tcW w:w="2007" w:type="pct"/>
            <w:tcBorders>
              <w:top w:val="single" w:sz="4" w:space="0" w:color="auto"/>
              <w:bottom w:val="single" w:sz="4" w:space="0" w:color="auto"/>
            </w:tcBorders>
            <w:noWrap/>
          </w:tcPr>
          <w:p w14:paraId="243637F1" w14:textId="77777777" w:rsidR="006125F8" w:rsidRPr="00A968F0" w:rsidRDefault="006125F8" w:rsidP="006125F8">
            <w:pPr>
              <w:pStyle w:val="TableText"/>
              <w:rPr>
                <w:rStyle w:val="Strong"/>
              </w:rPr>
            </w:pPr>
            <w:r>
              <w:rPr>
                <w:rStyle w:val="Strong"/>
              </w:rPr>
              <w:t>Total charges</w:t>
            </w:r>
          </w:p>
        </w:tc>
        <w:tc>
          <w:tcPr>
            <w:tcW w:w="694" w:type="pct"/>
            <w:tcBorders>
              <w:top w:val="single" w:sz="4" w:space="0" w:color="auto"/>
              <w:bottom w:val="single" w:sz="4" w:space="0" w:color="auto"/>
            </w:tcBorders>
            <w:noWrap/>
          </w:tcPr>
          <w:p w14:paraId="4F0CDF35" w14:textId="77777777" w:rsidR="006125F8" w:rsidRPr="006C2F56" w:rsidRDefault="006125F8" w:rsidP="006125F8">
            <w:pPr>
              <w:pStyle w:val="TableText"/>
              <w:jc w:val="right"/>
            </w:pPr>
            <w:r w:rsidRPr="006C2F56">
              <w:t>1</w:t>
            </w:r>
            <w:r>
              <w:t>95,691,864</w:t>
            </w:r>
          </w:p>
        </w:tc>
        <w:tc>
          <w:tcPr>
            <w:tcW w:w="703" w:type="pct"/>
            <w:tcBorders>
              <w:top w:val="single" w:sz="4" w:space="0" w:color="auto"/>
              <w:bottom w:val="single" w:sz="4" w:space="0" w:color="auto"/>
            </w:tcBorders>
            <w:noWrap/>
          </w:tcPr>
          <w:p w14:paraId="3BDBD91C" w14:textId="77777777" w:rsidR="006125F8" w:rsidRPr="006C2F56" w:rsidRDefault="006125F8" w:rsidP="006125F8">
            <w:pPr>
              <w:pStyle w:val="TableText"/>
              <w:jc w:val="right"/>
            </w:pPr>
            <w:r w:rsidRPr="006C2F56">
              <w:t>1</w:t>
            </w:r>
            <w:r>
              <w:t>2</w:t>
            </w:r>
            <w:r w:rsidRPr="006C2F56">
              <w:t>0,</w:t>
            </w:r>
            <w:r>
              <w:t>06</w:t>
            </w:r>
            <w:r w:rsidRPr="006C2F56">
              <w:t>8,</w:t>
            </w:r>
            <w:r>
              <w:t>839</w:t>
            </w:r>
          </w:p>
        </w:tc>
        <w:tc>
          <w:tcPr>
            <w:tcW w:w="747" w:type="pct"/>
            <w:tcBorders>
              <w:top w:val="single" w:sz="4" w:space="0" w:color="auto"/>
              <w:bottom w:val="single" w:sz="4" w:space="0" w:color="auto"/>
            </w:tcBorders>
            <w:shd w:val="clear" w:color="auto" w:fill="auto"/>
            <w:noWrap/>
          </w:tcPr>
          <w:p w14:paraId="7C24CD60" w14:textId="77777777" w:rsidR="006125F8" w:rsidRPr="00A968F0" w:rsidRDefault="006125F8" w:rsidP="006125F8">
            <w:pPr>
              <w:pStyle w:val="TableText"/>
              <w:jc w:val="right"/>
              <w:rPr>
                <w:rStyle w:val="Strong"/>
              </w:rPr>
            </w:pPr>
            <w:r>
              <w:rPr>
                <w:rStyle w:val="Strong"/>
              </w:rPr>
              <w:t>315,760,704</w:t>
            </w:r>
          </w:p>
        </w:tc>
      </w:tr>
      <w:tr w:rsidR="006125F8" w:rsidRPr="009F1EFF" w14:paraId="14DB95E0" w14:textId="77777777" w:rsidTr="6C613F67">
        <w:tc>
          <w:tcPr>
            <w:tcW w:w="849" w:type="pct"/>
            <w:vMerge w:val="restart"/>
            <w:tcBorders>
              <w:top w:val="single" w:sz="4" w:space="0" w:color="auto"/>
            </w:tcBorders>
            <w:noWrap/>
          </w:tcPr>
          <w:p w14:paraId="1D150FE1" w14:textId="77777777" w:rsidR="006125F8" w:rsidRPr="00735097" w:rsidRDefault="006125F8" w:rsidP="006125F8">
            <w:pPr>
              <w:pStyle w:val="TableText"/>
              <w:rPr>
                <w:bCs/>
                <w:lang w:eastAsia="ja-JP"/>
              </w:rPr>
            </w:pPr>
            <w:r w:rsidRPr="00A968F0">
              <w:rPr>
                <w:rStyle w:val="Strong"/>
              </w:rPr>
              <w:t>Fees</w:t>
            </w:r>
          </w:p>
        </w:tc>
        <w:tc>
          <w:tcPr>
            <w:tcW w:w="2007" w:type="pct"/>
            <w:tcBorders>
              <w:top w:val="single" w:sz="4" w:space="0" w:color="auto"/>
              <w:bottom w:val="single" w:sz="4" w:space="0" w:color="auto"/>
            </w:tcBorders>
            <w:noWrap/>
            <w:hideMark/>
          </w:tcPr>
          <w:p w14:paraId="4C0EE389" w14:textId="77777777" w:rsidR="006125F8" w:rsidRPr="00735097" w:rsidRDefault="006125F8" w:rsidP="006125F8">
            <w:pPr>
              <w:pStyle w:val="TableText"/>
              <w:rPr>
                <w:bCs/>
                <w:lang w:eastAsia="ja-JP"/>
              </w:rPr>
            </w:pPr>
            <w:r w:rsidRPr="00735097">
              <w:rPr>
                <w:bCs/>
                <w:lang w:eastAsia="ja-JP"/>
              </w:rPr>
              <w:t>Assessment</w:t>
            </w:r>
          </w:p>
        </w:tc>
        <w:tc>
          <w:tcPr>
            <w:tcW w:w="694" w:type="pct"/>
            <w:tcBorders>
              <w:top w:val="single" w:sz="4" w:space="0" w:color="auto"/>
              <w:bottom w:val="single" w:sz="4" w:space="0" w:color="auto"/>
            </w:tcBorders>
            <w:noWrap/>
          </w:tcPr>
          <w:p w14:paraId="723BCC78" w14:textId="77777777" w:rsidR="006125F8" w:rsidRPr="004375CA" w:rsidRDefault="006125F8" w:rsidP="006125F8">
            <w:pPr>
              <w:pStyle w:val="TableText"/>
              <w:jc w:val="right"/>
              <w:rPr>
                <w:bCs/>
                <w:strike/>
                <w:highlight w:val="yellow"/>
                <w:lang w:eastAsia="ja-JP"/>
              </w:rPr>
            </w:pPr>
            <w:r w:rsidRPr="006C2F56">
              <w:t>27,075,082</w:t>
            </w:r>
          </w:p>
        </w:tc>
        <w:tc>
          <w:tcPr>
            <w:tcW w:w="703" w:type="pct"/>
            <w:tcBorders>
              <w:top w:val="single" w:sz="4" w:space="0" w:color="auto"/>
              <w:bottom w:val="single" w:sz="4" w:space="0" w:color="auto"/>
            </w:tcBorders>
            <w:noWrap/>
          </w:tcPr>
          <w:p w14:paraId="7B1FFF4B" w14:textId="77777777" w:rsidR="006125F8" w:rsidRPr="004375CA" w:rsidRDefault="006125F8" w:rsidP="006125F8">
            <w:pPr>
              <w:pStyle w:val="TableText"/>
              <w:jc w:val="right"/>
              <w:rPr>
                <w:bCs/>
                <w:strike/>
                <w:highlight w:val="yellow"/>
                <w:lang w:eastAsia="ja-JP"/>
              </w:rPr>
            </w:pPr>
            <w:r w:rsidRPr="006C2F56">
              <w:t>532,727</w:t>
            </w:r>
          </w:p>
        </w:tc>
        <w:tc>
          <w:tcPr>
            <w:tcW w:w="747" w:type="pct"/>
            <w:tcBorders>
              <w:top w:val="single" w:sz="4" w:space="0" w:color="auto"/>
              <w:bottom w:val="single" w:sz="4" w:space="0" w:color="auto"/>
            </w:tcBorders>
            <w:shd w:val="clear" w:color="auto" w:fill="auto"/>
            <w:noWrap/>
          </w:tcPr>
          <w:p w14:paraId="1591C913" w14:textId="77777777" w:rsidR="006125F8" w:rsidRPr="004375CA" w:rsidRDefault="006125F8" w:rsidP="006125F8">
            <w:pPr>
              <w:pStyle w:val="TableText"/>
              <w:jc w:val="right"/>
              <w:rPr>
                <w:bCs/>
                <w:strike/>
                <w:highlight w:val="yellow"/>
                <w:lang w:eastAsia="ja-JP"/>
              </w:rPr>
            </w:pPr>
            <w:r w:rsidRPr="006C2F56">
              <w:t>27,607,809</w:t>
            </w:r>
          </w:p>
        </w:tc>
      </w:tr>
      <w:tr w:rsidR="006125F8" w:rsidRPr="009F1EFF" w14:paraId="47A7F3DB" w14:textId="77777777" w:rsidTr="6C613F67">
        <w:tc>
          <w:tcPr>
            <w:tcW w:w="849" w:type="pct"/>
            <w:vMerge/>
            <w:noWrap/>
          </w:tcPr>
          <w:p w14:paraId="47118027" w14:textId="77777777" w:rsidR="006125F8" w:rsidRPr="00735097" w:rsidRDefault="006125F8" w:rsidP="006125F8">
            <w:pPr>
              <w:pStyle w:val="TableText"/>
              <w:rPr>
                <w:bCs/>
                <w:lang w:eastAsia="ja-JP"/>
              </w:rPr>
            </w:pPr>
          </w:p>
        </w:tc>
        <w:tc>
          <w:tcPr>
            <w:tcW w:w="2007" w:type="pct"/>
            <w:tcBorders>
              <w:top w:val="single" w:sz="4" w:space="0" w:color="auto"/>
              <w:bottom w:val="single" w:sz="4" w:space="0" w:color="auto"/>
            </w:tcBorders>
            <w:noWrap/>
            <w:hideMark/>
          </w:tcPr>
          <w:p w14:paraId="056E207A" w14:textId="77777777" w:rsidR="006125F8" w:rsidRPr="00735097" w:rsidRDefault="006125F8" w:rsidP="006125F8">
            <w:pPr>
              <w:pStyle w:val="TableText"/>
              <w:rPr>
                <w:bCs/>
                <w:lang w:eastAsia="ja-JP"/>
              </w:rPr>
            </w:pPr>
            <w:r w:rsidRPr="00735097">
              <w:rPr>
                <w:bCs/>
                <w:lang w:eastAsia="ja-JP"/>
              </w:rPr>
              <w:t>Issue Approval Certification</w:t>
            </w:r>
          </w:p>
        </w:tc>
        <w:tc>
          <w:tcPr>
            <w:tcW w:w="694" w:type="pct"/>
            <w:tcBorders>
              <w:top w:val="single" w:sz="4" w:space="0" w:color="auto"/>
              <w:bottom w:val="single" w:sz="4" w:space="0" w:color="auto"/>
            </w:tcBorders>
            <w:noWrap/>
          </w:tcPr>
          <w:p w14:paraId="6CE0A6A9" w14:textId="77777777" w:rsidR="006125F8" w:rsidRPr="004375CA" w:rsidRDefault="006125F8" w:rsidP="006125F8">
            <w:pPr>
              <w:pStyle w:val="TableText"/>
              <w:jc w:val="right"/>
              <w:rPr>
                <w:bCs/>
                <w:strike/>
                <w:highlight w:val="yellow"/>
                <w:lang w:eastAsia="ja-JP"/>
              </w:rPr>
            </w:pPr>
            <w:r w:rsidRPr="006C2F56">
              <w:t>2,866,002</w:t>
            </w:r>
          </w:p>
        </w:tc>
        <w:tc>
          <w:tcPr>
            <w:tcW w:w="703" w:type="pct"/>
            <w:tcBorders>
              <w:top w:val="single" w:sz="4" w:space="0" w:color="auto"/>
              <w:bottom w:val="single" w:sz="4" w:space="0" w:color="auto"/>
            </w:tcBorders>
            <w:noWrap/>
          </w:tcPr>
          <w:p w14:paraId="01668008" w14:textId="77777777" w:rsidR="006125F8" w:rsidRPr="004375CA" w:rsidRDefault="006125F8" w:rsidP="006125F8">
            <w:pPr>
              <w:pStyle w:val="TableText"/>
              <w:jc w:val="right"/>
              <w:rPr>
                <w:bCs/>
                <w:strike/>
                <w:highlight w:val="yellow"/>
                <w:lang w:eastAsia="ja-JP"/>
              </w:rPr>
            </w:pPr>
            <w:r w:rsidRPr="006C2F56">
              <w:t>64,655</w:t>
            </w:r>
          </w:p>
        </w:tc>
        <w:tc>
          <w:tcPr>
            <w:tcW w:w="747" w:type="pct"/>
            <w:tcBorders>
              <w:top w:val="single" w:sz="4" w:space="0" w:color="auto"/>
              <w:bottom w:val="single" w:sz="4" w:space="0" w:color="auto"/>
            </w:tcBorders>
            <w:shd w:val="clear" w:color="auto" w:fill="auto"/>
            <w:noWrap/>
          </w:tcPr>
          <w:p w14:paraId="544A7644" w14:textId="77777777" w:rsidR="006125F8" w:rsidRPr="004375CA" w:rsidRDefault="006125F8" w:rsidP="006125F8">
            <w:pPr>
              <w:pStyle w:val="TableText"/>
              <w:jc w:val="right"/>
              <w:rPr>
                <w:bCs/>
                <w:strike/>
                <w:highlight w:val="yellow"/>
                <w:lang w:eastAsia="ja-JP"/>
              </w:rPr>
            </w:pPr>
            <w:r w:rsidRPr="006C2F56">
              <w:t>2,930,657</w:t>
            </w:r>
          </w:p>
        </w:tc>
      </w:tr>
      <w:tr w:rsidR="006125F8" w:rsidRPr="009F1EFF" w14:paraId="0ABEE1C7" w14:textId="77777777" w:rsidTr="6C613F67">
        <w:tc>
          <w:tcPr>
            <w:tcW w:w="849" w:type="pct"/>
            <w:vMerge/>
            <w:noWrap/>
          </w:tcPr>
          <w:p w14:paraId="1143061B" w14:textId="77777777" w:rsidR="006125F8" w:rsidRPr="00735097" w:rsidRDefault="006125F8" w:rsidP="006125F8">
            <w:pPr>
              <w:pStyle w:val="TableText"/>
              <w:rPr>
                <w:bCs/>
                <w:lang w:eastAsia="ja-JP"/>
              </w:rPr>
            </w:pPr>
          </w:p>
        </w:tc>
        <w:tc>
          <w:tcPr>
            <w:tcW w:w="2007" w:type="pct"/>
            <w:tcBorders>
              <w:top w:val="single" w:sz="4" w:space="0" w:color="auto"/>
              <w:bottom w:val="single" w:sz="4" w:space="0" w:color="auto"/>
            </w:tcBorders>
            <w:noWrap/>
            <w:hideMark/>
          </w:tcPr>
          <w:p w14:paraId="534E02B7" w14:textId="77777777" w:rsidR="006125F8" w:rsidRPr="00735097" w:rsidRDefault="006125F8" w:rsidP="006125F8">
            <w:pPr>
              <w:pStyle w:val="TableText"/>
              <w:rPr>
                <w:bCs/>
                <w:lang w:eastAsia="ja-JP"/>
              </w:rPr>
            </w:pPr>
            <w:r w:rsidRPr="00735097">
              <w:rPr>
                <w:bCs/>
                <w:lang w:eastAsia="ja-JP"/>
              </w:rPr>
              <w:t>Inspection</w:t>
            </w:r>
          </w:p>
        </w:tc>
        <w:tc>
          <w:tcPr>
            <w:tcW w:w="694" w:type="pct"/>
            <w:tcBorders>
              <w:top w:val="single" w:sz="4" w:space="0" w:color="auto"/>
              <w:bottom w:val="single" w:sz="4" w:space="0" w:color="auto"/>
            </w:tcBorders>
            <w:noWrap/>
          </w:tcPr>
          <w:p w14:paraId="72CAF634" w14:textId="77777777" w:rsidR="006125F8" w:rsidRPr="004375CA" w:rsidRDefault="006125F8" w:rsidP="006125F8">
            <w:pPr>
              <w:pStyle w:val="TableText"/>
              <w:jc w:val="right"/>
              <w:rPr>
                <w:bCs/>
                <w:strike/>
                <w:highlight w:val="yellow"/>
                <w:lang w:eastAsia="ja-JP"/>
              </w:rPr>
            </w:pPr>
            <w:r w:rsidRPr="006C2F56">
              <w:t>38,319,124</w:t>
            </w:r>
          </w:p>
        </w:tc>
        <w:tc>
          <w:tcPr>
            <w:tcW w:w="703" w:type="pct"/>
            <w:tcBorders>
              <w:top w:val="single" w:sz="4" w:space="0" w:color="auto"/>
              <w:bottom w:val="single" w:sz="4" w:space="0" w:color="auto"/>
            </w:tcBorders>
            <w:noWrap/>
          </w:tcPr>
          <w:p w14:paraId="6F540CEB" w14:textId="77777777" w:rsidR="006125F8" w:rsidRPr="004375CA" w:rsidRDefault="006125F8" w:rsidP="006125F8">
            <w:pPr>
              <w:pStyle w:val="TableText"/>
              <w:jc w:val="right"/>
              <w:rPr>
                <w:bCs/>
                <w:strike/>
                <w:highlight w:val="yellow"/>
                <w:lang w:eastAsia="ja-JP"/>
              </w:rPr>
            </w:pPr>
            <w:r w:rsidRPr="006C2F56">
              <w:t>1,134,004</w:t>
            </w:r>
          </w:p>
        </w:tc>
        <w:tc>
          <w:tcPr>
            <w:tcW w:w="747" w:type="pct"/>
            <w:tcBorders>
              <w:top w:val="single" w:sz="4" w:space="0" w:color="auto"/>
              <w:bottom w:val="single" w:sz="4" w:space="0" w:color="auto"/>
            </w:tcBorders>
            <w:shd w:val="clear" w:color="auto" w:fill="auto"/>
            <w:noWrap/>
          </w:tcPr>
          <w:p w14:paraId="06808019" w14:textId="77777777" w:rsidR="006125F8" w:rsidRPr="004375CA" w:rsidRDefault="006125F8" w:rsidP="006125F8">
            <w:pPr>
              <w:pStyle w:val="TableText"/>
              <w:jc w:val="right"/>
              <w:rPr>
                <w:bCs/>
                <w:strike/>
                <w:highlight w:val="yellow"/>
                <w:lang w:eastAsia="ja-JP"/>
              </w:rPr>
            </w:pPr>
            <w:r w:rsidRPr="006C2F56">
              <w:t>39,453,128</w:t>
            </w:r>
          </w:p>
        </w:tc>
      </w:tr>
      <w:tr w:rsidR="006125F8" w:rsidRPr="009F1EFF" w14:paraId="23B2A58F" w14:textId="77777777" w:rsidTr="6C613F67">
        <w:tc>
          <w:tcPr>
            <w:tcW w:w="849" w:type="pct"/>
            <w:vMerge/>
            <w:noWrap/>
          </w:tcPr>
          <w:p w14:paraId="57E84697" w14:textId="77777777" w:rsidR="006125F8" w:rsidRPr="00735097" w:rsidRDefault="006125F8" w:rsidP="006125F8">
            <w:pPr>
              <w:pStyle w:val="TableText"/>
              <w:rPr>
                <w:bCs/>
                <w:lang w:eastAsia="ja-JP"/>
              </w:rPr>
            </w:pPr>
          </w:p>
        </w:tc>
        <w:tc>
          <w:tcPr>
            <w:tcW w:w="2007" w:type="pct"/>
            <w:tcBorders>
              <w:top w:val="single" w:sz="4" w:space="0" w:color="auto"/>
              <w:bottom w:val="single" w:sz="4" w:space="0" w:color="auto"/>
            </w:tcBorders>
            <w:noWrap/>
            <w:hideMark/>
          </w:tcPr>
          <w:p w14:paraId="04E8EAA6" w14:textId="77777777" w:rsidR="006125F8" w:rsidRPr="00735097" w:rsidRDefault="006125F8" w:rsidP="006125F8">
            <w:pPr>
              <w:pStyle w:val="TableText"/>
              <w:rPr>
                <w:bCs/>
                <w:lang w:eastAsia="ja-JP"/>
              </w:rPr>
            </w:pPr>
            <w:r w:rsidRPr="00735097">
              <w:rPr>
                <w:bCs/>
                <w:lang w:eastAsia="ja-JP"/>
              </w:rPr>
              <w:t>Treatment</w:t>
            </w:r>
          </w:p>
        </w:tc>
        <w:tc>
          <w:tcPr>
            <w:tcW w:w="694" w:type="pct"/>
            <w:tcBorders>
              <w:top w:val="single" w:sz="4" w:space="0" w:color="auto"/>
              <w:bottom w:val="single" w:sz="4" w:space="0" w:color="auto"/>
            </w:tcBorders>
            <w:noWrap/>
          </w:tcPr>
          <w:p w14:paraId="767E82F8" w14:textId="77777777" w:rsidR="006125F8" w:rsidRPr="004375CA" w:rsidRDefault="006125F8" w:rsidP="006125F8">
            <w:pPr>
              <w:pStyle w:val="TableText"/>
              <w:jc w:val="right"/>
              <w:rPr>
                <w:bCs/>
                <w:strike/>
                <w:highlight w:val="yellow"/>
                <w:lang w:eastAsia="ja-JP"/>
              </w:rPr>
            </w:pPr>
            <w:r w:rsidRPr="006C2F56">
              <w:t>2,696,642</w:t>
            </w:r>
          </w:p>
        </w:tc>
        <w:tc>
          <w:tcPr>
            <w:tcW w:w="703" w:type="pct"/>
            <w:tcBorders>
              <w:top w:val="single" w:sz="4" w:space="0" w:color="auto"/>
              <w:bottom w:val="single" w:sz="4" w:space="0" w:color="auto"/>
            </w:tcBorders>
            <w:noWrap/>
          </w:tcPr>
          <w:p w14:paraId="6E736BC9" w14:textId="77777777" w:rsidR="006125F8" w:rsidRPr="004375CA" w:rsidRDefault="006125F8" w:rsidP="006125F8">
            <w:pPr>
              <w:pStyle w:val="TableText"/>
              <w:jc w:val="right"/>
              <w:rPr>
                <w:bCs/>
                <w:strike/>
                <w:highlight w:val="yellow"/>
                <w:lang w:eastAsia="ja-JP"/>
              </w:rPr>
            </w:pPr>
            <w:r w:rsidRPr="006C2F56">
              <w:t>45,448</w:t>
            </w:r>
          </w:p>
        </w:tc>
        <w:tc>
          <w:tcPr>
            <w:tcW w:w="747" w:type="pct"/>
            <w:tcBorders>
              <w:top w:val="single" w:sz="4" w:space="0" w:color="auto"/>
              <w:bottom w:val="single" w:sz="4" w:space="0" w:color="auto"/>
            </w:tcBorders>
            <w:shd w:val="clear" w:color="auto" w:fill="auto"/>
            <w:noWrap/>
          </w:tcPr>
          <w:p w14:paraId="5CFAFC6C" w14:textId="77777777" w:rsidR="006125F8" w:rsidRPr="004375CA" w:rsidRDefault="006125F8" w:rsidP="006125F8">
            <w:pPr>
              <w:pStyle w:val="TableText"/>
              <w:jc w:val="right"/>
              <w:rPr>
                <w:bCs/>
                <w:strike/>
                <w:highlight w:val="yellow"/>
                <w:lang w:eastAsia="ja-JP"/>
              </w:rPr>
            </w:pPr>
            <w:r w:rsidRPr="006C2F56">
              <w:t>2,742,089</w:t>
            </w:r>
          </w:p>
        </w:tc>
      </w:tr>
      <w:tr w:rsidR="006125F8" w:rsidRPr="009F1EFF" w14:paraId="1E172916" w14:textId="77777777" w:rsidTr="6C613F67">
        <w:tc>
          <w:tcPr>
            <w:tcW w:w="849" w:type="pct"/>
            <w:vMerge/>
            <w:noWrap/>
          </w:tcPr>
          <w:p w14:paraId="17862F20" w14:textId="77777777" w:rsidR="006125F8" w:rsidRPr="00735097" w:rsidRDefault="006125F8" w:rsidP="006125F8">
            <w:pPr>
              <w:pStyle w:val="TableText"/>
              <w:rPr>
                <w:bCs/>
                <w:lang w:eastAsia="ja-JP"/>
              </w:rPr>
            </w:pPr>
          </w:p>
        </w:tc>
        <w:tc>
          <w:tcPr>
            <w:tcW w:w="2007" w:type="pct"/>
            <w:tcBorders>
              <w:top w:val="single" w:sz="4" w:space="0" w:color="auto"/>
              <w:bottom w:val="single" w:sz="4" w:space="0" w:color="auto"/>
            </w:tcBorders>
            <w:noWrap/>
            <w:hideMark/>
          </w:tcPr>
          <w:p w14:paraId="11CA9FBE" w14:textId="77777777" w:rsidR="006125F8" w:rsidRPr="00735097" w:rsidRDefault="006125F8" w:rsidP="006125F8">
            <w:pPr>
              <w:pStyle w:val="TableText"/>
              <w:rPr>
                <w:bCs/>
                <w:lang w:eastAsia="ja-JP"/>
              </w:rPr>
            </w:pPr>
            <w:r w:rsidRPr="00735097">
              <w:rPr>
                <w:bCs/>
                <w:lang w:eastAsia="ja-JP"/>
              </w:rPr>
              <w:t>Audit</w:t>
            </w:r>
          </w:p>
        </w:tc>
        <w:tc>
          <w:tcPr>
            <w:tcW w:w="694" w:type="pct"/>
            <w:tcBorders>
              <w:top w:val="single" w:sz="4" w:space="0" w:color="auto"/>
              <w:bottom w:val="single" w:sz="4" w:space="0" w:color="auto"/>
            </w:tcBorders>
            <w:noWrap/>
          </w:tcPr>
          <w:p w14:paraId="255EE995" w14:textId="77777777" w:rsidR="006125F8" w:rsidRPr="004375CA" w:rsidRDefault="006125F8" w:rsidP="006125F8">
            <w:pPr>
              <w:pStyle w:val="TableText"/>
              <w:jc w:val="right"/>
              <w:rPr>
                <w:bCs/>
                <w:strike/>
                <w:highlight w:val="yellow"/>
                <w:lang w:eastAsia="ja-JP"/>
              </w:rPr>
            </w:pPr>
            <w:r w:rsidRPr="006C2F56">
              <w:t>4,549,655</w:t>
            </w:r>
          </w:p>
        </w:tc>
        <w:tc>
          <w:tcPr>
            <w:tcW w:w="703" w:type="pct"/>
            <w:tcBorders>
              <w:top w:val="single" w:sz="4" w:space="0" w:color="auto"/>
              <w:bottom w:val="single" w:sz="4" w:space="0" w:color="auto"/>
            </w:tcBorders>
            <w:noWrap/>
          </w:tcPr>
          <w:p w14:paraId="4533BD63" w14:textId="77777777" w:rsidR="006125F8" w:rsidRPr="004375CA" w:rsidRDefault="006125F8" w:rsidP="006125F8">
            <w:pPr>
              <w:pStyle w:val="TableText"/>
              <w:jc w:val="right"/>
              <w:rPr>
                <w:bCs/>
                <w:strike/>
                <w:highlight w:val="yellow"/>
                <w:lang w:eastAsia="ja-JP"/>
              </w:rPr>
            </w:pPr>
            <w:r w:rsidRPr="006C2F56">
              <w:t>46,269</w:t>
            </w:r>
          </w:p>
        </w:tc>
        <w:tc>
          <w:tcPr>
            <w:tcW w:w="747" w:type="pct"/>
            <w:tcBorders>
              <w:top w:val="single" w:sz="4" w:space="0" w:color="auto"/>
              <w:bottom w:val="single" w:sz="4" w:space="0" w:color="auto"/>
            </w:tcBorders>
            <w:shd w:val="clear" w:color="auto" w:fill="auto"/>
            <w:noWrap/>
          </w:tcPr>
          <w:p w14:paraId="6CF56B02" w14:textId="77777777" w:rsidR="006125F8" w:rsidRPr="004375CA" w:rsidRDefault="006125F8" w:rsidP="006125F8">
            <w:pPr>
              <w:pStyle w:val="TableText"/>
              <w:jc w:val="right"/>
              <w:rPr>
                <w:bCs/>
                <w:strike/>
                <w:highlight w:val="yellow"/>
                <w:lang w:eastAsia="ja-JP"/>
              </w:rPr>
            </w:pPr>
            <w:r w:rsidRPr="006C2F56">
              <w:t>4,595,924</w:t>
            </w:r>
          </w:p>
        </w:tc>
      </w:tr>
      <w:tr w:rsidR="006125F8" w:rsidRPr="009F1EFF" w14:paraId="6DBF6F86" w14:textId="77777777" w:rsidTr="6C613F67">
        <w:tc>
          <w:tcPr>
            <w:tcW w:w="849" w:type="pct"/>
            <w:vMerge/>
            <w:noWrap/>
          </w:tcPr>
          <w:p w14:paraId="798FE01E" w14:textId="77777777" w:rsidR="006125F8" w:rsidRPr="00735097" w:rsidRDefault="006125F8" w:rsidP="006125F8">
            <w:pPr>
              <w:pStyle w:val="TableText"/>
              <w:rPr>
                <w:bCs/>
                <w:lang w:eastAsia="ja-JP"/>
              </w:rPr>
            </w:pPr>
          </w:p>
        </w:tc>
        <w:tc>
          <w:tcPr>
            <w:tcW w:w="2007" w:type="pct"/>
            <w:tcBorders>
              <w:top w:val="single" w:sz="4" w:space="0" w:color="auto"/>
              <w:bottom w:val="single" w:sz="4" w:space="0" w:color="auto"/>
            </w:tcBorders>
            <w:noWrap/>
            <w:hideMark/>
          </w:tcPr>
          <w:p w14:paraId="1F95E8C5" w14:textId="77777777" w:rsidR="006125F8" w:rsidRPr="00735097" w:rsidRDefault="006125F8" w:rsidP="006125F8">
            <w:pPr>
              <w:pStyle w:val="TableText"/>
              <w:rPr>
                <w:bCs/>
                <w:lang w:eastAsia="ja-JP"/>
              </w:rPr>
            </w:pPr>
            <w:r w:rsidRPr="00735097">
              <w:rPr>
                <w:bCs/>
                <w:lang w:eastAsia="ja-JP"/>
              </w:rPr>
              <w:t>Husbandry</w:t>
            </w:r>
          </w:p>
        </w:tc>
        <w:tc>
          <w:tcPr>
            <w:tcW w:w="694" w:type="pct"/>
            <w:tcBorders>
              <w:top w:val="single" w:sz="4" w:space="0" w:color="auto"/>
              <w:bottom w:val="single" w:sz="4" w:space="0" w:color="auto"/>
            </w:tcBorders>
            <w:noWrap/>
          </w:tcPr>
          <w:p w14:paraId="550F896F" w14:textId="77777777" w:rsidR="006125F8" w:rsidRPr="004375CA" w:rsidRDefault="006125F8" w:rsidP="006125F8">
            <w:pPr>
              <w:pStyle w:val="TableText"/>
              <w:jc w:val="right"/>
              <w:rPr>
                <w:bCs/>
                <w:strike/>
                <w:highlight w:val="yellow"/>
                <w:lang w:eastAsia="ja-JP"/>
              </w:rPr>
            </w:pPr>
            <w:r w:rsidRPr="006C2F56">
              <w:t>4,065,073</w:t>
            </w:r>
          </w:p>
        </w:tc>
        <w:tc>
          <w:tcPr>
            <w:tcW w:w="703" w:type="pct"/>
            <w:tcBorders>
              <w:top w:val="single" w:sz="4" w:space="0" w:color="auto"/>
              <w:bottom w:val="single" w:sz="4" w:space="0" w:color="auto"/>
            </w:tcBorders>
            <w:noWrap/>
          </w:tcPr>
          <w:p w14:paraId="5018462F" w14:textId="77777777" w:rsidR="006125F8" w:rsidRPr="004375CA" w:rsidRDefault="006125F8" w:rsidP="006125F8">
            <w:pPr>
              <w:pStyle w:val="TableText"/>
              <w:jc w:val="right"/>
              <w:rPr>
                <w:bCs/>
                <w:strike/>
                <w:highlight w:val="yellow"/>
                <w:lang w:eastAsia="ja-JP"/>
              </w:rPr>
            </w:pPr>
            <w:r w:rsidRPr="006C2F56">
              <w:t>58,823</w:t>
            </w:r>
          </w:p>
        </w:tc>
        <w:tc>
          <w:tcPr>
            <w:tcW w:w="747" w:type="pct"/>
            <w:tcBorders>
              <w:top w:val="single" w:sz="4" w:space="0" w:color="auto"/>
              <w:bottom w:val="single" w:sz="4" w:space="0" w:color="auto"/>
            </w:tcBorders>
            <w:shd w:val="clear" w:color="auto" w:fill="auto"/>
            <w:noWrap/>
          </w:tcPr>
          <w:p w14:paraId="4E495144" w14:textId="77777777" w:rsidR="006125F8" w:rsidRPr="004375CA" w:rsidRDefault="006125F8" w:rsidP="006125F8">
            <w:pPr>
              <w:pStyle w:val="TableText"/>
              <w:jc w:val="right"/>
              <w:rPr>
                <w:bCs/>
                <w:strike/>
                <w:highlight w:val="yellow"/>
                <w:lang w:eastAsia="ja-JP"/>
              </w:rPr>
            </w:pPr>
            <w:r w:rsidRPr="006C2F56">
              <w:t>4,123,895</w:t>
            </w:r>
          </w:p>
        </w:tc>
      </w:tr>
      <w:tr w:rsidR="006125F8" w:rsidRPr="00A968F0" w14:paraId="68D22BA9" w14:textId="77777777" w:rsidTr="6C613F67">
        <w:tc>
          <w:tcPr>
            <w:tcW w:w="849" w:type="pct"/>
            <w:vMerge/>
            <w:noWrap/>
          </w:tcPr>
          <w:p w14:paraId="64264F01" w14:textId="77777777" w:rsidR="006125F8" w:rsidRPr="00B84A73" w:rsidRDefault="006125F8" w:rsidP="006125F8">
            <w:pPr>
              <w:pStyle w:val="TableText"/>
              <w:rPr>
                <w:rStyle w:val="Strong"/>
              </w:rPr>
            </w:pPr>
          </w:p>
        </w:tc>
        <w:tc>
          <w:tcPr>
            <w:tcW w:w="2007" w:type="pct"/>
            <w:tcBorders>
              <w:top w:val="single" w:sz="4" w:space="0" w:color="auto"/>
              <w:bottom w:val="single" w:sz="4" w:space="0" w:color="auto"/>
            </w:tcBorders>
            <w:noWrap/>
          </w:tcPr>
          <w:p w14:paraId="2CB1C5C9" w14:textId="77777777" w:rsidR="006125F8" w:rsidRPr="00B84A73" w:rsidRDefault="006125F8" w:rsidP="006125F8">
            <w:pPr>
              <w:pStyle w:val="TableText"/>
              <w:rPr>
                <w:rStyle w:val="Strong"/>
              </w:rPr>
            </w:pPr>
            <w:r>
              <w:rPr>
                <w:rStyle w:val="Strong"/>
              </w:rPr>
              <w:t>Total fees</w:t>
            </w:r>
          </w:p>
        </w:tc>
        <w:tc>
          <w:tcPr>
            <w:tcW w:w="694" w:type="pct"/>
            <w:tcBorders>
              <w:top w:val="single" w:sz="4" w:space="0" w:color="auto"/>
              <w:bottom w:val="single" w:sz="4" w:space="0" w:color="auto"/>
            </w:tcBorders>
            <w:noWrap/>
          </w:tcPr>
          <w:p w14:paraId="3AFD837E" w14:textId="77777777" w:rsidR="006125F8" w:rsidRDefault="006125F8" w:rsidP="006125F8">
            <w:pPr>
              <w:pStyle w:val="TableText"/>
              <w:jc w:val="right"/>
            </w:pPr>
            <w:r w:rsidRPr="006C2F56">
              <w:t>79,571,577</w:t>
            </w:r>
          </w:p>
        </w:tc>
        <w:tc>
          <w:tcPr>
            <w:tcW w:w="703" w:type="pct"/>
            <w:tcBorders>
              <w:top w:val="single" w:sz="4" w:space="0" w:color="auto"/>
              <w:bottom w:val="single" w:sz="4" w:space="0" w:color="auto"/>
            </w:tcBorders>
            <w:noWrap/>
          </w:tcPr>
          <w:p w14:paraId="2AAA3997" w14:textId="77777777" w:rsidR="006125F8" w:rsidRDefault="006125F8" w:rsidP="006125F8">
            <w:pPr>
              <w:pStyle w:val="TableText"/>
              <w:jc w:val="right"/>
            </w:pPr>
            <w:r w:rsidRPr="006C2F56">
              <w:t>1,881,926</w:t>
            </w:r>
          </w:p>
        </w:tc>
        <w:tc>
          <w:tcPr>
            <w:tcW w:w="747" w:type="pct"/>
            <w:tcBorders>
              <w:top w:val="single" w:sz="4" w:space="0" w:color="auto"/>
              <w:bottom w:val="single" w:sz="4" w:space="0" w:color="auto"/>
            </w:tcBorders>
            <w:noWrap/>
          </w:tcPr>
          <w:p w14:paraId="5F700DE6" w14:textId="77777777" w:rsidR="006125F8" w:rsidRPr="00A968F0" w:rsidRDefault="006125F8" w:rsidP="006125F8">
            <w:pPr>
              <w:pStyle w:val="TableText"/>
              <w:jc w:val="right"/>
              <w:rPr>
                <w:rStyle w:val="Strong"/>
              </w:rPr>
            </w:pPr>
            <w:r w:rsidRPr="00A968F0">
              <w:rPr>
                <w:rStyle w:val="Strong"/>
              </w:rPr>
              <w:t>81,453,502</w:t>
            </w:r>
          </w:p>
        </w:tc>
      </w:tr>
      <w:tr w:rsidR="006125F8" w:rsidRPr="00A968F0" w14:paraId="6B3E6E79" w14:textId="77777777" w:rsidTr="6C613F67">
        <w:tc>
          <w:tcPr>
            <w:tcW w:w="2856" w:type="pct"/>
            <w:gridSpan w:val="2"/>
            <w:tcBorders>
              <w:top w:val="single" w:sz="4" w:space="0" w:color="auto"/>
              <w:bottom w:val="single" w:sz="4" w:space="0" w:color="auto"/>
            </w:tcBorders>
            <w:noWrap/>
          </w:tcPr>
          <w:p w14:paraId="30E5EEA1" w14:textId="71948133" w:rsidR="006125F8" w:rsidRPr="006125F8" w:rsidRDefault="006125F8" w:rsidP="006125F8">
            <w:pPr>
              <w:pStyle w:val="TableText"/>
              <w:rPr>
                <w:rStyle w:val="Strong"/>
                <w:b w:val="0"/>
                <w:bCs w:val="0"/>
              </w:rPr>
            </w:pPr>
            <w:r>
              <w:rPr>
                <w:rStyle w:val="Strong"/>
              </w:rPr>
              <w:t>Total fees and charges</w:t>
            </w:r>
          </w:p>
        </w:tc>
        <w:tc>
          <w:tcPr>
            <w:tcW w:w="694" w:type="pct"/>
            <w:tcBorders>
              <w:top w:val="single" w:sz="4" w:space="0" w:color="auto"/>
              <w:bottom w:val="single" w:sz="4" w:space="0" w:color="auto"/>
            </w:tcBorders>
            <w:noWrap/>
          </w:tcPr>
          <w:p w14:paraId="0000719B" w14:textId="77777777" w:rsidR="006125F8" w:rsidRPr="004375CA" w:rsidRDefault="006125F8" w:rsidP="006125F8">
            <w:pPr>
              <w:pStyle w:val="TableText"/>
              <w:jc w:val="right"/>
              <w:rPr>
                <w:rStyle w:val="Strong"/>
                <w:strike/>
                <w:highlight w:val="yellow"/>
              </w:rPr>
            </w:pPr>
            <w:r>
              <w:t>275,263,442</w:t>
            </w:r>
          </w:p>
        </w:tc>
        <w:tc>
          <w:tcPr>
            <w:tcW w:w="703" w:type="pct"/>
            <w:tcBorders>
              <w:top w:val="single" w:sz="4" w:space="0" w:color="auto"/>
              <w:bottom w:val="single" w:sz="4" w:space="0" w:color="auto"/>
            </w:tcBorders>
            <w:noWrap/>
          </w:tcPr>
          <w:p w14:paraId="2C12F5FE" w14:textId="77777777" w:rsidR="006125F8" w:rsidRPr="004375CA" w:rsidRDefault="006125F8" w:rsidP="006125F8">
            <w:pPr>
              <w:pStyle w:val="TableText"/>
              <w:jc w:val="right"/>
              <w:rPr>
                <w:rStyle w:val="Strong"/>
                <w:strike/>
                <w:highlight w:val="yellow"/>
              </w:rPr>
            </w:pPr>
            <w:r>
              <w:t>121,950,765</w:t>
            </w:r>
          </w:p>
        </w:tc>
        <w:tc>
          <w:tcPr>
            <w:tcW w:w="747" w:type="pct"/>
            <w:tcBorders>
              <w:top w:val="single" w:sz="4" w:space="0" w:color="auto"/>
              <w:bottom w:val="single" w:sz="4" w:space="0" w:color="auto"/>
            </w:tcBorders>
            <w:noWrap/>
          </w:tcPr>
          <w:p w14:paraId="6E73CAF8" w14:textId="77777777" w:rsidR="006125F8" w:rsidRPr="00A968F0" w:rsidRDefault="006125F8" w:rsidP="006125F8">
            <w:pPr>
              <w:pStyle w:val="TableText"/>
              <w:jc w:val="right"/>
              <w:rPr>
                <w:rStyle w:val="Strong"/>
                <w:highlight w:val="yellow"/>
              </w:rPr>
            </w:pPr>
            <w:r w:rsidRPr="00A968F0">
              <w:rPr>
                <w:rStyle w:val="Strong"/>
              </w:rPr>
              <w:t>3</w:t>
            </w:r>
            <w:r>
              <w:rPr>
                <w:rStyle w:val="Strong"/>
              </w:rPr>
              <w:t>97,214,206</w:t>
            </w:r>
          </w:p>
        </w:tc>
      </w:tr>
      <w:tr w:rsidR="006125F8" w:rsidRPr="009F1EFF" w14:paraId="5F2CD878" w14:textId="77777777" w:rsidTr="6C613F67">
        <w:tc>
          <w:tcPr>
            <w:tcW w:w="849" w:type="pct"/>
            <w:vMerge w:val="restart"/>
            <w:tcBorders>
              <w:top w:val="single" w:sz="4" w:space="0" w:color="auto"/>
            </w:tcBorders>
            <w:noWrap/>
          </w:tcPr>
          <w:p w14:paraId="552104D4" w14:textId="521D4AE8" w:rsidR="006125F8" w:rsidRPr="006D3730" w:rsidRDefault="00A15457" w:rsidP="6C613F67">
            <w:pPr>
              <w:pStyle w:val="TableText"/>
              <w:rPr>
                <w:rStyle w:val="Strong"/>
              </w:rPr>
            </w:pPr>
            <w:r w:rsidRPr="006D3730">
              <w:rPr>
                <w:rStyle w:val="Strong"/>
              </w:rPr>
              <w:t xml:space="preserve">Relevant </w:t>
            </w:r>
            <w:r w:rsidR="00683397" w:rsidRPr="006D3730">
              <w:rPr>
                <w:rStyle w:val="Strong"/>
              </w:rPr>
              <w:t>reductions</w:t>
            </w:r>
          </w:p>
        </w:tc>
        <w:tc>
          <w:tcPr>
            <w:tcW w:w="2007" w:type="pct"/>
            <w:tcBorders>
              <w:top w:val="single" w:sz="4" w:space="0" w:color="auto"/>
              <w:bottom w:val="single" w:sz="4" w:space="0" w:color="auto"/>
            </w:tcBorders>
            <w:noWrap/>
          </w:tcPr>
          <w:p w14:paraId="6EC31001" w14:textId="77777777" w:rsidR="006125F8" w:rsidRDefault="006125F8" w:rsidP="006125F8">
            <w:pPr>
              <w:pStyle w:val="TableText"/>
              <w:rPr>
                <w:lang w:eastAsia="ja-JP"/>
              </w:rPr>
            </w:pPr>
            <w:r w:rsidRPr="00257ED0">
              <w:rPr>
                <w:bCs/>
                <w:lang w:eastAsia="ja-JP"/>
              </w:rPr>
              <w:t xml:space="preserve">Less </w:t>
            </w:r>
            <w:r>
              <w:rPr>
                <w:bCs/>
                <w:lang w:eastAsia="ja-JP"/>
              </w:rPr>
              <w:t>g</w:t>
            </w:r>
            <w:r w:rsidRPr="00257ED0">
              <w:rPr>
                <w:bCs/>
                <w:lang w:eastAsia="ja-JP"/>
              </w:rPr>
              <w:t xml:space="preserve">overnment </w:t>
            </w:r>
            <w:r>
              <w:rPr>
                <w:bCs/>
                <w:lang w:eastAsia="ja-JP"/>
              </w:rPr>
              <w:t>a</w:t>
            </w:r>
            <w:r w:rsidRPr="00257ED0">
              <w:rPr>
                <w:bCs/>
                <w:lang w:eastAsia="ja-JP"/>
              </w:rPr>
              <w:t xml:space="preserve">ppropriation for </w:t>
            </w:r>
            <w:r>
              <w:rPr>
                <w:bCs/>
                <w:lang w:eastAsia="ja-JP"/>
              </w:rPr>
              <w:t>a</w:t>
            </w:r>
            <w:r w:rsidRPr="00257ED0">
              <w:rPr>
                <w:bCs/>
                <w:lang w:eastAsia="ja-JP"/>
              </w:rPr>
              <w:t>nti-</w:t>
            </w:r>
            <w:r>
              <w:rPr>
                <w:bCs/>
                <w:lang w:eastAsia="ja-JP"/>
              </w:rPr>
              <w:t>s</w:t>
            </w:r>
            <w:r w:rsidRPr="00257ED0">
              <w:rPr>
                <w:bCs/>
                <w:lang w:eastAsia="ja-JP"/>
              </w:rPr>
              <w:t xml:space="preserve">muggling </w:t>
            </w:r>
            <w:r>
              <w:rPr>
                <w:bCs/>
                <w:lang w:eastAsia="ja-JP"/>
              </w:rPr>
              <w:t>m</w:t>
            </w:r>
            <w:r w:rsidRPr="00257ED0">
              <w:rPr>
                <w:bCs/>
                <w:lang w:eastAsia="ja-JP"/>
              </w:rPr>
              <w:t>easures</w:t>
            </w:r>
          </w:p>
        </w:tc>
        <w:tc>
          <w:tcPr>
            <w:tcW w:w="694" w:type="pct"/>
            <w:tcBorders>
              <w:top w:val="single" w:sz="4" w:space="0" w:color="auto"/>
              <w:bottom w:val="single" w:sz="4" w:space="0" w:color="auto"/>
            </w:tcBorders>
            <w:noWrap/>
          </w:tcPr>
          <w:p w14:paraId="4C49F225" w14:textId="77777777" w:rsidR="006125F8" w:rsidRPr="004375CA" w:rsidRDefault="006125F8" w:rsidP="006125F8">
            <w:pPr>
              <w:pStyle w:val="TableText"/>
              <w:jc w:val="right"/>
              <w:rPr>
                <w:strike/>
                <w:highlight w:val="yellow"/>
                <w:lang w:eastAsia="ja-JP"/>
              </w:rPr>
            </w:pPr>
            <w:r>
              <w:t>–</w:t>
            </w:r>
          </w:p>
        </w:tc>
        <w:tc>
          <w:tcPr>
            <w:tcW w:w="703" w:type="pct"/>
            <w:tcBorders>
              <w:top w:val="single" w:sz="4" w:space="0" w:color="auto"/>
              <w:bottom w:val="single" w:sz="4" w:space="0" w:color="auto"/>
            </w:tcBorders>
            <w:noWrap/>
          </w:tcPr>
          <w:p w14:paraId="4BDB51FA" w14:textId="77777777" w:rsidR="006125F8" w:rsidRPr="007E6413" w:rsidRDefault="006125F8" w:rsidP="006125F8">
            <w:pPr>
              <w:pStyle w:val="TableText"/>
              <w:jc w:val="right"/>
              <w:rPr>
                <w:highlight w:val="yellow"/>
              </w:rPr>
            </w:pPr>
            <w:r w:rsidRPr="007E6413">
              <w:t>–</w:t>
            </w:r>
          </w:p>
        </w:tc>
        <w:tc>
          <w:tcPr>
            <w:tcW w:w="747" w:type="pct"/>
            <w:tcBorders>
              <w:top w:val="single" w:sz="4" w:space="0" w:color="auto"/>
              <w:bottom w:val="single" w:sz="4" w:space="0" w:color="auto"/>
            </w:tcBorders>
            <w:noWrap/>
          </w:tcPr>
          <w:p w14:paraId="37E4CA2C" w14:textId="77777777" w:rsidR="006125F8" w:rsidRPr="004375CA" w:rsidRDefault="006125F8" w:rsidP="006125F8">
            <w:pPr>
              <w:pStyle w:val="TableText"/>
              <w:jc w:val="right"/>
              <w:rPr>
                <w:strike/>
                <w:highlight w:val="yellow"/>
                <w:lang w:eastAsia="ja-JP"/>
              </w:rPr>
            </w:pPr>
            <w:r>
              <w:t>(</w:t>
            </w:r>
            <w:r w:rsidRPr="006C2F56">
              <w:t>1,618,084</w:t>
            </w:r>
            <w:r>
              <w:t>)</w:t>
            </w:r>
          </w:p>
        </w:tc>
      </w:tr>
      <w:tr w:rsidR="006125F8" w:rsidRPr="009F1EFF" w14:paraId="62F7914C" w14:textId="77777777" w:rsidTr="6C613F67">
        <w:tc>
          <w:tcPr>
            <w:tcW w:w="849" w:type="pct"/>
            <w:vMerge/>
            <w:noWrap/>
          </w:tcPr>
          <w:p w14:paraId="56794F4E" w14:textId="77777777" w:rsidR="006125F8" w:rsidRPr="00257ED0" w:rsidRDefault="006125F8" w:rsidP="006125F8">
            <w:pPr>
              <w:pStyle w:val="TableText"/>
              <w:rPr>
                <w:bCs/>
                <w:lang w:eastAsia="ja-JP"/>
              </w:rPr>
            </w:pPr>
          </w:p>
        </w:tc>
        <w:tc>
          <w:tcPr>
            <w:tcW w:w="2007" w:type="pct"/>
            <w:tcBorders>
              <w:top w:val="single" w:sz="4" w:space="0" w:color="auto"/>
              <w:bottom w:val="single" w:sz="4" w:space="0" w:color="auto"/>
            </w:tcBorders>
            <w:noWrap/>
          </w:tcPr>
          <w:p w14:paraId="06E449C4" w14:textId="77777777" w:rsidR="006125F8" w:rsidRPr="00257ED0" w:rsidRDefault="006125F8" w:rsidP="006125F8">
            <w:pPr>
              <w:pStyle w:val="TableText"/>
              <w:rPr>
                <w:b/>
                <w:bCs/>
                <w:lang w:eastAsia="ja-JP"/>
              </w:rPr>
            </w:pPr>
            <w:r w:rsidRPr="00257ED0">
              <w:rPr>
                <w:bCs/>
                <w:lang w:eastAsia="ja-JP"/>
              </w:rPr>
              <w:t>Less diagnostic consumables recovered at cost</w:t>
            </w:r>
          </w:p>
        </w:tc>
        <w:tc>
          <w:tcPr>
            <w:tcW w:w="694" w:type="pct"/>
            <w:tcBorders>
              <w:top w:val="single" w:sz="4" w:space="0" w:color="auto"/>
              <w:bottom w:val="single" w:sz="4" w:space="0" w:color="auto"/>
            </w:tcBorders>
            <w:noWrap/>
          </w:tcPr>
          <w:p w14:paraId="7EEEA34A" w14:textId="77777777" w:rsidR="006125F8" w:rsidRPr="004375CA" w:rsidRDefault="006125F8" w:rsidP="006125F8">
            <w:pPr>
              <w:pStyle w:val="TableText"/>
              <w:jc w:val="right"/>
              <w:rPr>
                <w:strike/>
                <w:highlight w:val="yellow"/>
                <w:lang w:eastAsia="ja-JP"/>
              </w:rPr>
            </w:pPr>
            <w:r>
              <w:t>–</w:t>
            </w:r>
          </w:p>
        </w:tc>
        <w:tc>
          <w:tcPr>
            <w:tcW w:w="703" w:type="pct"/>
            <w:tcBorders>
              <w:top w:val="single" w:sz="4" w:space="0" w:color="auto"/>
              <w:bottom w:val="single" w:sz="4" w:space="0" w:color="auto"/>
            </w:tcBorders>
            <w:noWrap/>
          </w:tcPr>
          <w:p w14:paraId="23FB4BD7" w14:textId="77777777" w:rsidR="006125F8" w:rsidRPr="004375CA" w:rsidRDefault="006125F8" w:rsidP="006125F8">
            <w:pPr>
              <w:pStyle w:val="TableText"/>
              <w:jc w:val="right"/>
              <w:rPr>
                <w:strike/>
                <w:highlight w:val="yellow"/>
                <w:lang w:eastAsia="ja-JP"/>
              </w:rPr>
            </w:pPr>
          </w:p>
        </w:tc>
        <w:tc>
          <w:tcPr>
            <w:tcW w:w="747" w:type="pct"/>
            <w:tcBorders>
              <w:top w:val="single" w:sz="4" w:space="0" w:color="auto"/>
              <w:bottom w:val="single" w:sz="4" w:space="0" w:color="auto"/>
            </w:tcBorders>
            <w:noWrap/>
          </w:tcPr>
          <w:p w14:paraId="7A99379E" w14:textId="77777777" w:rsidR="006125F8" w:rsidRPr="004375CA" w:rsidRDefault="006125F8" w:rsidP="006125F8">
            <w:pPr>
              <w:pStyle w:val="TableText"/>
              <w:jc w:val="right"/>
              <w:rPr>
                <w:b/>
                <w:bCs/>
                <w:strike/>
                <w:highlight w:val="yellow"/>
                <w:lang w:eastAsia="ja-JP"/>
              </w:rPr>
            </w:pPr>
            <w:r>
              <w:t>(</w:t>
            </w:r>
            <w:r w:rsidRPr="006C2F56">
              <w:t>169,861</w:t>
            </w:r>
            <w:r>
              <w:t>)</w:t>
            </w:r>
          </w:p>
        </w:tc>
      </w:tr>
      <w:tr w:rsidR="006125F8" w:rsidRPr="009F1EFF" w14:paraId="58CC2F3F" w14:textId="77777777" w:rsidTr="6C613F67">
        <w:tc>
          <w:tcPr>
            <w:tcW w:w="849" w:type="pct"/>
            <w:vMerge/>
            <w:noWrap/>
          </w:tcPr>
          <w:p w14:paraId="4E8DF5D6" w14:textId="77777777" w:rsidR="006125F8" w:rsidRDefault="006125F8" w:rsidP="006125F8">
            <w:pPr>
              <w:pStyle w:val="TableText"/>
              <w:rPr>
                <w:bCs/>
                <w:lang w:eastAsia="ja-JP"/>
              </w:rPr>
            </w:pPr>
          </w:p>
        </w:tc>
        <w:tc>
          <w:tcPr>
            <w:tcW w:w="2007" w:type="pct"/>
            <w:tcBorders>
              <w:top w:val="single" w:sz="4" w:space="0" w:color="auto"/>
              <w:bottom w:val="single" w:sz="4" w:space="0" w:color="auto"/>
            </w:tcBorders>
            <w:noWrap/>
          </w:tcPr>
          <w:p w14:paraId="371CFBCB" w14:textId="77777777" w:rsidR="006125F8" w:rsidRPr="00257ED0" w:rsidRDefault="006125F8" w:rsidP="006125F8">
            <w:pPr>
              <w:pStyle w:val="TableText"/>
              <w:rPr>
                <w:b/>
                <w:bCs/>
                <w:lang w:eastAsia="ja-JP"/>
              </w:rPr>
            </w:pPr>
            <w:r>
              <w:rPr>
                <w:bCs/>
                <w:lang w:eastAsia="ja-JP"/>
              </w:rPr>
              <w:t>Less costs paid on behalf of and recovered from companion animal importers</w:t>
            </w:r>
          </w:p>
        </w:tc>
        <w:tc>
          <w:tcPr>
            <w:tcW w:w="694" w:type="pct"/>
            <w:tcBorders>
              <w:top w:val="single" w:sz="4" w:space="0" w:color="auto"/>
              <w:bottom w:val="single" w:sz="4" w:space="0" w:color="auto"/>
            </w:tcBorders>
            <w:noWrap/>
          </w:tcPr>
          <w:p w14:paraId="6DF4678C" w14:textId="77777777" w:rsidR="006125F8" w:rsidRPr="004375CA" w:rsidRDefault="006125F8" w:rsidP="006125F8">
            <w:pPr>
              <w:pStyle w:val="TableText"/>
              <w:jc w:val="right"/>
              <w:rPr>
                <w:strike/>
                <w:highlight w:val="yellow"/>
                <w:lang w:eastAsia="ja-JP"/>
              </w:rPr>
            </w:pPr>
            <w:r>
              <w:t>–</w:t>
            </w:r>
          </w:p>
        </w:tc>
        <w:tc>
          <w:tcPr>
            <w:tcW w:w="703" w:type="pct"/>
            <w:tcBorders>
              <w:top w:val="single" w:sz="4" w:space="0" w:color="auto"/>
              <w:bottom w:val="single" w:sz="4" w:space="0" w:color="auto"/>
            </w:tcBorders>
            <w:noWrap/>
          </w:tcPr>
          <w:p w14:paraId="543546AA" w14:textId="77777777" w:rsidR="006125F8" w:rsidRPr="004375CA" w:rsidRDefault="006125F8" w:rsidP="006125F8">
            <w:pPr>
              <w:pStyle w:val="TableText"/>
              <w:jc w:val="right"/>
              <w:rPr>
                <w:strike/>
                <w:highlight w:val="yellow"/>
                <w:lang w:eastAsia="ja-JP"/>
              </w:rPr>
            </w:pPr>
            <w:r>
              <w:t>–</w:t>
            </w:r>
          </w:p>
        </w:tc>
        <w:tc>
          <w:tcPr>
            <w:tcW w:w="747" w:type="pct"/>
            <w:tcBorders>
              <w:top w:val="single" w:sz="4" w:space="0" w:color="auto"/>
              <w:bottom w:val="single" w:sz="4" w:space="0" w:color="auto"/>
            </w:tcBorders>
            <w:noWrap/>
          </w:tcPr>
          <w:p w14:paraId="1AE4DBAD" w14:textId="77777777" w:rsidR="006125F8" w:rsidRPr="004375CA" w:rsidRDefault="006125F8" w:rsidP="006125F8">
            <w:pPr>
              <w:pStyle w:val="TableText"/>
              <w:jc w:val="right"/>
              <w:rPr>
                <w:b/>
                <w:bCs/>
                <w:strike/>
                <w:highlight w:val="yellow"/>
                <w:lang w:eastAsia="ja-JP"/>
              </w:rPr>
            </w:pPr>
            <w:r>
              <w:t>(</w:t>
            </w:r>
            <w:r w:rsidRPr="006C2F56">
              <w:t>800,000</w:t>
            </w:r>
            <w:r>
              <w:t>)</w:t>
            </w:r>
          </w:p>
        </w:tc>
      </w:tr>
      <w:tr w:rsidR="006125F8" w:rsidRPr="009F1EFF" w14:paraId="7D4716EF" w14:textId="77777777" w:rsidTr="6C613F67">
        <w:tc>
          <w:tcPr>
            <w:tcW w:w="2856" w:type="pct"/>
            <w:gridSpan w:val="2"/>
            <w:tcBorders>
              <w:top w:val="single" w:sz="4" w:space="0" w:color="auto"/>
              <w:bottom w:val="single" w:sz="4" w:space="0" w:color="auto"/>
            </w:tcBorders>
            <w:noWrap/>
          </w:tcPr>
          <w:p w14:paraId="4CBC9227" w14:textId="7467B1E7" w:rsidR="006125F8" w:rsidRPr="00B84A73" w:rsidRDefault="006125F8" w:rsidP="006125F8">
            <w:pPr>
              <w:pStyle w:val="TableText"/>
              <w:rPr>
                <w:rStyle w:val="Strong"/>
              </w:rPr>
            </w:pPr>
            <w:r w:rsidRPr="00B84A73">
              <w:rPr>
                <w:rStyle w:val="Strong"/>
              </w:rPr>
              <w:t>Net costs to be recovered</w:t>
            </w:r>
          </w:p>
        </w:tc>
        <w:tc>
          <w:tcPr>
            <w:tcW w:w="694" w:type="pct"/>
            <w:tcBorders>
              <w:top w:val="single" w:sz="4" w:space="0" w:color="auto"/>
              <w:bottom w:val="single" w:sz="4" w:space="0" w:color="auto"/>
            </w:tcBorders>
            <w:noWrap/>
          </w:tcPr>
          <w:p w14:paraId="793FB004" w14:textId="77777777" w:rsidR="006125F8" w:rsidRPr="004375CA" w:rsidRDefault="006125F8" w:rsidP="006125F8">
            <w:pPr>
              <w:pStyle w:val="TableText"/>
              <w:jc w:val="right"/>
              <w:rPr>
                <w:rStyle w:val="Strong"/>
                <w:strike/>
                <w:highlight w:val="yellow"/>
              </w:rPr>
            </w:pPr>
            <w:r>
              <w:t>–</w:t>
            </w:r>
          </w:p>
        </w:tc>
        <w:tc>
          <w:tcPr>
            <w:tcW w:w="703" w:type="pct"/>
            <w:tcBorders>
              <w:top w:val="single" w:sz="4" w:space="0" w:color="auto"/>
              <w:bottom w:val="single" w:sz="4" w:space="0" w:color="auto"/>
            </w:tcBorders>
            <w:noWrap/>
          </w:tcPr>
          <w:p w14:paraId="1B507F18" w14:textId="578ECC54" w:rsidR="006125F8" w:rsidRPr="004375CA" w:rsidRDefault="006125F8" w:rsidP="006125F8">
            <w:pPr>
              <w:pStyle w:val="TableText"/>
              <w:jc w:val="right"/>
              <w:rPr>
                <w:rStyle w:val="Strong"/>
                <w:strike/>
                <w:highlight w:val="yellow"/>
              </w:rPr>
            </w:pPr>
            <w:r>
              <w:t>–</w:t>
            </w:r>
          </w:p>
        </w:tc>
        <w:tc>
          <w:tcPr>
            <w:tcW w:w="747" w:type="pct"/>
            <w:tcBorders>
              <w:top w:val="single" w:sz="4" w:space="0" w:color="auto"/>
              <w:bottom w:val="single" w:sz="4" w:space="0" w:color="auto"/>
            </w:tcBorders>
            <w:noWrap/>
          </w:tcPr>
          <w:p w14:paraId="7A287616" w14:textId="77777777" w:rsidR="006125F8" w:rsidRPr="00A968F0" w:rsidRDefault="006125F8" w:rsidP="006125F8">
            <w:pPr>
              <w:pStyle w:val="TableText"/>
              <w:jc w:val="right"/>
              <w:rPr>
                <w:rStyle w:val="Strong"/>
                <w:highlight w:val="yellow"/>
              </w:rPr>
            </w:pPr>
            <w:r w:rsidRPr="00A968F0">
              <w:rPr>
                <w:rStyle w:val="Strong"/>
              </w:rPr>
              <w:t>3</w:t>
            </w:r>
            <w:r>
              <w:rPr>
                <w:rStyle w:val="Strong"/>
              </w:rPr>
              <w:t>94</w:t>
            </w:r>
            <w:r w:rsidRPr="00A968F0">
              <w:rPr>
                <w:rStyle w:val="Strong"/>
              </w:rPr>
              <w:t>,</w:t>
            </w:r>
            <w:r>
              <w:rPr>
                <w:rStyle w:val="Strong"/>
              </w:rPr>
              <w:t>626</w:t>
            </w:r>
            <w:r w:rsidRPr="00A968F0">
              <w:rPr>
                <w:rStyle w:val="Strong"/>
              </w:rPr>
              <w:t>,</w:t>
            </w:r>
            <w:r>
              <w:rPr>
                <w:rStyle w:val="Strong"/>
              </w:rPr>
              <w:t>261</w:t>
            </w:r>
          </w:p>
        </w:tc>
      </w:tr>
    </w:tbl>
    <w:p w14:paraId="768CAF14" w14:textId="5F85B8B4" w:rsidR="00EC4BB1" w:rsidRPr="00974A2E" w:rsidRDefault="00581EDA" w:rsidP="006125F8">
      <w:pPr>
        <w:pStyle w:val="Heading3"/>
        <w:spacing w:before="240"/>
      </w:pPr>
      <w:bookmarkStart w:id="62" w:name="_Toc177103781"/>
      <w:r w:rsidRPr="00974A2E">
        <w:t>Cost re</w:t>
      </w:r>
      <w:r w:rsidR="006F0E10" w:rsidRPr="00974A2E">
        <w:t>covery reserves</w:t>
      </w:r>
      <w:bookmarkEnd w:id="60"/>
      <w:bookmarkEnd w:id="62"/>
    </w:p>
    <w:p w14:paraId="5AD92AEE" w14:textId="141AB4E5" w:rsidR="00602EF0" w:rsidRDefault="006F315A" w:rsidP="00602EF0">
      <w:r w:rsidRPr="3AFF628C">
        <w:t xml:space="preserve">The cost recovery reserve is the mechanism </w:t>
      </w:r>
      <w:r w:rsidR="003E6101">
        <w:t>we use</w:t>
      </w:r>
      <w:r w:rsidRPr="3AFF628C">
        <w:t xml:space="preserve"> to manage under</w:t>
      </w:r>
      <w:r w:rsidR="0018765C" w:rsidRPr="3AFF628C">
        <w:t>-</w:t>
      </w:r>
      <w:r w:rsidRPr="3AFF628C">
        <w:t xml:space="preserve"> or over</w:t>
      </w:r>
      <w:r w:rsidR="0018765C" w:rsidRPr="3AFF628C">
        <w:t>-</w:t>
      </w:r>
      <w:r w:rsidRPr="3AFF628C">
        <w:t xml:space="preserve">recovery of costs. Regulatory charging is set to recover reasonable costs. However, </w:t>
      </w:r>
      <w:r w:rsidR="00540181" w:rsidRPr="3AFF628C">
        <w:t>several</w:t>
      </w:r>
      <w:r w:rsidR="00085A44" w:rsidRPr="3AFF628C">
        <w:t xml:space="preserve"> </w:t>
      </w:r>
      <w:r w:rsidRPr="3AFF628C">
        <w:t>factors can affect the difference between revenue and expenses. These include volume variances and changes in expenses based on risk profiles.</w:t>
      </w:r>
      <w:r w:rsidR="00E90300" w:rsidRPr="3AFF628C">
        <w:t xml:space="preserve"> </w:t>
      </w:r>
      <w:r w:rsidR="00602EF0" w:rsidRPr="3AFF628C">
        <w:t xml:space="preserve">Once </w:t>
      </w:r>
      <w:r w:rsidR="00E90300" w:rsidRPr="3AFF628C">
        <w:t xml:space="preserve">industry pays </w:t>
      </w:r>
      <w:r w:rsidR="00602EF0" w:rsidRPr="3AFF628C">
        <w:t xml:space="preserve">a fee or charge it becomes government revenue. </w:t>
      </w:r>
      <w:r w:rsidR="00E90300" w:rsidRPr="3AFF628C">
        <w:t>We</w:t>
      </w:r>
      <w:r w:rsidR="00602EF0" w:rsidRPr="3AFF628C">
        <w:t xml:space="preserve"> will consult with industry on any under-recovery or over-recovery.</w:t>
      </w:r>
    </w:p>
    <w:p w14:paraId="3F53CED9" w14:textId="7073A676" w:rsidR="00577392" w:rsidRPr="0029167F" w:rsidRDefault="5F96D0BC" w:rsidP="00A4763B">
      <w:pPr>
        <w:rPr>
          <w:lang w:eastAsia="ja-JP"/>
        </w:rPr>
      </w:pPr>
      <w:r w:rsidRPr="6C93A7E3">
        <w:rPr>
          <w:lang w:eastAsia="ja-JP"/>
        </w:rPr>
        <w:lastRenderedPageBreak/>
        <w:t>The department and industry may agree to manage over-recoveries th</w:t>
      </w:r>
      <w:r w:rsidR="37ED834A" w:rsidRPr="6C93A7E3">
        <w:rPr>
          <w:lang w:eastAsia="ja-JP"/>
        </w:rPr>
        <w:t>r</w:t>
      </w:r>
      <w:r w:rsidRPr="6C93A7E3">
        <w:rPr>
          <w:lang w:eastAsia="ja-JP"/>
        </w:rPr>
        <w:t>ough remittance and investment initiatives.</w:t>
      </w:r>
    </w:p>
    <w:p w14:paraId="2024CFF2" w14:textId="3176B925" w:rsidR="0018765C" w:rsidRDefault="00E25190" w:rsidP="00A4763B">
      <w:pPr>
        <w:rPr>
          <w:lang w:eastAsia="ja-JP"/>
        </w:rPr>
      </w:pPr>
      <w:r w:rsidRPr="3AFF628C">
        <w:rPr>
          <w:lang w:eastAsia="ja-JP"/>
        </w:rPr>
        <w:t xml:space="preserve">Under-recoveries will result in </w:t>
      </w:r>
      <w:r w:rsidR="00EE1896">
        <w:rPr>
          <w:lang w:eastAsia="ja-JP"/>
        </w:rPr>
        <w:t xml:space="preserve">the </w:t>
      </w:r>
      <w:r w:rsidR="008D04F5">
        <w:rPr>
          <w:lang w:eastAsia="ja-JP"/>
        </w:rPr>
        <w:t xml:space="preserve">SAC </w:t>
      </w:r>
      <w:r w:rsidR="00EE1896">
        <w:rPr>
          <w:lang w:eastAsia="ja-JP"/>
        </w:rPr>
        <w:t>charge</w:t>
      </w:r>
      <w:r w:rsidR="00E01EE3">
        <w:rPr>
          <w:lang w:eastAsia="ja-JP"/>
        </w:rPr>
        <w:t xml:space="preserve"> </w:t>
      </w:r>
      <w:r w:rsidRPr="3AFF628C">
        <w:rPr>
          <w:lang w:eastAsia="ja-JP"/>
        </w:rPr>
        <w:t xml:space="preserve">not recovering the expenses of the relevant regulatory </w:t>
      </w:r>
      <w:r w:rsidR="00D97D81" w:rsidRPr="3AFF628C">
        <w:rPr>
          <w:lang w:eastAsia="ja-JP"/>
        </w:rPr>
        <w:t>activities</w:t>
      </w:r>
      <w:r w:rsidRPr="3AFF628C">
        <w:rPr>
          <w:lang w:eastAsia="ja-JP"/>
        </w:rPr>
        <w:t xml:space="preserve">. </w:t>
      </w:r>
      <w:r w:rsidRPr="5D504441">
        <w:rPr>
          <w:lang w:eastAsia="ja-JP"/>
        </w:rPr>
        <w:t xml:space="preserve">This </w:t>
      </w:r>
      <w:r w:rsidR="76176AA5" w:rsidRPr="5D504441">
        <w:rPr>
          <w:lang w:eastAsia="ja-JP"/>
        </w:rPr>
        <w:t xml:space="preserve">would </w:t>
      </w:r>
      <w:r w:rsidR="76176AA5" w:rsidRPr="0C5E0B87">
        <w:rPr>
          <w:lang w:eastAsia="ja-JP"/>
        </w:rPr>
        <w:t xml:space="preserve">mean </w:t>
      </w:r>
      <w:r w:rsidRPr="3AFF628C">
        <w:rPr>
          <w:lang w:eastAsia="ja-JP"/>
        </w:rPr>
        <w:t xml:space="preserve">the arrangement </w:t>
      </w:r>
      <w:r w:rsidR="4FEFD4AC" w:rsidRPr="51D26A55">
        <w:rPr>
          <w:lang w:eastAsia="ja-JP"/>
        </w:rPr>
        <w:t xml:space="preserve">is </w:t>
      </w:r>
      <w:r w:rsidRPr="51D26A55">
        <w:rPr>
          <w:lang w:eastAsia="ja-JP"/>
        </w:rPr>
        <w:t>operating</w:t>
      </w:r>
      <w:r w:rsidRPr="3AFF628C">
        <w:rPr>
          <w:lang w:eastAsia="ja-JP"/>
        </w:rPr>
        <w:t xml:space="preserve"> at a loss, adversely impact</w:t>
      </w:r>
      <w:r w:rsidR="00010241" w:rsidRPr="3AFF628C">
        <w:rPr>
          <w:lang w:eastAsia="ja-JP"/>
        </w:rPr>
        <w:t>ing</w:t>
      </w:r>
      <w:r w:rsidRPr="3AFF628C">
        <w:rPr>
          <w:lang w:eastAsia="ja-JP"/>
        </w:rPr>
        <w:t xml:space="preserve"> the reserve balance for the arrangement at </w:t>
      </w:r>
      <w:r w:rsidR="005F38AB" w:rsidRPr="3AFF628C">
        <w:rPr>
          <w:lang w:eastAsia="ja-JP"/>
        </w:rPr>
        <w:t>the end of the year</w:t>
      </w:r>
      <w:r w:rsidRPr="3AFF628C">
        <w:rPr>
          <w:lang w:eastAsia="ja-JP"/>
        </w:rPr>
        <w:t>.</w:t>
      </w:r>
    </w:p>
    <w:p w14:paraId="02A175AE" w14:textId="4C0F7074" w:rsidR="00A4763B" w:rsidRPr="0029167F" w:rsidRDefault="00E25190" w:rsidP="00A4763B">
      <w:r w:rsidRPr="3AFF628C">
        <w:rPr>
          <w:lang w:eastAsia="ja-JP"/>
        </w:rPr>
        <w:t xml:space="preserve">Ongoing </w:t>
      </w:r>
      <w:r w:rsidR="00644B0B" w:rsidRPr="3AFF628C">
        <w:rPr>
          <w:lang w:eastAsia="ja-JP"/>
        </w:rPr>
        <w:t>over</w:t>
      </w:r>
      <w:r w:rsidR="00EE1896">
        <w:rPr>
          <w:lang w:eastAsia="ja-JP"/>
        </w:rPr>
        <w:t>-</w:t>
      </w:r>
      <w:r w:rsidR="00644B0B" w:rsidRPr="3AFF628C">
        <w:rPr>
          <w:lang w:eastAsia="ja-JP"/>
        </w:rPr>
        <w:t xml:space="preserve"> or </w:t>
      </w:r>
      <w:r w:rsidRPr="3AFF628C">
        <w:rPr>
          <w:lang w:eastAsia="ja-JP"/>
        </w:rPr>
        <w:t>under</w:t>
      </w:r>
      <w:r w:rsidR="00EE1896">
        <w:rPr>
          <w:lang w:eastAsia="ja-JP"/>
        </w:rPr>
        <w:t>-</w:t>
      </w:r>
      <w:r w:rsidRPr="3AFF628C">
        <w:rPr>
          <w:lang w:eastAsia="ja-JP"/>
        </w:rPr>
        <w:t xml:space="preserve">recovery will </w:t>
      </w:r>
      <w:r w:rsidR="00E01EE3">
        <w:rPr>
          <w:lang w:eastAsia="ja-JP"/>
        </w:rPr>
        <w:t xml:space="preserve">prompt a </w:t>
      </w:r>
      <w:r w:rsidRPr="3AFF628C">
        <w:rPr>
          <w:lang w:eastAsia="ja-JP"/>
        </w:rPr>
        <w:t xml:space="preserve">review of the regulatory charging arrangement to ensure its return to sustainable </w:t>
      </w:r>
      <w:r w:rsidR="00644B0B" w:rsidRPr="3AFF628C">
        <w:rPr>
          <w:lang w:eastAsia="ja-JP"/>
        </w:rPr>
        <w:t xml:space="preserve">and efficient </w:t>
      </w:r>
      <w:r w:rsidRPr="3AFF628C">
        <w:rPr>
          <w:lang w:eastAsia="ja-JP"/>
        </w:rPr>
        <w:t>recovery of all regulatory costs</w:t>
      </w:r>
      <w:r w:rsidR="008E018B" w:rsidRPr="3AFF628C">
        <w:rPr>
          <w:lang w:eastAsia="ja-JP"/>
        </w:rPr>
        <w:t>.</w:t>
      </w:r>
    </w:p>
    <w:p w14:paraId="066C1FAC" w14:textId="5F5F103C" w:rsidR="00E25190" w:rsidRPr="00974A2E" w:rsidRDefault="00F873BB" w:rsidP="00974A2E">
      <w:pPr>
        <w:pStyle w:val="Heading3"/>
      </w:pPr>
      <w:bookmarkStart w:id="63" w:name="Charges"/>
      <w:bookmarkStart w:id="64" w:name="_Toc173762858"/>
      <w:bookmarkStart w:id="65" w:name="_Toc177103782"/>
      <w:bookmarkEnd w:id="63"/>
      <w:r w:rsidRPr="00974A2E">
        <w:t>S</w:t>
      </w:r>
      <w:r w:rsidR="00FE57CB" w:rsidRPr="00974A2E">
        <w:t>elf-</w:t>
      </w:r>
      <w:r w:rsidR="00527FD8" w:rsidRPr="00974A2E">
        <w:t>a</w:t>
      </w:r>
      <w:r w:rsidR="00FE57CB" w:rsidRPr="00974A2E">
        <w:t>ssessed clearance cost recovery</w:t>
      </w:r>
      <w:r w:rsidRPr="00974A2E">
        <w:t xml:space="preserve"> </w:t>
      </w:r>
      <w:r w:rsidR="00FE57CB" w:rsidRPr="00974A2E">
        <w:t>c</w:t>
      </w:r>
      <w:r w:rsidRPr="00974A2E">
        <w:t>harge</w:t>
      </w:r>
      <w:bookmarkEnd w:id="64"/>
      <w:bookmarkEnd w:id="65"/>
    </w:p>
    <w:p w14:paraId="157B6937" w14:textId="53CD0B5A" w:rsidR="00426270" w:rsidRDefault="0082226E" w:rsidP="00E64C1D">
      <w:pPr>
        <w:rPr>
          <w:lang w:eastAsia="ja-JP"/>
        </w:rPr>
      </w:pPr>
      <w:bookmarkStart w:id="66" w:name="_Hlk112921486"/>
      <w:r>
        <w:rPr>
          <w:lang w:eastAsia="ja-JP"/>
        </w:rPr>
        <w:t>The</w:t>
      </w:r>
      <w:r w:rsidR="00AE43CE">
        <w:rPr>
          <w:lang w:eastAsia="ja-JP"/>
        </w:rPr>
        <w:t xml:space="preserve"> </w:t>
      </w:r>
      <w:r w:rsidR="00F5390D">
        <w:rPr>
          <w:lang w:eastAsia="ja-JP"/>
        </w:rPr>
        <w:t>SAC charge</w:t>
      </w:r>
      <w:r w:rsidR="00320925">
        <w:rPr>
          <w:lang w:eastAsia="ja-JP"/>
        </w:rPr>
        <w:t xml:space="preserve"> </w:t>
      </w:r>
      <w:r w:rsidR="008B1C38">
        <w:rPr>
          <w:lang w:eastAsia="ja-JP"/>
        </w:rPr>
        <w:t xml:space="preserve">will </w:t>
      </w:r>
      <w:r w:rsidR="00A573DE">
        <w:rPr>
          <w:lang w:eastAsia="ja-JP"/>
        </w:rPr>
        <w:t>commence</w:t>
      </w:r>
      <w:r w:rsidR="008B1C38">
        <w:rPr>
          <w:lang w:eastAsia="ja-JP"/>
        </w:rPr>
        <w:t xml:space="preserve"> on 1 </w:t>
      </w:r>
      <w:r w:rsidR="00A573DE">
        <w:rPr>
          <w:lang w:eastAsia="ja-JP"/>
        </w:rPr>
        <w:t>October</w:t>
      </w:r>
      <w:r w:rsidR="008B1C38">
        <w:rPr>
          <w:lang w:eastAsia="ja-JP"/>
        </w:rPr>
        <w:t xml:space="preserve"> 2024</w:t>
      </w:r>
      <w:r w:rsidR="00FE57CB">
        <w:rPr>
          <w:lang w:eastAsia="ja-JP"/>
        </w:rPr>
        <w:t>. A</w:t>
      </w:r>
      <w:r w:rsidR="008B1C38">
        <w:rPr>
          <w:lang w:eastAsia="ja-JP"/>
        </w:rPr>
        <w:t xml:space="preserve"> charge </w:t>
      </w:r>
      <w:r>
        <w:rPr>
          <w:lang w:eastAsia="ja-JP"/>
        </w:rPr>
        <w:t xml:space="preserve">of $0.36 will </w:t>
      </w:r>
      <w:r w:rsidR="00AE43CE">
        <w:rPr>
          <w:lang w:eastAsia="ja-JP"/>
        </w:rPr>
        <w:t>appl</w:t>
      </w:r>
      <w:r w:rsidR="000D3EF6">
        <w:rPr>
          <w:lang w:eastAsia="ja-JP"/>
        </w:rPr>
        <w:t>y</w:t>
      </w:r>
      <w:r w:rsidR="00AE43CE">
        <w:rPr>
          <w:lang w:eastAsia="ja-JP"/>
        </w:rPr>
        <w:t xml:space="preserve"> to all SAC declarations for </w:t>
      </w:r>
      <w:r w:rsidR="00F5390D">
        <w:rPr>
          <w:lang w:eastAsia="ja-JP"/>
        </w:rPr>
        <w:t>low-value goods</w:t>
      </w:r>
      <w:r w:rsidR="00AE43CE">
        <w:rPr>
          <w:lang w:eastAsia="ja-JP"/>
        </w:rPr>
        <w:t xml:space="preserve"> </w:t>
      </w:r>
      <w:r w:rsidR="00090438">
        <w:rPr>
          <w:lang w:eastAsia="ja-JP"/>
        </w:rPr>
        <w:t xml:space="preserve">that have </w:t>
      </w:r>
      <w:r w:rsidR="000E133E">
        <w:rPr>
          <w:lang w:eastAsia="ja-JP"/>
        </w:rPr>
        <w:t xml:space="preserve">arrived </w:t>
      </w:r>
      <w:r w:rsidR="00AE43CE">
        <w:rPr>
          <w:lang w:eastAsia="ja-JP"/>
        </w:rPr>
        <w:t xml:space="preserve">in </w:t>
      </w:r>
      <w:r w:rsidR="00184B3A">
        <w:rPr>
          <w:lang w:eastAsia="ja-JP"/>
        </w:rPr>
        <w:t>Australian territory.</w:t>
      </w:r>
      <w:r w:rsidR="001E0BB7">
        <w:rPr>
          <w:lang w:eastAsia="ja-JP"/>
        </w:rPr>
        <w:t xml:space="preserve"> </w:t>
      </w:r>
      <w:r w:rsidR="004A6572">
        <w:rPr>
          <w:lang w:eastAsia="ja-JP"/>
        </w:rPr>
        <w:t>This covers</w:t>
      </w:r>
      <w:r w:rsidR="004333D9">
        <w:rPr>
          <w:lang w:eastAsia="ja-JP"/>
        </w:rPr>
        <w:t xml:space="preserve"> </w:t>
      </w:r>
      <w:r w:rsidR="004A6572">
        <w:rPr>
          <w:lang w:eastAsia="ja-JP"/>
        </w:rPr>
        <w:t xml:space="preserve">declarations </w:t>
      </w:r>
      <w:r w:rsidR="00112FDB">
        <w:rPr>
          <w:lang w:eastAsia="ja-JP"/>
        </w:rPr>
        <w:t xml:space="preserve">commonly </w:t>
      </w:r>
      <w:r w:rsidR="004A6572">
        <w:rPr>
          <w:lang w:eastAsia="ja-JP"/>
        </w:rPr>
        <w:t>referred to as short</w:t>
      </w:r>
      <w:r w:rsidR="00E01EE3">
        <w:rPr>
          <w:lang w:eastAsia="ja-JP"/>
        </w:rPr>
        <w:t xml:space="preserve"> </w:t>
      </w:r>
      <w:r w:rsidR="004A6572">
        <w:rPr>
          <w:lang w:eastAsia="ja-JP"/>
        </w:rPr>
        <w:t xml:space="preserve">form SACs, </w:t>
      </w:r>
      <w:r w:rsidR="0018765C">
        <w:rPr>
          <w:lang w:eastAsia="ja-JP"/>
        </w:rPr>
        <w:t>l</w:t>
      </w:r>
      <w:r w:rsidR="004A6572">
        <w:rPr>
          <w:lang w:eastAsia="ja-JP"/>
        </w:rPr>
        <w:t>ong</w:t>
      </w:r>
      <w:r w:rsidR="00E01EE3">
        <w:rPr>
          <w:lang w:eastAsia="ja-JP"/>
        </w:rPr>
        <w:t xml:space="preserve"> </w:t>
      </w:r>
      <w:r w:rsidR="004A6572">
        <w:rPr>
          <w:lang w:eastAsia="ja-JP"/>
        </w:rPr>
        <w:t>form SACs and cargo</w:t>
      </w:r>
      <w:r w:rsidR="00E01EE3">
        <w:rPr>
          <w:lang w:eastAsia="ja-JP"/>
        </w:rPr>
        <w:t xml:space="preserve"> </w:t>
      </w:r>
      <w:r w:rsidR="004A6572">
        <w:rPr>
          <w:lang w:eastAsia="ja-JP"/>
        </w:rPr>
        <w:t>report SACs.</w:t>
      </w:r>
    </w:p>
    <w:p w14:paraId="6245A936" w14:textId="57E17A44" w:rsidR="004E2514" w:rsidRDefault="001150A3" w:rsidP="004E2514">
      <w:pPr>
        <w:rPr>
          <w:lang w:eastAsia="ja-JP"/>
        </w:rPr>
      </w:pPr>
      <w:r>
        <w:rPr>
          <w:lang w:eastAsia="ja-JP"/>
        </w:rPr>
        <w:t xml:space="preserve">All persons making </w:t>
      </w:r>
      <w:r w:rsidR="004C497C">
        <w:rPr>
          <w:lang w:eastAsia="ja-JP"/>
        </w:rPr>
        <w:t>eligible</w:t>
      </w:r>
      <w:r w:rsidR="003562BF">
        <w:rPr>
          <w:lang w:eastAsia="ja-JP"/>
        </w:rPr>
        <w:t xml:space="preserve"> SAC declarations will receive a notification from us</w:t>
      </w:r>
      <w:r w:rsidR="00B37B00">
        <w:rPr>
          <w:lang w:eastAsia="ja-JP"/>
        </w:rPr>
        <w:t xml:space="preserve"> at the end of each financial quarter</w:t>
      </w:r>
      <w:r w:rsidR="003562BF">
        <w:rPr>
          <w:lang w:eastAsia="ja-JP"/>
        </w:rPr>
        <w:t xml:space="preserve">. </w:t>
      </w:r>
      <w:r w:rsidR="00614A3E">
        <w:rPr>
          <w:lang w:eastAsia="ja-JP"/>
        </w:rPr>
        <w:t xml:space="preserve">Following a period </w:t>
      </w:r>
      <w:r w:rsidR="004E2514">
        <w:rPr>
          <w:lang w:eastAsia="ja-JP"/>
        </w:rPr>
        <w:t>of</w:t>
      </w:r>
      <w:r w:rsidR="00614A3E">
        <w:rPr>
          <w:lang w:eastAsia="ja-JP"/>
        </w:rPr>
        <w:t xml:space="preserve"> verification</w:t>
      </w:r>
      <w:r w:rsidR="009E591F">
        <w:rPr>
          <w:lang w:eastAsia="ja-JP"/>
        </w:rPr>
        <w:t>,</w:t>
      </w:r>
      <w:r w:rsidR="00614A3E">
        <w:rPr>
          <w:lang w:eastAsia="ja-JP"/>
        </w:rPr>
        <w:t xml:space="preserve"> an invoice will be issued</w:t>
      </w:r>
      <w:r w:rsidR="00243D20">
        <w:rPr>
          <w:lang w:eastAsia="ja-JP"/>
        </w:rPr>
        <w:t xml:space="preserve">. The </w:t>
      </w:r>
      <w:r w:rsidR="00434A16">
        <w:rPr>
          <w:lang w:eastAsia="ja-JP"/>
        </w:rPr>
        <w:t xml:space="preserve">amount must be paid </w:t>
      </w:r>
      <w:r w:rsidR="00323FA7">
        <w:rPr>
          <w:lang w:eastAsia="ja-JP"/>
        </w:rPr>
        <w:t xml:space="preserve">as per the </w:t>
      </w:r>
      <w:r w:rsidR="004F6D58">
        <w:rPr>
          <w:lang w:eastAsia="ja-JP"/>
        </w:rPr>
        <w:t xml:space="preserve">terms </w:t>
      </w:r>
      <w:r w:rsidR="00AC4514">
        <w:rPr>
          <w:lang w:eastAsia="ja-JP"/>
        </w:rPr>
        <w:t xml:space="preserve">of the </w:t>
      </w:r>
      <w:r w:rsidR="009D4B57">
        <w:rPr>
          <w:lang w:eastAsia="ja-JP"/>
        </w:rPr>
        <w:t>invoice</w:t>
      </w:r>
      <w:r w:rsidR="009A7290">
        <w:rPr>
          <w:lang w:eastAsia="ja-JP"/>
        </w:rPr>
        <w:t xml:space="preserve"> or </w:t>
      </w:r>
      <w:r w:rsidR="00AC4514">
        <w:rPr>
          <w:lang w:eastAsia="ja-JP"/>
        </w:rPr>
        <w:t xml:space="preserve">on </w:t>
      </w:r>
      <w:r w:rsidR="009A7290">
        <w:rPr>
          <w:lang w:eastAsia="ja-JP"/>
        </w:rPr>
        <w:t>deman</w:t>
      </w:r>
      <w:r w:rsidR="00AC4514">
        <w:rPr>
          <w:lang w:eastAsia="ja-JP"/>
        </w:rPr>
        <w:t>d</w:t>
      </w:r>
      <w:r w:rsidR="00243D20">
        <w:rPr>
          <w:lang w:eastAsia="ja-JP"/>
        </w:rPr>
        <w:t>.</w:t>
      </w:r>
      <w:r w:rsidR="00102EF9" w:rsidRPr="4AA83C20">
        <w:rPr>
          <w:lang w:eastAsia="ja-JP"/>
        </w:rPr>
        <w:t xml:space="preserve"> T</w:t>
      </w:r>
      <w:r w:rsidR="00E91883" w:rsidRPr="4AA83C20">
        <w:rPr>
          <w:lang w:eastAsia="ja-JP"/>
        </w:rPr>
        <w:t xml:space="preserve">he exception to this requirement is where a </w:t>
      </w:r>
      <w:r w:rsidR="00102EF9" w:rsidRPr="4AA83C20">
        <w:rPr>
          <w:lang w:eastAsia="ja-JP"/>
        </w:rPr>
        <w:t>person</w:t>
      </w:r>
      <w:r w:rsidR="004775C6" w:rsidRPr="4AA83C20">
        <w:rPr>
          <w:lang w:eastAsia="ja-JP"/>
        </w:rPr>
        <w:t xml:space="preserve"> </w:t>
      </w:r>
      <w:r w:rsidR="00381B1B">
        <w:rPr>
          <w:lang w:eastAsia="ja-JP"/>
        </w:rPr>
        <w:t>lodges</w:t>
      </w:r>
      <w:r w:rsidR="00381B1B" w:rsidRPr="4AA83C20">
        <w:rPr>
          <w:lang w:eastAsia="ja-JP"/>
        </w:rPr>
        <w:t xml:space="preserve"> </w:t>
      </w:r>
      <w:r w:rsidR="00B96825" w:rsidRPr="4AA83C20">
        <w:rPr>
          <w:lang w:eastAsia="ja-JP"/>
        </w:rPr>
        <w:t xml:space="preserve">less than </w:t>
      </w:r>
      <w:r w:rsidR="00941761" w:rsidRPr="4AA83C20">
        <w:rPr>
          <w:lang w:eastAsia="ja-JP"/>
        </w:rPr>
        <w:t xml:space="preserve">278 </w:t>
      </w:r>
      <w:r w:rsidR="00381B1B">
        <w:rPr>
          <w:lang w:eastAsia="ja-JP"/>
        </w:rPr>
        <w:t xml:space="preserve">SAC </w:t>
      </w:r>
      <w:r w:rsidRPr="0F8119ED">
        <w:rPr>
          <w:lang w:eastAsia="ja-JP"/>
        </w:rPr>
        <w:t>declarations</w:t>
      </w:r>
      <w:r w:rsidR="00941761" w:rsidRPr="4AA83C20">
        <w:rPr>
          <w:lang w:eastAsia="ja-JP"/>
        </w:rPr>
        <w:t xml:space="preserve"> in a quarter.</w:t>
      </w:r>
    </w:p>
    <w:p w14:paraId="0FE3BBBC" w14:textId="2A358540" w:rsidR="0083220D" w:rsidRDefault="00865946" w:rsidP="004E2514">
      <w:pPr>
        <w:rPr>
          <w:lang w:eastAsia="ja-JP"/>
        </w:rPr>
      </w:pPr>
      <w:r>
        <w:rPr>
          <w:lang w:eastAsia="ja-JP"/>
        </w:rPr>
        <w:t xml:space="preserve">The person </w:t>
      </w:r>
      <w:r w:rsidR="00A71D2C">
        <w:rPr>
          <w:lang w:eastAsia="ja-JP"/>
        </w:rPr>
        <w:t>should</w:t>
      </w:r>
      <w:r w:rsidR="00D918BC">
        <w:rPr>
          <w:lang w:eastAsia="ja-JP"/>
        </w:rPr>
        <w:t xml:space="preserve"> self-assess</w:t>
      </w:r>
      <w:r w:rsidR="006E6E9A">
        <w:rPr>
          <w:lang w:eastAsia="ja-JP"/>
        </w:rPr>
        <w:t xml:space="preserve"> their final liability, including </w:t>
      </w:r>
      <w:r>
        <w:rPr>
          <w:lang w:eastAsia="ja-JP"/>
        </w:rPr>
        <w:t>having regard to s</w:t>
      </w:r>
      <w:r w:rsidR="006E6E9A">
        <w:rPr>
          <w:lang w:eastAsia="ja-JP"/>
        </w:rPr>
        <w:t xml:space="preserve">ituations </w:t>
      </w:r>
      <w:r w:rsidR="00DB1812">
        <w:rPr>
          <w:lang w:eastAsia="ja-JP"/>
        </w:rPr>
        <w:t>where</w:t>
      </w:r>
      <w:r w:rsidR="00F01E66">
        <w:rPr>
          <w:lang w:eastAsia="ja-JP"/>
        </w:rPr>
        <w:t xml:space="preserve"> </w:t>
      </w:r>
      <w:r w:rsidR="0090682E">
        <w:rPr>
          <w:lang w:eastAsia="ja-JP"/>
        </w:rPr>
        <w:t>a</w:t>
      </w:r>
      <w:r w:rsidR="00F01E66">
        <w:rPr>
          <w:lang w:eastAsia="ja-JP"/>
        </w:rPr>
        <w:t xml:space="preserve"> SAC de</w:t>
      </w:r>
      <w:r w:rsidR="00BF1F01">
        <w:rPr>
          <w:lang w:eastAsia="ja-JP"/>
        </w:rPr>
        <w:t>claration</w:t>
      </w:r>
      <w:r w:rsidR="0090682E">
        <w:rPr>
          <w:lang w:eastAsia="ja-JP"/>
        </w:rPr>
        <w:t xml:space="preserve"> </w:t>
      </w:r>
      <w:r w:rsidR="00112FDB">
        <w:rPr>
          <w:lang w:eastAsia="ja-JP"/>
        </w:rPr>
        <w:t>is made (and not withdrawn) but an import did not occur</w:t>
      </w:r>
      <w:r w:rsidR="0090682E">
        <w:rPr>
          <w:lang w:eastAsia="ja-JP"/>
        </w:rPr>
        <w:t xml:space="preserve">. They </w:t>
      </w:r>
      <w:r w:rsidR="00447D95">
        <w:rPr>
          <w:lang w:eastAsia="ja-JP"/>
        </w:rPr>
        <w:t>should</w:t>
      </w:r>
      <w:r w:rsidR="0090682E">
        <w:rPr>
          <w:lang w:eastAsia="ja-JP"/>
        </w:rPr>
        <w:t xml:space="preserve"> main</w:t>
      </w:r>
      <w:r w:rsidR="000335F7">
        <w:rPr>
          <w:lang w:eastAsia="ja-JP"/>
        </w:rPr>
        <w:t>tain records</w:t>
      </w:r>
      <w:r w:rsidR="00795D0A">
        <w:rPr>
          <w:lang w:eastAsia="ja-JP"/>
        </w:rPr>
        <w:t xml:space="preserve"> </w:t>
      </w:r>
      <w:r w:rsidR="00447D95">
        <w:rPr>
          <w:lang w:eastAsia="ja-JP"/>
        </w:rPr>
        <w:t xml:space="preserve">of their SAC declarations </w:t>
      </w:r>
      <w:r w:rsidR="00795D0A">
        <w:rPr>
          <w:lang w:eastAsia="ja-JP"/>
        </w:rPr>
        <w:t>for assurance and verification purposes.</w:t>
      </w:r>
    </w:p>
    <w:p w14:paraId="12499AEF" w14:textId="329D3455" w:rsidR="00120BD4" w:rsidRPr="00974A2E" w:rsidRDefault="00120BD4" w:rsidP="00CE7E7D">
      <w:pPr>
        <w:pStyle w:val="Heading4"/>
        <w:numPr>
          <w:ilvl w:val="0"/>
          <w:numId w:val="0"/>
        </w:numPr>
        <w:ind w:left="964" w:hanging="964"/>
      </w:pPr>
      <w:r w:rsidRPr="00974A2E">
        <w:t>Indexation</w:t>
      </w:r>
      <w:r w:rsidR="004D73B2" w:rsidRPr="00974A2E">
        <w:t xml:space="preserve"> and annual review</w:t>
      </w:r>
    </w:p>
    <w:p w14:paraId="64F3F4F6" w14:textId="7F97E5BC" w:rsidR="00771655" w:rsidRDefault="00FA00CC" w:rsidP="00362834">
      <w:pPr>
        <w:rPr>
          <w:rFonts w:cstheme="minorHAnsi"/>
          <w:lang w:eastAsia="ja-JP"/>
        </w:rPr>
      </w:pPr>
      <w:r w:rsidRPr="00FA00CC">
        <w:rPr>
          <w:rFonts w:cstheme="minorHAnsi"/>
          <w:lang w:eastAsia="ja-JP"/>
        </w:rPr>
        <w:t xml:space="preserve">To recognise that our costs do not remain static and to avoid large </w:t>
      </w:r>
      <w:r w:rsidR="002F40CE">
        <w:rPr>
          <w:rFonts w:cstheme="minorHAnsi"/>
          <w:lang w:eastAsia="ja-JP"/>
        </w:rPr>
        <w:t>changes</w:t>
      </w:r>
      <w:r w:rsidRPr="00FA00CC">
        <w:rPr>
          <w:rFonts w:cstheme="minorHAnsi"/>
          <w:lang w:eastAsia="ja-JP"/>
        </w:rPr>
        <w:t xml:space="preserve">, </w:t>
      </w:r>
      <w:r w:rsidR="00C03239">
        <w:rPr>
          <w:rFonts w:cstheme="minorHAnsi"/>
          <w:lang w:eastAsia="ja-JP"/>
        </w:rPr>
        <w:t>legislation</w:t>
      </w:r>
      <w:r w:rsidRPr="00FA00CC">
        <w:rPr>
          <w:rFonts w:cstheme="minorHAnsi"/>
          <w:lang w:eastAsia="ja-JP"/>
        </w:rPr>
        <w:t xml:space="preserve"> </w:t>
      </w:r>
      <w:r>
        <w:rPr>
          <w:rFonts w:cstheme="minorHAnsi"/>
          <w:lang w:eastAsia="ja-JP"/>
        </w:rPr>
        <w:t xml:space="preserve">has </w:t>
      </w:r>
      <w:r w:rsidR="00C03239">
        <w:rPr>
          <w:rFonts w:cstheme="minorHAnsi"/>
          <w:lang w:eastAsia="ja-JP"/>
        </w:rPr>
        <w:t xml:space="preserve">been </w:t>
      </w:r>
      <w:r>
        <w:rPr>
          <w:rFonts w:cstheme="minorHAnsi"/>
          <w:lang w:eastAsia="ja-JP"/>
        </w:rPr>
        <w:t xml:space="preserve">amended </w:t>
      </w:r>
      <w:r w:rsidR="00F660D4">
        <w:rPr>
          <w:rFonts w:cstheme="minorHAnsi"/>
          <w:lang w:eastAsia="ja-JP"/>
        </w:rPr>
        <w:t>to introduce</w:t>
      </w:r>
      <w:r>
        <w:rPr>
          <w:rFonts w:cstheme="minorHAnsi"/>
          <w:lang w:eastAsia="ja-JP"/>
        </w:rPr>
        <w:t xml:space="preserve"> </w:t>
      </w:r>
      <w:r w:rsidRPr="00FA00CC">
        <w:rPr>
          <w:rFonts w:cstheme="minorHAnsi"/>
          <w:lang w:eastAsia="ja-JP"/>
        </w:rPr>
        <w:t>index</w:t>
      </w:r>
      <w:r>
        <w:rPr>
          <w:rFonts w:cstheme="minorHAnsi"/>
          <w:lang w:eastAsia="ja-JP"/>
        </w:rPr>
        <w:t>ation of</w:t>
      </w:r>
      <w:r w:rsidRPr="00FA00CC">
        <w:rPr>
          <w:rFonts w:cstheme="minorHAnsi"/>
          <w:lang w:eastAsia="ja-JP"/>
        </w:rPr>
        <w:t xml:space="preserve"> appropriate cost elements annually, based on </w:t>
      </w:r>
      <w:r>
        <w:rPr>
          <w:rFonts w:cstheme="minorHAnsi"/>
          <w:lang w:eastAsia="ja-JP"/>
        </w:rPr>
        <w:t>CPI (</w:t>
      </w:r>
      <w:r w:rsidR="006474F7">
        <w:rPr>
          <w:rFonts w:cstheme="minorHAnsi"/>
          <w:lang w:eastAsia="ja-JP"/>
        </w:rPr>
        <w:t>c</w:t>
      </w:r>
      <w:r>
        <w:rPr>
          <w:rFonts w:cstheme="minorHAnsi"/>
          <w:lang w:eastAsia="ja-JP"/>
        </w:rPr>
        <w:t xml:space="preserve">apital cities, all groups) movements sourced from </w:t>
      </w:r>
      <w:r w:rsidRPr="00FA00CC">
        <w:rPr>
          <w:rFonts w:cstheme="minorHAnsi"/>
          <w:lang w:eastAsia="ja-JP"/>
        </w:rPr>
        <w:t xml:space="preserve">the </w:t>
      </w:r>
      <w:hyperlink r:id="rId31" w:history="1">
        <w:r w:rsidRPr="00FA00CC">
          <w:rPr>
            <w:rStyle w:val="Hyperlink"/>
            <w:rFonts w:cstheme="minorHAnsi"/>
            <w:lang w:eastAsia="ja-JP"/>
          </w:rPr>
          <w:t>Australian Bureau of Statistics</w:t>
        </w:r>
      </w:hyperlink>
      <w:r w:rsidRPr="00FA00CC">
        <w:rPr>
          <w:rFonts w:cstheme="minorHAnsi"/>
          <w:lang w:eastAsia="ja-JP"/>
        </w:rPr>
        <w:t xml:space="preserve">. </w:t>
      </w:r>
      <w:r w:rsidR="0071648A">
        <w:rPr>
          <w:rFonts w:cstheme="minorHAnsi"/>
          <w:lang w:eastAsia="ja-JP"/>
        </w:rPr>
        <w:t xml:space="preserve">We will apply </w:t>
      </w:r>
      <w:r w:rsidR="008D04F5">
        <w:rPr>
          <w:rFonts w:cstheme="minorHAnsi"/>
          <w:lang w:eastAsia="ja-JP"/>
        </w:rPr>
        <w:t>i</w:t>
      </w:r>
      <w:r>
        <w:rPr>
          <w:rFonts w:cstheme="minorHAnsi"/>
          <w:lang w:eastAsia="ja-JP"/>
        </w:rPr>
        <w:t xml:space="preserve">ndexation </w:t>
      </w:r>
      <w:r w:rsidRPr="00FA00CC">
        <w:rPr>
          <w:rFonts w:cstheme="minorHAnsi"/>
          <w:lang w:eastAsia="ja-JP"/>
        </w:rPr>
        <w:t xml:space="preserve">in conjunction with an annual review of </w:t>
      </w:r>
      <w:r w:rsidR="001113D5">
        <w:rPr>
          <w:rFonts w:cstheme="minorHAnsi"/>
          <w:lang w:eastAsia="ja-JP"/>
        </w:rPr>
        <w:t xml:space="preserve">activity </w:t>
      </w:r>
      <w:r w:rsidRPr="00FA00CC">
        <w:rPr>
          <w:rFonts w:cstheme="minorHAnsi"/>
          <w:lang w:eastAsia="ja-JP"/>
        </w:rPr>
        <w:t xml:space="preserve">costs to identify efficiencies </w:t>
      </w:r>
      <w:r w:rsidR="006474F7">
        <w:rPr>
          <w:rFonts w:cstheme="minorHAnsi"/>
          <w:lang w:eastAsia="ja-JP"/>
        </w:rPr>
        <w:t xml:space="preserve">or increased effort associated </w:t>
      </w:r>
      <w:r w:rsidRPr="00FA00CC">
        <w:rPr>
          <w:rFonts w:cstheme="minorHAnsi"/>
          <w:lang w:eastAsia="ja-JP"/>
        </w:rPr>
        <w:t>with regulatory processes</w:t>
      </w:r>
      <w:r>
        <w:rPr>
          <w:rFonts w:cstheme="minorHAnsi"/>
          <w:lang w:eastAsia="ja-JP"/>
        </w:rPr>
        <w:t>.</w:t>
      </w:r>
    </w:p>
    <w:p w14:paraId="5F649A1F" w14:textId="1CBBCDBE" w:rsidR="00120BD4" w:rsidRDefault="0071648A" w:rsidP="00120BD4">
      <w:pPr>
        <w:rPr>
          <w:rFonts w:cstheme="minorHAnsi"/>
          <w:lang w:eastAsia="ja-JP"/>
        </w:rPr>
      </w:pPr>
      <w:r>
        <w:rPr>
          <w:rFonts w:cstheme="minorHAnsi"/>
          <w:lang w:eastAsia="ja-JP"/>
        </w:rPr>
        <w:t>We will provide a</w:t>
      </w:r>
      <w:r w:rsidR="00771655">
        <w:rPr>
          <w:rFonts w:cstheme="minorHAnsi"/>
          <w:lang w:eastAsia="ja-JP"/>
        </w:rPr>
        <w:t>n updated pricing schedule to industry following release of the December quarter CPI movement</w:t>
      </w:r>
      <w:r w:rsidR="006474F7">
        <w:rPr>
          <w:rFonts w:cstheme="minorHAnsi"/>
          <w:lang w:eastAsia="ja-JP"/>
        </w:rPr>
        <w:t xml:space="preserve"> and the annual review process</w:t>
      </w:r>
      <w:r w:rsidR="001C687F">
        <w:rPr>
          <w:rFonts w:cstheme="minorHAnsi"/>
          <w:lang w:eastAsia="ja-JP"/>
        </w:rPr>
        <w:t>. This</w:t>
      </w:r>
      <w:r w:rsidR="00771655">
        <w:rPr>
          <w:rFonts w:cstheme="minorHAnsi"/>
          <w:lang w:eastAsia="ja-JP"/>
        </w:rPr>
        <w:t xml:space="preserve"> </w:t>
      </w:r>
      <w:r w:rsidR="00B965B1">
        <w:rPr>
          <w:rFonts w:cstheme="minorHAnsi"/>
          <w:lang w:eastAsia="ja-JP"/>
        </w:rPr>
        <w:t>provides</w:t>
      </w:r>
      <w:r w:rsidR="00771655">
        <w:rPr>
          <w:rFonts w:cstheme="minorHAnsi"/>
          <w:lang w:eastAsia="ja-JP"/>
        </w:rPr>
        <w:t xml:space="preserve"> as much time as practical for industry to make their own </w:t>
      </w:r>
      <w:r w:rsidR="006474F7">
        <w:rPr>
          <w:rFonts w:cstheme="minorHAnsi"/>
          <w:lang w:eastAsia="ja-JP"/>
        </w:rPr>
        <w:t xml:space="preserve">pricing </w:t>
      </w:r>
      <w:r w:rsidR="00771655">
        <w:rPr>
          <w:rFonts w:cstheme="minorHAnsi"/>
          <w:lang w:eastAsia="ja-JP"/>
        </w:rPr>
        <w:t xml:space="preserve">amendments. The annual review process will </w:t>
      </w:r>
      <w:r w:rsidR="00771655" w:rsidRPr="00771655">
        <w:rPr>
          <w:rFonts w:cstheme="minorHAnsi"/>
          <w:lang w:eastAsia="ja-JP"/>
        </w:rPr>
        <w:t xml:space="preserve">provide industry with a </w:t>
      </w:r>
      <w:r w:rsidR="00120BD4">
        <w:rPr>
          <w:rFonts w:cstheme="minorHAnsi"/>
          <w:lang w:eastAsia="ja-JP"/>
        </w:rPr>
        <w:t>g</w:t>
      </w:r>
      <w:r w:rsidR="00771655" w:rsidRPr="00771655">
        <w:rPr>
          <w:rFonts w:cstheme="minorHAnsi"/>
          <w:lang w:eastAsia="ja-JP"/>
        </w:rPr>
        <w:t xml:space="preserve">reater degree of certainty on the timing and value of price </w:t>
      </w:r>
      <w:r w:rsidR="00B965B1" w:rsidRPr="00771655">
        <w:rPr>
          <w:rFonts w:cstheme="minorHAnsi"/>
          <w:lang w:eastAsia="ja-JP"/>
        </w:rPr>
        <w:t>changes</w:t>
      </w:r>
      <w:r w:rsidR="00771655">
        <w:rPr>
          <w:rFonts w:cstheme="minorHAnsi"/>
          <w:lang w:eastAsia="ja-JP"/>
        </w:rPr>
        <w:t>.</w:t>
      </w:r>
    </w:p>
    <w:p w14:paraId="3DB24FC2" w14:textId="08238EF9" w:rsidR="00FD7625" w:rsidRDefault="00FD7625" w:rsidP="00120BD4">
      <w:pPr>
        <w:rPr>
          <w:rFonts w:cstheme="minorHAnsi"/>
          <w:lang w:eastAsia="ja-JP"/>
        </w:rPr>
      </w:pPr>
      <w:r>
        <w:rPr>
          <w:rFonts w:cstheme="minorHAnsi"/>
          <w:lang w:eastAsia="ja-JP"/>
        </w:rPr>
        <w:t xml:space="preserve">The rounding provisions for the </w:t>
      </w:r>
      <w:r w:rsidR="00F5390D">
        <w:rPr>
          <w:rFonts w:cstheme="minorHAnsi"/>
          <w:lang w:eastAsia="ja-JP"/>
        </w:rPr>
        <w:t>SAC charge</w:t>
      </w:r>
      <w:r w:rsidR="006A20F7">
        <w:rPr>
          <w:rFonts w:cstheme="minorHAnsi"/>
          <w:lang w:eastAsia="ja-JP"/>
        </w:rPr>
        <w:t xml:space="preserve"> are to the nearest</w:t>
      </w:r>
      <w:r w:rsidR="00AF09D6">
        <w:rPr>
          <w:rFonts w:cstheme="minorHAnsi"/>
          <w:lang w:eastAsia="ja-JP"/>
        </w:rPr>
        <w:t xml:space="preserve"> 0.5 </w:t>
      </w:r>
      <w:r w:rsidR="00B96825">
        <w:rPr>
          <w:rFonts w:cstheme="minorHAnsi"/>
          <w:lang w:eastAsia="ja-JP"/>
        </w:rPr>
        <w:t>cent</w:t>
      </w:r>
      <w:r w:rsidR="008D04F5">
        <w:rPr>
          <w:rFonts w:cstheme="minorHAnsi"/>
          <w:lang w:eastAsia="ja-JP"/>
        </w:rPr>
        <w:t>s</w:t>
      </w:r>
      <w:r w:rsidR="00B96825">
        <w:rPr>
          <w:rFonts w:cstheme="minorHAnsi"/>
          <w:lang w:eastAsia="ja-JP"/>
        </w:rPr>
        <w:t>.</w:t>
      </w:r>
    </w:p>
    <w:p w14:paraId="62E67596" w14:textId="698C7A91" w:rsidR="00D34343" w:rsidRPr="00974A2E" w:rsidRDefault="00D34343" w:rsidP="0002397D">
      <w:pPr>
        <w:pStyle w:val="Heading3"/>
        <w:pageBreakBefore/>
      </w:pPr>
      <w:bookmarkStart w:id="67" w:name="_Ref135815618"/>
      <w:bookmarkStart w:id="68" w:name="_Ref135815682"/>
      <w:bookmarkStart w:id="69" w:name="_Ref135815717"/>
      <w:bookmarkStart w:id="70" w:name="_Toc173762859"/>
      <w:bookmarkStart w:id="71" w:name="_Toc177103783"/>
      <w:bookmarkEnd w:id="66"/>
      <w:r w:rsidRPr="00974A2E">
        <w:lastRenderedPageBreak/>
        <w:t>Biosecurity fees and charges</w:t>
      </w:r>
      <w:bookmarkEnd w:id="67"/>
      <w:bookmarkEnd w:id="68"/>
      <w:bookmarkEnd w:id="69"/>
      <w:bookmarkEnd w:id="70"/>
      <w:bookmarkEnd w:id="71"/>
    </w:p>
    <w:p w14:paraId="085202ED" w14:textId="7F1A9940" w:rsidR="00E25190" w:rsidRDefault="00C26420" w:rsidP="00C65E98">
      <w:pPr>
        <w:rPr>
          <w:lang w:eastAsia="ja-JP"/>
        </w:rPr>
      </w:pPr>
      <w:r w:rsidRPr="1AB303A3">
        <w:rPr>
          <w:lang w:eastAsia="ja-JP"/>
        </w:rPr>
        <w:t xml:space="preserve">We </w:t>
      </w:r>
      <w:r w:rsidR="0071200E" w:rsidRPr="1AB303A3">
        <w:rPr>
          <w:lang w:eastAsia="ja-JP"/>
        </w:rPr>
        <w:t>model</w:t>
      </w:r>
      <w:r w:rsidRPr="1AB303A3">
        <w:rPr>
          <w:lang w:eastAsia="ja-JP"/>
        </w:rPr>
        <w:t xml:space="preserve"> </w:t>
      </w:r>
      <w:r w:rsidR="43B75F7D" w:rsidRPr="57AC4515">
        <w:rPr>
          <w:lang w:eastAsia="ja-JP"/>
        </w:rPr>
        <w:t>c</w:t>
      </w:r>
      <w:r w:rsidRPr="57AC4515">
        <w:rPr>
          <w:lang w:eastAsia="ja-JP"/>
        </w:rPr>
        <w:t>ost</w:t>
      </w:r>
      <w:r w:rsidRPr="1AB303A3">
        <w:rPr>
          <w:lang w:eastAsia="ja-JP"/>
        </w:rPr>
        <w:t xml:space="preserve"> and volumes based</w:t>
      </w:r>
      <w:r w:rsidR="0071200E" w:rsidRPr="1AB303A3">
        <w:rPr>
          <w:lang w:eastAsia="ja-JP"/>
        </w:rPr>
        <w:t xml:space="preserve"> on information available </w:t>
      </w:r>
      <w:r w:rsidR="002955D8" w:rsidRPr="1AB303A3">
        <w:rPr>
          <w:lang w:eastAsia="ja-JP"/>
        </w:rPr>
        <w:t>at critical decision points</w:t>
      </w:r>
      <w:r w:rsidR="0071200E" w:rsidRPr="1AB303A3">
        <w:rPr>
          <w:lang w:eastAsia="ja-JP"/>
        </w:rPr>
        <w:t>. Actual recovery of costs is dependent upon the</w:t>
      </w:r>
      <w:r w:rsidR="000C031C" w:rsidRPr="1AB303A3">
        <w:rPr>
          <w:lang w:eastAsia="ja-JP"/>
        </w:rPr>
        <w:t xml:space="preserve"> effort </w:t>
      </w:r>
      <w:r w:rsidR="0071200E" w:rsidRPr="1AB303A3">
        <w:rPr>
          <w:lang w:eastAsia="ja-JP"/>
        </w:rPr>
        <w:t xml:space="preserve">incurred and the volume of </w:t>
      </w:r>
      <w:r w:rsidR="008374FF" w:rsidRPr="1AB303A3">
        <w:rPr>
          <w:lang w:eastAsia="ja-JP"/>
        </w:rPr>
        <w:t>relevant activit</w:t>
      </w:r>
      <w:r w:rsidR="005928C1" w:rsidRPr="1AB303A3">
        <w:rPr>
          <w:lang w:eastAsia="ja-JP"/>
        </w:rPr>
        <w:t>ies</w:t>
      </w:r>
      <w:r w:rsidR="0071200E" w:rsidRPr="1AB303A3">
        <w:rPr>
          <w:lang w:eastAsia="ja-JP"/>
        </w:rPr>
        <w:t>.</w:t>
      </w:r>
      <w:r w:rsidRPr="1AB303A3">
        <w:rPr>
          <w:lang w:eastAsia="ja-JP"/>
        </w:rPr>
        <w:t xml:space="preserve"> </w:t>
      </w:r>
      <w:r w:rsidR="00AF4B48" w:rsidRPr="42E8EF1C">
        <w:rPr>
          <w:lang w:eastAsia="ja-JP"/>
        </w:rPr>
        <w:t xml:space="preserve">In addition to the costs, volumes and revenue </w:t>
      </w:r>
      <w:r w:rsidR="006A28CC" w:rsidRPr="42E8EF1C">
        <w:rPr>
          <w:lang w:eastAsia="ja-JP"/>
        </w:rPr>
        <w:t xml:space="preserve">listed in </w:t>
      </w:r>
      <w:r w:rsidR="0018765C">
        <w:rPr>
          <w:lang w:eastAsia="ja-JP"/>
        </w:rPr>
        <w:t>T</w:t>
      </w:r>
      <w:r w:rsidR="006A28CC" w:rsidRPr="42E8EF1C">
        <w:rPr>
          <w:lang w:eastAsia="ja-JP"/>
        </w:rPr>
        <w:t xml:space="preserve">able 3 of the </w:t>
      </w:r>
      <w:hyperlink r:id="rId32" w:history="1">
        <w:r w:rsidR="5E704B41" w:rsidRPr="1AB303A3">
          <w:rPr>
            <w:rStyle w:val="Hyperlink"/>
          </w:rPr>
          <w:t>Biosecurity CRIS</w:t>
        </w:r>
      </w:hyperlink>
      <w:r w:rsidR="006A28CC" w:rsidRPr="42E8EF1C">
        <w:rPr>
          <w:lang w:eastAsia="ja-JP"/>
        </w:rPr>
        <w:t>, t</w:t>
      </w:r>
      <w:r w:rsidR="00E25190" w:rsidRPr="42E8EF1C">
        <w:rPr>
          <w:lang w:eastAsia="ja-JP"/>
        </w:rPr>
        <w:t xml:space="preserve">he amounts payable </w:t>
      </w:r>
      <w:r w:rsidR="006A28CC" w:rsidRPr="42E8EF1C">
        <w:rPr>
          <w:lang w:eastAsia="ja-JP"/>
        </w:rPr>
        <w:t xml:space="preserve">for the </w:t>
      </w:r>
      <w:r w:rsidR="00F5390D">
        <w:rPr>
          <w:lang w:eastAsia="ja-JP"/>
        </w:rPr>
        <w:t>SAC charge</w:t>
      </w:r>
      <w:r w:rsidR="006A28CC" w:rsidRPr="42E8EF1C">
        <w:rPr>
          <w:lang w:eastAsia="ja-JP"/>
        </w:rPr>
        <w:t xml:space="preserve"> are </w:t>
      </w:r>
      <w:r w:rsidR="00E25190" w:rsidRPr="42E8EF1C">
        <w:rPr>
          <w:lang w:eastAsia="ja-JP"/>
        </w:rPr>
        <w:t>shown</w:t>
      </w:r>
      <w:r w:rsidR="000C1B08">
        <w:rPr>
          <w:lang w:eastAsia="ja-JP"/>
        </w:rPr>
        <w:t xml:space="preserve"> in </w:t>
      </w:r>
      <w:r w:rsidR="000C1B08" w:rsidRPr="000C1B08">
        <w:rPr>
          <w:lang w:eastAsia="ja-JP"/>
        </w:rPr>
        <w:fldChar w:fldCharType="begin"/>
      </w:r>
      <w:r w:rsidR="000C1B08" w:rsidRPr="000C1B08">
        <w:rPr>
          <w:lang w:eastAsia="ja-JP"/>
        </w:rPr>
        <w:instrText xml:space="preserve"> REF _Ref171583814 \h </w:instrText>
      </w:r>
      <w:r w:rsidR="000C1B08">
        <w:rPr>
          <w:lang w:eastAsia="ja-JP"/>
        </w:rPr>
        <w:instrText xml:space="preserve"> \* MERGEFORMAT </w:instrText>
      </w:r>
      <w:r w:rsidR="000C1B08" w:rsidRPr="000C1B08">
        <w:rPr>
          <w:lang w:eastAsia="ja-JP"/>
        </w:rPr>
      </w:r>
      <w:r w:rsidR="000C1B08" w:rsidRPr="000C1B08">
        <w:rPr>
          <w:lang w:eastAsia="ja-JP"/>
        </w:rPr>
        <w:fldChar w:fldCharType="separate"/>
      </w:r>
      <w:r w:rsidR="000C1B08" w:rsidRPr="000C1B08">
        <w:t xml:space="preserve">Table </w:t>
      </w:r>
      <w:r w:rsidR="000C1B08" w:rsidRPr="000C1B08">
        <w:rPr>
          <w:noProof/>
        </w:rPr>
        <w:t>2</w:t>
      </w:r>
      <w:r w:rsidR="000C1B08" w:rsidRPr="000C1B08">
        <w:rPr>
          <w:lang w:eastAsia="ja-JP"/>
        </w:rPr>
        <w:fldChar w:fldCharType="end"/>
      </w:r>
      <w:r w:rsidR="00FC3245">
        <w:rPr>
          <w:lang w:eastAsia="ja-JP"/>
        </w:rPr>
        <w:t>.</w:t>
      </w:r>
    </w:p>
    <w:p w14:paraId="5A1F7618" w14:textId="64270C62" w:rsidR="00711104" w:rsidRDefault="00711104" w:rsidP="00711104">
      <w:pPr>
        <w:pStyle w:val="Caption"/>
      </w:pPr>
      <w:bookmarkStart w:id="72" w:name="_Ref171583814"/>
      <w:bookmarkStart w:id="73" w:name="_Toc176352601"/>
      <w:bookmarkStart w:id="74" w:name="Table_3"/>
      <w:r>
        <w:t xml:space="preserve">Table </w:t>
      </w:r>
      <w:r>
        <w:fldChar w:fldCharType="begin"/>
      </w:r>
      <w:r>
        <w:instrText xml:space="preserve"> SEQ Table \* ARABIC </w:instrText>
      </w:r>
      <w:r>
        <w:fldChar w:fldCharType="separate"/>
      </w:r>
      <w:r>
        <w:rPr>
          <w:noProof/>
        </w:rPr>
        <w:t>2</w:t>
      </w:r>
      <w:r>
        <w:fldChar w:fldCharType="end"/>
      </w:r>
      <w:r>
        <w:t xml:space="preserve"> </w:t>
      </w:r>
      <w:r w:rsidRPr="00265FC3">
        <w:t xml:space="preserve">SAC cost and estimated volumes and revenue for biosecurity arrangement, </w:t>
      </w:r>
      <w:r w:rsidRPr="000C1B08">
        <w:t>2024</w:t>
      </w:r>
      <w:r w:rsidR="0024731E">
        <w:t>–</w:t>
      </w:r>
      <w:r w:rsidRPr="000C1B08">
        <w:t>25</w:t>
      </w:r>
      <w:bookmarkEnd w:id="72"/>
      <w:bookmarkEnd w:id="73"/>
    </w:p>
    <w:tbl>
      <w:tblPr>
        <w:tblStyle w:val="TableGrid10"/>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65"/>
        <w:gridCol w:w="2079"/>
        <w:gridCol w:w="2017"/>
        <w:gridCol w:w="880"/>
        <w:gridCol w:w="1253"/>
        <w:gridCol w:w="1490"/>
      </w:tblGrid>
      <w:tr w:rsidR="00850D38" w:rsidRPr="00BB4FCF" w14:paraId="414A0C29" w14:textId="77777777" w:rsidTr="00344E0D">
        <w:trPr>
          <w:cantSplit/>
          <w:tblHeader/>
        </w:trPr>
        <w:tc>
          <w:tcPr>
            <w:tcW w:w="798" w:type="pct"/>
          </w:tcPr>
          <w:p w14:paraId="465A1BE4" w14:textId="06582683" w:rsidR="007034AB" w:rsidRPr="00BB4FCF" w:rsidRDefault="007034AB" w:rsidP="00735097">
            <w:pPr>
              <w:keepNext/>
              <w:spacing w:after="0" w:line="240" w:lineRule="auto"/>
              <w:rPr>
                <w:rFonts w:eastAsia="Calibri" w:cs="Calibri"/>
                <w:b/>
                <w:sz w:val="18"/>
              </w:rPr>
            </w:pPr>
            <w:bookmarkStart w:id="75" w:name="Title_2"/>
            <w:bookmarkEnd w:id="74"/>
            <w:bookmarkEnd w:id="75"/>
            <w:r w:rsidRPr="00BB4FCF">
              <w:rPr>
                <w:rFonts w:eastAsia="Calibri" w:cs="Calibri"/>
                <w:b/>
                <w:sz w:val="18"/>
              </w:rPr>
              <w:t>Type of charge</w:t>
            </w:r>
            <w:r>
              <w:rPr>
                <w:rFonts w:eastAsia="Calibri" w:cs="Calibri"/>
                <w:b/>
                <w:sz w:val="18"/>
              </w:rPr>
              <w:t xml:space="preserve"> estimate</w:t>
            </w:r>
          </w:p>
        </w:tc>
        <w:tc>
          <w:tcPr>
            <w:tcW w:w="1132" w:type="pct"/>
          </w:tcPr>
          <w:p w14:paraId="5BC66CB5" w14:textId="77777777" w:rsidR="007034AB" w:rsidRPr="00BB4FCF" w:rsidRDefault="007034AB" w:rsidP="00735097">
            <w:pPr>
              <w:keepNext/>
              <w:spacing w:after="0" w:line="240" w:lineRule="auto"/>
              <w:rPr>
                <w:rFonts w:eastAsia="Calibri" w:cs="Calibri"/>
                <w:b/>
                <w:sz w:val="18"/>
              </w:rPr>
            </w:pPr>
            <w:r w:rsidRPr="00BB4FCF">
              <w:rPr>
                <w:rFonts w:eastAsia="Calibri" w:cs="Calibri"/>
                <w:b/>
                <w:sz w:val="18"/>
              </w:rPr>
              <w:t>Charge point</w:t>
            </w:r>
          </w:p>
        </w:tc>
        <w:tc>
          <w:tcPr>
            <w:tcW w:w="1098" w:type="pct"/>
          </w:tcPr>
          <w:p w14:paraId="664549F9" w14:textId="77777777" w:rsidR="007034AB" w:rsidRPr="00BB4FCF" w:rsidRDefault="007034AB" w:rsidP="00735097">
            <w:pPr>
              <w:keepNext/>
              <w:spacing w:after="0" w:line="240" w:lineRule="auto"/>
              <w:rPr>
                <w:rFonts w:eastAsia="Calibri" w:cs="Calibri"/>
                <w:b/>
                <w:sz w:val="18"/>
              </w:rPr>
            </w:pPr>
            <w:r w:rsidRPr="00BB4FCF">
              <w:rPr>
                <w:rFonts w:eastAsia="Calibri" w:cs="Calibri"/>
                <w:b/>
                <w:sz w:val="18"/>
              </w:rPr>
              <w:t>Unit</w:t>
            </w:r>
          </w:p>
        </w:tc>
        <w:tc>
          <w:tcPr>
            <w:tcW w:w="479" w:type="pct"/>
          </w:tcPr>
          <w:p w14:paraId="0B33B6B8" w14:textId="762BF2D9" w:rsidR="007034AB" w:rsidRPr="00BB4FCF" w:rsidRDefault="007034AB" w:rsidP="00735097">
            <w:pPr>
              <w:keepNext/>
              <w:spacing w:after="0" w:line="240" w:lineRule="auto"/>
              <w:jc w:val="right"/>
              <w:rPr>
                <w:rFonts w:eastAsia="Calibri" w:cs="Calibri"/>
                <w:b/>
                <w:sz w:val="18"/>
              </w:rPr>
            </w:pPr>
            <w:r w:rsidRPr="00BB4FCF">
              <w:rPr>
                <w:rFonts w:eastAsia="Calibri" w:cs="Calibri"/>
                <w:b/>
                <w:sz w:val="18"/>
              </w:rPr>
              <w:t>Price (</w:t>
            </w:r>
            <w:r>
              <w:rPr>
                <w:rFonts w:eastAsia="Calibri" w:cs="Calibri"/>
                <w:b/>
                <w:sz w:val="18"/>
              </w:rPr>
              <w:t>c</w:t>
            </w:r>
            <w:r w:rsidR="00FC3245">
              <w:rPr>
                <w:rFonts w:eastAsia="Calibri" w:cs="Calibri"/>
                <w:b/>
                <w:sz w:val="18"/>
              </w:rPr>
              <w:t>ents</w:t>
            </w:r>
            <w:r w:rsidRPr="00BB4FCF">
              <w:rPr>
                <w:rFonts w:eastAsia="Calibri" w:cs="Calibri"/>
                <w:b/>
                <w:sz w:val="18"/>
              </w:rPr>
              <w:t>)</w:t>
            </w:r>
          </w:p>
        </w:tc>
        <w:tc>
          <w:tcPr>
            <w:tcW w:w="682" w:type="pct"/>
          </w:tcPr>
          <w:p w14:paraId="59F55B7A" w14:textId="77777777" w:rsidR="007034AB" w:rsidRPr="00BB4FCF" w:rsidRDefault="007034AB" w:rsidP="00735097">
            <w:pPr>
              <w:keepNext/>
              <w:spacing w:after="0" w:line="240" w:lineRule="auto"/>
              <w:jc w:val="right"/>
              <w:rPr>
                <w:rFonts w:eastAsia="Calibri" w:cs="Calibri"/>
                <w:b/>
                <w:sz w:val="18"/>
              </w:rPr>
            </w:pPr>
            <w:r w:rsidRPr="00BB4FCF">
              <w:rPr>
                <w:rFonts w:eastAsia="Calibri" w:cs="Calibri"/>
                <w:b/>
                <w:sz w:val="18"/>
              </w:rPr>
              <w:t>Estimated volume (units)</w:t>
            </w:r>
          </w:p>
        </w:tc>
        <w:tc>
          <w:tcPr>
            <w:tcW w:w="812" w:type="pct"/>
          </w:tcPr>
          <w:p w14:paraId="34C33EB9" w14:textId="77777777" w:rsidR="007034AB" w:rsidRPr="00BB4FCF" w:rsidRDefault="007034AB" w:rsidP="00735097">
            <w:pPr>
              <w:keepNext/>
              <w:spacing w:after="0" w:line="240" w:lineRule="auto"/>
              <w:jc w:val="right"/>
              <w:rPr>
                <w:rFonts w:eastAsia="Calibri" w:cs="Calibri"/>
                <w:b/>
                <w:sz w:val="18"/>
              </w:rPr>
            </w:pPr>
            <w:r w:rsidRPr="00BB4FCF">
              <w:rPr>
                <w:rFonts w:eastAsia="Calibri" w:cs="Calibri"/>
                <w:b/>
                <w:sz w:val="18"/>
              </w:rPr>
              <w:t>Estimated total revenue ($)</w:t>
            </w:r>
          </w:p>
        </w:tc>
      </w:tr>
      <w:tr w:rsidR="00F23808" w:rsidRPr="00ED0CBA" w14:paraId="50D48FF2" w14:textId="77777777" w:rsidTr="00344E0D">
        <w:tc>
          <w:tcPr>
            <w:tcW w:w="798" w:type="pct"/>
          </w:tcPr>
          <w:p w14:paraId="50C14946" w14:textId="4DF5D576" w:rsidR="007034AB" w:rsidRPr="00ED0CBA" w:rsidRDefault="00F5390D" w:rsidP="00735097">
            <w:pPr>
              <w:spacing w:after="0" w:line="240" w:lineRule="auto"/>
              <w:rPr>
                <w:rFonts w:eastAsia="Calibri" w:cs="Calibri"/>
                <w:sz w:val="18"/>
              </w:rPr>
            </w:pPr>
            <w:r>
              <w:rPr>
                <w:rFonts w:eastAsia="Calibri" w:cs="Calibri"/>
                <w:sz w:val="18"/>
              </w:rPr>
              <w:t>SAC charge</w:t>
            </w:r>
          </w:p>
        </w:tc>
        <w:tc>
          <w:tcPr>
            <w:tcW w:w="1132" w:type="pct"/>
            <w:shd w:val="clear" w:color="auto" w:fill="auto"/>
          </w:tcPr>
          <w:p w14:paraId="7DCF35F5" w14:textId="5C2AD9CD" w:rsidR="007034AB" w:rsidRPr="00ED0CBA" w:rsidRDefault="007034AB" w:rsidP="00735097">
            <w:pPr>
              <w:spacing w:after="0" w:line="240" w:lineRule="auto"/>
              <w:rPr>
                <w:rFonts w:eastAsia="Calibri" w:cs="Calibri"/>
                <w:sz w:val="18"/>
              </w:rPr>
            </w:pPr>
            <w:r w:rsidRPr="00ED0CBA">
              <w:rPr>
                <w:rFonts w:eastAsia="Calibri" w:cs="Calibri"/>
                <w:sz w:val="18"/>
              </w:rPr>
              <w:t>Self-</w:t>
            </w:r>
            <w:r w:rsidR="00FC3245">
              <w:rPr>
                <w:rFonts w:eastAsia="Calibri" w:cs="Calibri"/>
                <w:sz w:val="18"/>
              </w:rPr>
              <w:t>a</w:t>
            </w:r>
            <w:r w:rsidRPr="00ED0CBA">
              <w:rPr>
                <w:rFonts w:eastAsia="Calibri" w:cs="Calibri"/>
                <w:sz w:val="18"/>
              </w:rPr>
              <w:t xml:space="preserve">ssessed </w:t>
            </w:r>
            <w:r w:rsidR="00FC3245">
              <w:rPr>
                <w:rFonts w:eastAsia="Calibri" w:cs="Calibri"/>
                <w:sz w:val="18"/>
              </w:rPr>
              <w:t>c</w:t>
            </w:r>
            <w:r w:rsidRPr="00ED0CBA">
              <w:rPr>
                <w:rFonts w:eastAsia="Calibri" w:cs="Calibri"/>
                <w:sz w:val="18"/>
              </w:rPr>
              <w:t xml:space="preserve">learance </w:t>
            </w:r>
            <w:r w:rsidR="00FC3245">
              <w:rPr>
                <w:rFonts w:eastAsia="Calibri" w:cs="Calibri"/>
                <w:sz w:val="18"/>
              </w:rPr>
              <w:t>d</w:t>
            </w:r>
            <w:r w:rsidRPr="00ED0CBA">
              <w:rPr>
                <w:rFonts w:eastAsia="Calibri" w:cs="Calibri"/>
                <w:sz w:val="18"/>
              </w:rPr>
              <w:t>eclaration</w:t>
            </w:r>
          </w:p>
        </w:tc>
        <w:tc>
          <w:tcPr>
            <w:tcW w:w="1098" w:type="pct"/>
            <w:shd w:val="clear" w:color="auto" w:fill="auto"/>
          </w:tcPr>
          <w:p w14:paraId="1155E208" w14:textId="68D60EA3" w:rsidR="007034AB" w:rsidRPr="00ED0CBA" w:rsidRDefault="007034AB" w:rsidP="00735097">
            <w:pPr>
              <w:spacing w:after="0" w:line="240" w:lineRule="auto"/>
              <w:rPr>
                <w:rFonts w:eastAsia="Calibri" w:cs="Calibri"/>
                <w:sz w:val="18"/>
              </w:rPr>
            </w:pPr>
            <w:r w:rsidRPr="00ED0CBA">
              <w:rPr>
                <w:rFonts w:eastAsia="Calibri" w:cs="Calibri"/>
                <w:sz w:val="18"/>
              </w:rPr>
              <w:t xml:space="preserve">Per self-assessed </w:t>
            </w:r>
            <w:r w:rsidR="00FC3245">
              <w:rPr>
                <w:rFonts w:eastAsia="Calibri" w:cs="Calibri"/>
                <w:sz w:val="18"/>
              </w:rPr>
              <w:t>c</w:t>
            </w:r>
            <w:r w:rsidRPr="00ED0CBA">
              <w:rPr>
                <w:rFonts w:eastAsia="Calibri" w:cs="Calibri"/>
                <w:sz w:val="18"/>
              </w:rPr>
              <w:t>learance declaration</w:t>
            </w:r>
            <w:r w:rsidR="00AA1257" w:rsidRPr="00ED0CBA">
              <w:rPr>
                <w:rFonts w:eastAsia="Calibri" w:cs="Calibri"/>
                <w:sz w:val="18"/>
              </w:rPr>
              <w:t xml:space="preserve"> (imported goods)</w:t>
            </w:r>
          </w:p>
        </w:tc>
        <w:tc>
          <w:tcPr>
            <w:tcW w:w="479" w:type="pct"/>
            <w:shd w:val="clear" w:color="auto" w:fill="auto"/>
          </w:tcPr>
          <w:p w14:paraId="26CD0148" w14:textId="7AF30F4E" w:rsidR="007034AB" w:rsidRPr="00ED0CBA" w:rsidRDefault="007034AB" w:rsidP="00735097">
            <w:pPr>
              <w:spacing w:after="0" w:line="240" w:lineRule="auto"/>
              <w:jc w:val="right"/>
              <w:rPr>
                <w:rFonts w:eastAsia="Calibri" w:cs="Calibri"/>
                <w:sz w:val="18"/>
              </w:rPr>
            </w:pPr>
            <w:r w:rsidRPr="00ED0CBA">
              <w:rPr>
                <w:rFonts w:eastAsia="Calibri" w:cs="Calibri"/>
                <w:sz w:val="18"/>
              </w:rPr>
              <w:t>36</w:t>
            </w:r>
          </w:p>
        </w:tc>
        <w:tc>
          <w:tcPr>
            <w:tcW w:w="682" w:type="pct"/>
            <w:shd w:val="clear" w:color="auto" w:fill="auto"/>
          </w:tcPr>
          <w:p w14:paraId="21B6FFB9" w14:textId="53D290E4" w:rsidR="007034AB" w:rsidRPr="00ED0CBA" w:rsidRDefault="0046594E" w:rsidP="00344E0D">
            <w:pPr>
              <w:spacing w:after="0" w:line="240" w:lineRule="auto"/>
              <w:jc w:val="right"/>
              <w:rPr>
                <w:rFonts w:eastAsia="Calibri" w:cs="Calibri"/>
                <w:sz w:val="18"/>
              </w:rPr>
            </w:pPr>
            <w:r w:rsidRPr="00ED0CBA">
              <w:rPr>
                <w:rFonts w:eastAsia="Calibri" w:cs="Calibri"/>
                <w:sz w:val="18"/>
              </w:rPr>
              <w:t>75,272,222</w:t>
            </w:r>
          </w:p>
        </w:tc>
        <w:tc>
          <w:tcPr>
            <w:tcW w:w="812" w:type="pct"/>
            <w:shd w:val="clear" w:color="auto" w:fill="auto"/>
          </w:tcPr>
          <w:p w14:paraId="047D2A83" w14:textId="704DA8A7" w:rsidR="007034AB" w:rsidRPr="00ED0CBA" w:rsidRDefault="005E6143" w:rsidP="00735097">
            <w:pPr>
              <w:spacing w:after="0" w:line="240" w:lineRule="auto"/>
              <w:jc w:val="right"/>
              <w:rPr>
                <w:rFonts w:eastAsia="Calibri" w:cs="Calibri"/>
                <w:sz w:val="18"/>
              </w:rPr>
            </w:pPr>
            <w:r w:rsidRPr="00ED0CBA">
              <w:rPr>
                <w:rFonts w:eastAsia="Calibri" w:cs="Calibri"/>
                <w:sz w:val="18"/>
              </w:rPr>
              <w:t>27,</w:t>
            </w:r>
            <w:r w:rsidR="004C24B7" w:rsidRPr="00ED0CBA">
              <w:rPr>
                <w:rFonts w:eastAsia="Calibri" w:cs="Calibri"/>
                <w:sz w:val="18"/>
              </w:rPr>
              <w:t>098,000</w:t>
            </w:r>
          </w:p>
        </w:tc>
      </w:tr>
    </w:tbl>
    <w:p w14:paraId="0E7FA652" w14:textId="191CE11C" w:rsidR="00056AD4" w:rsidRPr="00974A2E" w:rsidRDefault="00C5328C" w:rsidP="00974A2E">
      <w:pPr>
        <w:pStyle w:val="Heading2"/>
      </w:pPr>
      <w:bookmarkStart w:id="76" w:name="_Toc173762860"/>
      <w:bookmarkStart w:id="77" w:name="_Toc177103784"/>
      <w:r w:rsidRPr="00974A2E">
        <w:lastRenderedPageBreak/>
        <w:t>Risk assessment</w:t>
      </w:r>
      <w:bookmarkEnd w:id="76"/>
      <w:bookmarkEnd w:id="77"/>
    </w:p>
    <w:p w14:paraId="49DBEC42" w14:textId="4C473923" w:rsidR="006047D6" w:rsidRDefault="00387291" w:rsidP="00C5328C">
      <w:r>
        <w:t xml:space="preserve">A charging risk assessment (CRA) </w:t>
      </w:r>
      <w:r w:rsidR="002509EB">
        <w:t xml:space="preserve">or an assessment of similar factors </w:t>
      </w:r>
      <w:r w:rsidR="00AE2665">
        <w:t>must</w:t>
      </w:r>
      <w:r w:rsidR="003627DA">
        <w:t xml:space="preserve"> be </w:t>
      </w:r>
      <w:r w:rsidR="00AE2665">
        <w:t xml:space="preserve">undertaken </w:t>
      </w:r>
      <w:r>
        <w:t xml:space="preserve">for any </w:t>
      </w:r>
      <w:r w:rsidR="002509EB">
        <w:t xml:space="preserve">new </w:t>
      </w:r>
      <w:r>
        <w:t>regulatory charging policy proposal</w:t>
      </w:r>
      <w:r w:rsidR="60ED0428">
        <w:t>.</w:t>
      </w:r>
      <w:r w:rsidR="00AE2665">
        <w:t xml:space="preserve"> </w:t>
      </w:r>
      <w:r w:rsidR="00E4428A">
        <w:t xml:space="preserve">The </w:t>
      </w:r>
      <w:r w:rsidR="00D330F6">
        <w:t xml:space="preserve">government </w:t>
      </w:r>
      <w:r w:rsidR="00E4428A">
        <w:t xml:space="preserve">conducted an </w:t>
      </w:r>
      <w:r w:rsidR="002509EB">
        <w:t xml:space="preserve">assessment in the </w:t>
      </w:r>
      <w:r w:rsidR="003F72E3">
        <w:t xml:space="preserve">context of consideration </w:t>
      </w:r>
      <w:r w:rsidR="00AD3847">
        <w:t xml:space="preserve">and agreement to </w:t>
      </w:r>
      <w:r w:rsidR="003F72E3">
        <w:t>the charge</w:t>
      </w:r>
      <w:r w:rsidR="00AD3847">
        <w:t xml:space="preserve"> through the </w:t>
      </w:r>
      <w:r w:rsidR="00AD3847" w:rsidRPr="00B24116">
        <w:t>2023</w:t>
      </w:r>
      <w:r w:rsidR="0018765C" w:rsidRPr="00B24116">
        <w:t>–</w:t>
      </w:r>
      <w:r w:rsidR="00AD3847" w:rsidRPr="00B24116">
        <w:t>24</w:t>
      </w:r>
      <w:r w:rsidR="00AD3847">
        <w:t xml:space="preserve"> </w:t>
      </w:r>
      <w:r w:rsidR="00D330F6">
        <w:t>B</w:t>
      </w:r>
      <w:r w:rsidR="00AD3847">
        <w:t>udget process</w:t>
      </w:r>
      <w:r w:rsidR="000A2D68">
        <w:t xml:space="preserve">. </w:t>
      </w:r>
      <w:r w:rsidR="004053FA">
        <w:t>T</w:t>
      </w:r>
      <w:r w:rsidR="006047D6">
        <w:t xml:space="preserve">he </w:t>
      </w:r>
      <w:r w:rsidR="57390A58">
        <w:t>Office</w:t>
      </w:r>
      <w:r w:rsidR="006047D6">
        <w:t xml:space="preserve"> of Impact Analysis </w:t>
      </w:r>
      <w:r w:rsidR="091E3684">
        <w:t>(OIA)</w:t>
      </w:r>
      <w:r w:rsidR="006047D6">
        <w:t xml:space="preserve"> determined that an </w:t>
      </w:r>
      <w:r w:rsidR="00FC3245">
        <w:t>i</w:t>
      </w:r>
      <w:r w:rsidR="006047D6">
        <w:t xml:space="preserve">mpact </w:t>
      </w:r>
      <w:r w:rsidR="00FC3245">
        <w:t>a</w:t>
      </w:r>
      <w:r w:rsidR="006047D6">
        <w:t xml:space="preserve">nalysis </w:t>
      </w:r>
      <w:r w:rsidR="00FC3245">
        <w:t>a</w:t>
      </w:r>
      <w:r w:rsidR="006047D6">
        <w:t>ssessment was required to assess the regulatory b</w:t>
      </w:r>
      <w:r w:rsidR="00B14949">
        <w:t xml:space="preserve">urden on </w:t>
      </w:r>
      <w:r w:rsidR="7FBB80E3">
        <w:t>parties affected by the charge</w:t>
      </w:r>
      <w:r w:rsidR="00B14949">
        <w:t xml:space="preserve">. </w:t>
      </w:r>
      <w:r w:rsidR="00355F5A">
        <w:t>Th</w:t>
      </w:r>
      <w:r w:rsidR="00EB2C8B">
        <w:t>is</w:t>
      </w:r>
      <w:r w:rsidR="00355F5A">
        <w:t xml:space="preserve"> </w:t>
      </w:r>
      <w:hyperlink r:id="rId33" w:history="1">
        <w:r w:rsidR="00FC3245">
          <w:rPr>
            <w:rStyle w:val="Hyperlink"/>
          </w:rPr>
          <w:t>impact analysis assessment</w:t>
        </w:r>
      </w:hyperlink>
      <w:r w:rsidR="00B21AAA">
        <w:t xml:space="preserve"> was </w:t>
      </w:r>
      <w:r w:rsidR="66BB5A80">
        <w:t>approved</w:t>
      </w:r>
      <w:r w:rsidR="00B21AAA">
        <w:t xml:space="preserve"> in May 2023</w:t>
      </w:r>
      <w:r w:rsidR="00BD35E1">
        <w:t>.</w:t>
      </w:r>
      <w:r w:rsidR="004053FA">
        <w:t xml:space="preserve"> A</w:t>
      </w:r>
      <w:r w:rsidR="00797BEE">
        <w:t xml:space="preserve"> subsequent </w:t>
      </w:r>
      <w:r w:rsidR="004053FA">
        <w:t xml:space="preserve">implementation CRA assessed </w:t>
      </w:r>
      <w:r w:rsidR="00E32293">
        <w:t xml:space="preserve">the risk </w:t>
      </w:r>
      <w:r w:rsidR="004053FA">
        <w:t>as medium.</w:t>
      </w:r>
    </w:p>
    <w:p w14:paraId="6C309B65" w14:textId="2B27F738" w:rsidR="009741C9" w:rsidRDefault="009741C9" w:rsidP="00C5328C">
      <w:r>
        <w:t xml:space="preserve">Reviews identified in </w:t>
      </w:r>
      <w:hyperlink w:anchor="_Volume_forecasts" w:history="1">
        <w:r w:rsidRPr="00691E7A">
          <w:rPr>
            <w:rStyle w:val="Hyperlink"/>
          </w:rPr>
          <w:t>section 6.2</w:t>
        </w:r>
      </w:hyperlink>
      <w:r>
        <w:t xml:space="preserve"> </w:t>
      </w:r>
      <w:r w:rsidR="00A232CD">
        <w:t>will enable</w:t>
      </w:r>
      <w:r w:rsidR="00FE48A7">
        <w:t xml:space="preserve"> the department to consider</w:t>
      </w:r>
      <w:r w:rsidR="00A232CD">
        <w:t xml:space="preserve"> transitional settings as the charge matures.</w:t>
      </w:r>
    </w:p>
    <w:p w14:paraId="4FEFE3B0" w14:textId="1EEF5FCF" w:rsidR="001C6974" w:rsidRDefault="00A61464" w:rsidP="001C6974">
      <w:r>
        <w:rPr>
          <w:lang w:eastAsia="ja-JP"/>
        </w:rPr>
        <w:t>F</w:t>
      </w:r>
      <w:r w:rsidR="00E128B4">
        <w:rPr>
          <w:lang w:eastAsia="ja-JP"/>
        </w:rPr>
        <w:t xml:space="preserve">urther </w:t>
      </w:r>
      <w:r w:rsidR="00C5328C" w:rsidRPr="1A632E6C">
        <w:rPr>
          <w:lang w:eastAsia="ja-JP"/>
        </w:rPr>
        <w:t xml:space="preserve">risks associated with cost recovering biosecurity activities and </w:t>
      </w:r>
      <w:r w:rsidR="27B449E6" w:rsidRPr="741D0CD0">
        <w:rPr>
          <w:lang w:eastAsia="ja-JP"/>
        </w:rPr>
        <w:t>how</w:t>
      </w:r>
      <w:r w:rsidR="00FE48A7">
        <w:rPr>
          <w:lang w:eastAsia="ja-JP"/>
        </w:rPr>
        <w:t xml:space="preserve"> the department will manage</w:t>
      </w:r>
      <w:r w:rsidR="00C5328C" w:rsidRPr="1A632E6C">
        <w:rPr>
          <w:lang w:eastAsia="ja-JP"/>
        </w:rPr>
        <w:t xml:space="preserve"> these risks</w:t>
      </w:r>
      <w:r w:rsidR="27B449E6" w:rsidRPr="741D0CD0">
        <w:rPr>
          <w:lang w:eastAsia="ja-JP"/>
        </w:rPr>
        <w:t xml:space="preserve"> </w:t>
      </w:r>
      <w:r w:rsidR="27B449E6" w:rsidRPr="57A53C52">
        <w:rPr>
          <w:lang w:eastAsia="ja-JP"/>
        </w:rPr>
        <w:t xml:space="preserve">have been </w:t>
      </w:r>
      <w:r w:rsidR="27B449E6" w:rsidRPr="63CBD7DB">
        <w:rPr>
          <w:lang w:eastAsia="ja-JP"/>
        </w:rPr>
        <w:t>considered</w:t>
      </w:r>
      <w:r w:rsidR="00E7767B">
        <w:rPr>
          <w:lang w:eastAsia="ja-JP"/>
        </w:rPr>
        <w:t xml:space="preserve"> and</w:t>
      </w:r>
      <w:r w:rsidR="00C5328C" w:rsidRPr="1A632E6C">
        <w:rPr>
          <w:lang w:eastAsia="ja-JP"/>
        </w:rPr>
        <w:t xml:space="preserve"> presented</w:t>
      </w:r>
      <w:r>
        <w:rPr>
          <w:lang w:eastAsia="ja-JP"/>
        </w:rPr>
        <w:t xml:space="preserve"> in the </w:t>
      </w:r>
      <w:hyperlink r:id="rId34" w:history="1">
        <w:hyperlink r:id="rId35" w:history="1">
          <w:r w:rsidR="42484A01" w:rsidRPr="1ABB18B7">
            <w:rPr>
              <w:rStyle w:val="Hyperlink"/>
            </w:rPr>
            <w:t>Biosecurity CRIS</w:t>
          </w:r>
        </w:hyperlink>
      </w:hyperlink>
      <w:r>
        <w:rPr>
          <w:lang w:eastAsia="ja-JP"/>
        </w:rPr>
        <w:t xml:space="preserve"> </w:t>
      </w:r>
      <w:r w:rsidR="001C6974">
        <w:rPr>
          <w:lang w:eastAsia="ja-JP"/>
        </w:rPr>
        <w:t>(see</w:t>
      </w:r>
      <w:r w:rsidR="00C5328C" w:rsidRPr="1A632E6C">
        <w:rPr>
          <w:lang w:eastAsia="ja-JP"/>
        </w:rPr>
        <w:t xml:space="preserve"> </w:t>
      </w:r>
      <w:bookmarkStart w:id="78" w:name="_Ref77863628"/>
      <w:bookmarkStart w:id="79" w:name="Table_5"/>
      <w:r w:rsidR="001C6974">
        <w:rPr>
          <w:lang w:eastAsia="ja-JP"/>
        </w:rPr>
        <w:fldChar w:fldCharType="begin"/>
      </w:r>
      <w:r w:rsidR="001C6974">
        <w:rPr>
          <w:lang w:eastAsia="ja-JP"/>
        </w:rPr>
        <w:instrText xml:space="preserve"> REF _Ref175661695 \h </w:instrText>
      </w:r>
      <w:r w:rsidR="001C6974">
        <w:rPr>
          <w:lang w:eastAsia="ja-JP"/>
        </w:rPr>
      </w:r>
      <w:r w:rsidR="001C6974">
        <w:rPr>
          <w:lang w:eastAsia="ja-JP"/>
        </w:rPr>
        <w:fldChar w:fldCharType="separate"/>
      </w:r>
      <w:r w:rsidR="001C6974">
        <w:t xml:space="preserve">Table </w:t>
      </w:r>
      <w:r w:rsidR="001C6974">
        <w:rPr>
          <w:noProof/>
        </w:rPr>
        <w:t>3</w:t>
      </w:r>
      <w:r w:rsidR="001C6974">
        <w:rPr>
          <w:lang w:eastAsia="ja-JP"/>
        </w:rPr>
        <w:fldChar w:fldCharType="end"/>
      </w:r>
      <w:r w:rsidR="001C6974">
        <w:rPr>
          <w:lang w:eastAsia="ja-JP"/>
        </w:rPr>
        <w:t>).</w:t>
      </w:r>
    </w:p>
    <w:p w14:paraId="7513C067" w14:textId="468DB5E1" w:rsidR="00711104" w:rsidRDefault="00711104" w:rsidP="00711104">
      <w:pPr>
        <w:pStyle w:val="Caption"/>
      </w:pPr>
      <w:bookmarkStart w:id="80" w:name="_Ref175661695"/>
      <w:bookmarkStart w:id="81" w:name="_Toc176352602"/>
      <w:r>
        <w:t xml:space="preserve">Table </w:t>
      </w:r>
      <w:r>
        <w:fldChar w:fldCharType="begin"/>
      </w:r>
      <w:r>
        <w:instrText xml:space="preserve"> SEQ Table \* ARABIC </w:instrText>
      </w:r>
      <w:r>
        <w:fldChar w:fldCharType="separate"/>
      </w:r>
      <w:r>
        <w:rPr>
          <w:noProof/>
        </w:rPr>
        <w:t>3</w:t>
      </w:r>
      <w:r>
        <w:fldChar w:fldCharType="end"/>
      </w:r>
      <w:bookmarkEnd w:id="80"/>
      <w:r>
        <w:t xml:space="preserve"> </w:t>
      </w:r>
      <w:r w:rsidRPr="006369EF">
        <w:t>Risks for biosecurity arrangement</w:t>
      </w:r>
      <w:bookmarkEnd w:id="81"/>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88"/>
        <w:gridCol w:w="4596"/>
      </w:tblGrid>
      <w:tr w:rsidR="00C27C7B" w:rsidRPr="0029167F" w14:paraId="11D836AD" w14:textId="77777777" w:rsidTr="00134B12">
        <w:trPr>
          <w:cantSplit/>
          <w:tblHeader/>
        </w:trPr>
        <w:tc>
          <w:tcPr>
            <w:tcW w:w="2498" w:type="pct"/>
          </w:tcPr>
          <w:p w14:paraId="7F4829F6" w14:textId="7A5E0D1B" w:rsidR="008E24B1" w:rsidRPr="00DB2C72" w:rsidRDefault="008E24B1" w:rsidP="00DB2C72">
            <w:pPr>
              <w:pStyle w:val="TableText"/>
              <w:rPr>
                <w:rStyle w:val="Strong"/>
              </w:rPr>
            </w:pPr>
            <w:bookmarkStart w:id="82" w:name="Title_3"/>
            <w:bookmarkEnd w:id="78"/>
            <w:bookmarkEnd w:id="79"/>
            <w:bookmarkEnd w:id="82"/>
            <w:r w:rsidRPr="00DB2C72">
              <w:rPr>
                <w:rStyle w:val="Strong"/>
              </w:rPr>
              <w:t>Risk</w:t>
            </w:r>
          </w:p>
        </w:tc>
        <w:tc>
          <w:tcPr>
            <w:tcW w:w="2502" w:type="pct"/>
          </w:tcPr>
          <w:p w14:paraId="0E7EAD38" w14:textId="2FF344C4" w:rsidR="008E24B1" w:rsidRPr="00DB2C72" w:rsidRDefault="008E24B1" w:rsidP="00DB2C72">
            <w:pPr>
              <w:pStyle w:val="TableText"/>
              <w:rPr>
                <w:rStyle w:val="Strong"/>
              </w:rPr>
            </w:pPr>
            <w:r w:rsidRPr="00DB2C72">
              <w:rPr>
                <w:rStyle w:val="Strong"/>
              </w:rPr>
              <w:t>Management</w:t>
            </w:r>
          </w:p>
        </w:tc>
      </w:tr>
      <w:tr w:rsidR="00C27C7B" w:rsidRPr="0029167F" w14:paraId="7058C1D0" w14:textId="77777777" w:rsidTr="00134B12">
        <w:tc>
          <w:tcPr>
            <w:tcW w:w="2498" w:type="pct"/>
          </w:tcPr>
          <w:p w14:paraId="0D90F86A" w14:textId="581AE3CD" w:rsidR="008E24B1" w:rsidRPr="0029167F" w:rsidRDefault="008E018B" w:rsidP="002425BC">
            <w:pPr>
              <w:pStyle w:val="TableText"/>
              <w:rPr>
                <w:rFonts w:cstheme="minorHAnsi"/>
              </w:rPr>
            </w:pPr>
            <w:r w:rsidRPr="0029167F">
              <w:rPr>
                <w:rFonts w:cstheme="minorHAnsi"/>
              </w:rPr>
              <w:t xml:space="preserve">Biosecurity cost recovery </w:t>
            </w:r>
            <w:r w:rsidR="008E24B1" w:rsidRPr="0029167F">
              <w:rPr>
                <w:rFonts w:cstheme="minorHAnsi"/>
              </w:rPr>
              <w:t>affecting industry competitiveness.</w:t>
            </w:r>
          </w:p>
        </w:tc>
        <w:tc>
          <w:tcPr>
            <w:tcW w:w="2502" w:type="pct"/>
          </w:tcPr>
          <w:p w14:paraId="0D96A273" w14:textId="7DDCF3E4" w:rsidR="008E24B1" w:rsidRPr="0029167F" w:rsidRDefault="008E24B1" w:rsidP="002425BC">
            <w:pPr>
              <w:pStyle w:val="TableText"/>
              <w:rPr>
                <w:rFonts w:cstheme="minorHAnsi"/>
              </w:rPr>
            </w:pPr>
            <w:r w:rsidRPr="0029167F">
              <w:rPr>
                <w:rFonts w:cstheme="minorHAnsi"/>
              </w:rPr>
              <w:t xml:space="preserve">We will continue </w:t>
            </w:r>
            <w:r w:rsidR="008E018B" w:rsidRPr="0029167F">
              <w:rPr>
                <w:rFonts w:cstheme="minorHAnsi"/>
              </w:rPr>
              <w:t>to monitor our performance in the delivery of biosecurity activities.</w:t>
            </w:r>
          </w:p>
        </w:tc>
      </w:tr>
      <w:tr w:rsidR="00C27C7B" w:rsidRPr="0029167F" w14:paraId="4CBC8F6B" w14:textId="77777777" w:rsidTr="00134B12">
        <w:tc>
          <w:tcPr>
            <w:tcW w:w="2498" w:type="pct"/>
          </w:tcPr>
          <w:p w14:paraId="243E8093" w14:textId="17ADD858" w:rsidR="008E24B1" w:rsidRPr="0029167F" w:rsidRDefault="008E24B1" w:rsidP="002425BC">
            <w:pPr>
              <w:pStyle w:val="TableText"/>
              <w:rPr>
                <w:rFonts w:cstheme="minorHAnsi"/>
              </w:rPr>
            </w:pPr>
            <w:r w:rsidRPr="0029167F">
              <w:rPr>
                <w:rFonts w:cstheme="minorHAnsi"/>
              </w:rPr>
              <w:t>The fee and charge structure does not support future regulatory reforms.</w:t>
            </w:r>
          </w:p>
        </w:tc>
        <w:tc>
          <w:tcPr>
            <w:tcW w:w="2502" w:type="pct"/>
          </w:tcPr>
          <w:p w14:paraId="0CD7424D" w14:textId="5BC54DDE" w:rsidR="008E24B1" w:rsidRPr="0029167F" w:rsidRDefault="00C24AB9" w:rsidP="002425BC">
            <w:pPr>
              <w:pStyle w:val="TableText"/>
              <w:rPr>
                <w:rFonts w:cstheme="minorHAnsi"/>
              </w:rPr>
            </w:pPr>
            <w:r>
              <w:rPr>
                <w:rFonts w:cstheme="minorHAnsi"/>
              </w:rPr>
              <w:t xml:space="preserve">Annual </w:t>
            </w:r>
            <w:r w:rsidR="008E24B1" w:rsidRPr="0029167F">
              <w:rPr>
                <w:rFonts w:cstheme="minorHAnsi"/>
              </w:rPr>
              <w:t>review</w:t>
            </w:r>
            <w:r w:rsidR="00B3270D">
              <w:rPr>
                <w:rFonts w:cstheme="minorHAnsi"/>
              </w:rPr>
              <w:t xml:space="preserve"> of the CRIS,</w:t>
            </w:r>
            <w:r w:rsidR="008E24B1" w:rsidRPr="0029167F">
              <w:rPr>
                <w:rFonts w:cstheme="minorHAnsi"/>
              </w:rPr>
              <w:t xml:space="preserve"> </w:t>
            </w:r>
            <w:r w:rsidR="008E018B" w:rsidRPr="0029167F">
              <w:rPr>
                <w:rFonts w:cstheme="minorHAnsi"/>
              </w:rPr>
              <w:t>updat</w:t>
            </w:r>
            <w:r w:rsidR="004C3D00">
              <w:rPr>
                <w:rFonts w:cstheme="minorHAnsi"/>
              </w:rPr>
              <w:t>ing</w:t>
            </w:r>
            <w:r w:rsidR="00B3270D">
              <w:rPr>
                <w:rFonts w:cstheme="minorHAnsi"/>
              </w:rPr>
              <w:t xml:space="preserve"> as required</w:t>
            </w:r>
            <w:r w:rsidR="008E24B1" w:rsidRPr="0029167F">
              <w:rPr>
                <w:rFonts w:cstheme="minorHAnsi"/>
              </w:rPr>
              <w:t>.</w:t>
            </w:r>
          </w:p>
        </w:tc>
      </w:tr>
      <w:tr w:rsidR="00C27C7B" w:rsidRPr="0029167F" w14:paraId="041559CE" w14:textId="77777777" w:rsidTr="00134B12">
        <w:tc>
          <w:tcPr>
            <w:tcW w:w="2498" w:type="pct"/>
          </w:tcPr>
          <w:p w14:paraId="4963D7B6" w14:textId="4C9F10C7" w:rsidR="008E24B1" w:rsidRPr="0029167F" w:rsidRDefault="008E24B1" w:rsidP="002425BC">
            <w:pPr>
              <w:pStyle w:val="TableText"/>
              <w:rPr>
                <w:rFonts w:cstheme="minorHAnsi"/>
              </w:rPr>
            </w:pPr>
            <w:r w:rsidRPr="0029167F">
              <w:rPr>
                <w:rFonts w:cstheme="minorHAnsi"/>
              </w:rPr>
              <w:t xml:space="preserve">Changes to </w:t>
            </w:r>
            <w:r w:rsidR="004A2FA3" w:rsidRPr="0029167F">
              <w:rPr>
                <w:rFonts w:cstheme="minorHAnsi"/>
              </w:rPr>
              <w:t>g</w:t>
            </w:r>
            <w:r w:rsidRPr="0029167F">
              <w:rPr>
                <w:rFonts w:cstheme="minorHAnsi"/>
              </w:rPr>
              <w:t>overnment policy and activities.</w:t>
            </w:r>
          </w:p>
        </w:tc>
        <w:tc>
          <w:tcPr>
            <w:tcW w:w="2502" w:type="pct"/>
          </w:tcPr>
          <w:p w14:paraId="16572E12" w14:textId="2331D4D0" w:rsidR="008E24B1" w:rsidRPr="0029167F" w:rsidRDefault="008E24B1" w:rsidP="002425BC">
            <w:pPr>
              <w:pStyle w:val="TableText"/>
              <w:rPr>
                <w:rFonts w:cstheme="minorHAnsi"/>
              </w:rPr>
            </w:pPr>
            <w:r w:rsidRPr="0029167F">
              <w:rPr>
                <w:rFonts w:cstheme="minorHAnsi"/>
              </w:rPr>
              <w:t>Regular assessment</w:t>
            </w:r>
            <w:r w:rsidR="008F1CCD" w:rsidRPr="0029167F">
              <w:rPr>
                <w:rFonts w:cstheme="minorHAnsi"/>
              </w:rPr>
              <w:t xml:space="preserve"> </w:t>
            </w:r>
            <w:r w:rsidRPr="0029167F">
              <w:rPr>
                <w:rFonts w:cstheme="minorHAnsi"/>
              </w:rPr>
              <w:t>of the arrangement.</w:t>
            </w:r>
          </w:p>
        </w:tc>
      </w:tr>
      <w:tr w:rsidR="00C27C7B" w:rsidRPr="0029167F" w14:paraId="1F2EF20F" w14:textId="77777777" w:rsidTr="00134B12">
        <w:tc>
          <w:tcPr>
            <w:tcW w:w="2498" w:type="pct"/>
          </w:tcPr>
          <w:p w14:paraId="7554930A" w14:textId="24FE5FFA" w:rsidR="008E24B1" w:rsidRPr="0029167F" w:rsidRDefault="008E24B1" w:rsidP="002425BC">
            <w:pPr>
              <w:pStyle w:val="TableText"/>
              <w:rPr>
                <w:rFonts w:cstheme="minorHAnsi"/>
              </w:rPr>
            </w:pPr>
            <w:r w:rsidRPr="0029167F">
              <w:rPr>
                <w:rFonts w:cstheme="minorHAnsi"/>
              </w:rPr>
              <w:t>Biosecurity risk level changes—the cost of undertaking biosecurity activities no longer reflects forecast effort.</w:t>
            </w:r>
          </w:p>
        </w:tc>
        <w:tc>
          <w:tcPr>
            <w:tcW w:w="2502" w:type="pct"/>
          </w:tcPr>
          <w:p w14:paraId="4899E782" w14:textId="2E42D665" w:rsidR="008E24B1" w:rsidRPr="0029167F" w:rsidRDefault="008E24B1" w:rsidP="002425BC">
            <w:pPr>
              <w:pStyle w:val="TableText"/>
              <w:rPr>
                <w:rFonts w:cstheme="minorHAnsi"/>
              </w:rPr>
            </w:pPr>
            <w:r w:rsidRPr="0029167F">
              <w:rPr>
                <w:rFonts w:cstheme="minorHAnsi"/>
              </w:rPr>
              <w:t>Regular assessment of the arrangement.</w:t>
            </w:r>
          </w:p>
        </w:tc>
      </w:tr>
      <w:tr w:rsidR="00C27C7B" w:rsidRPr="0029167F" w14:paraId="426CA826" w14:textId="77777777" w:rsidTr="00134B12">
        <w:tc>
          <w:tcPr>
            <w:tcW w:w="2498" w:type="pct"/>
          </w:tcPr>
          <w:p w14:paraId="3E3A81EA" w14:textId="4B2817BB" w:rsidR="008E24B1" w:rsidRPr="0029167F" w:rsidRDefault="008E24B1" w:rsidP="002425BC">
            <w:pPr>
              <w:pStyle w:val="TableText"/>
              <w:rPr>
                <w:rFonts w:cstheme="minorHAnsi"/>
              </w:rPr>
            </w:pPr>
            <w:r w:rsidRPr="0029167F">
              <w:rPr>
                <w:rFonts w:cstheme="minorHAnsi"/>
              </w:rPr>
              <w:t xml:space="preserve">Under-recovery occurs (for example, </w:t>
            </w:r>
            <w:r w:rsidR="003A30A5" w:rsidRPr="0029167F">
              <w:rPr>
                <w:rFonts w:cstheme="minorHAnsi"/>
              </w:rPr>
              <w:t>because</w:t>
            </w:r>
            <w:r w:rsidRPr="0029167F">
              <w:rPr>
                <w:rFonts w:cstheme="minorHAnsi"/>
              </w:rPr>
              <w:t xml:space="preserve"> of a reduction in the level of import activity).</w:t>
            </w:r>
          </w:p>
        </w:tc>
        <w:tc>
          <w:tcPr>
            <w:tcW w:w="2502" w:type="pct"/>
          </w:tcPr>
          <w:p w14:paraId="6596BF9A" w14:textId="6F097223" w:rsidR="008E24B1" w:rsidRPr="0029167F" w:rsidRDefault="004C3D00" w:rsidP="002425BC">
            <w:pPr>
              <w:pStyle w:val="TableText"/>
              <w:rPr>
                <w:rFonts w:cstheme="minorHAnsi"/>
              </w:rPr>
            </w:pPr>
            <w:r>
              <w:rPr>
                <w:rFonts w:cstheme="minorHAnsi"/>
              </w:rPr>
              <w:t>Continued engagement</w:t>
            </w:r>
            <w:r w:rsidR="008E24B1" w:rsidRPr="0029167F">
              <w:rPr>
                <w:rFonts w:cstheme="minorHAnsi"/>
              </w:rPr>
              <w:t xml:space="preserve"> with industry to discuss options </w:t>
            </w:r>
            <w:r w:rsidR="008F1CCD" w:rsidRPr="0029167F">
              <w:rPr>
                <w:rFonts w:cstheme="minorHAnsi"/>
              </w:rPr>
              <w:t>and develop</w:t>
            </w:r>
            <w:r w:rsidR="005A514F" w:rsidRPr="0029167F">
              <w:rPr>
                <w:rFonts w:cstheme="minorHAnsi"/>
              </w:rPr>
              <w:t xml:space="preserve"> strategies to manage expenses.</w:t>
            </w:r>
          </w:p>
        </w:tc>
      </w:tr>
      <w:tr w:rsidR="00C27C7B" w:rsidRPr="0029167F" w14:paraId="2408C250" w14:textId="77777777" w:rsidTr="00134B12">
        <w:tc>
          <w:tcPr>
            <w:tcW w:w="2498" w:type="pct"/>
          </w:tcPr>
          <w:p w14:paraId="60682B47" w14:textId="6235D0B1" w:rsidR="008E24B1" w:rsidRPr="0029167F" w:rsidRDefault="008E24B1" w:rsidP="002425BC">
            <w:pPr>
              <w:pStyle w:val="TableText"/>
              <w:rPr>
                <w:rFonts w:cstheme="minorHAnsi"/>
              </w:rPr>
            </w:pPr>
            <w:r w:rsidRPr="0029167F">
              <w:rPr>
                <w:rFonts w:cstheme="minorHAnsi"/>
              </w:rPr>
              <w:t xml:space="preserve">Over-recovery occurs (for example, </w:t>
            </w:r>
            <w:r w:rsidR="003A30A5" w:rsidRPr="0029167F">
              <w:rPr>
                <w:rFonts w:cstheme="minorHAnsi"/>
              </w:rPr>
              <w:t xml:space="preserve">because </w:t>
            </w:r>
            <w:r w:rsidRPr="0029167F">
              <w:rPr>
                <w:rFonts w:cstheme="minorHAnsi"/>
              </w:rPr>
              <w:t>of a greater than anticipated level of import activity).</w:t>
            </w:r>
          </w:p>
        </w:tc>
        <w:tc>
          <w:tcPr>
            <w:tcW w:w="2502" w:type="pct"/>
          </w:tcPr>
          <w:p w14:paraId="17513489" w14:textId="104C7C06" w:rsidR="008E24B1" w:rsidRPr="0029167F" w:rsidRDefault="008E24B1" w:rsidP="002425BC">
            <w:pPr>
              <w:pStyle w:val="TableText"/>
              <w:rPr>
                <w:rFonts w:cstheme="minorHAnsi"/>
              </w:rPr>
            </w:pPr>
            <w:r w:rsidRPr="0029167F">
              <w:rPr>
                <w:rFonts w:cstheme="minorHAnsi"/>
              </w:rPr>
              <w:t xml:space="preserve">Subject to approval, </w:t>
            </w:r>
            <w:r w:rsidR="00DD3B91">
              <w:rPr>
                <w:rFonts w:cstheme="minorHAnsi"/>
              </w:rPr>
              <w:t>r</w:t>
            </w:r>
            <w:r w:rsidR="00DD3B91" w:rsidRPr="0029167F">
              <w:rPr>
                <w:rFonts w:cstheme="minorHAnsi"/>
              </w:rPr>
              <w:t>emittance</w:t>
            </w:r>
            <w:r w:rsidRPr="0029167F">
              <w:rPr>
                <w:rFonts w:cstheme="minorHAnsi"/>
              </w:rPr>
              <w:t xml:space="preserve"> or investment initiatives directly benefiting activities within the arrangement. </w:t>
            </w:r>
            <w:r w:rsidR="00A023EA">
              <w:rPr>
                <w:rFonts w:cstheme="minorHAnsi"/>
              </w:rPr>
              <w:t>Other approaches</w:t>
            </w:r>
            <w:r w:rsidR="00705CB6">
              <w:rPr>
                <w:rFonts w:cstheme="minorHAnsi"/>
              </w:rPr>
              <w:t xml:space="preserve">, agreed with </w:t>
            </w:r>
            <w:r w:rsidR="00D41FF5">
              <w:rPr>
                <w:rFonts w:cstheme="minorHAnsi"/>
              </w:rPr>
              <w:t>industry</w:t>
            </w:r>
            <w:r w:rsidR="00D41FF5" w:rsidRPr="0029167F">
              <w:rPr>
                <w:rFonts w:cstheme="minorHAnsi"/>
              </w:rPr>
              <w:t xml:space="preserve"> within</w:t>
            </w:r>
            <w:r w:rsidRPr="0029167F">
              <w:rPr>
                <w:rFonts w:cstheme="minorHAnsi"/>
              </w:rPr>
              <w:t xml:space="preserve"> policy guidelines.</w:t>
            </w:r>
          </w:p>
        </w:tc>
      </w:tr>
    </w:tbl>
    <w:p w14:paraId="77409BFE" w14:textId="45533F8B" w:rsidR="001926AB" w:rsidRPr="00974A2E" w:rsidRDefault="00A82DE1" w:rsidP="00974A2E">
      <w:pPr>
        <w:pStyle w:val="Heading2"/>
      </w:pPr>
      <w:bookmarkStart w:id="83" w:name="_Toc171425675"/>
      <w:bookmarkStart w:id="84" w:name="_Toc173762861"/>
      <w:bookmarkStart w:id="85" w:name="_Toc177103785"/>
      <w:bookmarkEnd w:id="83"/>
      <w:r w:rsidRPr="00974A2E">
        <w:lastRenderedPageBreak/>
        <w:t>Stakeholder engagement</w:t>
      </w:r>
      <w:bookmarkEnd w:id="84"/>
      <w:bookmarkEnd w:id="85"/>
    </w:p>
    <w:p w14:paraId="25B981D4" w14:textId="556BDA56" w:rsidR="00A82DE1" w:rsidRDefault="00A82DE1" w:rsidP="00A82DE1">
      <w:pPr>
        <w:rPr>
          <w:rFonts w:cstheme="minorHAnsi"/>
          <w:lang w:eastAsia="ja-JP"/>
        </w:rPr>
      </w:pPr>
      <w:r w:rsidRPr="0029167F">
        <w:rPr>
          <w:rFonts w:cstheme="minorHAnsi"/>
          <w:lang w:eastAsia="ja-JP"/>
        </w:rPr>
        <w:t xml:space="preserve">Stakeholder engagement plays </w:t>
      </w:r>
      <w:r w:rsidR="00E00991" w:rsidRPr="0029167F">
        <w:rPr>
          <w:rFonts w:cstheme="minorHAnsi"/>
          <w:lang w:eastAsia="ja-JP"/>
        </w:rPr>
        <w:t>a vital role</w:t>
      </w:r>
      <w:r w:rsidRPr="0029167F">
        <w:rPr>
          <w:rFonts w:cstheme="minorHAnsi"/>
          <w:lang w:eastAsia="ja-JP"/>
        </w:rPr>
        <w:t xml:space="preserve"> in the development and management of regulatory charging arrangements. Our stakeholders have unique insights into how our regulatory activities affect their businesses and can help us design efficient regulatory charging frameworks for these activities</w:t>
      </w:r>
      <w:r w:rsidR="009D4CA8">
        <w:rPr>
          <w:rFonts w:cstheme="minorHAnsi"/>
          <w:lang w:eastAsia="ja-JP"/>
        </w:rPr>
        <w:t>.</w:t>
      </w:r>
    </w:p>
    <w:p w14:paraId="632CDE41" w14:textId="072B1AC5" w:rsidR="00914D2A" w:rsidRPr="0029167F" w:rsidRDefault="00914D2A" w:rsidP="00974A2E">
      <w:pPr>
        <w:pStyle w:val="Heading3"/>
        <w:rPr>
          <w:lang w:eastAsia="ja-JP"/>
        </w:rPr>
      </w:pPr>
      <w:bookmarkStart w:id="86" w:name="_Toc173762862"/>
      <w:bookmarkStart w:id="87" w:name="_Toc177103786"/>
      <w:r>
        <w:rPr>
          <w:lang w:eastAsia="ja-JP"/>
        </w:rPr>
        <w:t>Consultation on proposed changes</w:t>
      </w:r>
      <w:bookmarkEnd w:id="86"/>
      <w:bookmarkEnd w:id="87"/>
    </w:p>
    <w:p w14:paraId="6C98D6FF" w14:textId="67D376DC" w:rsidR="00914D2A" w:rsidRDefault="008677B3" w:rsidP="00A82DE1">
      <w:pPr>
        <w:rPr>
          <w:rFonts w:cstheme="minorHAnsi"/>
          <w:lang w:eastAsia="ja-JP"/>
        </w:rPr>
      </w:pPr>
      <w:r>
        <w:rPr>
          <w:rFonts w:cstheme="minorHAnsi"/>
          <w:lang w:eastAsia="ja-JP"/>
        </w:rPr>
        <w:t>We have</w:t>
      </w:r>
      <w:r w:rsidR="002702C3">
        <w:rPr>
          <w:rFonts w:cstheme="minorHAnsi"/>
          <w:lang w:eastAsia="ja-JP"/>
        </w:rPr>
        <w:t xml:space="preserve"> undertaken public and targeted </w:t>
      </w:r>
      <w:r w:rsidR="000506DC">
        <w:rPr>
          <w:rFonts w:cstheme="minorHAnsi"/>
          <w:lang w:eastAsia="ja-JP"/>
        </w:rPr>
        <w:t>consultation</w:t>
      </w:r>
      <w:r w:rsidR="00B34A03">
        <w:rPr>
          <w:rFonts w:cstheme="minorHAnsi"/>
          <w:lang w:eastAsia="ja-JP"/>
        </w:rPr>
        <w:t xml:space="preserve"> with stakeholders </w:t>
      </w:r>
      <w:r w:rsidR="00F16ABE">
        <w:rPr>
          <w:rFonts w:cstheme="minorHAnsi"/>
          <w:lang w:eastAsia="ja-JP"/>
        </w:rPr>
        <w:t>on</w:t>
      </w:r>
      <w:r w:rsidR="000506DC">
        <w:rPr>
          <w:rFonts w:cstheme="minorHAnsi"/>
          <w:lang w:eastAsia="ja-JP"/>
        </w:rPr>
        <w:t xml:space="preserve"> th</w:t>
      </w:r>
      <w:r w:rsidR="00AE0EA1">
        <w:rPr>
          <w:rFonts w:cstheme="minorHAnsi"/>
          <w:lang w:eastAsia="ja-JP"/>
        </w:rPr>
        <w:t>e SAC</w:t>
      </w:r>
      <w:r w:rsidR="000506DC">
        <w:rPr>
          <w:rFonts w:cstheme="minorHAnsi"/>
          <w:lang w:eastAsia="ja-JP"/>
        </w:rPr>
        <w:t xml:space="preserve"> charge</w:t>
      </w:r>
      <w:r w:rsidR="00B34A03">
        <w:rPr>
          <w:rFonts w:cstheme="minorHAnsi"/>
          <w:lang w:eastAsia="ja-JP"/>
        </w:rPr>
        <w:t xml:space="preserve"> since October</w:t>
      </w:r>
      <w:r w:rsidR="008B1C38">
        <w:rPr>
          <w:rFonts w:cstheme="minorHAnsi"/>
          <w:lang w:eastAsia="ja-JP"/>
        </w:rPr>
        <w:t xml:space="preserve"> 2023</w:t>
      </w:r>
      <w:r w:rsidR="00914D2A">
        <w:rPr>
          <w:rFonts w:cstheme="minorHAnsi"/>
          <w:lang w:eastAsia="ja-JP"/>
        </w:rPr>
        <w:t xml:space="preserve">. </w:t>
      </w:r>
      <w:r>
        <w:rPr>
          <w:rFonts w:cstheme="minorHAnsi"/>
          <w:lang w:eastAsia="ja-JP"/>
        </w:rPr>
        <w:t>We used several methods</w:t>
      </w:r>
      <w:r w:rsidR="00914D2A">
        <w:rPr>
          <w:rFonts w:cstheme="minorHAnsi"/>
          <w:lang w:eastAsia="ja-JP"/>
        </w:rPr>
        <w:t xml:space="preserve"> to provide stakeholders with the opportunity to discuss how the </w:t>
      </w:r>
      <w:r w:rsidR="00B34A03">
        <w:rPr>
          <w:rFonts w:cstheme="minorHAnsi"/>
          <w:lang w:eastAsia="ja-JP"/>
        </w:rPr>
        <w:t>charge would be</w:t>
      </w:r>
      <w:r w:rsidR="00F16ABE">
        <w:rPr>
          <w:rFonts w:cstheme="minorHAnsi"/>
          <w:lang w:eastAsia="ja-JP"/>
        </w:rPr>
        <w:t xml:space="preserve"> designed and implemented</w:t>
      </w:r>
      <w:r w:rsidR="00854969">
        <w:rPr>
          <w:rFonts w:cstheme="minorHAnsi"/>
          <w:lang w:eastAsia="ja-JP"/>
        </w:rPr>
        <w:t xml:space="preserve">, how it </w:t>
      </w:r>
      <w:r w:rsidR="00914D2A">
        <w:rPr>
          <w:rFonts w:cstheme="minorHAnsi"/>
          <w:lang w:eastAsia="ja-JP"/>
        </w:rPr>
        <w:t>would impact their business and flow on effects to industry</w:t>
      </w:r>
      <w:r w:rsidR="00A44D29">
        <w:rPr>
          <w:rFonts w:cstheme="minorHAnsi"/>
          <w:lang w:eastAsia="ja-JP"/>
        </w:rPr>
        <w:t>.</w:t>
      </w:r>
      <w:r w:rsidR="00F16ABE">
        <w:rPr>
          <w:rFonts w:cstheme="minorHAnsi"/>
          <w:lang w:eastAsia="ja-JP"/>
        </w:rPr>
        <w:t xml:space="preserve"> This followed the public consultation process that informed the Biosecurity Sustainable Funding package</w:t>
      </w:r>
      <w:r w:rsidR="007959DA">
        <w:rPr>
          <w:rFonts w:cstheme="minorHAnsi"/>
          <w:lang w:eastAsia="ja-JP"/>
        </w:rPr>
        <w:t>.</w:t>
      </w:r>
    </w:p>
    <w:p w14:paraId="3C1601D3" w14:textId="74BCA56F" w:rsidR="002E45DE" w:rsidRDefault="00C379AB" w:rsidP="42E8EF1C">
      <w:pPr>
        <w:rPr>
          <w:lang w:eastAsia="ja-JP"/>
        </w:rPr>
      </w:pPr>
      <w:r>
        <w:rPr>
          <w:lang w:eastAsia="ja-JP"/>
        </w:rPr>
        <w:t>We</w:t>
      </w:r>
      <w:r w:rsidR="00E06264" w:rsidRPr="42E8EF1C">
        <w:rPr>
          <w:lang w:eastAsia="ja-JP"/>
        </w:rPr>
        <w:t xml:space="preserve"> </w:t>
      </w:r>
      <w:r w:rsidR="00914D2A" w:rsidRPr="42E8EF1C">
        <w:rPr>
          <w:lang w:eastAsia="ja-JP"/>
        </w:rPr>
        <w:t xml:space="preserve">received </w:t>
      </w:r>
      <w:r>
        <w:rPr>
          <w:lang w:eastAsia="ja-JP"/>
        </w:rPr>
        <w:t xml:space="preserve">responses </w:t>
      </w:r>
      <w:r w:rsidR="00E06264" w:rsidRPr="42E8EF1C">
        <w:rPr>
          <w:lang w:eastAsia="ja-JP"/>
        </w:rPr>
        <w:t xml:space="preserve">via </w:t>
      </w:r>
      <w:r w:rsidR="001D2B22" w:rsidRPr="42E8EF1C">
        <w:rPr>
          <w:lang w:eastAsia="ja-JP"/>
        </w:rPr>
        <w:t xml:space="preserve">written </w:t>
      </w:r>
      <w:r w:rsidR="007959DA" w:rsidRPr="42E8EF1C">
        <w:rPr>
          <w:lang w:eastAsia="ja-JP"/>
        </w:rPr>
        <w:t xml:space="preserve">submissions, </w:t>
      </w:r>
      <w:r w:rsidR="00E06264" w:rsidRPr="42E8EF1C">
        <w:rPr>
          <w:lang w:eastAsia="ja-JP"/>
        </w:rPr>
        <w:t xml:space="preserve">email and </w:t>
      </w:r>
      <w:r w:rsidR="00914D2A" w:rsidRPr="42E8EF1C">
        <w:rPr>
          <w:lang w:eastAsia="ja-JP"/>
        </w:rPr>
        <w:t xml:space="preserve">meetings </w:t>
      </w:r>
      <w:r w:rsidR="005C2433">
        <w:rPr>
          <w:lang w:eastAsia="ja-JP"/>
        </w:rPr>
        <w:t xml:space="preserve">of </w:t>
      </w:r>
      <w:r w:rsidR="00914D2A" w:rsidRPr="42E8EF1C">
        <w:rPr>
          <w:lang w:eastAsia="ja-JP"/>
        </w:rPr>
        <w:t>existing industry consultative committees</w:t>
      </w:r>
      <w:r w:rsidR="00E560C6" w:rsidRPr="42E8EF1C">
        <w:rPr>
          <w:lang w:eastAsia="ja-JP"/>
        </w:rPr>
        <w:t xml:space="preserve">, industry </w:t>
      </w:r>
      <w:r w:rsidR="005F5271" w:rsidRPr="42E8EF1C">
        <w:rPr>
          <w:lang w:eastAsia="ja-JP"/>
        </w:rPr>
        <w:t>representative</w:t>
      </w:r>
      <w:r w:rsidR="00E560C6" w:rsidRPr="42E8EF1C">
        <w:rPr>
          <w:lang w:eastAsia="ja-JP"/>
        </w:rPr>
        <w:t xml:space="preserve"> bodies and with specific </w:t>
      </w:r>
      <w:r w:rsidR="00922229" w:rsidRPr="42E8EF1C">
        <w:rPr>
          <w:lang w:eastAsia="ja-JP"/>
        </w:rPr>
        <w:t xml:space="preserve">businesses </w:t>
      </w:r>
      <w:r w:rsidR="00E560C6" w:rsidRPr="42E8EF1C">
        <w:rPr>
          <w:lang w:eastAsia="ja-JP"/>
        </w:rPr>
        <w:t>entities</w:t>
      </w:r>
      <w:r w:rsidR="00914D2A" w:rsidRPr="42E8EF1C">
        <w:rPr>
          <w:lang w:eastAsia="ja-JP"/>
        </w:rPr>
        <w:t xml:space="preserve">. </w:t>
      </w:r>
      <w:r w:rsidR="00F07CF0">
        <w:rPr>
          <w:lang w:eastAsia="ja-JP"/>
        </w:rPr>
        <w:t>T</w:t>
      </w:r>
      <w:r w:rsidR="00A300FA" w:rsidRPr="42E8EF1C">
        <w:rPr>
          <w:lang w:eastAsia="ja-JP"/>
        </w:rPr>
        <w:t xml:space="preserve">hese efforts </w:t>
      </w:r>
      <w:r w:rsidR="00F07CF0">
        <w:rPr>
          <w:lang w:eastAsia="ja-JP"/>
        </w:rPr>
        <w:t xml:space="preserve">produced </w:t>
      </w:r>
      <w:r w:rsidR="00914D2A" w:rsidRPr="42E8EF1C">
        <w:rPr>
          <w:lang w:eastAsia="ja-JP"/>
        </w:rPr>
        <w:t xml:space="preserve">engagement </w:t>
      </w:r>
      <w:r w:rsidR="00410F12">
        <w:rPr>
          <w:lang w:eastAsia="ja-JP"/>
        </w:rPr>
        <w:t xml:space="preserve">and education about </w:t>
      </w:r>
      <w:r w:rsidR="002E45DE" w:rsidRPr="42E8EF1C">
        <w:rPr>
          <w:lang w:eastAsia="ja-JP"/>
        </w:rPr>
        <w:t>the proposed changes.</w:t>
      </w:r>
      <w:r w:rsidR="00A32FF0" w:rsidRPr="42E8EF1C">
        <w:rPr>
          <w:lang w:eastAsia="ja-JP"/>
        </w:rPr>
        <w:t xml:space="preserve"> Stakeholders have noted that government should remain open to </w:t>
      </w:r>
      <w:r w:rsidR="00AB2552">
        <w:rPr>
          <w:lang w:eastAsia="ja-JP"/>
        </w:rPr>
        <w:t xml:space="preserve">other ways of recovering this charge </w:t>
      </w:r>
      <w:r w:rsidR="00D32034" w:rsidRPr="42E8EF1C">
        <w:rPr>
          <w:lang w:eastAsia="ja-JP"/>
        </w:rPr>
        <w:t>in</w:t>
      </w:r>
      <w:r w:rsidR="007D74D6">
        <w:rPr>
          <w:lang w:eastAsia="ja-JP"/>
        </w:rPr>
        <w:t xml:space="preserve"> </w:t>
      </w:r>
      <w:r w:rsidR="00D32034" w:rsidRPr="42E8EF1C">
        <w:rPr>
          <w:lang w:eastAsia="ja-JP"/>
        </w:rPr>
        <w:t>the future</w:t>
      </w:r>
      <w:r w:rsidR="00A32FF0" w:rsidRPr="42E8EF1C">
        <w:rPr>
          <w:lang w:eastAsia="ja-JP"/>
        </w:rPr>
        <w:t>.</w:t>
      </w:r>
    </w:p>
    <w:p w14:paraId="61028E8F" w14:textId="25D90C5E" w:rsidR="0056758D" w:rsidRDefault="00BF14EC" w:rsidP="00E06264">
      <w:pPr>
        <w:rPr>
          <w:rFonts w:cstheme="minorHAnsi"/>
          <w:lang w:eastAsia="ja-JP"/>
        </w:rPr>
      </w:pPr>
      <w:r>
        <w:rPr>
          <w:rFonts w:cstheme="minorHAnsi"/>
          <w:lang w:eastAsia="ja-JP"/>
        </w:rPr>
        <w:t>T</w:t>
      </w:r>
      <w:r w:rsidR="0056758D">
        <w:rPr>
          <w:rFonts w:cstheme="minorHAnsi"/>
          <w:lang w:eastAsia="ja-JP"/>
        </w:rPr>
        <w:t xml:space="preserve">he department’s Cargo Consultative Committee, which includes representatives </w:t>
      </w:r>
      <w:r w:rsidR="00D94EB0">
        <w:rPr>
          <w:rFonts w:cstheme="minorHAnsi"/>
          <w:lang w:eastAsia="ja-JP"/>
        </w:rPr>
        <w:t xml:space="preserve">of </w:t>
      </w:r>
      <w:r w:rsidR="00FC40A0">
        <w:rPr>
          <w:rFonts w:cstheme="minorHAnsi"/>
          <w:lang w:eastAsia="ja-JP"/>
        </w:rPr>
        <w:t>most</w:t>
      </w:r>
      <w:r w:rsidR="0056758D">
        <w:rPr>
          <w:rFonts w:cstheme="minorHAnsi"/>
          <w:lang w:eastAsia="ja-JP"/>
        </w:rPr>
        <w:t xml:space="preserve"> </w:t>
      </w:r>
      <w:r w:rsidR="00EF0737">
        <w:rPr>
          <w:rFonts w:cstheme="minorHAnsi"/>
          <w:lang w:eastAsia="ja-JP"/>
        </w:rPr>
        <w:t>affected parties</w:t>
      </w:r>
      <w:r>
        <w:rPr>
          <w:rFonts w:cstheme="minorHAnsi"/>
          <w:lang w:eastAsia="ja-JP"/>
        </w:rPr>
        <w:t>, has discussed t</w:t>
      </w:r>
      <w:r w:rsidR="008A1452">
        <w:rPr>
          <w:rFonts w:cstheme="minorHAnsi"/>
          <w:lang w:eastAsia="ja-JP"/>
        </w:rPr>
        <w:t>he SAC charge</w:t>
      </w:r>
      <w:r w:rsidR="00EF0737">
        <w:rPr>
          <w:rFonts w:cstheme="minorHAnsi"/>
          <w:lang w:eastAsia="ja-JP"/>
        </w:rPr>
        <w:t>.</w:t>
      </w:r>
    </w:p>
    <w:p w14:paraId="3405FB7F" w14:textId="57EDE787" w:rsidR="00E560C6" w:rsidRDefault="008E6CF2" w:rsidP="455F1BE1">
      <w:pPr>
        <w:rPr>
          <w:lang w:eastAsia="ja-JP"/>
        </w:rPr>
      </w:pPr>
      <w:r w:rsidRPr="455F1BE1">
        <w:rPr>
          <w:lang w:eastAsia="ja-JP"/>
        </w:rPr>
        <w:t>We</w:t>
      </w:r>
      <w:r w:rsidR="00E81CA4" w:rsidRPr="455F1BE1">
        <w:rPr>
          <w:lang w:eastAsia="ja-JP"/>
        </w:rPr>
        <w:t xml:space="preserve"> </w:t>
      </w:r>
      <w:r w:rsidR="00FC40A0" w:rsidRPr="455F1BE1">
        <w:rPr>
          <w:lang w:eastAsia="ja-JP"/>
        </w:rPr>
        <w:t>released</w:t>
      </w:r>
      <w:r w:rsidRPr="455F1BE1">
        <w:rPr>
          <w:lang w:eastAsia="ja-JP"/>
        </w:rPr>
        <w:t xml:space="preserve"> </w:t>
      </w:r>
      <w:r w:rsidR="535582CB" w:rsidRPr="455F1BE1">
        <w:rPr>
          <w:lang w:eastAsia="ja-JP"/>
        </w:rPr>
        <w:t>I</w:t>
      </w:r>
      <w:r w:rsidR="00975739" w:rsidRPr="455F1BE1">
        <w:rPr>
          <w:lang w:eastAsia="ja-JP"/>
        </w:rPr>
        <w:t xml:space="preserve">mport </w:t>
      </w:r>
      <w:r w:rsidR="08998E8E" w:rsidRPr="455F1BE1">
        <w:rPr>
          <w:lang w:eastAsia="ja-JP"/>
        </w:rPr>
        <w:t>I</w:t>
      </w:r>
      <w:r w:rsidR="00127B33" w:rsidRPr="455F1BE1">
        <w:rPr>
          <w:lang w:eastAsia="ja-JP"/>
        </w:rPr>
        <w:t xml:space="preserve">ndustry </w:t>
      </w:r>
      <w:r w:rsidR="184B4A78" w:rsidRPr="455F1BE1">
        <w:rPr>
          <w:lang w:eastAsia="ja-JP"/>
        </w:rPr>
        <w:t>A</w:t>
      </w:r>
      <w:r w:rsidR="00E81CA4" w:rsidRPr="455F1BE1">
        <w:rPr>
          <w:lang w:eastAsia="ja-JP"/>
        </w:rPr>
        <w:t xml:space="preserve">dvice </w:t>
      </w:r>
      <w:r w:rsidR="7D053258" w:rsidRPr="455F1BE1">
        <w:rPr>
          <w:lang w:eastAsia="ja-JP"/>
        </w:rPr>
        <w:t>N</w:t>
      </w:r>
      <w:r w:rsidR="00E81CA4" w:rsidRPr="455F1BE1">
        <w:rPr>
          <w:lang w:eastAsia="ja-JP"/>
        </w:rPr>
        <w:t xml:space="preserve">otices </w:t>
      </w:r>
      <w:r w:rsidR="00151FB0" w:rsidRPr="455F1BE1">
        <w:rPr>
          <w:lang w:eastAsia="ja-JP"/>
        </w:rPr>
        <w:t xml:space="preserve">and </w:t>
      </w:r>
      <w:r w:rsidR="006072A8" w:rsidRPr="455F1BE1">
        <w:rPr>
          <w:lang w:eastAsia="ja-JP"/>
        </w:rPr>
        <w:t>update</w:t>
      </w:r>
      <w:r w:rsidR="00165563">
        <w:rPr>
          <w:lang w:eastAsia="ja-JP"/>
        </w:rPr>
        <w:t>d</w:t>
      </w:r>
      <w:r w:rsidR="006072A8" w:rsidRPr="455F1BE1">
        <w:rPr>
          <w:lang w:eastAsia="ja-JP"/>
        </w:rPr>
        <w:t xml:space="preserve"> the </w:t>
      </w:r>
      <w:hyperlink r:id="rId36">
        <w:r w:rsidR="006072A8" w:rsidRPr="495E0960">
          <w:rPr>
            <w:rStyle w:val="Hyperlink"/>
            <w:lang w:eastAsia="ja-JP"/>
          </w:rPr>
          <w:t xml:space="preserve">SAC </w:t>
        </w:r>
        <w:r w:rsidR="00670784" w:rsidRPr="495E0960">
          <w:rPr>
            <w:rStyle w:val="Hyperlink"/>
            <w:lang w:eastAsia="ja-JP"/>
          </w:rPr>
          <w:t>C</w:t>
        </w:r>
        <w:r w:rsidR="006072A8" w:rsidRPr="495E0960">
          <w:rPr>
            <w:rStyle w:val="Hyperlink"/>
            <w:lang w:eastAsia="ja-JP"/>
          </w:rPr>
          <w:t xml:space="preserve">ost </w:t>
        </w:r>
        <w:r w:rsidR="00670784" w:rsidRPr="495E0960">
          <w:rPr>
            <w:rStyle w:val="Hyperlink"/>
            <w:lang w:eastAsia="ja-JP"/>
          </w:rPr>
          <w:t>R</w:t>
        </w:r>
        <w:r w:rsidR="006072A8" w:rsidRPr="495E0960">
          <w:rPr>
            <w:rStyle w:val="Hyperlink"/>
            <w:lang w:eastAsia="ja-JP"/>
          </w:rPr>
          <w:t>ecovery webpage</w:t>
        </w:r>
      </w:hyperlink>
      <w:r w:rsidR="006072A8" w:rsidRPr="455F1BE1">
        <w:rPr>
          <w:lang w:eastAsia="ja-JP"/>
        </w:rPr>
        <w:t xml:space="preserve">, providing details </w:t>
      </w:r>
      <w:r w:rsidR="005F5271" w:rsidRPr="455F1BE1">
        <w:rPr>
          <w:lang w:eastAsia="ja-JP"/>
        </w:rPr>
        <w:t xml:space="preserve">on changes and </w:t>
      </w:r>
      <w:r w:rsidR="00165563">
        <w:rPr>
          <w:lang w:eastAsia="ja-JP"/>
        </w:rPr>
        <w:t xml:space="preserve">we </w:t>
      </w:r>
      <w:r w:rsidR="34F03F46" w:rsidRPr="60E93092">
        <w:rPr>
          <w:lang w:eastAsia="ja-JP"/>
        </w:rPr>
        <w:t xml:space="preserve">maintain </w:t>
      </w:r>
      <w:r w:rsidR="00160638" w:rsidRPr="60E93092">
        <w:rPr>
          <w:lang w:eastAsia="ja-JP"/>
        </w:rPr>
        <w:t>a</w:t>
      </w:r>
      <w:r w:rsidR="005F5271" w:rsidRPr="455F1BE1">
        <w:rPr>
          <w:lang w:eastAsia="ja-JP"/>
        </w:rPr>
        <w:t xml:space="preserve"> dedicated email </w:t>
      </w:r>
      <w:r w:rsidR="00E81CA4" w:rsidRPr="455F1BE1">
        <w:rPr>
          <w:lang w:eastAsia="ja-JP"/>
        </w:rPr>
        <w:t xml:space="preserve">inbox </w:t>
      </w:r>
      <w:r w:rsidR="00151FB0" w:rsidRPr="455F1BE1">
        <w:rPr>
          <w:lang w:eastAsia="ja-JP"/>
        </w:rPr>
        <w:t>for</w:t>
      </w:r>
      <w:r w:rsidR="005F5271" w:rsidRPr="455F1BE1">
        <w:rPr>
          <w:lang w:eastAsia="ja-JP"/>
        </w:rPr>
        <w:t xml:space="preserve"> </w:t>
      </w:r>
      <w:r w:rsidR="237F62D0" w:rsidRPr="68137049">
        <w:rPr>
          <w:lang w:eastAsia="ja-JP"/>
        </w:rPr>
        <w:t>continued</w:t>
      </w:r>
      <w:r w:rsidR="005F5271" w:rsidRPr="455F1BE1">
        <w:rPr>
          <w:lang w:eastAsia="ja-JP"/>
        </w:rPr>
        <w:t xml:space="preserve"> engagement</w:t>
      </w:r>
      <w:r w:rsidR="00160638" w:rsidRPr="455F1BE1">
        <w:rPr>
          <w:lang w:eastAsia="ja-JP"/>
        </w:rPr>
        <w:t>.</w:t>
      </w:r>
    </w:p>
    <w:p w14:paraId="0A316793" w14:textId="1BD2B580" w:rsidR="00A82DE1" w:rsidRPr="00974A2E" w:rsidRDefault="00A82DE1" w:rsidP="00974A2E">
      <w:pPr>
        <w:pStyle w:val="Heading3"/>
      </w:pPr>
      <w:bookmarkStart w:id="88" w:name="_Ongoing_engagement_strategy"/>
      <w:bookmarkStart w:id="89" w:name="_Toc173762863"/>
      <w:bookmarkStart w:id="90" w:name="_Toc177103787"/>
      <w:bookmarkEnd w:id="88"/>
      <w:r w:rsidRPr="00974A2E">
        <w:t>Ongoing engagement strategy</w:t>
      </w:r>
      <w:bookmarkEnd w:id="89"/>
      <w:bookmarkEnd w:id="90"/>
    </w:p>
    <w:p w14:paraId="723B5EF6" w14:textId="4C384027" w:rsidR="00A82DE1" w:rsidRPr="0029167F" w:rsidRDefault="00A82DE1" w:rsidP="00A82DE1">
      <w:pPr>
        <w:rPr>
          <w:rFonts w:cstheme="minorHAnsi"/>
          <w:lang w:eastAsia="ja-JP"/>
        </w:rPr>
      </w:pPr>
      <w:r w:rsidRPr="0029167F">
        <w:rPr>
          <w:rFonts w:cstheme="minorHAnsi"/>
          <w:lang w:eastAsia="ja-JP"/>
        </w:rPr>
        <w:t xml:space="preserve">We currently undertake </w:t>
      </w:r>
      <w:r w:rsidR="00D94CA9">
        <w:rPr>
          <w:rFonts w:cstheme="minorHAnsi"/>
          <w:lang w:eastAsia="ja-JP"/>
        </w:rPr>
        <w:t>many engagement</w:t>
      </w:r>
      <w:r w:rsidRPr="0029167F">
        <w:rPr>
          <w:rFonts w:cstheme="minorHAnsi"/>
          <w:lang w:eastAsia="ja-JP"/>
        </w:rPr>
        <w:t xml:space="preserve"> activities with our stakeholders, including:</w:t>
      </w:r>
    </w:p>
    <w:p w14:paraId="6AB702DB" w14:textId="1A142647" w:rsidR="00A82DE1" w:rsidRPr="00215B4D" w:rsidRDefault="00AA50AD" w:rsidP="0002397D">
      <w:pPr>
        <w:pStyle w:val="ListBullet"/>
      </w:pPr>
      <w:r w:rsidRPr="00215B4D">
        <w:t>e</w:t>
      </w:r>
      <w:r w:rsidR="00A82DE1" w:rsidRPr="00215B4D">
        <w:t>ngaging with industry consultative committees through agreed terms of reference</w:t>
      </w:r>
    </w:p>
    <w:p w14:paraId="09F57AFB" w14:textId="5B453511" w:rsidR="00A82DE1" w:rsidRPr="00215B4D" w:rsidRDefault="00AA50AD" w:rsidP="0002397D">
      <w:pPr>
        <w:pStyle w:val="ListBullet"/>
      </w:pPr>
      <w:r w:rsidRPr="00215B4D">
        <w:t>r</w:t>
      </w:r>
      <w:r w:rsidR="00A82DE1" w:rsidRPr="00215B4D">
        <w:t xml:space="preserve">eporting </w:t>
      </w:r>
      <w:r w:rsidR="0097526E">
        <w:t>period</w:t>
      </w:r>
      <w:r w:rsidR="004423AC">
        <w:t>ically</w:t>
      </w:r>
      <w:r w:rsidR="0097526E" w:rsidRPr="00215B4D">
        <w:t xml:space="preserve"> </w:t>
      </w:r>
      <w:r w:rsidR="00A82DE1" w:rsidRPr="00215B4D">
        <w:t xml:space="preserve">on regulatory charging performance, including explanations </w:t>
      </w:r>
      <w:r w:rsidR="00B00BB7" w:rsidRPr="00215B4D">
        <w:t xml:space="preserve">of </w:t>
      </w:r>
      <w:r w:rsidR="00A82DE1" w:rsidRPr="00215B4D">
        <w:t>material variances</w:t>
      </w:r>
      <w:r w:rsidR="000158DD" w:rsidRPr="00215B4D">
        <w:t xml:space="preserve"> </w:t>
      </w:r>
      <w:r w:rsidR="00A82DE1" w:rsidRPr="00215B4D">
        <w:t>between budgeted and actual positions</w:t>
      </w:r>
    </w:p>
    <w:p w14:paraId="297BA67B" w14:textId="5DCF0E2D" w:rsidR="00A82DE1" w:rsidRPr="00215B4D" w:rsidRDefault="008B6369" w:rsidP="0002397D">
      <w:pPr>
        <w:pStyle w:val="ListBullet"/>
      </w:pPr>
      <w:r>
        <w:t>c</w:t>
      </w:r>
      <w:r w:rsidRPr="008B6369">
        <w:t>onducting an annual review of effort and costs for the SAC pathway to ensure the unit price remains aligned to recover</w:t>
      </w:r>
      <w:r w:rsidR="00823829">
        <w:t>ing</w:t>
      </w:r>
      <w:r w:rsidRPr="008B6369">
        <w:t xml:space="preserve"> costs</w:t>
      </w:r>
      <w:r w:rsidRPr="00215B4D">
        <w:t xml:space="preserve"> </w:t>
      </w:r>
    </w:p>
    <w:p w14:paraId="07AE9879" w14:textId="456D87D7" w:rsidR="00A82DE1" w:rsidRPr="00215B4D" w:rsidRDefault="00AA50AD" w:rsidP="0002397D">
      <w:pPr>
        <w:pStyle w:val="ListBullet"/>
      </w:pPr>
      <w:r w:rsidRPr="00215B4D">
        <w:t>c</w:t>
      </w:r>
      <w:r w:rsidR="00A82DE1" w:rsidRPr="00215B4D">
        <w:t>ommunicati</w:t>
      </w:r>
      <w:r w:rsidRPr="00215B4D">
        <w:t>ng</w:t>
      </w:r>
      <w:r w:rsidR="00A82DE1" w:rsidRPr="00215B4D">
        <w:t xml:space="preserve"> with industry consultative committees on changes to </w:t>
      </w:r>
      <w:r w:rsidR="006B18F1" w:rsidRPr="00215B4D">
        <w:t xml:space="preserve">regulatory charging </w:t>
      </w:r>
      <w:r w:rsidR="00A82DE1" w:rsidRPr="00215B4D">
        <w:t>before any revisions or updates are made</w:t>
      </w:r>
      <w:r w:rsidR="006B18F1" w:rsidRPr="00215B4D">
        <w:t xml:space="preserve"> to </w:t>
      </w:r>
      <w:r w:rsidR="00474A0C">
        <w:t>the SAC</w:t>
      </w:r>
      <w:r w:rsidR="008B6369">
        <w:t xml:space="preserve"> charge</w:t>
      </w:r>
    </w:p>
    <w:p w14:paraId="622A6B3E" w14:textId="0F08C3B4" w:rsidR="00A82DE1" w:rsidRPr="0029167F" w:rsidRDefault="00135B5E" w:rsidP="0002397D">
      <w:pPr>
        <w:pStyle w:val="ListBullet"/>
      </w:pPr>
      <w:r>
        <w:t xml:space="preserve">engaging with industry and the </w:t>
      </w:r>
      <w:r w:rsidR="00A82DE1" w:rsidRPr="00DB2C72">
        <w:t xml:space="preserve">public if any key changes result in </w:t>
      </w:r>
      <w:r w:rsidR="00C03CC6">
        <w:t xml:space="preserve">a </w:t>
      </w:r>
      <w:r w:rsidR="00A82DE1" w:rsidRPr="00DB2C72">
        <w:t>price adjustment</w:t>
      </w:r>
      <w:r w:rsidR="006F65FC" w:rsidRPr="00DB2C72">
        <w:t>.</w:t>
      </w:r>
    </w:p>
    <w:p w14:paraId="03336892" w14:textId="228C93FC" w:rsidR="008A1452" w:rsidRDefault="008E6CF2" w:rsidP="00083B79">
      <w:pPr>
        <w:rPr>
          <w:rFonts w:cstheme="minorHAnsi"/>
          <w:lang w:eastAsia="ja-JP"/>
        </w:rPr>
      </w:pPr>
      <w:r>
        <w:rPr>
          <w:rFonts w:cstheme="minorHAnsi"/>
          <w:lang w:eastAsia="ja-JP"/>
        </w:rPr>
        <w:t xml:space="preserve">This CRIS covers the first year of the new SAC charge, which has a different collection model from that of existing biosecurity fees and charges. We will </w:t>
      </w:r>
      <w:r w:rsidR="009C5271">
        <w:rPr>
          <w:rFonts w:cstheme="minorHAnsi"/>
          <w:lang w:eastAsia="ja-JP"/>
        </w:rPr>
        <w:t>stay highly engaged</w:t>
      </w:r>
      <w:r>
        <w:rPr>
          <w:rFonts w:cstheme="minorHAnsi"/>
          <w:lang w:eastAsia="ja-JP"/>
        </w:rPr>
        <w:t xml:space="preserve"> with stakeholders to support the implementation of the charge. </w:t>
      </w:r>
      <w:r w:rsidR="00F46DB8">
        <w:rPr>
          <w:rFonts w:cstheme="minorHAnsi"/>
          <w:lang w:eastAsia="ja-JP"/>
        </w:rPr>
        <w:t>Ongoing e</w:t>
      </w:r>
      <w:r w:rsidR="008A1452" w:rsidRPr="008A1452">
        <w:rPr>
          <w:rFonts w:cstheme="minorHAnsi"/>
          <w:lang w:eastAsia="ja-JP"/>
        </w:rPr>
        <w:t>ngagement activities will include:</w:t>
      </w:r>
    </w:p>
    <w:p w14:paraId="51EFB387" w14:textId="5DF4D891" w:rsidR="00921118" w:rsidRPr="00215B4D" w:rsidRDefault="00B46A8C" w:rsidP="0002397D">
      <w:pPr>
        <w:pStyle w:val="ListBullet"/>
      </w:pPr>
      <w:r w:rsidRPr="00215B4D">
        <w:t>maintenance of a dedicated webpage and contact arrangements</w:t>
      </w:r>
    </w:p>
    <w:p w14:paraId="2BA8CFC6" w14:textId="03013BE5" w:rsidR="00B46A8C" w:rsidRPr="00215B4D" w:rsidRDefault="00B46A8C" w:rsidP="0002397D">
      <w:pPr>
        <w:pStyle w:val="ListBullet"/>
      </w:pPr>
      <w:r w:rsidRPr="00215B4D">
        <w:t>email</w:t>
      </w:r>
      <w:r w:rsidR="005430B0" w:rsidRPr="00215B4D">
        <w:t xml:space="preserve"> communication with </w:t>
      </w:r>
      <w:r w:rsidRPr="00215B4D">
        <w:t>a</w:t>
      </w:r>
      <w:r w:rsidR="006B170D" w:rsidRPr="00215B4D">
        <w:t>ffected parties</w:t>
      </w:r>
    </w:p>
    <w:p w14:paraId="7FAC94B6" w14:textId="2099D21B" w:rsidR="00E87EB7" w:rsidRPr="00215B4D" w:rsidRDefault="005430B0" w:rsidP="0002397D">
      <w:pPr>
        <w:pStyle w:val="ListBullet"/>
      </w:pPr>
      <w:r w:rsidRPr="00215B4D">
        <w:t xml:space="preserve">providing relevant data to </w:t>
      </w:r>
      <w:r w:rsidR="00E87EB7" w:rsidRPr="00215B4D">
        <w:t xml:space="preserve">support </w:t>
      </w:r>
      <w:r w:rsidR="00150B47" w:rsidRPr="00215B4D">
        <w:t>self-reporting efforts of a</w:t>
      </w:r>
      <w:r w:rsidR="00BB0562" w:rsidRPr="00215B4D">
        <w:t>ffected parties</w:t>
      </w:r>
    </w:p>
    <w:p w14:paraId="48676CDD" w14:textId="7A563737" w:rsidR="009B59DC" w:rsidRPr="00215B4D" w:rsidRDefault="00995BEF" w:rsidP="0002397D">
      <w:pPr>
        <w:pStyle w:val="ListBullet"/>
      </w:pPr>
      <w:r w:rsidRPr="00215B4D">
        <w:t xml:space="preserve">posting Import Industry </w:t>
      </w:r>
      <w:r w:rsidR="009A03C0" w:rsidRPr="00215B4D">
        <w:t>Advice Notices as required</w:t>
      </w:r>
    </w:p>
    <w:p w14:paraId="418FE1E1" w14:textId="264A172F" w:rsidR="006B170D" w:rsidRPr="00123F10" w:rsidRDefault="009851C9" w:rsidP="0002397D">
      <w:pPr>
        <w:pStyle w:val="ListBullet"/>
      </w:pPr>
      <w:r w:rsidRPr="00215B4D">
        <w:lastRenderedPageBreak/>
        <w:t>regularly</w:t>
      </w:r>
      <w:r>
        <w:t xml:space="preserve"> </w:t>
      </w:r>
      <w:r w:rsidR="0041498E" w:rsidRPr="00F61F01">
        <w:t>updat</w:t>
      </w:r>
      <w:r>
        <w:t>ing</w:t>
      </w:r>
      <w:r w:rsidR="009A2446">
        <w:t xml:space="preserve"> </w:t>
      </w:r>
      <w:r w:rsidR="006B170D" w:rsidRPr="00123F10">
        <w:t xml:space="preserve">the department’s </w:t>
      </w:r>
      <w:r w:rsidR="002C147B" w:rsidRPr="00123F10">
        <w:t>C</w:t>
      </w:r>
      <w:r w:rsidR="006B170D" w:rsidRPr="00123F10">
        <w:t xml:space="preserve">argo </w:t>
      </w:r>
      <w:r w:rsidR="002C147B" w:rsidRPr="00123F10">
        <w:t>C</w:t>
      </w:r>
      <w:r w:rsidR="006B170D" w:rsidRPr="00123F10">
        <w:t xml:space="preserve">onsultative </w:t>
      </w:r>
      <w:r w:rsidR="0041498E">
        <w:t>C</w:t>
      </w:r>
      <w:r w:rsidR="006B170D" w:rsidRPr="00123F10">
        <w:t>ommittee.</w:t>
      </w:r>
    </w:p>
    <w:p w14:paraId="5D41E1FA" w14:textId="53BDCD99" w:rsidR="00083B79" w:rsidRDefault="00CB1EF2" w:rsidP="001A51F7">
      <w:pPr>
        <w:rPr>
          <w:rFonts w:cstheme="minorHAnsi"/>
          <w:lang w:eastAsia="ja-JP"/>
        </w:rPr>
      </w:pPr>
      <w:r>
        <w:rPr>
          <w:rFonts w:cstheme="minorHAnsi"/>
          <w:lang w:eastAsia="ja-JP"/>
        </w:rPr>
        <w:t>To inform future effort we</w:t>
      </w:r>
      <w:r w:rsidR="0052235C">
        <w:rPr>
          <w:rFonts w:cstheme="minorHAnsi"/>
          <w:lang w:eastAsia="ja-JP"/>
        </w:rPr>
        <w:t xml:space="preserve"> </w:t>
      </w:r>
      <w:r>
        <w:rPr>
          <w:rFonts w:cstheme="minorHAnsi"/>
          <w:lang w:eastAsia="ja-JP"/>
        </w:rPr>
        <w:t>will undertake a review of our regulatory risk settings and operati</w:t>
      </w:r>
      <w:r w:rsidR="004C2F6A">
        <w:rPr>
          <w:rFonts w:cstheme="minorHAnsi"/>
          <w:lang w:eastAsia="ja-JP"/>
        </w:rPr>
        <w:t>ng</w:t>
      </w:r>
      <w:r>
        <w:rPr>
          <w:rFonts w:cstheme="minorHAnsi"/>
          <w:lang w:eastAsia="ja-JP"/>
        </w:rPr>
        <w:t xml:space="preserve"> model on this pathway</w:t>
      </w:r>
      <w:r w:rsidR="0052235C">
        <w:rPr>
          <w:rFonts w:cstheme="minorHAnsi"/>
          <w:lang w:eastAsia="ja-JP"/>
        </w:rPr>
        <w:t xml:space="preserve">. Additionally, in early 2025 we will begin </w:t>
      </w:r>
      <w:r>
        <w:rPr>
          <w:rFonts w:cstheme="minorHAnsi"/>
          <w:lang w:eastAsia="ja-JP"/>
        </w:rPr>
        <w:t xml:space="preserve">an assessment </w:t>
      </w:r>
      <w:r w:rsidR="00E6327A">
        <w:rPr>
          <w:rFonts w:cstheme="minorHAnsi"/>
          <w:lang w:eastAsia="ja-JP"/>
        </w:rPr>
        <w:t>of interim SAC charge outcomes</w:t>
      </w:r>
      <w:r w:rsidR="006B7E84">
        <w:rPr>
          <w:rFonts w:cstheme="minorHAnsi"/>
          <w:lang w:eastAsia="ja-JP"/>
        </w:rPr>
        <w:t xml:space="preserve">, including volume and compliance assumptions. Together, these will help inform any necessary changes for </w:t>
      </w:r>
      <w:r w:rsidR="006B7E84" w:rsidRPr="001A51F7">
        <w:rPr>
          <w:rFonts w:cstheme="minorHAnsi"/>
          <w:lang w:eastAsia="ja-JP"/>
        </w:rPr>
        <w:t>2025</w:t>
      </w:r>
      <w:r w:rsidR="006B7E84">
        <w:rPr>
          <w:rFonts w:cstheme="minorHAnsi"/>
          <w:lang w:eastAsia="ja-JP"/>
        </w:rPr>
        <w:t>–</w:t>
      </w:r>
      <w:r w:rsidR="006B7E84" w:rsidRPr="001A51F7">
        <w:rPr>
          <w:rFonts w:cstheme="minorHAnsi"/>
          <w:lang w:eastAsia="ja-JP"/>
        </w:rPr>
        <w:t>26</w:t>
      </w:r>
      <w:r w:rsidR="006B7E84">
        <w:rPr>
          <w:rFonts w:cstheme="minorHAnsi"/>
          <w:lang w:eastAsia="ja-JP"/>
        </w:rPr>
        <w:t xml:space="preserve"> </w:t>
      </w:r>
      <w:r w:rsidR="00C111EB">
        <w:rPr>
          <w:rFonts w:cstheme="minorHAnsi"/>
          <w:lang w:eastAsia="ja-JP"/>
        </w:rPr>
        <w:t>and</w:t>
      </w:r>
      <w:r w:rsidR="006B7E84">
        <w:rPr>
          <w:rFonts w:cstheme="minorHAnsi"/>
          <w:lang w:eastAsia="ja-JP"/>
        </w:rPr>
        <w:t xml:space="preserve"> later years.</w:t>
      </w:r>
    </w:p>
    <w:p w14:paraId="4E0FDDF8" w14:textId="31F9B733" w:rsidR="001A51F7" w:rsidRPr="001A51F7" w:rsidRDefault="00C00F4D" w:rsidP="00123F10">
      <w:pPr>
        <w:rPr>
          <w:rFonts w:cstheme="minorHAnsi"/>
          <w:lang w:eastAsia="ja-JP"/>
        </w:rPr>
      </w:pPr>
      <w:r>
        <w:rPr>
          <w:lang w:eastAsia="ja-JP"/>
        </w:rPr>
        <w:t>We will invite external s</w:t>
      </w:r>
      <w:r w:rsidR="004F1EC5" w:rsidRPr="3B80CB39">
        <w:rPr>
          <w:lang w:eastAsia="ja-JP"/>
        </w:rPr>
        <w:t>takeholders to participate in these processes.</w:t>
      </w:r>
    </w:p>
    <w:p w14:paraId="124C9839" w14:textId="11EA023B" w:rsidR="00153470" w:rsidRDefault="00153470" w:rsidP="00A82DE1">
      <w:pPr>
        <w:rPr>
          <w:lang w:eastAsia="ja-JP"/>
        </w:rPr>
      </w:pPr>
      <w:r w:rsidRPr="628E15F1">
        <w:rPr>
          <w:lang w:eastAsia="ja-JP"/>
        </w:rPr>
        <w:t xml:space="preserve">In </w:t>
      </w:r>
      <w:r w:rsidR="005411DD" w:rsidRPr="628E15F1">
        <w:rPr>
          <w:lang w:eastAsia="ja-JP"/>
        </w:rPr>
        <w:t>February 2024,</w:t>
      </w:r>
      <w:r w:rsidRPr="628E15F1">
        <w:rPr>
          <w:lang w:eastAsia="ja-JP"/>
        </w:rPr>
        <w:t xml:space="preserve"> </w:t>
      </w:r>
      <w:r w:rsidR="00C00F4D">
        <w:rPr>
          <w:lang w:eastAsia="ja-JP"/>
        </w:rPr>
        <w:t>our</w:t>
      </w:r>
      <w:r w:rsidR="00882768">
        <w:rPr>
          <w:lang w:eastAsia="ja-JP"/>
        </w:rPr>
        <w:t xml:space="preserve"> then </w:t>
      </w:r>
      <w:r w:rsidR="00F46DB8">
        <w:rPr>
          <w:lang w:eastAsia="ja-JP"/>
        </w:rPr>
        <w:t>m</w:t>
      </w:r>
      <w:r w:rsidR="00940F47" w:rsidRPr="628E15F1">
        <w:rPr>
          <w:lang w:eastAsia="ja-JP"/>
        </w:rPr>
        <w:t>iniste</w:t>
      </w:r>
      <w:r w:rsidR="00C00F4D">
        <w:rPr>
          <w:lang w:eastAsia="ja-JP"/>
        </w:rPr>
        <w:t>r</w:t>
      </w:r>
      <w:r w:rsidR="00940F47">
        <w:rPr>
          <w:lang w:eastAsia="ja-JP"/>
        </w:rPr>
        <w:t>, Senator</w:t>
      </w:r>
      <w:r w:rsidR="00940F47" w:rsidRPr="628E15F1">
        <w:rPr>
          <w:lang w:eastAsia="ja-JP"/>
        </w:rPr>
        <w:t xml:space="preserve"> the Hon Murray Watt</w:t>
      </w:r>
      <w:r w:rsidR="00940F47">
        <w:rPr>
          <w:lang w:eastAsia="ja-JP"/>
        </w:rPr>
        <w:t xml:space="preserve">, announced the </w:t>
      </w:r>
      <w:r w:rsidRPr="628E15F1">
        <w:rPr>
          <w:lang w:eastAsia="ja-JP"/>
        </w:rPr>
        <w:t xml:space="preserve">Sustainable </w:t>
      </w:r>
      <w:r w:rsidR="002B5123" w:rsidRPr="628E15F1">
        <w:rPr>
          <w:lang w:eastAsia="ja-JP"/>
        </w:rPr>
        <w:t>Biosecurity</w:t>
      </w:r>
      <w:r w:rsidRPr="628E15F1">
        <w:rPr>
          <w:lang w:eastAsia="ja-JP"/>
        </w:rPr>
        <w:t xml:space="preserve"> Funding Advisory Panel</w:t>
      </w:r>
      <w:r w:rsidR="00D85E20" w:rsidRPr="628E15F1">
        <w:rPr>
          <w:lang w:eastAsia="ja-JP"/>
        </w:rPr>
        <w:t>.</w:t>
      </w:r>
      <w:r w:rsidR="002B5123" w:rsidRPr="628E15F1">
        <w:rPr>
          <w:lang w:eastAsia="ja-JP"/>
        </w:rPr>
        <w:t xml:space="preserve"> This panel </w:t>
      </w:r>
      <w:r w:rsidR="00BE7CF6" w:rsidRPr="628E15F1">
        <w:rPr>
          <w:lang w:eastAsia="ja-JP"/>
        </w:rPr>
        <w:t>provide</w:t>
      </w:r>
      <w:r w:rsidR="003D6B13">
        <w:rPr>
          <w:lang w:eastAsia="ja-JP"/>
        </w:rPr>
        <w:t>s</w:t>
      </w:r>
      <w:r w:rsidR="00BE7CF6" w:rsidRPr="628E15F1">
        <w:rPr>
          <w:lang w:eastAsia="ja-JP"/>
        </w:rPr>
        <w:t xml:space="preserve"> transparency of biosecurity expenditure, </w:t>
      </w:r>
      <w:r w:rsidR="000332F2" w:rsidRPr="628E15F1">
        <w:rPr>
          <w:lang w:eastAsia="ja-JP"/>
        </w:rPr>
        <w:t>clarifying</w:t>
      </w:r>
      <w:r w:rsidR="00BE7CF6" w:rsidRPr="628E15F1">
        <w:rPr>
          <w:lang w:eastAsia="ja-JP"/>
        </w:rPr>
        <w:t xml:space="preserve"> the revenue raised from importers</w:t>
      </w:r>
      <w:r w:rsidR="000332F2" w:rsidRPr="628E15F1">
        <w:rPr>
          <w:lang w:eastAsia="ja-JP"/>
        </w:rPr>
        <w:t xml:space="preserve"> and </w:t>
      </w:r>
      <w:r w:rsidR="005411DD">
        <w:rPr>
          <w:lang w:eastAsia="ja-JP"/>
        </w:rPr>
        <w:t>the investment of those funds</w:t>
      </w:r>
      <w:r w:rsidR="000332F2" w:rsidRPr="628E15F1">
        <w:rPr>
          <w:lang w:eastAsia="ja-JP"/>
        </w:rPr>
        <w:t>. The</w:t>
      </w:r>
      <w:r w:rsidR="005411DD">
        <w:rPr>
          <w:lang w:eastAsia="ja-JP"/>
        </w:rPr>
        <w:t xml:space="preserve"> panel’s reports will include the </w:t>
      </w:r>
      <w:r w:rsidR="00F5390D">
        <w:rPr>
          <w:lang w:eastAsia="ja-JP"/>
        </w:rPr>
        <w:t>SAC charge</w:t>
      </w:r>
      <w:r w:rsidR="00BD6EDB" w:rsidRPr="628E15F1">
        <w:rPr>
          <w:lang w:eastAsia="ja-JP"/>
        </w:rPr>
        <w:t>.</w:t>
      </w:r>
    </w:p>
    <w:p w14:paraId="432E366F" w14:textId="73C1E783" w:rsidR="00A82DE1" w:rsidRPr="0029167F" w:rsidRDefault="00A82DE1" w:rsidP="00974A2E">
      <w:pPr>
        <w:pStyle w:val="Heading2"/>
      </w:pPr>
      <w:bookmarkStart w:id="91" w:name="_Financial_estimates"/>
      <w:bookmarkStart w:id="92" w:name="_Toc173762864"/>
      <w:bookmarkStart w:id="93" w:name="_Toc177103788"/>
      <w:bookmarkEnd w:id="91"/>
      <w:r w:rsidRPr="0029167F">
        <w:lastRenderedPageBreak/>
        <w:t>Financial estimates</w:t>
      </w:r>
      <w:bookmarkEnd w:id="92"/>
      <w:bookmarkEnd w:id="93"/>
    </w:p>
    <w:p w14:paraId="05410419" w14:textId="77777777" w:rsidR="00F96F20" w:rsidRPr="00974A2E" w:rsidRDefault="00F96F20" w:rsidP="00974A2E">
      <w:pPr>
        <w:pStyle w:val="Heading3"/>
      </w:pPr>
      <w:bookmarkStart w:id="94" w:name="_Toc173762865"/>
      <w:bookmarkStart w:id="95" w:name="_Toc177103789"/>
      <w:r w:rsidRPr="00974A2E">
        <w:t>Annual estimates</w:t>
      </w:r>
      <w:bookmarkEnd w:id="94"/>
      <w:bookmarkEnd w:id="95"/>
    </w:p>
    <w:p w14:paraId="2A46F41F" w14:textId="26FDF75C" w:rsidR="00F96F20" w:rsidRPr="0029167F" w:rsidRDefault="00F96F20" w:rsidP="00F96F20">
      <w:pPr>
        <w:rPr>
          <w:rFonts w:cstheme="minorHAnsi"/>
          <w:lang w:eastAsia="ja-JP"/>
        </w:rPr>
      </w:pPr>
      <w:r w:rsidRPr="0029167F">
        <w:rPr>
          <w:rFonts w:cstheme="minorHAnsi"/>
          <w:lang w:eastAsia="ja-JP"/>
        </w:rPr>
        <w:t>A summary of the forecast annual operating position for the biosecurity regulatory charging arrangement is provided a</w:t>
      </w:r>
      <w:r w:rsidRPr="00BB11BB">
        <w:rPr>
          <w:rFonts w:cstheme="minorHAnsi"/>
          <w:lang w:eastAsia="ja-JP"/>
        </w:rPr>
        <w:t xml:space="preserve">t </w:t>
      </w:r>
      <w:r w:rsidR="00691E7A">
        <w:rPr>
          <w:rFonts w:cstheme="minorHAnsi"/>
          <w:lang w:eastAsia="ja-JP"/>
        </w:rPr>
        <w:fldChar w:fldCharType="begin"/>
      </w:r>
      <w:r w:rsidR="00691E7A">
        <w:rPr>
          <w:rFonts w:cstheme="minorHAnsi"/>
          <w:lang w:eastAsia="ja-JP"/>
        </w:rPr>
        <w:instrText xml:space="preserve"> REF _Ref171590159 \h </w:instrText>
      </w:r>
      <w:r w:rsidR="00691E7A">
        <w:rPr>
          <w:rFonts w:cstheme="minorHAnsi"/>
          <w:lang w:eastAsia="ja-JP"/>
        </w:rPr>
      </w:r>
      <w:r w:rsidR="00691E7A">
        <w:rPr>
          <w:rFonts w:cstheme="minorHAnsi"/>
          <w:lang w:eastAsia="ja-JP"/>
        </w:rPr>
        <w:fldChar w:fldCharType="separate"/>
      </w:r>
      <w:r w:rsidR="00691E7A">
        <w:t xml:space="preserve">Table </w:t>
      </w:r>
      <w:r w:rsidR="00691E7A">
        <w:rPr>
          <w:noProof/>
        </w:rPr>
        <w:t>4</w:t>
      </w:r>
      <w:r w:rsidR="00691E7A">
        <w:rPr>
          <w:rFonts w:cstheme="minorHAnsi"/>
          <w:lang w:eastAsia="ja-JP"/>
        </w:rPr>
        <w:fldChar w:fldCharType="end"/>
      </w:r>
      <w:r w:rsidRPr="00BB11BB">
        <w:rPr>
          <w:rFonts w:cstheme="minorHAnsi"/>
          <w:lang w:eastAsia="ja-JP"/>
        </w:rPr>
        <w:t>.</w:t>
      </w:r>
    </w:p>
    <w:p w14:paraId="796F7CCA" w14:textId="03079C89" w:rsidR="00711104" w:rsidRDefault="00711104" w:rsidP="00711104">
      <w:pPr>
        <w:pStyle w:val="Caption"/>
      </w:pPr>
      <w:bookmarkStart w:id="96" w:name="_Ref171590159"/>
      <w:bookmarkStart w:id="97" w:name="_Toc176352603"/>
      <w:r>
        <w:t xml:space="preserve">Table </w:t>
      </w:r>
      <w:r>
        <w:fldChar w:fldCharType="begin"/>
      </w:r>
      <w:r>
        <w:instrText xml:space="preserve"> SEQ Table \* ARABIC </w:instrText>
      </w:r>
      <w:r>
        <w:fldChar w:fldCharType="separate"/>
      </w:r>
      <w:r>
        <w:rPr>
          <w:noProof/>
        </w:rPr>
        <w:t>4</w:t>
      </w:r>
      <w:r>
        <w:fldChar w:fldCharType="end"/>
      </w:r>
      <w:r>
        <w:t xml:space="preserve"> </w:t>
      </w:r>
      <w:r w:rsidRPr="00FA550D">
        <w:t xml:space="preserve">Financial estimates for the </w:t>
      </w:r>
      <w:r w:rsidR="00F5390D">
        <w:t>SAC charge</w:t>
      </w:r>
      <w:r w:rsidRPr="00FA550D">
        <w:t>, 2024–25</w:t>
      </w:r>
      <w:bookmarkEnd w:id="96"/>
      <w:bookmarkEnd w:id="97"/>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73"/>
        <w:gridCol w:w="4311"/>
      </w:tblGrid>
      <w:tr w:rsidR="005F2F8C" w:rsidRPr="0029167F" w14:paraId="1C9C8CBE" w14:textId="77777777" w:rsidTr="00134B12">
        <w:trPr>
          <w:cantSplit/>
          <w:tblHeader/>
        </w:trPr>
        <w:tc>
          <w:tcPr>
            <w:tcW w:w="2653" w:type="pct"/>
            <w:shd w:val="clear" w:color="auto" w:fill="auto"/>
            <w:hideMark/>
          </w:tcPr>
          <w:p w14:paraId="2731045D" w14:textId="77777777" w:rsidR="00F96F20" w:rsidRPr="00DB2C72" w:rsidRDefault="00F96F20">
            <w:pPr>
              <w:pStyle w:val="TableText"/>
              <w:rPr>
                <w:rStyle w:val="Strong"/>
              </w:rPr>
            </w:pPr>
            <w:bookmarkStart w:id="98" w:name="Title_4"/>
            <w:bookmarkEnd w:id="98"/>
            <w:r w:rsidRPr="00DB2C72">
              <w:rPr>
                <w:rStyle w:val="Strong"/>
              </w:rPr>
              <w:t>Finance element</w:t>
            </w:r>
          </w:p>
        </w:tc>
        <w:tc>
          <w:tcPr>
            <w:tcW w:w="2347" w:type="pct"/>
            <w:shd w:val="clear" w:color="auto" w:fill="auto"/>
            <w:hideMark/>
          </w:tcPr>
          <w:p w14:paraId="1E81293F" w14:textId="21B70E02" w:rsidR="00F96F20" w:rsidRPr="00DB2C72" w:rsidRDefault="00F96F20">
            <w:pPr>
              <w:pStyle w:val="TableText"/>
              <w:jc w:val="right"/>
              <w:rPr>
                <w:rStyle w:val="Strong"/>
              </w:rPr>
            </w:pPr>
            <w:r w:rsidRPr="00DB2C72">
              <w:rPr>
                <w:rStyle w:val="Strong"/>
              </w:rPr>
              <w:t>20</w:t>
            </w:r>
            <w:r w:rsidR="00345FC6">
              <w:rPr>
                <w:rStyle w:val="Strong"/>
              </w:rPr>
              <w:t>24</w:t>
            </w:r>
            <w:r w:rsidRPr="00DB2C72">
              <w:rPr>
                <w:rStyle w:val="Strong"/>
              </w:rPr>
              <w:t>–2</w:t>
            </w:r>
            <w:r>
              <w:rPr>
                <w:rStyle w:val="Strong"/>
              </w:rPr>
              <w:t>5</w:t>
            </w:r>
            <w:r w:rsidRPr="00DB2C72">
              <w:rPr>
                <w:rStyle w:val="Strong"/>
              </w:rPr>
              <w:t>($)</w:t>
            </w:r>
          </w:p>
        </w:tc>
      </w:tr>
      <w:tr w:rsidR="005F2F8C" w:rsidRPr="0029167F" w14:paraId="1C27C2A2" w14:textId="77777777" w:rsidTr="00134B12">
        <w:tc>
          <w:tcPr>
            <w:tcW w:w="2653" w:type="pct"/>
            <w:shd w:val="clear" w:color="auto" w:fill="auto"/>
            <w:hideMark/>
          </w:tcPr>
          <w:p w14:paraId="235C8D3E" w14:textId="77777777" w:rsidR="00F96F20" w:rsidRPr="0029167F" w:rsidRDefault="00F96F20">
            <w:pPr>
              <w:pStyle w:val="TableText"/>
              <w:rPr>
                <w:rFonts w:cstheme="minorHAnsi"/>
                <w:lang w:eastAsia="en-AU"/>
              </w:rPr>
            </w:pPr>
            <w:r w:rsidRPr="0029167F">
              <w:rPr>
                <w:rFonts w:cstheme="minorHAnsi"/>
                <w:lang w:eastAsia="en-AU"/>
              </w:rPr>
              <w:t>Revenue = X</w:t>
            </w:r>
          </w:p>
        </w:tc>
        <w:tc>
          <w:tcPr>
            <w:tcW w:w="2347" w:type="pct"/>
            <w:shd w:val="clear" w:color="auto" w:fill="auto"/>
          </w:tcPr>
          <w:p w14:paraId="30A33893" w14:textId="156BE4DF" w:rsidR="00F96F20" w:rsidRPr="00A22B7D" w:rsidRDefault="00F96F20">
            <w:pPr>
              <w:pStyle w:val="TableText"/>
              <w:jc w:val="right"/>
              <w:rPr>
                <w:rFonts w:cstheme="minorHAnsi"/>
                <w:lang w:eastAsia="en-AU"/>
              </w:rPr>
            </w:pPr>
            <w:r>
              <w:rPr>
                <w:rFonts w:cstheme="minorHAnsi"/>
              </w:rPr>
              <w:t>27</w:t>
            </w:r>
            <w:r w:rsidR="005D4AE8">
              <w:rPr>
                <w:rFonts w:cstheme="minorHAnsi"/>
              </w:rPr>
              <w:t>,</w:t>
            </w:r>
            <w:r w:rsidR="009358F9">
              <w:rPr>
                <w:rFonts w:cstheme="minorHAnsi"/>
              </w:rPr>
              <w:t>098</w:t>
            </w:r>
            <w:r w:rsidR="005D4AE8">
              <w:rPr>
                <w:rFonts w:cstheme="minorHAnsi"/>
              </w:rPr>
              <w:t>,</w:t>
            </w:r>
            <w:r>
              <w:rPr>
                <w:rFonts w:cstheme="minorHAnsi"/>
              </w:rPr>
              <w:t>000</w:t>
            </w:r>
          </w:p>
        </w:tc>
      </w:tr>
      <w:tr w:rsidR="005F2F8C" w:rsidRPr="0029167F" w14:paraId="0A48300C" w14:textId="77777777" w:rsidTr="00134B12">
        <w:tc>
          <w:tcPr>
            <w:tcW w:w="2653" w:type="pct"/>
            <w:shd w:val="clear" w:color="auto" w:fill="auto"/>
            <w:hideMark/>
          </w:tcPr>
          <w:p w14:paraId="1A5C6B95" w14:textId="77777777" w:rsidR="00F96F20" w:rsidRPr="0029167F" w:rsidRDefault="00F96F20">
            <w:pPr>
              <w:pStyle w:val="TableText"/>
              <w:rPr>
                <w:rFonts w:cstheme="minorHAnsi"/>
                <w:lang w:eastAsia="en-AU"/>
              </w:rPr>
            </w:pPr>
            <w:r w:rsidRPr="0029167F">
              <w:rPr>
                <w:rFonts w:cstheme="minorHAnsi"/>
                <w:lang w:eastAsia="en-AU"/>
              </w:rPr>
              <w:t>Expenses = Y</w:t>
            </w:r>
          </w:p>
        </w:tc>
        <w:tc>
          <w:tcPr>
            <w:tcW w:w="2347" w:type="pct"/>
            <w:shd w:val="clear" w:color="auto" w:fill="auto"/>
          </w:tcPr>
          <w:p w14:paraId="6697E2DB" w14:textId="4745A994" w:rsidR="00F96F20" w:rsidRPr="00A22B7D" w:rsidRDefault="00231D09">
            <w:pPr>
              <w:pStyle w:val="TableText"/>
              <w:jc w:val="right"/>
              <w:rPr>
                <w:rFonts w:cstheme="minorHAnsi"/>
                <w:lang w:eastAsia="en-AU"/>
              </w:rPr>
            </w:pPr>
            <w:r>
              <w:rPr>
                <w:rFonts w:cstheme="minorHAnsi"/>
                <w:lang w:eastAsia="en-AU"/>
              </w:rPr>
              <w:t>27,098,000</w:t>
            </w:r>
          </w:p>
        </w:tc>
      </w:tr>
    </w:tbl>
    <w:p w14:paraId="14F69927" w14:textId="77777777" w:rsidR="00F96F20" w:rsidRPr="00F87E0C" w:rsidRDefault="00F96F20" w:rsidP="00F96F20">
      <w:pPr>
        <w:pStyle w:val="FigureTableNoteSource"/>
      </w:pPr>
      <w:r w:rsidRPr="00F87E0C">
        <w:t>Note: Recovery of costs is only a forecast and under- or over-recovery is dependent on actual volumes and costs.</w:t>
      </w:r>
    </w:p>
    <w:p w14:paraId="74FAB0CF" w14:textId="6203E9ED" w:rsidR="000642FE" w:rsidRDefault="008A51DD" w:rsidP="00F96F20">
      <w:pPr>
        <w:spacing w:before="240"/>
        <w:rPr>
          <w:rFonts w:cstheme="minorHAnsi"/>
        </w:rPr>
      </w:pPr>
      <w:r>
        <w:rPr>
          <w:rFonts w:cstheme="minorHAnsi"/>
        </w:rPr>
        <w:t>Our</w:t>
      </w:r>
      <w:r w:rsidR="00F96F20" w:rsidRPr="0029167F">
        <w:rPr>
          <w:rFonts w:cstheme="minorHAnsi"/>
        </w:rPr>
        <w:t xml:space="preserve"> forecasts </w:t>
      </w:r>
      <w:r w:rsidR="00F96F20">
        <w:rPr>
          <w:rFonts w:cstheme="minorHAnsi"/>
        </w:rPr>
        <w:t>are based on a combination of existing budgets</w:t>
      </w:r>
      <w:r w:rsidR="003A3E66">
        <w:rPr>
          <w:rFonts w:cstheme="minorHAnsi"/>
        </w:rPr>
        <w:t xml:space="preserve"> and</w:t>
      </w:r>
      <w:r w:rsidR="00F96F20">
        <w:rPr>
          <w:rFonts w:cstheme="minorHAnsi"/>
        </w:rPr>
        <w:t xml:space="preserve"> surveys of effort allocated to activities and streams</w:t>
      </w:r>
      <w:r w:rsidR="003A3E66">
        <w:rPr>
          <w:rFonts w:cstheme="minorHAnsi"/>
        </w:rPr>
        <w:t xml:space="preserve">, including work not provided for by </w:t>
      </w:r>
      <w:r w:rsidR="00FB6586">
        <w:rPr>
          <w:rFonts w:cstheme="minorHAnsi"/>
        </w:rPr>
        <w:t>existing fees and charges</w:t>
      </w:r>
      <w:r w:rsidR="00F96F20">
        <w:rPr>
          <w:rFonts w:cstheme="minorHAnsi"/>
        </w:rPr>
        <w:t>.</w:t>
      </w:r>
    </w:p>
    <w:p w14:paraId="398FDB93" w14:textId="79830FFB" w:rsidR="00B34178" w:rsidRDefault="00F96F20" w:rsidP="00B34178">
      <w:r>
        <w:rPr>
          <w:rFonts w:cstheme="minorHAnsi"/>
        </w:rPr>
        <w:t xml:space="preserve">Through a robust internal verification process, </w:t>
      </w:r>
      <w:r w:rsidR="00F46DB8">
        <w:rPr>
          <w:rFonts w:cstheme="minorHAnsi"/>
        </w:rPr>
        <w:t>we</w:t>
      </w:r>
      <w:r>
        <w:rPr>
          <w:rFonts w:cstheme="minorHAnsi"/>
        </w:rPr>
        <w:t xml:space="preserve"> consider these estimates to be the minim</w:t>
      </w:r>
      <w:r w:rsidR="00DD6877">
        <w:rPr>
          <w:rFonts w:cstheme="minorHAnsi"/>
        </w:rPr>
        <w:t>um</w:t>
      </w:r>
      <w:r>
        <w:rPr>
          <w:rFonts w:cstheme="minorHAnsi"/>
        </w:rPr>
        <w:t xml:space="preserve"> cost to complete our regulatory activities to manage the risks arising through the movement of </w:t>
      </w:r>
      <w:r w:rsidR="00F5390D">
        <w:rPr>
          <w:rFonts w:cstheme="minorHAnsi"/>
        </w:rPr>
        <w:t>low-value goods</w:t>
      </w:r>
      <w:r>
        <w:rPr>
          <w:rFonts w:cstheme="minorHAnsi"/>
        </w:rPr>
        <w:t>.</w:t>
      </w:r>
      <w:r w:rsidR="00634781">
        <w:rPr>
          <w:rFonts w:cstheme="minorHAnsi"/>
        </w:rPr>
        <w:t xml:space="preserve"> Revenue estimates are based on </w:t>
      </w:r>
      <w:r w:rsidR="00EE3850">
        <w:rPr>
          <w:rFonts w:cstheme="minorHAnsi"/>
        </w:rPr>
        <w:t>reasonable assumptions in relation to volumes</w:t>
      </w:r>
      <w:r w:rsidR="006C4588">
        <w:rPr>
          <w:rFonts w:cstheme="minorHAnsi"/>
        </w:rPr>
        <w:t>.</w:t>
      </w:r>
    </w:p>
    <w:p w14:paraId="053AD558" w14:textId="3409157B" w:rsidR="00B34178" w:rsidRDefault="00143997" w:rsidP="00B34178">
      <w:r>
        <w:t>T</w:t>
      </w:r>
      <w:r w:rsidR="00B34178">
        <w:t>he potential for non-compliance and associated unde</w:t>
      </w:r>
      <w:r w:rsidR="009A2446">
        <w:t>r-</w:t>
      </w:r>
      <w:r w:rsidR="00B34178">
        <w:t xml:space="preserve">recovery is high. </w:t>
      </w:r>
      <w:r w:rsidR="008A51DD">
        <w:t xml:space="preserve">We are </w:t>
      </w:r>
      <w:r w:rsidR="00B34178">
        <w:t>mitigat</w:t>
      </w:r>
      <w:r w:rsidR="008A51DD">
        <w:t xml:space="preserve">ing this risk </w:t>
      </w:r>
      <w:r w:rsidR="00B34178">
        <w:t>through a strong focus on</w:t>
      </w:r>
      <w:r w:rsidR="00C07FB5">
        <w:t xml:space="preserve"> </w:t>
      </w:r>
      <w:r w:rsidR="00497B24">
        <w:t xml:space="preserve">raising </w:t>
      </w:r>
      <w:r w:rsidR="00B34178">
        <w:t>stakeholder awareness</w:t>
      </w:r>
      <w:r w:rsidR="005C7693">
        <w:t xml:space="preserve"> </w:t>
      </w:r>
      <w:r w:rsidR="008A51DD">
        <w:t xml:space="preserve">and </w:t>
      </w:r>
      <w:r w:rsidR="00B34178">
        <w:t xml:space="preserve">a clear compliance </w:t>
      </w:r>
      <w:r w:rsidR="003E0E82">
        <w:t>policy.</w:t>
      </w:r>
    </w:p>
    <w:p w14:paraId="60BA81B6" w14:textId="77777777" w:rsidR="00F96F20" w:rsidRPr="0029167F" w:rsidRDefault="00F96F20" w:rsidP="00974A2E">
      <w:pPr>
        <w:pStyle w:val="Heading3"/>
        <w:rPr>
          <w:lang w:eastAsia="ja-JP"/>
        </w:rPr>
      </w:pPr>
      <w:bookmarkStart w:id="99" w:name="_Toc177103790"/>
      <w:r>
        <w:rPr>
          <w:lang w:eastAsia="ja-JP"/>
        </w:rPr>
        <w:t>Expenses to be cost recovered</w:t>
      </w:r>
      <w:bookmarkEnd w:id="99"/>
    </w:p>
    <w:p w14:paraId="6E0F03FF" w14:textId="2D040441" w:rsidR="00F96F20" w:rsidRDefault="00F96F20" w:rsidP="00F96F20">
      <w:pPr>
        <w:spacing w:after="120"/>
        <w:rPr>
          <w:rFonts w:cstheme="minorHAnsi"/>
        </w:rPr>
      </w:pPr>
      <w:r>
        <w:rPr>
          <w:rFonts w:cstheme="minorHAnsi"/>
        </w:rPr>
        <w:t xml:space="preserve">There are </w:t>
      </w:r>
      <w:r w:rsidR="00B81736">
        <w:rPr>
          <w:rFonts w:cstheme="minorHAnsi"/>
        </w:rPr>
        <w:t xml:space="preserve">many elements of </w:t>
      </w:r>
      <w:r>
        <w:rPr>
          <w:rFonts w:cstheme="minorHAnsi"/>
        </w:rPr>
        <w:t>our costs that make up the total</w:t>
      </w:r>
      <w:r w:rsidR="008C745A">
        <w:rPr>
          <w:rFonts w:cstheme="minorHAnsi"/>
        </w:rPr>
        <w:t xml:space="preserve"> amounts </w:t>
      </w:r>
      <w:r>
        <w:rPr>
          <w:rFonts w:cstheme="minorHAnsi"/>
        </w:rPr>
        <w:t xml:space="preserve">to be recovered for each activity. </w:t>
      </w:r>
      <w:r w:rsidR="004C0FD9">
        <w:rPr>
          <w:rFonts w:cstheme="minorHAnsi"/>
        </w:rPr>
        <w:t>Like</w:t>
      </w:r>
      <w:r>
        <w:rPr>
          <w:rFonts w:cstheme="minorHAnsi"/>
        </w:rPr>
        <w:t xml:space="preserve"> most businesses, </w:t>
      </w:r>
      <w:r w:rsidR="008A51DD">
        <w:rPr>
          <w:rFonts w:cstheme="minorHAnsi"/>
        </w:rPr>
        <w:t>we</w:t>
      </w:r>
      <w:r>
        <w:rPr>
          <w:rFonts w:cstheme="minorHAnsi"/>
        </w:rPr>
        <w:t xml:space="preserve"> </w:t>
      </w:r>
      <w:r w:rsidR="00AF0459">
        <w:rPr>
          <w:rFonts w:cstheme="minorHAnsi"/>
        </w:rPr>
        <w:t>incur costs</w:t>
      </w:r>
      <w:r>
        <w:rPr>
          <w:rFonts w:cstheme="minorHAnsi"/>
        </w:rPr>
        <w:t xml:space="preserve"> for typical expenses such as:</w:t>
      </w:r>
    </w:p>
    <w:p w14:paraId="51194885" w14:textId="2AC2D14C" w:rsidR="00F96F20" w:rsidRPr="00215B4D" w:rsidRDefault="00C42485" w:rsidP="0002397D">
      <w:pPr>
        <w:pStyle w:val="ListBullet"/>
      </w:pPr>
      <w:r w:rsidRPr="00215B4D">
        <w:t>w</w:t>
      </w:r>
      <w:r w:rsidR="00F96F20" w:rsidRPr="00215B4D">
        <w:t>ages for APS staff</w:t>
      </w:r>
    </w:p>
    <w:p w14:paraId="51FFEBF5" w14:textId="0319EDB8" w:rsidR="00F96F20" w:rsidRPr="00215B4D" w:rsidRDefault="00C42485" w:rsidP="0002397D">
      <w:pPr>
        <w:pStyle w:val="ListBullet"/>
      </w:pPr>
      <w:r w:rsidRPr="00215B4D">
        <w:t>c</w:t>
      </w:r>
      <w:r w:rsidR="00F96F20" w:rsidRPr="00215B4D">
        <w:t>ontractors engaged to provide specialised or short-term expertise</w:t>
      </w:r>
    </w:p>
    <w:p w14:paraId="620C0772" w14:textId="41EA14D6" w:rsidR="00F96F20" w:rsidRPr="00215B4D" w:rsidRDefault="00C42485" w:rsidP="0002397D">
      <w:pPr>
        <w:pStyle w:val="ListBullet"/>
      </w:pPr>
      <w:r w:rsidRPr="00215B4D">
        <w:t>s</w:t>
      </w:r>
      <w:r w:rsidR="00F96F20" w:rsidRPr="00215B4D">
        <w:t>upplier costs including compulsory use of whole-of-government arrangements for certain suppliers – e.g. travel, station</w:t>
      </w:r>
      <w:r w:rsidR="003C274E" w:rsidRPr="00215B4D">
        <w:t>e</w:t>
      </w:r>
      <w:r w:rsidR="00F96F20" w:rsidRPr="00215B4D">
        <w:t>ry, IT equipment</w:t>
      </w:r>
    </w:p>
    <w:p w14:paraId="02867A68" w14:textId="21C27742" w:rsidR="00F96F20" w:rsidRPr="00215B4D" w:rsidRDefault="00C42485" w:rsidP="0002397D">
      <w:pPr>
        <w:pStyle w:val="ListBullet"/>
      </w:pPr>
      <w:r w:rsidRPr="00215B4D">
        <w:t>r</w:t>
      </w:r>
      <w:r w:rsidR="00F96F20" w:rsidRPr="00215B4D">
        <w:t>ent on office and domestic properties</w:t>
      </w:r>
    </w:p>
    <w:p w14:paraId="7C12A106" w14:textId="0EDA68D0" w:rsidR="00F96F20" w:rsidRDefault="00C42485" w:rsidP="0002397D">
      <w:pPr>
        <w:pStyle w:val="ListBullet"/>
      </w:pPr>
      <w:r w:rsidRPr="00215B4D">
        <w:t>d</w:t>
      </w:r>
      <w:r w:rsidR="00F96F20" w:rsidRPr="00215B4D">
        <w:t>epreciation on</w:t>
      </w:r>
      <w:r w:rsidR="00F96F20" w:rsidRPr="00225255">
        <w:t xml:space="preserve"> IT systems, property, plant and equipment</w:t>
      </w:r>
      <w:r w:rsidR="00F96F20">
        <w:t>.</w:t>
      </w:r>
    </w:p>
    <w:p w14:paraId="71B85AB1" w14:textId="0DD77902" w:rsidR="00F96F20" w:rsidRDefault="00F96F20" w:rsidP="00F96F20">
      <w:pPr>
        <w:spacing w:before="240"/>
        <w:rPr>
          <w:lang w:eastAsia="ja-JP"/>
        </w:rPr>
      </w:pPr>
      <w:r w:rsidRPr="1F6DA988">
        <w:t xml:space="preserve">As described in </w:t>
      </w:r>
      <w:r w:rsidR="00864811" w:rsidRPr="1F6DA988">
        <w:t xml:space="preserve">section 3.3.1 of the </w:t>
      </w:r>
      <w:hyperlink r:id="rId37" w:history="1">
        <w:r w:rsidR="7120563F" w:rsidRPr="1F6DA988">
          <w:rPr>
            <w:rStyle w:val="Hyperlink"/>
          </w:rPr>
          <w:t>Biosecurity CRIS</w:t>
        </w:r>
      </w:hyperlink>
      <w:r w:rsidRPr="1F6DA988">
        <w:t xml:space="preserve">, expenses are </w:t>
      </w:r>
      <w:r w:rsidRPr="1F6DA988">
        <w:rPr>
          <w:lang w:eastAsia="ja-JP"/>
        </w:rPr>
        <w:t xml:space="preserve">allocated to the activity and cost recovered stream that best reflects the activity undertaken. </w:t>
      </w:r>
      <w:r w:rsidR="00767CE9" w:rsidRPr="1F6DA988">
        <w:rPr>
          <w:lang w:eastAsia="ja-JP"/>
        </w:rPr>
        <w:t xml:space="preserve">The </w:t>
      </w:r>
      <w:r w:rsidR="00F5390D" w:rsidRPr="1F6DA988">
        <w:rPr>
          <w:lang w:eastAsia="ja-JP"/>
        </w:rPr>
        <w:t>SAC charge</w:t>
      </w:r>
      <w:r w:rsidR="00767CE9" w:rsidRPr="1F6DA988">
        <w:rPr>
          <w:lang w:eastAsia="ja-JP"/>
        </w:rPr>
        <w:t xml:space="preserve"> </w:t>
      </w:r>
      <w:r w:rsidR="00857ADC" w:rsidRPr="1F6DA988">
        <w:rPr>
          <w:lang w:eastAsia="ja-JP"/>
        </w:rPr>
        <w:t>will be a specific</w:t>
      </w:r>
      <w:r w:rsidR="00816AAF" w:rsidRPr="1F6DA988">
        <w:rPr>
          <w:lang w:eastAsia="ja-JP"/>
        </w:rPr>
        <w:t xml:space="preserve"> stream</w:t>
      </w:r>
      <w:r w:rsidR="00A848AC" w:rsidRPr="1F6DA988">
        <w:rPr>
          <w:lang w:eastAsia="ja-JP"/>
        </w:rPr>
        <w:t xml:space="preserve">. </w:t>
      </w:r>
      <w:r w:rsidR="00095251" w:rsidRPr="1F6DA988">
        <w:rPr>
          <w:lang w:eastAsia="ja-JP"/>
        </w:rPr>
        <w:t>The</w:t>
      </w:r>
      <w:r w:rsidRPr="1F6DA988">
        <w:rPr>
          <w:lang w:eastAsia="ja-JP"/>
        </w:rPr>
        <w:t xml:space="preserve"> </w:t>
      </w:r>
      <w:r w:rsidR="003E0E82" w:rsidRPr="1F6DA988">
        <w:rPr>
          <w:lang w:eastAsia="ja-JP"/>
        </w:rPr>
        <w:t xml:space="preserve">cost pool and </w:t>
      </w:r>
      <w:r w:rsidRPr="1F6DA988">
        <w:rPr>
          <w:lang w:eastAsia="ja-JP"/>
        </w:rPr>
        <w:t xml:space="preserve">forecast volume for </w:t>
      </w:r>
      <w:r w:rsidR="006263F1" w:rsidRPr="1F6DA988">
        <w:rPr>
          <w:lang w:eastAsia="ja-JP"/>
        </w:rPr>
        <w:t xml:space="preserve">an </w:t>
      </w:r>
      <w:r w:rsidRPr="1F6DA988">
        <w:rPr>
          <w:lang w:eastAsia="ja-JP"/>
        </w:rPr>
        <w:t xml:space="preserve">activity determine the charge </w:t>
      </w:r>
      <w:r w:rsidR="00FF0C0C" w:rsidRPr="1F6DA988">
        <w:rPr>
          <w:lang w:eastAsia="ja-JP"/>
        </w:rPr>
        <w:t>applied</w:t>
      </w:r>
      <w:r w:rsidRPr="1F6DA988">
        <w:rPr>
          <w:lang w:eastAsia="ja-JP"/>
        </w:rPr>
        <w:t xml:space="preserve">. </w:t>
      </w:r>
      <w:r w:rsidR="00D40B3B" w:rsidRPr="1F6DA988">
        <w:rPr>
          <w:lang w:eastAsia="ja-JP"/>
        </w:rPr>
        <w:t xml:space="preserve">Effort associated with a particular activity will reflect </w:t>
      </w:r>
      <w:r w:rsidR="00CC1820" w:rsidRPr="1F6DA988">
        <w:rPr>
          <w:lang w:eastAsia="ja-JP"/>
        </w:rPr>
        <w:t xml:space="preserve">volume and biosecurity risk. </w:t>
      </w:r>
      <w:r w:rsidRPr="1F6DA988">
        <w:rPr>
          <w:lang w:eastAsia="ja-JP"/>
        </w:rPr>
        <w:t>Prices are set in conjunction with the forecast volumes to recover these costs.</w:t>
      </w:r>
    </w:p>
    <w:p w14:paraId="7A835B16" w14:textId="18DF2EBD" w:rsidR="00CC285F" w:rsidRPr="00974A2E" w:rsidRDefault="00CC285F" w:rsidP="0002397D">
      <w:pPr>
        <w:pStyle w:val="Heading3"/>
        <w:pageBreakBefore/>
      </w:pPr>
      <w:bookmarkStart w:id="100" w:name="_Volume_forecasts"/>
      <w:bookmarkStart w:id="101" w:name="_Toc173762866"/>
      <w:bookmarkStart w:id="102" w:name="_Toc177103791"/>
      <w:bookmarkEnd w:id="100"/>
      <w:r w:rsidRPr="00974A2E">
        <w:lastRenderedPageBreak/>
        <w:t>Volume forecasts</w:t>
      </w:r>
      <w:bookmarkEnd w:id="101"/>
      <w:bookmarkEnd w:id="102"/>
    </w:p>
    <w:p w14:paraId="625286D7" w14:textId="559F820A" w:rsidR="00CC285F" w:rsidRDefault="008D183C" w:rsidP="00CC285F">
      <w:bookmarkStart w:id="103" w:name="_Hlk135742531"/>
      <w:r>
        <w:rPr>
          <w:rFonts w:cstheme="minorHAnsi"/>
        </w:rPr>
        <w:t>There is a high correlation between f</w:t>
      </w:r>
      <w:r w:rsidR="00CC285F">
        <w:rPr>
          <w:rFonts w:cstheme="minorHAnsi"/>
        </w:rPr>
        <w:t xml:space="preserve">orecast costs </w:t>
      </w:r>
      <w:r>
        <w:rPr>
          <w:rFonts w:cstheme="minorHAnsi"/>
        </w:rPr>
        <w:t xml:space="preserve">and </w:t>
      </w:r>
      <w:r w:rsidR="00CC285F">
        <w:rPr>
          <w:rFonts w:cstheme="minorHAnsi"/>
        </w:rPr>
        <w:t>the effort required to manage the volume</w:t>
      </w:r>
      <w:r>
        <w:rPr>
          <w:rFonts w:cstheme="minorHAnsi"/>
        </w:rPr>
        <w:t xml:space="preserve"> </w:t>
      </w:r>
      <w:r w:rsidR="00CC285F">
        <w:rPr>
          <w:rFonts w:cstheme="minorHAnsi"/>
        </w:rPr>
        <w:t xml:space="preserve">of </w:t>
      </w:r>
      <w:r>
        <w:rPr>
          <w:rFonts w:cstheme="minorHAnsi"/>
        </w:rPr>
        <w:t xml:space="preserve">regulatory </w:t>
      </w:r>
      <w:r w:rsidR="00CC285F">
        <w:rPr>
          <w:rFonts w:cstheme="minorHAnsi"/>
        </w:rPr>
        <w:t xml:space="preserve">activity </w:t>
      </w:r>
      <w:r w:rsidR="008D212A">
        <w:rPr>
          <w:rFonts w:cstheme="minorHAnsi"/>
        </w:rPr>
        <w:t>that we</w:t>
      </w:r>
      <w:r w:rsidR="00CC285F">
        <w:rPr>
          <w:rFonts w:cstheme="minorHAnsi"/>
        </w:rPr>
        <w:t xml:space="preserve"> conduct.</w:t>
      </w:r>
      <w:r w:rsidR="00953F70">
        <w:rPr>
          <w:rFonts w:cstheme="minorHAnsi"/>
        </w:rPr>
        <w:t xml:space="preserve"> </w:t>
      </w:r>
      <w:r w:rsidR="00CC285F" w:rsidRPr="1EE934A1">
        <w:t xml:space="preserve">Our volumes are derived from a combination of historical trends </w:t>
      </w:r>
      <w:r w:rsidR="22FCB98B" w:rsidRPr="1EE934A1">
        <w:t xml:space="preserve">and </w:t>
      </w:r>
      <w:r w:rsidR="00CC285F" w:rsidRPr="1EE934A1">
        <w:t>information that might impact future activity</w:t>
      </w:r>
      <w:r w:rsidR="00940F47">
        <w:t>,</w:t>
      </w:r>
      <w:r w:rsidRPr="1EE934A1">
        <w:t xml:space="preserve"> such</w:t>
      </w:r>
      <w:r w:rsidR="0062303A">
        <w:t xml:space="preserve"> as</w:t>
      </w:r>
      <w:r w:rsidRPr="1EE934A1">
        <w:t xml:space="preserve"> </w:t>
      </w:r>
      <w:r w:rsidR="004A4076" w:rsidRPr="1EE934A1">
        <w:t>economic impacts on consumer spending</w:t>
      </w:r>
      <w:r w:rsidR="00CC285F" w:rsidRPr="1EE934A1">
        <w:t>.</w:t>
      </w:r>
    </w:p>
    <w:p w14:paraId="2A03DC25" w14:textId="088E3274" w:rsidR="008D183C" w:rsidRDefault="00AE197F" w:rsidP="00CC285F">
      <w:r>
        <w:t>The v</w:t>
      </w:r>
      <w:r w:rsidR="008D183C">
        <w:t>olume</w:t>
      </w:r>
      <w:r w:rsidR="001A4FF4">
        <w:t xml:space="preserve"> </w:t>
      </w:r>
      <w:r>
        <w:t>forecast</w:t>
      </w:r>
      <w:r w:rsidR="001A4FF4">
        <w:t xml:space="preserve"> for 2024</w:t>
      </w:r>
      <w:r w:rsidR="00E6232A">
        <w:t>–</w:t>
      </w:r>
      <w:r w:rsidR="001A4FF4">
        <w:t>25</w:t>
      </w:r>
      <w:r w:rsidR="008D183C">
        <w:t xml:space="preserve"> </w:t>
      </w:r>
      <w:r>
        <w:t xml:space="preserve">is </w:t>
      </w:r>
      <w:r w:rsidR="008D183C">
        <w:t>conservative</w:t>
      </w:r>
      <w:r w:rsidR="00853CA2">
        <w:t xml:space="preserve">. </w:t>
      </w:r>
      <w:r w:rsidR="009A4FBC">
        <w:t>We have considered the current Australian and global economy, interest rate trends and predictions</w:t>
      </w:r>
      <w:r w:rsidR="008D212A">
        <w:t>,</w:t>
      </w:r>
      <w:r w:rsidR="009A4FBC">
        <w:t xml:space="preserve"> and inflationary impacts on consumers</w:t>
      </w:r>
      <w:r w:rsidR="00E925AA">
        <w:t>.</w:t>
      </w:r>
      <w:r w:rsidR="009A4FBC">
        <w:t xml:space="preserve"> </w:t>
      </w:r>
    </w:p>
    <w:p w14:paraId="10C51AF8" w14:textId="1BA3DDFB" w:rsidR="00BE7A3F" w:rsidRPr="00974A2E" w:rsidRDefault="00BE7A3F" w:rsidP="00974A2E">
      <w:pPr>
        <w:pStyle w:val="Heading2"/>
      </w:pPr>
      <w:bookmarkStart w:id="104" w:name="_Toc135304904"/>
      <w:bookmarkStart w:id="105" w:name="_Toc135331077"/>
      <w:bookmarkStart w:id="106" w:name="_Toc135331329"/>
      <w:bookmarkStart w:id="107" w:name="_Toc135332522"/>
      <w:bookmarkStart w:id="108" w:name="_Toc173762867"/>
      <w:bookmarkStart w:id="109" w:name="_Toc177103792"/>
      <w:bookmarkEnd w:id="103"/>
      <w:bookmarkEnd w:id="104"/>
      <w:bookmarkEnd w:id="105"/>
      <w:bookmarkEnd w:id="106"/>
      <w:bookmarkEnd w:id="107"/>
      <w:r w:rsidRPr="00974A2E">
        <w:lastRenderedPageBreak/>
        <w:t>Financial and non-financial performance</w:t>
      </w:r>
      <w:bookmarkEnd w:id="108"/>
      <w:bookmarkEnd w:id="109"/>
    </w:p>
    <w:p w14:paraId="0E90D60C" w14:textId="40FD3732" w:rsidR="00E153F4" w:rsidRPr="0029167F" w:rsidRDefault="00E925AA" w:rsidP="008A19BC">
      <w:pPr>
        <w:rPr>
          <w:lang w:eastAsia="ja-JP"/>
        </w:rPr>
      </w:pPr>
      <w:r w:rsidRPr="255F1EBD">
        <w:rPr>
          <w:lang w:eastAsia="ja-JP"/>
        </w:rPr>
        <w:t xml:space="preserve">The </w:t>
      </w:r>
      <w:hyperlink r:id="rId38" w:history="1">
        <w:r w:rsidR="1EF68551" w:rsidRPr="00150794">
          <w:rPr>
            <w:rStyle w:val="Hyperlink"/>
            <w:color w:val="auto"/>
            <w:u w:val="none"/>
          </w:rPr>
          <w:t>Biosecurity CRIS</w:t>
        </w:r>
      </w:hyperlink>
      <w:r w:rsidRPr="255F1EBD">
        <w:rPr>
          <w:lang w:eastAsia="ja-JP"/>
        </w:rPr>
        <w:t xml:space="preserve"> d</w:t>
      </w:r>
      <w:r w:rsidR="00413B1D" w:rsidRPr="255F1EBD">
        <w:rPr>
          <w:lang w:eastAsia="ja-JP"/>
        </w:rPr>
        <w:t xml:space="preserve">etails </w:t>
      </w:r>
      <w:r w:rsidR="00BE7A3F" w:rsidRPr="255F1EBD">
        <w:rPr>
          <w:lang w:eastAsia="ja-JP"/>
        </w:rPr>
        <w:t>the financial and non-financial performance of the biosecurity regulatory charging arrangements</w:t>
      </w:r>
      <w:r w:rsidRPr="255F1EBD">
        <w:rPr>
          <w:lang w:eastAsia="ja-JP"/>
        </w:rPr>
        <w:t>. This</w:t>
      </w:r>
      <w:r w:rsidR="00413B1D" w:rsidRPr="255F1EBD">
        <w:rPr>
          <w:lang w:eastAsia="ja-JP"/>
        </w:rPr>
        <w:t xml:space="preserve"> </w:t>
      </w:r>
      <w:r w:rsidR="00BE7A3F" w:rsidRPr="255F1EBD">
        <w:rPr>
          <w:lang w:eastAsia="ja-JP"/>
        </w:rPr>
        <w:t>provide</w:t>
      </w:r>
      <w:r w:rsidR="00413B1D" w:rsidRPr="255F1EBD">
        <w:rPr>
          <w:lang w:eastAsia="ja-JP"/>
        </w:rPr>
        <w:t>s</w:t>
      </w:r>
      <w:r w:rsidR="00BE7A3F" w:rsidRPr="255F1EBD">
        <w:rPr>
          <w:lang w:eastAsia="ja-JP"/>
        </w:rPr>
        <w:t xml:space="preserve"> stakeholders with an overview of our performance in recovering forecast costs and meeting regulatory objectives.</w:t>
      </w:r>
      <w:r w:rsidRPr="255F1EBD">
        <w:rPr>
          <w:lang w:eastAsia="ja-JP"/>
        </w:rPr>
        <w:t xml:space="preserve"> </w:t>
      </w:r>
      <w:r w:rsidR="00E6232A" w:rsidRPr="255F1EBD">
        <w:rPr>
          <w:lang w:eastAsia="ja-JP"/>
        </w:rPr>
        <w:t>D</w:t>
      </w:r>
      <w:r w:rsidR="009976E4" w:rsidRPr="255F1EBD">
        <w:rPr>
          <w:lang w:eastAsia="ja-JP"/>
        </w:rPr>
        <w:t xml:space="preserve">etails </w:t>
      </w:r>
      <w:r w:rsidRPr="255F1EBD">
        <w:rPr>
          <w:lang w:eastAsia="ja-JP"/>
        </w:rPr>
        <w:t>of</w:t>
      </w:r>
      <w:r w:rsidR="009976E4" w:rsidRPr="255F1EBD">
        <w:rPr>
          <w:lang w:eastAsia="ja-JP"/>
        </w:rPr>
        <w:t xml:space="preserve"> </w:t>
      </w:r>
      <w:r w:rsidR="00F5390D" w:rsidRPr="255F1EBD">
        <w:rPr>
          <w:lang w:eastAsia="ja-JP"/>
        </w:rPr>
        <w:t>SAC charge</w:t>
      </w:r>
      <w:r w:rsidR="009976E4" w:rsidRPr="255F1EBD">
        <w:rPr>
          <w:lang w:eastAsia="ja-JP"/>
        </w:rPr>
        <w:t xml:space="preserve"> performance will be provided in future </w:t>
      </w:r>
      <w:r w:rsidR="0018765C" w:rsidRPr="255F1EBD">
        <w:rPr>
          <w:lang w:eastAsia="ja-JP"/>
        </w:rPr>
        <w:t>B</w:t>
      </w:r>
      <w:r w:rsidR="00E6232A" w:rsidRPr="255F1EBD">
        <w:rPr>
          <w:lang w:eastAsia="ja-JP"/>
        </w:rPr>
        <w:t>iosecurity</w:t>
      </w:r>
      <w:r w:rsidR="0018765C" w:rsidRPr="255F1EBD">
        <w:rPr>
          <w:lang w:eastAsia="ja-JP"/>
        </w:rPr>
        <w:t xml:space="preserve"> CRIS</w:t>
      </w:r>
      <w:r w:rsidR="009976E4" w:rsidRPr="255F1EBD">
        <w:rPr>
          <w:lang w:eastAsia="ja-JP"/>
        </w:rPr>
        <w:t xml:space="preserve"> publications.</w:t>
      </w:r>
    </w:p>
    <w:p w14:paraId="365528FD" w14:textId="5417B537" w:rsidR="007278E7" w:rsidRPr="00974A2E" w:rsidRDefault="00AF672F" w:rsidP="00974A2E">
      <w:pPr>
        <w:pStyle w:val="Heading2"/>
      </w:pPr>
      <w:bookmarkStart w:id="110" w:name="Title_6"/>
      <w:bookmarkStart w:id="111" w:name="Title_7"/>
      <w:bookmarkStart w:id="112" w:name="_Key_dates_and"/>
      <w:bookmarkStart w:id="113" w:name="_Toc173762868"/>
      <w:bookmarkStart w:id="114" w:name="_Toc177103793"/>
      <w:bookmarkEnd w:id="110"/>
      <w:bookmarkEnd w:id="111"/>
      <w:bookmarkEnd w:id="112"/>
      <w:r w:rsidRPr="00974A2E">
        <w:lastRenderedPageBreak/>
        <w:t>Key dates and events</w:t>
      </w:r>
      <w:bookmarkEnd w:id="113"/>
      <w:bookmarkEnd w:id="114"/>
    </w:p>
    <w:p w14:paraId="2923290A" w14:textId="3CBF6418" w:rsidR="00E52BC3" w:rsidRPr="0029167F" w:rsidRDefault="00AF672F" w:rsidP="00AF672F">
      <w:pPr>
        <w:rPr>
          <w:rFonts w:cstheme="minorHAnsi"/>
          <w:lang w:eastAsia="ja-JP"/>
        </w:rPr>
      </w:pPr>
      <w:r w:rsidRPr="0029167F">
        <w:rPr>
          <w:rFonts w:cstheme="minorHAnsi"/>
          <w:lang w:eastAsia="ja-JP"/>
        </w:rPr>
        <w:t xml:space="preserve">We undertake regular reviews of our financial performance and conduct regular stakeholder engagement activities throughout the CRIS cycle. Key forward dates for the </w:t>
      </w:r>
      <w:r w:rsidR="00F5390D">
        <w:rPr>
          <w:rFonts w:cstheme="minorHAnsi"/>
          <w:lang w:eastAsia="ja-JP"/>
        </w:rPr>
        <w:t>SAC charge</w:t>
      </w:r>
      <w:r w:rsidR="00464A25">
        <w:rPr>
          <w:rFonts w:cstheme="minorHAnsi"/>
          <w:lang w:eastAsia="ja-JP"/>
        </w:rPr>
        <w:t xml:space="preserve"> are highlighted in </w:t>
      </w:r>
      <w:r w:rsidR="008024EC">
        <w:rPr>
          <w:rFonts w:cstheme="minorHAnsi"/>
          <w:lang w:eastAsia="ja-JP"/>
        </w:rPr>
        <w:fldChar w:fldCharType="begin"/>
      </w:r>
      <w:r w:rsidR="008024EC">
        <w:rPr>
          <w:rFonts w:cstheme="minorHAnsi"/>
          <w:lang w:eastAsia="ja-JP"/>
        </w:rPr>
        <w:instrText xml:space="preserve"> REF _Ref171590228 \h </w:instrText>
      </w:r>
      <w:r w:rsidR="008024EC">
        <w:rPr>
          <w:rFonts w:cstheme="minorHAnsi"/>
          <w:lang w:eastAsia="ja-JP"/>
        </w:rPr>
      </w:r>
      <w:r w:rsidR="008024EC">
        <w:rPr>
          <w:rFonts w:cstheme="minorHAnsi"/>
          <w:lang w:eastAsia="ja-JP"/>
        </w:rPr>
        <w:fldChar w:fldCharType="separate"/>
      </w:r>
      <w:r w:rsidR="008024EC">
        <w:t xml:space="preserve">Table </w:t>
      </w:r>
      <w:r w:rsidR="008024EC">
        <w:rPr>
          <w:noProof/>
        </w:rPr>
        <w:t>5</w:t>
      </w:r>
      <w:r w:rsidR="008024EC">
        <w:rPr>
          <w:rFonts w:cstheme="minorHAnsi"/>
          <w:lang w:eastAsia="ja-JP"/>
        </w:rPr>
        <w:fldChar w:fldCharType="end"/>
      </w:r>
      <w:r w:rsidR="008024EC">
        <w:rPr>
          <w:rFonts w:cstheme="minorHAnsi"/>
          <w:lang w:eastAsia="ja-JP"/>
        </w:rPr>
        <w:t>.</w:t>
      </w:r>
    </w:p>
    <w:p w14:paraId="5F789D48" w14:textId="532C6D42" w:rsidR="00711104" w:rsidRDefault="00711104" w:rsidP="00711104">
      <w:pPr>
        <w:pStyle w:val="Caption"/>
      </w:pPr>
      <w:bookmarkStart w:id="115" w:name="_Ref171590228"/>
      <w:bookmarkStart w:id="116" w:name="_Toc176352604"/>
      <w:bookmarkStart w:id="117" w:name="Table_9"/>
      <w:bookmarkStart w:id="118" w:name="_Hlk97812573"/>
      <w:r>
        <w:t xml:space="preserve">Table </w:t>
      </w:r>
      <w:r>
        <w:fldChar w:fldCharType="begin"/>
      </w:r>
      <w:r>
        <w:instrText xml:space="preserve"> SEQ Table \* ARABIC </w:instrText>
      </w:r>
      <w:r>
        <w:fldChar w:fldCharType="separate"/>
      </w:r>
      <w:r>
        <w:rPr>
          <w:noProof/>
        </w:rPr>
        <w:t>5</w:t>
      </w:r>
      <w:r>
        <w:fldChar w:fldCharType="end"/>
      </w:r>
      <w:r>
        <w:t xml:space="preserve"> </w:t>
      </w:r>
      <w:r w:rsidRPr="00732AC3">
        <w:t>Key forward dates and events</w:t>
      </w:r>
      <w:bookmarkEnd w:id="115"/>
      <w:bookmarkEnd w:id="116"/>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0"/>
        <w:gridCol w:w="2294"/>
      </w:tblGrid>
      <w:tr w:rsidR="002E6363" w:rsidRPr="0029167F" w14:paraId="3D743C30" w14:textId="77777777" w:rsidTr="00E766B3">
        <w:trPr>
          <w:cantSplit/>
          <w:tblHeader/>
        </w:trPr>
        <w:tc>
          <w:tcPr>
            <w:tcW w:w="3751" w:type="pct"/>
            <w:tcBorders>
              <w:top w:val="single" w:sz="4" w:space="0" w:color="auto"/>
              <w:bottom w:val="single" w:sz="4" w:space="0" w:color="auto"/>
            </w:tcBorders>
          </w:tcPr>
          <w:p w14:paraId="0B370643" w14:textId="77777777" w:rsidR="002E6363" w:rsidRPr="00472DBF" w:rsidRDefault="002E6363" w:rsidP="00472DBF">
            <w:pPr>
              <w:pStyle w:val="TableText"/>
              <w:rPr>
                <w:rStyle w:val="Strong"/>
              </w:rPr>
            </w:pPr>
            <w:bookmarkStart w:id="119" w:name="Title_8"/>
            <w:bookmarkStart w:id="120" w:name="Title_5"/>
            <w:bookmarkEnd w:id="117"/>
            <w:bookmarkEnd w:id="119"/>
            <w:bookmarkEnd w:id="120"/>
            <w:r w:rsidRPr="00472DBF">
              <w:rPr>
                <w:rStyle w:val="Strong"/>
              </w:rPr>
              <w:t>Key forward events schedule</w:t>
            </w:r>
          </w:p>
        </w:tc>
        <w:tc>
          <w:tcPr>
            <w:tcW w:w="1249" w:type="pct"/>
            <w:tcBorders>
              <w:top w:val="single" w:sz="4" w:space="0" w:color="auto"/>
              <w:bottom w:val="single" w:sz="4" w:space="0" w:color="auto"/>
            </w:tcBorders>
          </w:tcPr>
          <w:p w14:paraId="58F80211" w14:textId="77777777" w:rsidR="002E6363" w:rsidRPr="00472DBF" w:rsidRDefault="002E6363" w:rsidP="00472DBF">
            <w:pPr>
              <w:pStyle w:val="TableText"/>
              <w:rPr>
                <w:rStyle w:val="Strong"/>
              </w:rPr>
            </w:pPr>
            <w:r w:rsidRPr="00472DBF">
              <w:rPr>
                <w:rStyle w:val="Strong"/>
              </w:rPr>
              <w:t>Next scheduled update</w:t>
            </w:r>
          </w:p>
        </w:tc>
      </w:tr>
      <w:tr w:rsidR="004F3BB7" w:rsidRPr="0029167F" w14:paraId="62EB0209" w14:textId="77777777" w:rsidTr="00E766B3">
        <w:tc>
          <w:tcPr>
            <w:tcW w:w="3751" w:type="pct"/>
            <w:tcBorders>
              <w:top w:val="single" w:sz="4" w:space="0" w:color="auto"/>
              <w:bottom w:val="single" w:sz="4" w:space="0" w:color="auto"/>
            </w:tcBorders>
          </w:tcPr>
          <w:p w14:paraId="3D72F2F0" w14:textId="7D579FA7" w:rsidR="004F3BB7" w:rsidRPr="0029167F" w:rsidRDefault="00F5390D" w:rsidP="00472DBF">
            <w:pPr>
              <w:pStyle w:val="TableText"/>
            </w:pPr>
            <w:bookmarkStart w:id="121" w:name="_Hlk77329544"/>
            <w:r>
              <w:t>SAC charge</w:t>
            </w:r>
            <w:r w:rsidR="00C91AF0" w:rsidRPr="0029167F">
              <w:t xml:space="preserve"> </w:t>
            </w:r>
            <w:r w:rsidR="00A573DE">
              <w:t>commences</w:t>
            </w:r>
          </w:p>
        </w:tc>
        <w:tc>
          <w:tcPr>
            <w:tcW w:w="1249" w:type="pct"/>
            <w:tcBorders>
              <w:top w:val="single" w:sz="4" w:space="0" w:color="auto"/>
              <w:bottom w:val="single" w:sz="4" w:space="0" w:color="auto"/>
            </w:tcBorders>
            <w:shd w:val="clear" w:color="auto" w:fill="auto"/>
          </w:tcPr>
          <w:p w14:paraId="7DDEAEF6" w14:textId="039C8E0A" w:rsidR="00464A25" w:rsidRPr="0029167F" w:rsidRDefault="00A573DE" w:rsidP="00464A25">
            <w:pPr>
              <w:pStyle w:val="TableText"/>
            </w:pPr>
            <w:r>
              <w:t>1</w:t>
            </w:r>
            <w:r w:rsidR="00C91AF0">
              <w:t xml:space="preserve"> </w:t>
            </w:r>
            <w:r>
              <w:t>October</w:t>
            </w:r>
            <w:r w:rsidR="00C91AF0">
              <w:t xml:space="preserve"> 202</w:t>
            </w:r>
            <w:r w:rsidR="00464A25">
              <w:t>4</w:t>
            </w:r>
          </w:p>
        </w:tc>
      </w:tr>
      <w:tr w:rsidR="00C649BD" w:rsidRPr="0029167F" w14:paraId="553786EE" w14:textId="77777777" w:rsidTr="00E766B3">
        <w:tc>
          <w:tcPr>
            <w:tcW w:w="3751" w:type="pct"/>
            <w:tcBorders>
              <w:top w:val="single" w:sz="4" w:space="0" w:color="auto"/>
              <w:bottom w:val="single" w:sz="4" w:space="0" w:color="auto"/>
            </w:tcBorders>
          </w:tcPr>
          <w:p w14:paraId="51E24F77" w14:textId="11DC21FE" w:rsidR="00C649BD" w:rsidRPr="0029167F" w:rsidDel="00464A25" w:rsidRDefault="00C649BD" w:rsidP="00472DBF">
            <w:pPr>
              <w:pStyle w:val="TableText"/>
            </w:pPr>
            <w:r>
              <w:t xml:space="preserve">First SAC </w:t>
            </w:r>
            <w:r w:rsidR="00995573">
              <w:t xml:space="preserve">charge </w:t>
            </w:r>
            <w:r>
              <w:t>collection due</w:t>
            </w:r>
          </w:p>
        </w:tc>
        <w:tc>
          <w:tcPr>
            <w:tcW w:w="1249" w:type="pct"/>
            <w:tcBorders>
              <w:top w:val="single" w:sz="4" w:space="0" w:color="auto"/>
              <w:bottom w:val="single" w:sz="4" w:space="0" w:color="auto"/>
            </w:tcBorders>
            <w:shd w:val="clear" w:color="auto" w:fill="auto"/>
          </w:tcPr>
          <w:p w14:paraId="720F6F8E" w14:textId="4EAF702C" w:rsidR="00C649BD" w:rsidRDefault="00A573DE" w:rsidP="00464A25">
            <w:pPr>
              <w:pStyle w:val="TableText"/>
            </w:pPr>
            <w:r>
              <w:t>January</w:t>
            </w:r>
            <w:r w:rsidR="00BE3BE1">
              <w:t xml:space="preserve"> </w:t>
            </w:r>
            <w:r w:rsidR="004C3BD9">
              <w:t xml:space="preserve">– February </w:t>
            </w:r>
            <w:r w:rsidR="00BE3BE1">
              <w:t>202</w:t>
            </w:r>
            <w:r>
              <w:t>5</w:t>
            </w:r>
          </w:p>
        </w:tc>
      </w:tr>
      <w:tr w:rsidR="00174937" w:rsidRPr="0029167F" w14:paraId="24129AF0" w14:textId="77777777" w:rsidTr="00E766B3">
        <w:tc>
          <w:tcPr>
            <w:tcW w:w="3751" w:type="pct"/>
            <w:tcBorders>
              <w:top w:val="single" w:sz="4" w:space="0" w:color="auto"/>
              <w:bottom w:val="single" w:sz="4" w:space="0" w:color="auto"/>
            </w:tcBorders>
          </w:tcPr>
          <w:p w14:paraId="66EC4E3B" w14:textId="6FF82BBB" w:rsidR="00174937" w:rsidRDefault="00174937" w:rsidP="00472DBF">
            <w:pPr>
              <w:pStyle w:val="TableText"/>
            </w:pPr>
            <w:r>
              <w:t xml:space="preserve">Preliminary review of </w:t>
            </w:r>
            <w:r w:rsidR="002B167F">
              <w:t>arrangement</w:t>
            </w:r>
          </w:p>
        </w:tc>
        <w:tc>
          <w:tcPr>
            <w:tcW w:w="1249" w:type="pct"/>
            <w:tcBorders>
              <w:top w:val="single" w:sz="4" w:space="0" w:color="auto"/>
              <w:bottom w:val="single" w:sz="4" w:space="0" w:color="auto"/>
            </w:tcBorders>
            <w:shd w:val="clear" w:color="auto" w:fill="auto"/>
          </w:tcPr>
          <w:p w14:paraId="12821955" w14:textId="0F1BFB57" w:rsidR="00174937" w:rsidRDefault="00705CB6" w:rsidP="00472DBF">
            <w:pPr>
              <w:pStyle w:val="TableText"/>
            </w:pPr>
            <w:r>
              <w:t>Third</w:t>
            </w:r>
            <w:r w:rsidR="002B167F">
              <w:t xml:space="preserve"> quarter of 2024</w:t>
            </w:r>
            <w:r w:rsidR="00940F47">
              <w:t>–</w:t>
            </w:r>
            <w:r w:rsidR="002B167F">
              <w:t>25</w:t>
            </w:r>
            <w:r w:rsidR="00A573DE">
              <w:t xml:space="preserve"> </w:t>
            </w:r>
            <w:r w:rsidR="00D41FF5">
              <w:t>budget year</w:t>
            </w:r>
          </w:p>
        </w:tc>
      </w:tr>
      <w:tr w:rsidR="004F3BB7" w:rsidRPr="0029167F" w14:paraId="4FE9C7E5" w14:textId="77777777" w:rsidTr="00E766B3">
        <w:tc>
          <w:tcPr>
            <w:tcW w:w="3751" w:type="pct"/>
            <w:tcBorders>
              <w:top w:val="single" w:sz="4" w:space="0" w:color="auto"/>
              <w:bottom w:val="single" w:sz="4" w:space="0" w:color="auto"/>
            </w:tcBorders>
          </w:tcPr>
          <w:p w14:paraId="6CB9F80C" w14:textId="64C4A689" w:rsidR="004F3BB7" w:rsidRPr="0029167F" w:rsidRDefault="00C91AF0" w:rsidP="00472DBF">
            <w:pPr>
              <w:pStyle w:val="TableText"/>
            </w:pPr>
            <w:r>
              <w:t>Review of arrangement and indexation</w:t>
            </w:r>
          </w:p>
        </w:tc>
        <w:tc>
          <w:tcPr>
            <w:tcW w:w="1249" w:type="pct"/>
            <w:tcBorders>
              <w:top w:val="single" w:sz="4" w:space="0" w:color="auto"/>
              <w:bottom w:val="single" w:sz="4" w:space="0" w:color="auto"/>
            </w:tcBorders>
            <w:shd w:val="clear" w:color="auto" w:fill="auto"/>
          </w:tcPr>
          <w:p w14:paraId="356DC9F7" w14:textId="58A7B96F" w:rsidR="004F3BB7" w:rsidRPr="0029167F" w:rsidRDefault="00705CB6" w:rsidP="00472DBF">
            <w:pPr>
              <w:pStyle w:val="TableText"/>
            </w:pPr>
            <w:r>
              <w:t>Third</w:t>
            </w:r>
            <w:r w:rsidR="0092689C">
              <w:t xml:space="preserve"> </w:t>
            </w:r>
            <w:r w:rsidR="005F2F8C">
              <w:t>quarter 2024</w:t>
            </w:r>
            <w:r w:rsidR="00940F47">
              <w:t>–</w:t>
            </w:r>
            <w:r w:rsidR="005F2F8C">
              <w:t xml:space="preserve">25 </w:t>
            </w:r>
            <w:r w:rsidR="00D41FF5">
              <w:t>budget year</w:t>
            </w:r>
            <w:r w:rsidR="005F2F8C" w:rsidDel="00464A25">
              <w:t xml:space="preserve"> </w:t>
            </w:r>
          </w:p>
        </w:tc>
      </w:tr>
      <w:tr w:rsidR="00464A25" w:rsidRPr="0029167F" w14:paraId="591E0576" w14:textId="77777777" w:rsidTr="00E766B3">
        <w:tc>
          <w:tcPr>
            <w:tcW w:w="3751" w:type="pct"/>
            <w:tcBorders>
              <w:top w:val="single" w:sz="4" w:space="0" w:color="auto"/>
              <w:bottom w:val="single" w:sz="4" w:space="0" w:color="auto"/>
            </w:tcBorders>
          </w:tcPr>
          <w:p w14:paraId="6BE75F30" w14:textId="79828068" w:rsidR="00464A25" w:rsidRPr="0029167F" w:rsidRDefault="00464A25" w:rsidP="00464A25">
            <w:pPr>
              <w:pStyle w:val="TableText"/>
            </w:pPr>
            <w:r>
              <w:t>Review of arrangement and indexation</w:t>
            </w:r>
          </w:p>
        </w:tc>
        <w:tc>
          <w:tcPr>
            <w:tcW w:w="1249" w:type="pct"/>
            <w:tcBorders>
              <w:top w:val="single" w:sz="4" w:space="0" w:color="auto"/>
              <w:bottom w:val="single" w:sz="4" w:space="0" w:color="auto"/>
            </w:tcBorders>
            <w:shd w:val="clear" w:color="auto" w:fill="auto"/>
          </w:tcPr>
          <w:p w14:paraId="263BA462" w14:textId="4C10871D" w:rsidR="00464A25" w:rsidRPr="0029167F" w:rsidRDefault="00705CB6" w:rsidP="00464A25">
            <w:pPr>
              <w:pStyle w:val="TableText"/>
            </w:pPr>
            <w:r>
              <w:t>Third</w:t>
            </w:r>
            <w:r w:rsidR="009E31B3">
              <w:t xml:space="preserve"> </w:t>
            </w:r>
            <w:r w:rsidR="005F2F8C">
              <w:t>quarter 2025</w:t>
            </w:r>
            <w:r w:rsidR="00940F47">
              <w:t>–</w:t>
            </w:r>
            <w:r w:rsidR="005F2F8C">
              <w:t xml:space="preserve">26 </w:t>
            </w:r>
            <w:r w:rsidR="00D41FF5">
              <w:t>budget year</w:t>
            </w:r>
          </w:p>
        </w:tc>
      </w:tr>
      <w:tr w:rsidR="00C91AF0" w:rsidRPr="0029167F" w14:paraId="23FE0060" w14:textId="77777777" w:rsidTr="00E766B3">
        <w:tc>
          <w:tcPr>
            <w:tcW w:w="3751" w:type="pct"/>
            <w:tcBorders>
              <w:top w:val="single" w:sz="4" w:space="0" w:color="auto"/>
              <w:bottom w:val="single" w:sz="4" w:space="0" w:color="auto"/>
            </w:tcBorders>
          </w:tcPr>
          <w:p w14:paraId="24595D82" w14:textId="29CC82F1" w:rsidR="00C91AF0" w:rsidRPr="0029167F" w:rsidRDefault="00C91AF0" w:rsidP="00472DBF">
            <w:pPr>
              <w:pStyle w:val="TableText"/>
            </w:pPr>
            <w:r w:rsidRPr="0029167F">
              <w:t>Portfolio charging review outcomes to be brought forward in Budget 2026</w:t>
            </w:r>
            <w:r w:rsidRPr="0029167F">
              <w:rPr>
                <w:lang w:eastAsia="ja-JP"/>
              </w:rPr>
              <w:t>–</w:t>
            </w:r>
            <w:r w:rsidRPr="0029167F">
              <w:t>27</w:t>
            </w:r>
          </w:p>
        </w:tc>
        <w:tc>
          <w:tcPr>
            <w:tcW w:w="1249" w:type="pct"/>
            <w:tcBorders>
              <w:top w:val="single" w:sz="4" w:space="0" w:color="auto"/>
              <w:bottom w:val="single" w:sz="4" w:space="0" w:color="auto"/>
            </w:tcBorders>
            <w:shd w:val="clear" w:color="auto" w:fill="auto"/>
          </w:tcPr>
          <w:p w14:paraId="1364FB01" w14:textId="782C061F" w:rsidR="00C91AF0" w:rsidRPr="0029167F" w:rsidRDefault="002717C5" w:rsidP="00472DBF">
            <w:pPr>
              <w:pStyle w:val="TableText"/>
            </w:pPr>
            <w:r>
              <w:t>2026</w:t>
            </w:r>
          </w:p>
        </w:tc>
      </w:tr>
    </w:tbl>
    <w:p w14:paraId="125E53D2" w14:textId="14C94E8C" w:rsidR="005E2A40" w:rsidRPr="00974A2E" w:rsidRDefault="00A24993" w:rsidP="00974A2E">
      <w:pPr>
        <w:pStyle w:val="Heading2"/>
      </w:pPr>
      <w:bookmarkStart w:id="122" w:name="_Toc173762869"/>
      <w:bookmarkStart w:id="123" w:name="_Toc177103794"/>
      <w:bookmarkEnd w:id="118"/>
      <w:bookmarkEnd w:id="121"/>
      <w:r w:rsidRPr="00974A2E">
        <w:lastRenderedPageBreak/>
        <w:t>C</w:t>
      </w:r>
      <w:r w:rsidR="005E2A40" w:rsidRPr="00974A2E">
        <w:t>RIS approval and change register</w:t>
      </w:r>
      <w:bookmarkEnd w:id="122"/>
      <w:bookmarkEnd w:id="123"/>
    </w:p>
    <w:p w14:paraId="3B16C861" w14:textId="72AC7F4B" w:rsidR="005E2A40" w:rsidRPr="00EF3334" w:rsidRDefault="005E2A40" w:rsidP="005E2A40">
      <w:pPr>
        <w:rPr>
          <w:rFonts w:cstheme="minorHAnsi"/>
          <w:lang w:eastAsia="ja-JP"/>
        </w:rPr>
      </w:pPr>
      <w:r w:rsidRPr="00EF3334">
        <w:rPr>
          <w:rFonts w:cstheme="minorHAnsi"/>
          <w:lang w:eastAsia="ja-JP"/>
        </w:rPr>
        <w:t xml:space="preserve">The </w:t>
      </w:r>
      <w:r w:rsidR="001C6974">
        <w:rPr>
          <w:rFonts w:cstheme="minorHAnsi"/>
          <w:lang w:eastAsia="ja-JP"/>
        </w:rPr>
        <w:t xml:space="preserve">department </w:t>
      </w:r>
      <w:r w:rsidR="00A8225A">
        <w:rPr>
          <w:rFonts w:cstheme="minorHAnsi"/>
          <w:lang w:eastAsia="ja-JP"/>
        </w:rPr>
        <w:t>has</w:t>
      </w:r>
      <w:r w:rsidR="00925519">
        <w:rPr>
          <w:rFonts w:cstheme="minorHAnsi"/>
          <w:lang w:eastAsia="ja-JP"/>
        </w:rPr>
        <w:t xml:space="preserve"> </w:t>
      </w:r>
      <w:r w:rsidR="007C183A">
        <w:rPr>
          <w:rFonts w:cstheme="minorHAnsi"/>
          <w:lang w:eastAsia="ja-JP"/>
        </w:rPr>
        <w:t>updated and</w:t>
      </w:r>
      <w:r w:rsidR="00A8225A">
        <w:rPr>
          <w:rFonts w:cstheme="minorHAnsi"/>
          <w:lang w:eastAsia="ja-JP"/>
        </w:rPr>
        <w:t xml:space="preserve"> </w:t>
      </w:r>
      <w:r w:rsidR="001C6974">
        <w:rPr>
          <w:rFonts w:cstheme="minorHAnsi"/>
          <w:lang w:eastAsia="ja-JP"/>
        </w:rPr>
        <w:t xml:space="preserve">intends to </w:t>
      </w:r>
      <w:r w:rsidR="00925519">
        <w:rPr>
          <w:rFonts w:cstheme="minorHAnsi"/>
          <w:lang w:eastAsia="ja-JP"/>
        </w:rPr>
        <w:t xml:space="preserve">further </w:t>
      </w:r>
      <w:r w:rsidRPr="00EF3334">
        <w:rPr>
          <w:rFonts w:cstheme="minorHAnsi"/>
          <w:lang w:eastAsia="ja-JP"/>
        </w:rPr>
        <w:t xml:space="preserve">update this CRIS when necessary and in conjunction with the key dates and events in </w:t>
      </w:r>
      <w:r w:rsidR="005C4C18">
        <w:fldChar w:fldCharType="begin"/>
      </w:r>
      <w:r w:rsidR="005C4C18">
        <w:rPr>
          <w:rFonts w:cstheme="minorHAnsi"/>
          <w:lang w:eastAsia="ja-JP"/>
        </w:rPr>
        <w:instrText xml:space="preserve"> REF _Ref171590315 \h </w:instrText>
      </w:r>
      <w:r w:rsidR="005C4C18">
        <w:fldChar w:fldCharType="separate"/>
      </w:r>
      <w:r w:rsidR="005C4C18">
        <w:t xml:space="preserve">Table </w:t>
      </w:r>
      <w:r w:rsidR="005C4C18">
        <w:rPr>
          <w:noProof/>
        </w:rPr>
        <w:t>6</w:t>
      </w:r>
      <w:r w:rsidR="005C4C18">
        <w:fldChar w:fldCharType="end"/>
      </w:r>
      <w:r w:rsidRPr="00EF3334">
        <w:rPr>
          <w:rFonts w:cstheme="minorHAnsi"/>
          <w:lang w:eastAsia="ja-JP"/>
        </w:rPr>
        <w:t xml:space="preserve">. </w:t>
      </w:r>
      <w:r w:rsidR="00D20961">
        <w:rPr>
          <w:rFonts w:cstheme="minorHAnsi"/>
          <w:lang w:eastAsia="ja-JP"/>
        </w:rPr>
        <w:t xml:space="preserve">Consistent with </w:t>
      </w:r>
      <w:r w:rsidR="00401681">
        <w:rPr>
          <w:rFonts w:cstheme="minorHAnsi"/>
          <w:lang w:eastAsia="ja-JP"/>
        </w:rPr>
        <w:t>review</w:t>
      </w:r>
      <w:r w:rsidRPr="00EF3334">
        <w:rPr>
          <w:rFonts w:cstheme="minorHAnsi"/>
        </w:rPr>
        <w:t xml:space="preserve"> recommend</w:t>
      </w:r>
      <w:r w:rsidR="00401681">
        <w:rPr>
          <w:rFonts w:cstheme="minorHAnsi"/>
        </w:rPr>
        <w:t>ations, this CRIS will be</w:t>
      </w:r>
      <w:r w:rsidR="00C8178C">
        <w:rPr>
          <w:rFonts w:cstheme="minorHAnsi"/>
        </w:rPr>
        <w:t xml:space="preserve"> </w:t>
      </w:r>
      <w:r w:rsidR="00C83BE6">
        <w:rPr>
          <w:rFonts w:cstheme="minorHAnsi"/>
        </w:rPr>
        <w:t>reviewed ahead of its in</w:t>
      </w:r>
      <w:r w:rsidR="00C8178C">
        <w:rPr>
          <w:rFonts w:cstheme="minorHAnsi"/>
        </w:rPr>
        <w:t xml:space="preserve">clusion </w:t>
      </w:r>
      <w:r w:rsidR="00C8178C" w:rsidRPr="00E6232A">
        <w:rPr>
          <w:rFonts w:cstheme="minorHAnsi"/>
        </w:rPr>
        <w:t>in</w:t>
      </w:r>
      <w:r w:rsidR="00AA5FCF" w:rsidRPr="00E6232A">
        <w:rPr>
          <w:rFonts w:cstheme="minorHAnsi"/>
        </w:rPr>
        <w:t xml:space="preserve"> </w:t>
      </w:r>
      <w:r w:rsidR="00DE0744" w:rsidRPr="00E6232A">
        <w:rPr>
          <w:rFonts w:cstheme="minorHAnsi"/>
        </w:rPr>
        <w:t xml:space="preserve">the 2025–26 </w:t>
      </w:r>
      <w:r w:rsidR="00E6232A" w:rsidRPr="00E6232A">
        <w:rPr>
          <w:rFonts w:cstheme="minorHAnsi"/>
        </w:rPr>
        <w:t>B</w:t>
      </w:r>
      <w:r w:rsidR="00DE0744" w:rsidRPr="00E6232A">
        <w:rPr>
          <w:rFonts w:cstheme="minorHAnsi"/>
        </w:rPr>
        <w:t>iosecurity CRIS</w:t>
      </w:r>
      <w:r w:rsidRPr="00E6232A">
        <w:rPr>
          <w:rFonts w:cstheme="minorHAnsi"/>
        </w:rPr>
        <w:t>.</w:t>
      </w:r>
    </w:p>
    <w:p w14:paraId="2B9CE917" w14:textId="60D65839" w:rsidR="00711104" w:rsidRDefault="00711104" w:rsidP="00711104">
      <w:pPr>
        <w:pStyle w:val="Caption"/>
      </w:pPr>
      <w:bookmarkStart w:id="124" w:name="Table_11"/>
      <w:bookmarkStart w:id="125" w:name="_Ref171590315"/>
      <w:bookmarkStart w:id="126" w:name="_Toc176352605"/>
      <w:bookmarkStart w:id="127" w:name="_Ref77865840"/>
      <w:bookmarkStart w:id="128" w:name="Table_10"/>
      <w:bookmarkEnd w:id="124"/>
      <w:r>
        <w:t xml:space="preserve">Table </w:t>
      </w:r>
      <w:r>
        <w:fldChar w:fldCharType="begin"/>
      </w:r>
      <w:r>
        <w:instrText xml:space="preserve"> SEQ Table \* ARABIC </w:instrText>
      </w:r>
      <w:r>
        <w:fldChar w:fldCharType="separate"/>
      </w:r>
      <w:r>
        <w:rPr>
          <w:noProof/>
        </w:rPr>
        <w:t>6</w:t>
      </w:r>
      <w:r>
        <w:fldChar w:fldCharType="end"/>
      </w:r>
      <w:r>
        <w:t xml:space="preserve"> </w:t>
      </w:r>
      <w:r w:rsidRPr="00A56DBF">
        <w:t xml:space="preserve">Approval </w:t>
      </w:r>
      <w:r w:rsidR="00331509">
        <w:t>r</w:t>
      </w:r>
      <w:r w:rsidRPr="00A56DBF">
        <w:t>egister</w:t>
      </w:r>
      <w:bookmarkEnd w:id="125"/>
      <w:bookmarkEnd w:id="126"/>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127"/>
        <w:gridCol w:w="5498"/>
      </w:tblGrid>
      <w:tr w:rsidR="00787C7C" w:rsidRPr="0029167F" w14:paraId="28CD2AAE" w14:textId="77777777" w:rsidTr="082A85A9">
        <w:trPr>
          <w:cantSplit/>
          <w:trHeight w:val="332"/>
          <w:tblHeader/>
        </w:trPr>
        <w:tc>
          <w:tcPr>
            <w:tcW w:w="849" w:type="pct"/>
            <w:tcBorders>
              <w:top w:val="single" w:sz="4" w:space="0" w:color="auto"/>
              <w:bottom w:val="single" w:sz="4" w:space="0" w:color="auto"/>
            </w:tcBorders>
          </w:tcPr>
          <w:p w14:paraId="19578FB5" w14:textId="158C6638" w:rsidR="00787C7C" w:rsidRPr="00472DBF" w:rsidRDefault="00787C7C" w:rsidP="00472DBF">
            <w:pPr>
              <w:pStyle w:val="TableText"/>
              <w:rPr>
                <w:rStyle w:val="Strong"/>
              </w:rPr>
            </w:pPr>
            <w:bookmarkStart w:id="129" w:name="Title_9"/>
            <w:bookmarkEnd w:id="127"/>
            <w:bookmarkEnd w:id="128"/>
            <w:bookmarkEnd w:id="129"/>
            <w:r w:rsidRPr="00472DBF">
              <w:rPr>
                <w:rStyle w:val="Strong"/>
              </w:rPr>
              <w:t>Date</w:t>
            </w:r>
          </w:p>
        </w:tc>
        <w:tc>
          <w:tcPr>
            <w:tcW w:w="1158" w:type="pct"/>
            <w:tcBorders>
              <w:top w:val="single" w:sz="4" w:space="0" w:color="auto"/>
              <w:bottom w:val="single" w:sz="4" w:space="0" w:color="auto"/>
            </w:tcBorders>
          </w:tcPr>
          <w:p w14:paraId="4F30CF12" w14:textId="77777777" w:rsidR="00787C7C" w:rsidRPr="00472DBF" w:rsidRDefault="00787C7C" w:rsidP="00472DBF">
            <w:pPr>
              <w:pStyle w:val="TableText"/>
              <w:rPr>
                <w:rStyle w:val="Strong"/>
              </w:rPr>
            </w:pPr>
            <w:r w:rsidRPr="00472DBF">
              <w:rPr>
                <w:rStyle w:val="Strong"/>
              </w:rPr>
              <w:t>CRIS change</w:t>
            </w:r>
          </w:p>
        </w:tc>
        <w:tc>
          <w:tcPr>
            <w:tcW w:w="2993" w:type="pct"/>
            <w:tcBorders>
              <w:top w:val="single" w:sz="4" w:space="0" w:color="auto"/>
              <w:bottom w:val="single" w:sz="4" w:space="0" w:color="auto"/>
            </w:tcBorders>
          </w:tcPr>
          <w:p w14:paraId="1E84C7D9" w14:textId="77777777" w:rsidR="00787C7C" w:rsidRPr="00472DBF" w:rsidRDefault="00787C7C" w:rsidP="00472DBF">
            <w:pPr>
              <w:pStyle w:val="TableText"/>
              <w:rPr>
                <w:rStyle w:val="Strong"/>
              </w:rPr>
            </w:pPr>
            <w:r w:rsidRPr="00472DBF">
              <w:rPr>
                <w:rStyle w:val="Strong"/>
              </w:rPr>
              <w:t>Approver</w:t>
            </w:r>
          </w:p>
        </w:tc>
      </w:tr>
      <w:tr w:rsidR="00787C7C" w:rsidRPr="0029167F" w14:paraId="2D4E23AD" w14:textId="77777777" w:rsidTr="082A85A9">
        <w:trPr>
          <w:trHeight w:val="559"/>
        </w:trPr>
        <w:tc>
          <w:tcPr>
            <w:tcW w:w="849" w:type="pct"/>
            <w:tcBorders>
              <w:top w:val="single" w:sz="4" w:space="0" w:color="auto"/>
              <w:bottom w:val="single" w:sz="4" w:space="0" w:color="auto"/>
            </w:tcBorders>
          </w:tcPr>
          <w:p w14:paraId="61EB2768" w14:textId="664C4B34" w:rsidR="00787C7C" w:rsidRPr="0029167F" w:rsidRDefault="00787C7C" w:rsidP="00472DBF">
            <w:pPr>
              <w:pStyle w:val="TableText"/>
            </w:pPr>
            <w:r>
              <w:t>May</w:t>
            </w:r>
            <w:r w:rsidRPr="0029167F">
              <w:t xml:space="preserve"> 20</w:t>
            </w:r>
            <w:r>
              <w:t>24</w:t>
            </w:r>
          </w:p>
        </w:tc>
        <w:tc>
          <w:tcPr>
            <w:tcW w:w="1158" w:type="pct"/>
            <w:tcBorders>
              <w:top w:val="single" w:sz="4" w:space="0" w:color="auto"/>
              <w:bottom w:val="single" w:sz="4" w:space="0" w:color="auto"/>
            </w:tcBorders>
          </w:tcPr>
          <w:p w14:paraId="1553A497" w14:textId="3922A59D" w:rsidR="00787C7C" w:rsidRPr="0029167F" w:rsidRDefault="00787C7C" w:rsidP="00472DBF">
            <w:pPr>
              <w:pStyle w:val="TableText"/>
            </w:pPr>
            <w:r w:rsidRPr="0029167F">
              <w:t>Certification of the CRIS</w:t>
            </w:r>
          </w:p>
        </w:tc>
        <w:tc>
          <w:tcPr>
            <w:tcW w:w="2993" w:type="pct"/>
            <w:tcBorders>
              <w:top w:val="single" w:sz="4" w:space="0" w:color="auto"/>
              <w:bottom w:val="single" w:sz="4" w:space="0" w:color="auto"/>
            </w:tcBorders>
          </w:tcPr>
          <w:p w14:paraId="44DDE63C" w14:textId="49B611F0" w:rsidR="00787C7C" w:rsidRPr="0029167F" w:rsidRDefault="00787C7C" w:rsidP="00472DBF">
            <w:pPr>
              <w:pStyle w:val="TableText"/>
            </w:pPr>
            <w:r w:rsidRPr="0029167F">
              <w:t>Secretary</w:t>
            </w:r>
            <w:r>
              <w:t>,</w:t>
            </w:r>
            <w:r w:rsidRPr="0029167F">
              <w:t xml:space="preserve"> </w:t>
            </w:r>
            <w:r>
              <w:t>Department of Agriculture, Fisheries and Forestry</w:t>
            </w:r>
          </w:p>
        </w:tc>
      </w:tr>
      <w:tr w:rsidR="00787C7C" w:rsidRPr="0029167F" w14:paraId="0C9F8D89" w14:textId="77777777" w:rsidTr="082A85A9">
        <w:trPr>
          <w:trHeight w:val="347"/>
        </w:trPr>
        <w:tc>
          <w:tcPr>
            <w:tcW w:w="849" w:type="pct"/>
            <w:tcBorders>
              <w:top w:val="single" w:sz="4" w:space="0" w:color="auto"/>
              <w:bottom w:val="single" w:sz="4" w:space="0" w:color="auto"/>
            </w:tcBorders>
          </w:tcPr>
          <w:p w14:paraId="29BB6796" w14:textId="62148DB1" w:rsidR="00787C7C" w:rsidRPr="0029167F" w:rsidRDefault="00787C7C" w:rsidP="00472DBF">
            <w:pPr>
              <w:pStyle w:val="TableText"/>
            </w:pPr>
            <w:r>
              <w:t>May</w:t>
            </w:r>
            <w:r w:rsidRPr="0029167F">
              <w:t xml:space="preserve"> 20</w:t>
            </w:r>
            <w:r>
              <w:t>24</w:t>
            </w:r>
          </w:p>
        </w:tc>
        <w:tc>
          <w:tcPr>
            <w:tcW w:w="1158" w:type="pct"/>
            <w:tcBorders>
              <w:top w:val="single" w:sz="4" w:space="0" w:color="auto"/>
              <w:bottom w:val="single" w:sz="4" w:space="0" w:color="auto"/>
            </w:tcBorders>
          </w:tcPr>
          <w:p w14:paraId="1581A0C3" w14:textId="77777777" w:rsidR="00787C7C" w:rsidRPr="0029167F" w:rsidRDefault="00787C7C" w:rsidP="00472DBF">
            <w:pPr>
              <w:pStyle w:val="TableText"/>
            </w:pPr>
            <w:r w:rsidRPr="0029167F">
              <w:t>Agreement to the CRIS</w:t>
            </w:r>
          </w:p>
        </w:tc>
        <w:tc>
          <w:tcPr>
            <w:tcW w:w="2993" w:type="pct"/>
            <w:tcBorders>
              <w:top w:val="single" w:sz="4" w:space="0" w:color="auto"/>
              <w:bottom w:val="single" w:sz="4" w:space="0" w:color="auto"/>
            </w:tcBorders>
          </w:tcPr>
          <w:p w14:paraId="29012651" w14:textId="44CC0E07" w:rsidR="00787C7C" w:rsidRPr="0029167F" w:rsidRDefault="00787C7C" w:rsidP="00472DBF">
            <w:pPr>
              <w:pStyle w:val="TableText"/>
            </w:pPr>
            <w:r w:rsidRPr="0029167F">
              <w:t>Minister for Agriculture</w:t>
            </w:r>
            <w:r>
              <w:t>, Fisheries and Forestry</w:t>
            </w:r>
          </w:p>
        </w:tc>
      </w:tr>
      <w:tr w:rsidR="00787C7C" w:rsidRPr="0029167F" w14:paraId="6992935D" w14:textId="77777777" w:rsidTr="082A85A9">
        <w:trPr>
          <w:trHeight w:val="544"/>
        </w:trPr>
        <w:tc>
          <w:tcPr>
            <w:tcW w:w="849" w:type="pct"/>
            <w:tcBorders>
              <w:top w:val="single" w:sz="4" w:space="0" w:color="auto"/>
              <w:bottom w:val="single" w:sz="4" w:space="0" w:color="auto"/>
            </w:tcBorders>
          </w:tcPr>
          <w:p w14:paraId="6005778A" w14:textId="0C178C90" w:rsidR="00787C7C" w:rsidRPr="0084441A" w:rsidRDefault="4D6F986D" w:rsidP="082A85A9">
            <w:pPr>
              <w:pStyle w:val="TableText"/>
            </w:pPr>
            <w:r>
              <w:t xml:space="preserve">October </w:t>
            </w:r>
            <w:r w:rsidR="00787C7C">
              <w:t>2024</w:t>
            </w:r>
          </w:p>
        </w:tc>
        <w:tc>
          <w:tcPr>
            <w:tcW w:w="1158" w:type="pct"/>
            <w:tcBorders>
              <w:top w:val="single" w:sz="4" w:space="0" w:color="auto"/>
              <w:bottom w:val="single" w:sz="4" w:space="0" w:color="auto"/>
            </w:tcBorders>
          </w:tcPr>
          <w:p w14:paraId="4CC7E0DE" w14:textId="6D71A747" w:rsidR="00787C7C" w:rsidRPr="0084441A" w:rsidRDefault="00787C7C" w:rsidP="082A85A9">
            <w:pPr>
              <w:pStyle w:val="TableText"/>
            </w:pPr>
            <w:r>
              <w:t>CRIS publication</w:t>
            </w:r>
          </w:p>
        </w:tc>
        <w:tc>
          <w:tcPr>
            <w:tcW w:w="2993" w:type="pct"/>
            <w:tcBorders>
              <w:top w:val="single" w:sz="4" w:space="0" w:color="auto"/>
              <w:bottom w:val="single" w:sz="4" w:space="0" w:color="auto"/>
            </w:tcBorders>
          </w:tcPr>
          <w:p w14:paraId="2B0A8888" w14:textId="7869021E" w:rsidR="00787C7C" w:rsidRPr="0029167F" w:rsidRDefault="00787C7C" w:rsidP="00472DBF">
            <w:pPr>
              <w:pStyle w:val="TableText"/>
            </w:pPr>
            <w:r>
              <w:t>Minister for Agriculture, Fisheries and Forestry and Minister for Finance</w:t>
            </w:r>
          </w:p>
        </w:tc>
      </w:tr>
    </w:tbl>
    <w:p w14:paraId="68EF345E" w14:textId="4EC21106" w:rsidR="0027689B" w:rsidRPr="00331509" w:rsidRDefault="0027689B" w:rsidP="00331509">
      <w:bookmarkStart w:id="130" w:name="_Appendix_A:_Description"/>
      <w:bookmarkStart w:id="131" w:name="_Appendix_A:_Summary"/>
      <w:bookmarkStart w:id="132" w:name="Title_A1"/>
      <w:bookmarkStart w:id="133" w:name="Title_A2"/>
      <w:bookmarkStart w:id="134" w:name="Title_A3"/>
      <w:bookmarkStart w:id="135" w:name="_Appendix_B:_Description"/>
      <w:bookmarkStart w:id="136" w:name="_Appendix_C:_Description"/>
      <w:bookmarkStart w:id="137" w:name="_Appendix_C:_Summary"/>
      <w:bookmarkStart w:id="138" w:name="_Appendix_D:_Government"/>
      <w:bookmarkEnd w:id="130"/>
      <w:bookmarkEnd w:id="131"/>
      <w:bookmarkEnd w:id="132"/>
      <w:bookmarkEnd w:id="133"/>
      <w:bookmarkEnd w:id="134"/>
      <w:bookmarkEnd w:id="135"/>
      <w:bookmarkEnd w:id="136"/>
      <w:bookmarkEnd w:id="137"/>
      <w:bookmarkEnd w:id="138"/>
    </w:p>
    <w:sectPr w:rsidR="0027689B" w:rsidRPr="00331509" w:rsidSect="000851B4">
      <w:pgSz w:w="11906" w:h="16838"/>
      <w:pgMar w:top="1361" w:right="1361" w:bottom="1361" w:left="1361"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C0BD" w14:textId="77777777" w:rsidR="00DE4CA4" w:rsidRDefault="00DE4CA4">
      <w:r>
        <w:separator/>
      </w:r>
    </w:p>
    <w:p w14:paraId="53D711D0" w14:textId="77777777" w:rsidR="00DE4CA4" w:rsidRDefault="00DE4CA4"/>
    <w:p w14:paraId="7CD33BD7" w14:textId="77777777" w:rsidR="00DE4CA4" w:rsidRDefault="00DE4CA4"/>
    <w:p w14:paraId="4EAB9ACB" w14:textId="77777777" w:rsidR="00DE4CA4" w:rsidRDefault="00DE4CA4"/>
  </w:endnote>
  <w:endnote w:type="continuationSeparator" w:id="0">
    <w:p w14:paraId="44222929" w14:textId="77777777" w:rsidR="00DE4CA4" w:rsidRDefault="00DE4CA4">
      <w:r>
        <w:continuationSeparator/>
      </w:r>
    </w:p>
    <w:p w14:paraId="6D91E647" w14:textId="77777777" w:rsidR="00DE4CA4" w:rsidRDefault="00DE4CA4"/>
    <w:p w14:paraId="113C3093" w14:textId="77777777" w:rsidR="00DE4CA4" w:rsidRDefault="00DE4CA4"/>
    <w:p w14:paraId="4D2037C4" w14:textId="77777777" w:rsidR="00DE4CA4" w:rsidRDefault="00DE4CA4"/>
  </w:endnote>
  <w:endnote w:type="continuationNotice" w:id="1">
    <w:p w14:paraId="1DEC79BB" w14:textId="77777777" w:rsidR="00DE4CA4" w:rsidRDefault="00DE4CA4">
      <w:pPr>
        <w:pStyle w:val="Footer"/>
      </w:pPr>
    </w:p>
    <w:p w14:paraId="1406BCE0" w14:textId="77777777" w:rsidR="00DE4CA4" w:rsidRDefault="00DE4CA4"/>
    <w:p w14:paraId="61888ADB" w14:textId="77777777" w:rsidR="00DE4CA4" w:rsidRDefault="00DE4CA4"/>
    <w:p w14:paraId="4E43D736" w14:textId="77777777" w:rsidR="00DE4CA4" w:rsidRDefault="00DE4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9C8C" w14:textId="53F6D28F" w:rsidR="008A6921" w:rsidRDefault="008A6921">
    <w:pPr>
      <w:pStyle w:val="Footer"/>
    </w:pPr>
    <w:r>
      <w:rPr>
        <w:noProof/>
      </w:rPr>
      <mc:AlternateContent>
        <mc:Choice Requires="wps">
          <w:drawing>
            <wp:anchor distT="0" distB="0" distL="0" distR="0" simplePos="0" relativeHeight="251658241" behindDoc="0" locked="0" layoutInCell="1" allowOverlap="1" wp14:anchorId="3EF89935" wp14:editId="41CB000A">
              <wp:simplePos x="635" y="635"/>
              <wp:positionH relativeFrom="page">
                <wp:align>center</wp:align>
              </wp:positionH>
              <wp:positionV relativeFrom="page">
                <wp:align>bottom</wp:align>
              </wp:positionV>
              <wp:extent cx="551815" cy="404495"/>
              <wp:effectExtent l="0" t="0" r="635" b="0"/>
              <wp:wrapNone/>
              <wp:docPr id="124546827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AEEE89F" w14:textId="2A5EE425" w:rsidR="008A6921" w:rsidRPr="008A6921" w:rsidRDefault="008A6921" w:rsidP="008A6921">
                          <w:pPr>
                            <w:spacing w:after="0"/>
                            <w:rPr>
                              <w:rFonts w:ascii="Calibri" w:eastAsia="Calibri" w:hAnsi="Calibri" w:cs="Calibri"/>
                              <w:noProof/>
                              <w:color w:val="FF0000"/>
                              <w:sz w:val="24"/>
                              <w:szCs w:val="24"/>
                            </w:rPr>
                          </w:pPr>
                          <w:r w:rsidRPr="008A692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EF89935">
              <v:stroke joinstyle="miter"/>
              <v:path gradientshapeok="t" o:connecttype="rect"/>
            </v:shapetype>
            <v:shape id="Text Box 5"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v:textbox style="mso-fit-shape-to-text:t" inset="0,0,0,15pt">
                <w:txbxContent>
                  <w:p w:rsidRPr="008A6921" w:rsidR="008A6921" w:rsidP="008A6921" w:rsidRDefault="008A6921" w14:paraId="2AEEE89F" w14:textId="2A5EE425">
                    <w:pPr>
                      <w:spacing w:after="0"/>
                      <w:rPr>
                        <w:rFonts w:ascii="Calibri" w:hAnsi="Calibri" w:eastAsia="Calibri" w:cs="Calibri"/>
                        <w:noProof/>
                        <w:color w:val="FF0000"/>
                        <w:sz w:val="24"/>
                        <w:szCs w:val="24"/>
                      </w:rPr>
                    </w:pPr>
                    <w:r w:rsidRPr="008A6921">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861D" w14:textId="1B21BD7C" w:rsidR="002B20D1" w:rsidRDefault="002B20D1">
    <w:pPr>
      <w:pStyle w:val="Footer"/>
    </w:pPr>
    <w:r>
      <w:t xml:space="preserve">Department of Agriculture, </w:t>
    </w:r>
    <w:r w:rsidR="00822E35">
      <w:t>Fisheries and Forestry</w:t>
    </w:r>
  </w:p>
  <w:p w14:paraId="64C0D9DA" w14:textId="0302695D" w:rsidR="002B20D1" w:rsidRDefault="002B20D1">
    <w:pPr>
      <w:pStyle w:val="Footer"/>
    </w:pPr>
    <w:r>
      <w:fldChar w:fldCharType="begin"/>
    </w:r>
    <w:r>
      <w:instrText xml:space="preserve"> PAGE   \* MERGEFORMAT </w:instrText>
    </w:r>
    <w:r>
      <w:fldChar w:fldCharType="separate"/>
    </w:r>
    <w:r w:rsidR="00F56F2A">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34739" w14:textId="77777777" w:rsidR="00DE4CA4" w:rsidRDefault="00DE4CA4">
      <w:r>
        <w:separator/>
      </w:r>
    </w:p>
    <w:p w14:paraId="16A05B15" w14:textId="77777777" w:rsidR="00DE4CA4" w:rsidRDefault="00DE4CA4"/>
    <w:p w14:paraId="20D2F465" w14:textId="77777777" w:rsidR="00DE4CA4" w:rsidRDefault="00DE4CA4"/>
    <w:p w14:paraId="57F69045" w14:textId="77777777" w:rsidR="00DE4CA4" w:rsidRDefault="00DE4CA4"/>
  </w:footnote>
  <w:footnote w:type="continuationSeparator" w:id="0">
    <w:p w14:paraId="6EC53D61" w14:textId="77777777" w:rsidR="00DE4CA4" w:rsidRDefault="00DE4CA4">
      <w:r>
        <w:continuationSeparator/>
      </w:r>
    </w:p>
    <w:p w14:paraId="1FD0A242" w14:textId="77777777" w:rsidR="00DE4CA4" w:rsidRDefault="00DE4CA4"/>
    <w:p w14:paraId="21ED86BC" w14:textId="77777777" w:rsidR="00DE4CA4" w:rsidRDefault="00DE4CA4"/>
    <w:p w14:paraId="30569C16" w14:textId="77777777" w:rsidR="00DE4CA4" w:rsidRDefault="00DE4CA4"/>
  </w:footnote>
  <w:footnote w:type="continuationNotice" w:id="1">
    <w:p w14:paraId="1BB80C74" w14:textId="77777777" w:rsidR="00DE4CA4" w:rsidRDefault="00DE4CA4">
      <w:pPr>
        <w:pStyle w:val="Footer"/>
      </w:pPr>
    </w:p>
    <w:p w14:paraId="7EC28731" w14:textId="77777777" w:rsidR="00DE4CA4" w:rsidRDefault="00DE4CA4"/>
    <w:p w14:paraId="07C966D4" w14:textId="77777777" w:rsidR="00DE4CA4" w:rsidRDefault="00DE4CA4"/>
    <w:p w14:paraId="547A8897" w14:textId="77777777" w:rsidR="00DE4CA4" w:rsidRDefault="00DE4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245F" w14:textId="71190774" w:rsidR="008A6921" w:rsidRDefault="008A6921">
    <w:pPr>
      <w:pStyle w:val="Header"/>
    </w:pPr>
    <w:r>
      <w:rPr>
        <w:noProof/>
      </w:rPr>
      <mc:AlternateContent>
        <mc:Choice Requires="wps">
          <w:drawing>
            <wp:anchor distT="0" distB="0" distL="0" distR="0" simplePos="0" relativeHeight="251658240" behindDoc="0" locked="0" layoutInCell="1" allowOverlap="1" wp14:anchorId="683FD5AA" wp14:editId="28047861">
              <wp:simplePos x="635" y="635"/>
              <wp:positionH relativeFrom="page">
                <wp:align>center</wp:align>
              </wp:positionH>
              <wp:positionV relativeFrom="page">
                <wp:align>top</wp:align>
              </wp:positionV>
              <wp:extent cx="551815" cy="404495"/>
              <wp:effectExtent l="0" t="0" r="635" b="14605"/>
              <wp:wrapNone/>
              <wp:docPr id="595374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750848" w14:textId="60CBB2E2" w:rsidR="008A6921" w:rsidRPr="008A6921" w:rsidRDefault="008A6921" w:rsidP="008A6921">
                          <w:pPr>
                            <w:spacing w:after="0"/>
                            <w:rPr>
                              <w:rFonts w:ascii="Calibri" w:eastAsia="Calibri" w:hAnsi="Calibri" w:cs="Calibri"/>
                              <w:noProof/>
                              <w:color w:val="FF0000"/>
                              <w:sz w:val="24"/>
                              <w:szCs w:val="24"/>
                            </w:rPr>
                          </w:pPr>
                          <w:r w:rsidRPr="008A692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83FD5AA">
              <v:stroke joinstyle="miter"/>
              <v:path gradientshapeok="t" o:connecttype="rect"/>
            </v:shapetype>
            <v:shape id="Text Box 2"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8A6921" w:rsidR="008A6921" w:rsidP="008A6921" w:rsidRDefault="008A6921" w14:paraId="6C750848" w14:textId="60CBB2E2">
                    <w:pPr>
                      <w:spacing w:after="0"/>
                      <w:rPr>
                        <w:rFonts w:ascii="Calibri" w:hAnsi="Calibri" w:eastAsia="Calibri" w:cs="Calibri"/>
                        <w:noProof/>
                        <w:color w:val="FF0000"/>
                        <w:sz w:val="24"/>
                        <w:szCs w:val="24"/>
                      </w:rPr>
                    </w:pPr>
                    <w:r w:rsidRPr="008A6921">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1EE7" w14:textId="0A2CB7A3" w:rsidR="002B20D1" w:rsidRPr="00617E1C" w:rsidRDefault="00617E1C" w:rsidP="00617E1C">
    <w:pPr>
      <w:pStyle w:val="Header"/>
    </w:pPr>
    <w:r w:rsidRPr="00617E1C">
      <w:t>Cost recovery implementation statement 2024–25: low-value goods imported under a self-assessed clearance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D9BC3" w14:textId="078153C4" w:rsidR="002B20D1" w:rsidRDefault="00E61981" w:rsidP="00617E1C">
    <w:pPr>
      <w:pStyle w:val="Header"/>
      <w:jc w:val="left"/>
    </w:pPr>
    <w:r>
      <w:rPr>
        <w:noProof/>
      </w:rPr>
      <w:drawing>
        <wp:anchor distT="0" distB="0" distL="114300" distR="114300" simplePos="0" relativeHeight="251658242" behindDoc="1" locked="0" layoutInCell="1" allowOverlap="1" wp14:anchorId="7A6FF57B" wp14:editId="7A175C7B">
          <wp:simplePos x="0" y="0"/>
          <wp:positionH relativeFrom="page">
            <wp:align>left</wp:align>
          </wp:positionH>
          <wp:positionV relativeFrom="paragraph">
            <wp:posOffset>-360680</wp:posOffset>
          </wp:positionV>
          <wp:extent cx="7566403" cy="10702800"/>
          <wp:effectExtent l="0" t="0" r="0" b="3810"/>
          <wp:wrapNone/>
          <wp:docPr id="216132604" name="Picture 216132604"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9bsI6ysc" int2:invalidationBookmarkName="" int2:hashCode="4K+HoIIDMwsPfN" int2:id="Bs7Yarp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973A32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9F42890"/>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E8A6AC3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94B8D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916E10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2244EE"/>
    <w:multiLevelType w:val="hybridMultilevel"/>
    <w:tmpl w:val="2E32A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5E2F35"/>
    <w:multiLevelType w:val="multilevel"/>
    <w:tmpl w:val="9340AC4C"/>
    <w:styleLink w:val="ListNumbers"/>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 w15:restartNumberingAfterBreak="0">
    <w:nsid w:val="10937C68"/>
    <w:multiLevelType w:val="hybridMultilevel"/>
    <w:tmpl w:val="EE40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0927E6"/>
    <w:multiLevelType w:val="hybridMultilevel"/>
    <w:tmpl w:val="CC06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E9350D"/>
    <w:multiLevelType w:val="singleLevel"/>
    <w:tmpl w:val="0C09000F"/>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9204C5F"/>
    <w:multiLevelType w:val="hybridMultilevel"/>
    <w:tmpl w:val="3BB60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32361"/>
    <w:multiLevelType w:val="hybridMultilevel"/>
    <w:tmpl w:val="0CAE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6" w15:restartNumberingAfterBreak="0">
    <w:nsid w:val="4B1244D6"/>
    <w:multiLevelType w:val="multilevel"/>
    <w:tmpl w:val="2000E040"/>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56C5B2A"/>
    <w:multiLevelType w:val="hybridMultilevel"/>
    <w:tmpl w:val="3E080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1" w15:restartNumberingAfterBreak="0">
    <w:nsid w:val="6FA14794"/>
    <w:multiLevelType w:val="multilevel"/>
    <w:tmpl w:val="9B627B72"/>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639963435">
    <w:abstractNumId w:val="15"/>
  </w:num>
  <w:num w:numId="2" w16cid:durableId="1127242259">
    <w:abstractNumId w:val="9"/>
  </w:num>
  <w:num w:numId="3" w16cid:durableId="970329253">
    <w:abstractNumId w:val="19"/>
  </w:num>
  <w:num w:numId="4" w16cid:durableId="991757944">
    <w:abstractNumId w:val="10"/>
  </w:num>
  <w:num w:numId="5" w16cid:durableId="143932049">
    <w:abstractNumId w:val="12"/>
  </w:num>
  <w:num w:numId="6" w16cid:durableId="1956865562">
    <w:abstractNumId w:val="6"/>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7610774">
    <w:abstractNumId w:val="18"/>
  </w:num>
  <w:num w:numId="8" w16cid:durableId="973873583">
    <w:abstractNumId w:val="8"/>
  </w:num>
  <w:num w:numId="9" w16cid:durableId="988362974">
    <w:abstractNumId w:val="17"/>
  </w:num>
  <w:num w:numId="10" w16cid:durableId="1461337505">
    <w:abstractNumId w:val="7"/>
  </w:num>
  <w:num w:numId="11" w16cid:durableId="1466923012">
    <w:abstractNumId w:val="5"/>
  </w:num>
  <w:num w:numId="12" w16cid:durableId="1414006494">
    <w:abstractNumId w:val="16"/>
  </w:num>
  <w:num w:numId="13" w16cid:durableId="2107995587">
    <w:abstractNumId w:val="12"/>
  </w:num>
  <w:num w:numId="14" w16cid:durableId="737050611">
    <w:abstractNumId w:val="12"/>
  </w:num>
  <w:num w:numId="15" w16cid:durableId="1871599453">
    <w:abstractNumId w:val="21"/>
  </w:num>
  <w:num w:numId="16" w16cid:durableId="1752123834">
    <w:abstractNumId w:val="12"/>
  </w:num>
  <w:num w:numId="17" w16cid:durableId="1942489834">
    <w:abstractNumId w:val="12"/>
  </w:num>
  <w:num w:numId="18" w16cid:durableId="1009793261">
    <w:abstractNumId w:val="12"/>
  </w:num>
  <w:num w:numId="19" w16cid:durableId="1087967517">
    <w:abstractNumId w:val="6"/>
  </w:num>
  <w:num w:numId="20" w16cid:durableId="277757910">
    <w:abstractNumId w:val="12"/>
  </w:num>
  <w:num w:numId="21" w16cid:durableId="1317143775">
    <w:abstractNumId w:val="19"/>
  </w:num>
  <w:num w:numId="22" w16cid:durableId="552472723">
    <w:abstractNumId w:val="19"/>
  </w:num>
  <w:num w:numId="23" w16cid:durableId="2095203403">
    <w:abstractNumId w:val="20"/>
  </w:num>
  <w:num w:numId="24" w16cid:durableId="1084451483">
    <w:abstractNumId w:val="20"/>
  </w:num>
  <w:num w:numId="25" w16cid:durableId="2081176280">
    <w:abstractNumId w:val="20"/>
  </w:num>
  <w:num w:numId="26" w16cid:durableId="570240572">
    <w:abstractNumId w:val="19"/>
  </w:num>
  <w:num w:numId="27" w16cid:durableId="1729183979">
    <w:abstractNumId w:val="19"/>
  </w:num>
  <w:num w:numId="28" w16cid:durableId="689526757">
    <w:abstractNumId w:val="20"/>
  </w:num>
  <w:num w:numId="29" w16cid:durableId="826752067">
    <w:abstractNumId w:val="20"/>
  </w:num>
  <w:num w:numId="30" w16cid:durableId="236793680">
    <w:abstractNumId w:val="20"/>
  </w:num>
  <w:num w:numId="31" w16cid:durableId="906067697">
    <w:abstractNumId w:val="19"/>
  </w:num>
  <w:num w:numId="32" w16cid:durableId="640230399">
    <w:abstractNumId w:val="19"/>
  </w:num>
  <w:num w:numId="33" w16cid:durableId="365299179">
    <w:abstractNumId w:val="19"/>
  </w:num>
  <w:num w:numId="34" w16cid:durableId="1113326243">
    <w:abstractNumId w:val="20"/>
  </w:num>
  <w:num w:numId="35" w16cid:durableId="1419251080">
    <w:abstractNumId w:val="20"/>
  </w:num>
  <w:num w:numId="36" w16cid:durableId="1786356">
    <w:abstractNumId w:val="19"/>
  </w:num>
  <w:num w:numId="37" w16cid:durableId="1589196882">
    <w:abstractNumId w:val="19"/>
  </w:num>
  <w:num w:numId="38" w16cid:durableId="1914008009">
    <w:abstractNumId w:val="19"/>
  </w:num>
  <w:num w:numId="39" w16cid:durableId="1818186381">
    <w:abstractNumId w:val="20"/>
  </w:num>
  <w:num w:numId="40" w16cid:durableId="587885158">
    <w:abstractNumId w:val="20"/>
  </w:num>
  <w:num w:numId="41" w16cid:durableId="521212052">
    <w:abstractNumId w:val="20"/>
  </w:num>
  <w:num w:numId="42" w16cid:durableId="565576647">
    <w:abstractNumId w:val="20"/>
  </w:num>
  <w:num w:numId="43" w16cid:durableId="445739549">
    <w:abstractNumId w:val="20"/>
  </w:num>
  <w:num w:numId="44" w16cid:durableId="1440098353">
    <w:abstractNumId w:val="20"/>
  </w:num>
  <w:num w:numId="45" w16cid:durableId="121467311">
    <w:abstractNumId w:val="20"/>
  </w:num>
  <w:num w:numId="46" w16cid:durableId="507674614">
    <w:abstractNumId w:val="20"/>
  </w:num>
  <w:num w:numId="47" w16cid:durableId="668605220">
    <w:abstractNumId w:val="2"/>
  </w:num>
  <w:num w:numId="48" w16cid:durableId="251284042">
    <w:abstractNumId w:val="19"/>
  </w:num>
  <w:num w:numId="49" w16cid:durableId="957565052">
    <w:abstractNumId w:val="19"/>
  </w:num>
  <w:num w:numId="50" w16cid:durableId="1830437597">
    <w:abstractNumId w:val="3"/>
  </w:num>
  <w:num w:numId="51" w16cid:durableId="1616868954">
    <w:abstractNumId w:val="20"/>
  </w:num>
  <w:num w:numId="52" w16cid:durableId="1396276826">
    <w:abstractNumId w:val="1"/>
  </w:num>
  <w:num w:numId="53" w16cid:durableId="852455273">
    <w:abstractNumId w:val="20"/>
  </w:num>
  <w:num w:numId="54" w16cid:durableId="780682563">
    <w:abstractNumId w:val="0"/>
  </w:num>
  <w:num w:numId="55" w16cid:durableId="1047336667">
    <w:abstractNumId w:val="20"/>
  </w:num>
  <w:num w:numId="56" w16cid:durableId="319426566">
    <w:abstractNumId w:val="19"/>
  </w:num>
  <w:num w:numId="57" w16cid:durableId="1677464707">
    <w:abstractNumId w:val="19"/>
  </w:num>
  <w:num w:numId="58" w16cid:durableId="592324039">
    <w:abstractNumId w:val="20"/>
  </w:num>
  <w:num w:numId="59" w16cid:durableId="23016782">
    <w:abstractNumId w:val="20"/>
  </w:num>
  <w:num w:numId="60" w16cid:durableId="661157629">
    <w:abstractNumId w:val="20"/>
  </w:num>
  <w:num w:numId="61" w16cid:durableId="576013482">
    <w:abstractNumId w:val="19"/>
  </w:num>
  <w:num w:numId="62" w16cid:durableId="1990673275">
    <w:abstractNumId w:val="19"/>
  </w:num>
  <w:num w:numId="63" w16cid:durableId="1965966083">
    <w:abstractNumId w:val="20"/>
  </w:num>
  <w:num w:numId="64" w16cid:durableId="46681763">
    <w:abstractNumId w:val="20"/>
  </w:num>
  <w:num w:numId="65" w16cid:durableId="218176242">
    <w:abstractNumId w:val="20"/>
  </w:num>
  <w:num w:numId="66" w16cid:durableId="615988548">
    <w:abstractNumId w:val="10"/>
    <w:lvlOverride w:ilvl="0">
      <w:lvl w:ilvl="0">
        <w:start w:val="1"/>
        <w:numFmt w:val="decimal"/>
        <w:pStyle w:val="Heading2"/>
        <w:lvlText w:val="%1"/>
        <w:lvlJc w:val="left"/>
        <w:pPr>
          <w:ind w:left="720" w:hanging="720"/>
        </w:pPr>
        <w:rPr>
          <w:color w:val="auto"/>
        </w:rPr>
      </w:lvl>
    </w:lvlOverride>
  </w:num>
  <w:num w:numId="67" w16cid:durableId="572131973">
    <w:abstractNumId w:val="10"/>
    <w:lvlOverride w:ilvl="0">
      <w:lvl w:ilvl="0">
        <w:start w:val="1"/>
        <w:numFmt w:val="decimal"/>
        <w:pStyle w:val="Heading2"/>
        <w:lvlText w:val="%1"/>
        <w:lvlJc w:val="left"/>
        <w:pPr>
          <w:ind w:left="720" w:hanging="720"/>
        </w:pPr>
        <w:rPr>
          <w:color w:val="auto"/>
        </w:rPr>
      </w:lvl>
    </w:lvlOverride>
  </w:num>
  <w:num w:numId="68" w16cid:durableId="1289120058">
    <w:abstractNumId w:val="10"/>
    <w:lvlOverride w:ilvl="0">
      <w:lvl w:ilvl="0">
        <w:start w:val="1"/>
        <w:numFmt w:val="decimal"/>
        <w:pStyle w:val="Heading2"/>
        <w:lvlText w:val="%1"/>
        <w:lvlJc w:val="left"/>
        <w:pPr>
          <w:ind w:left="720" w:hanging="720"/>
        </w:pPr>
        <w:rPr>
          <w:color w:val="auto"/>
        </w:rPr>
      </w:lvl>
    </w:lvlOverride>
    <w:lvlOverride w:ilvl="1">
      <w:lvl w:ilvl="1">
        <w:start w:val="1"/>
        <w:numFmt w:val="decimal"/>
        <w:pStyle w:val="Heading3"/>
        <w:lvlText w:val="%1.%2"/>
        <w:lvlJc w:val="left"/>
        <w:pPr>
          <w:ind w:left="964" w:hanging="964"/>
        </w:pPr>
        <w:rPr>
          <w:rFonts w:hint="default"/>
        </w:rPr>
      </w:lvl>
    </w:lvlOverride>
  </w:num>
  <w:num w:numId="69" w16cid:durableId="2027362154">
    <w:abstractNumId w:val="4"/>
  </w:num>
  <w:num w:numId="70" w16cid:durableId="1172600020">
    <w:abstractNumId w:val="13"/>
  </w:num>
  <w:num w:numId="71" w16cid:durableId="1999649543">
    <w:abstractNumId w:val="11"/>
  </w:num>
  <w:num w:numId="72" w16cid:durableId="898591752">
    <w:abstractNumId w:val="14"/>
  </w:num>
  <w:num w:numId="73" w16cid:durableId="595480119">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3B9"/>
    <w:rsid w:val="00000B90"/>
    <w:rsid w:val="0000236A"/>
    <w:rsid w:val="00002870"/>
    <w:rsid w:val="000037E4"/>
    <w:rsid w:val="00004731"/>
    <w:rsid w:val="00004753"/>
    <w:rsid w:val="00004C0F"/>
    <w:rsid w:val="00004D29"/>
    <w:rsid w:val="00004F92"/>
    <w:rsid w:val="0000593E"/>
    <w:rsid w:val="00005AD3"/>
    <w:rsid w:val="00010241"/>
    <w:rsid w:val="000104A6"/>
    <w:rsid w:val="000118D8"/>
    <w:rsid w:val="0001354B"/>
    <w:rsid w:val="0001385F"/>
    <w:rsid w:val="000139FD"/>
    <w:rsid w:val="00013FE7"/>
    <w:rsid w:val="00014045"/>
    <w:rsid w:val="00015786"/>
    <w:rsid w:val="000158DD"/>
    <w:rsid w:val="0001592A"/>
    <w:rsid w:val="00015E78"/>
    <w:rsid w:val="0001680C"/>
    <w:rsid w:val="0001730D"/>
    <w:rsid w:val="00017691"/>
    <w:rsid w:val="0001785A"/>
    <w:rsid w:val="000230F1"/>
    <w:rsid w:val="000232B7"/>
    <w:rsid w:val="00023303"/>
    <w:rsid w:val="00023470"/>
    <w:rsid w:val="0002360E"/>
    <w:rsid w:val="0002397D"/>
    <w:rsid w:val="00024674"/>
    <w:rsid w:val="000250BC"/>
    <w:rsid w:val="000306B3"/>
    <w:rsid w:val="000312CA"/>
    <w:rsid w:val="000313E2"/>
    <w:rsid w:val="00031633"/>
    <w:rsid w:val="00032090"/>
    <w:rsid w:val="0003328E"/>
    <w:rsid w:val="000332F2"/>
    <w:rsid w:val="000335F7"/>
    <w:rsid w:val="0003497D"/>
    <w:rsid w:val="00035CD6"/>
    <w:rsid w:val="00036B05"/>
    <w:rsid w:val="00036D79"/>
    <w:rsid w:val="00037316"/>
    <w:rsid w:val="00037322"/>
    <w:rsid w:val="00037773"/>
    <w:rsid w:val="00037A05"/>
    <w:rsid w:val="00040156"/>
    <w:rsid w:val="00040B23"/>
    <w:rsid w:val="00040C7C"/>
    <w:rsid w:val="00041037"/>
    <w:rsid w:val="0004114E"/>
    <w:rsid w:val="000418EE"/>
    <w:rsid w:val="00042B49"/>
    <w:rsid w:val="00043DC4"/>
    <w:rsid w:val="0004400A"/>
    <w:rsid w:val="00044AD8"/>
    <w:rsid w:val="00044C48"/>
    <w:rsid w:val="00045652"/>
    <w:rsid w:val="00045CB9"/>
    <w:rsid w:val="000506DC"/>
    <w:rsid w:val="00051F8E"/>
    <w:rsid w:val="000530AF"/>
    <w:rsid w:val="00053BA8"/>
    <w:rsid w:val="0005470F"/>
    <w:rsid w:val="000555D7"/>
    <w:rsid w:val="00056314"/>
    <w:rsid w:val="000567E2"/>
    <w:rsid w:val="00056AD4"/>
    <w:rsid w:val="0005749A"/>
    <w:rsid w:val="00057C2E"/>
    <w:rsid w:val="00060A88"/>
    <w:rsid w:val="00061505"/>
    <w:rsid w:val="000624A9"/>
    <w:rsid w:val="000628FE"/>
    <w:rsid w:val="00062AED"/>
    <w:rsid w:val="00062C29"/>
    <w:rsid w:val="00062DD3"/>
    <w:rsid w:val="000630F3"/>
    <w:rsid w:val="0006324E"/>
    <w:rsid w:val="00063450"/>
    <w:rsid w:val="00063D92"/>
    <w:rsid w:val="00063E05"/>
    <w:rsid w:val="000640B0"/>
    <w:rsid w:val="000642FE"/>
    <w:rsid w:val="00064582"/>
    <w:rsid w:val="00064ACB"/>
    <w:rsid w:val="0006541B"/>
    <w:rsid w:val="000659EE"/>
    <w:rsid w:val="00065D83"/>
    <w:rsid w:val="00065E08"/>
    <w:rsid w:val="000667E2"/>
    <w:rsid w:val="00066C8C"/>
    <w:rsid w:val="00066F93"/>
    <w:rsid w:val="00067EFA"/>
    <w:rsid w:val="00071130"/>
    <w:rsid w:val="00071FCF"/>
    <w:rsid w:val="00072DEC"/>
    <w:rsid w:val="00074A01"/>
    <w:rsid w:val="0007537D"/>
    <w:rsid w:val="00075AA9"/>
    <w:rsid w:val="00075D75"/>
    <w:rsid w:val="00076294"/>
    <w:rsid w:val="00076C6A"/>
    <w:rsid w:val="00077972"/>
    <w:rsid w:val="00077ADC"/>
    <w:rsid w:val="00077C39"/>
    <w:rsid w:val="00077ED4"/>
    <w:rsid w:val="000815BD"/>
    <w:rsid w:val="000816C2"/>
    <w:rsid w:val="000825F3"/>
    <w:rsid w:val="00082DBF"/>
    <w:rsid w:val="00083B62"/>
    <w:rsid w:val="00083B79"/>
    <w:rsid w:val="00083F10"/>
    <w:rsid w:val="000851B4"/>
    <w:rsid w:val="00085A44"/>
    <w:rsid w:val="00085A4B"/>
    <w:rsid w:val="00086A39"/>
    <w:rsid w:val="00087371"/>
    <w:rsid w:val="0008749E"/>
    <w:rsid w:val="00090438"/>
    <w:rsid w:val="000906A4"/>
    <w:rsid w:val="0009084A"/>
    <w:rsid w:val="000908D7"/>
    <w:rsid w:val="00090B7A"/>
    <w:rsid w:val="00091473"/>
    <w:rsid w:val="00091B92"/>
    <w:rsid w:val="00091F16"/>
    <w:rsid w:val="00093713"/>
    <w:rsid w:val="00094296"/>
    <w:rsid w:val="00094E30"/>
    <w:rsid w:val="00095251"/>
    <w:rsid w:val="0009578F"/>
    <w:rsid w:val="00095C19"/>
    <w:rsid w:val="00096438"/>
    <w:rsid w:val="00096E93"/>
    <w:rsid w:val="00097FA8"/>
    <w:rsid w:val="000A0A93"/>
    <w:rsid w:val="000A1666"/>
    <w:rsid w:val="000A1914"/>
    <w:rsid w:val="000A1A5C"/>
    <w:rsid w:val="000A1D9D"/>
    <w:rsid w:val="000A2472"/>
    <w:rsid w:val="000A2D68"/>
    <w:rsid w:val="000A3261"/>
    <w:rsid w:val="000A34C2"/>
    <w:rsid w:val="000A34DC"/>
    <w:rsid w:val="000A3FD4"/>
    <w:rsid w:val="000A4CE3"/>
    <w:rsid w:val="000A5761"/>
    <w:rsid w:val="000A6874"/>
    <w:rsid w:val="000A6F41"/>
    <w:rsid w:val="000A790A"/>
    <w:rsid w:val="000A7AAF"/>
    <w:rsid w:val="000A7F3C"/>
    <w:rsid w:val="000A7F77"/>
    <w:rsid w:val="000B05F6"/>
    <w:rsid w:val="000B0700"/>
    <w:rsid w:val="000B1048"/>
    <w:rsid w:val="000B128E"/>
    <w:rsid w:val="000B2120"/>
    <w:rsid w:val="000B43E3"/>
    <w:rsid w:val="000B4AF9"/>
    <w:rsid w:val="000B535C"/>
    <w:rsid w:val="000B5A4A"/>
    <w:rsid w:val="000B5F7B"/>
    <w:rsid w:val="000B6317"/>
    <w:rsid w:val="000B6404"/>
    <w:rsid w:val="000B69E2"/>
    <w:rsid w:val="000B6EB5"/>
    <w:rsid w:val="000B6ECE"/>
    <w:rsid w:val="000B7EDE"/>
    <w:rsid w:val="000C031C"/>
    <w:rsid w:val="000C088C"/>
    <w:rsid w:val="000C1465"/>
    <w:rsid w:val="000C154C"/>
    <w:rsid w:val="000C1B08"/>
    <w:rsid w:val="000C2A90"/>
    <w:rsid w:val="000C2CB8"/>
    <w:rsid w:val="000C2CBC"/>
    <w:rsid w:val="000C3D58"/>
    <w:rsid w:val="000C727F"/>
    <w:rsid w:val="000C74A2"/>
    <w:rsid w:val="000C7748"/>
    <w:rsid w:val="000D070B"/>
    <w:rsid w:val="000D0E77"/>
    <w:rsid w:val="000D12D8"/>
    <w:rsid w:val="000D1681"/>
    <w:rsid w:val="000D1E0B"/>
    <w:rsid w:val="000D2667"/>
    <w:rsid w:val="000D31BC"/>
    <w:rsid w:val="000D32B1"/>
    <w:rsid w:val="000D3EF6"/>
    <w:rsid w:val="000D449C"/>
    <w:rsid w:val="000D4762"/>
    <w:rsid w:val="000D50D3"/>
    <w:rsid w:val="000D65A8"/>
    <w:rsid w:val="000D6C30"/>
    <w:rsid w:val="000D757C"/>
    <w:rsid w:val="000D79BF"/>
    <w:rsid w:val="000E07A5"/>
    <w:rsid w:val="000E1256"/>
    <w:rsid w:val="000E133E"/>
    <w:rsid w:val="000E1D47"/>
    <w:rsid w:val="000E22BA"/>
    <w:rsid w:val="000E243D"/>
    <w:rsid w:val="000E2A71"/>
    <w:rsid w:val="000E3372"/>
    <w:rsid w:val="000E4A56"/>
    <w:rsid w:val="000E5412"/>
    <w:rsid w:val="000E7FDA"/>
    <w:rsid w:val="000F02EB"/>
    <w:rsid w:val="000F0623"/>
    <w:rsid w:val="000F112F"/>
    <w:rsid w:val="000F166E"/>
    <w:rsid w:val="000F19B6"/>
    <w:rsid w:val="000F1CBE"/>
    <w:rsid w:val="000F40F9"/>
    <w:rsid w:val="000F65EF"/>
    <w:rsid w:val="000F6A7F"/>
    <w:rsid w:val="000F6E75"/>
    <w:rsid w:val="00100794"/>
    <w:rsid w:val="00100B87"/>
    <w:rsid w:val="00100DE4"/>
    <w:rsid w:val="00101B0B"/>
    <w:rsid w:val="00101D1A"/>
    <w:rsid w:val="00101D96"/>
    <w:rsid w:val="00102EF9"/>
    <w:rsid w:val="001046E5"/>
    <w:rsid w:val="00104BD3"/>
    <w:rsid w:val="00105223"/>
    <w:rsid w:val="00107CAA"/>
    <w:rsid w:val="001113D5"/>
    <w:rsid w:val="00111D3B"/>
    <w:rsid w:val="00112FDB"/>
    <w:rsid w:val="00114019"/>
    <w:rsid w:val="001148A9"/>
    <w:rsid w:val="001150A3"/>
    <w:rsid w:val="00115294"/>
    <w:rsid w:val="00115A90"/>
    <w:rsid w:val="00115D06"/>
    <w:rsid w:val="00115E9B"/>
    <w:rsid w:val="00115F38"/>
    <w:rsid w:val="001177C9"/>
    <w:rsid w:val="00117ED7"/>
    <w:rsid w:val="00120BD4"/>
    <w:rsid w:val="00122600"/>
    <w:rsid w:val="001237B9"/>
    <w:rsid w:val="00123F10"/>
    <w:rsid w:val="001244D4"/>
    <w:rsid w:val="00124CC4"/>
    <w:rsid w:val="001263D3"/>
    <w:rsid w:val="001265DA"/>
    <w:rsid w:val="00127B33"/>
    <w:rsid w:val="00130058"/>
    <w:rsid w:val="00134B12"/>
    <w:rsid w:val="001351F2"/>
    <w:rsid w:val="001358BD"/>
    <w:rsid w:val="00135B5E"/>
    <w:rsid w:val="00136720"/>
    <w:rsid w:val="00137D86"/>
    <w:rsid w:val="00137F8A"/>
    <w:rsid w:val="00140374"/>
    <w:rsid w:val="00141E05"/>
    <w:rsid w:val="00142A73"/>
    <w:rsid w:val="00143348"/>
    <w:rsid w:val="00143374"/>
    <w:rsid w:val="00143777"/>
    <w:rsid w:val="00143997"/>
    <w:rsid w:val="00145A5F"/>
    <w:rsid w:val="00145C9A"/>
    <w:rsid w:val="00145D3A"/>
    <w:rsid w:val="00146E6A"/>
    <w:rsid w:val="0014788F"/>
    <w:rsid w:val="00147BDE"/>
    <w:rsid w:val="00147DC2"/>
    <w:rsid w:val="00147DE0"/>
    <w:rsid w:val="00150047"/>
    <w:rsid w:val="00150794"/>
    <w:rsid w:val="00150B47"/>
    <w:rsid w:val="00150ECB"/>
    <w:rsid w:val="00151E25"/>
    <w:rsid w:val="00151FB0"/>
    <w:rsid w:val="00152DFA"/>
    <w:rsid w:val="00152E46"/>
    <w:rsid w:val="00153470"/>
    <w:rsid w:val="00154127"/>
    <w:rsid w:val="0015435F"/>
    <w:rsid w:val="00155500"/>
    <w:rsid w:val="001561AA"/>
    <w:rsid w:val="00157211"/>
    <w:rsid w:val="001600E3"/>
    <w:rsid w:val="00160638"/>
    <w:rsid w:val="00161A85"/>
    <w:rsid w:val="00162710"/>
    <w:rsid w:val="00162F19"/>
    <w:rsid w:val="0016394D"/>
    <w:rsid w:val="00164048"/>
    <w:rsid w:val="001649C0"/>
    <w:rsid w:val="001650C2"/>
    <w:rsid w:val="00165300"/>
    <w:rsid w:val="00165563"/>
    <w:rsid w:val="00165A3F"/>
    <w:rsid w:val="00165C97"/>
    <w:rsid w:val="00166556"/>
    <w:rsid w:val="001670BC"/>
    <w:rsid w:val="001675E8"/>
    <w:rsid w:val="00170482"/>
    <w:rsid w:val="00170E99"/>
    <w:rsid w:val="001726A4"/>
    <w:rsid w:val="001730AB"/>
    <w:rsid w:val="001736BB"/>
    <w:rsid w:val="00173E71"/>
    <w:rsid w:val="00174937"/>
    <w:rsid w:val="001765CE"/>
    <w:rsid w:val="0017699C"/>
    <w:rsid w:val="001778F9"/>
    <w:rsid w:val="00177F9E"/>
    <w:rsid w:val="0018100E"/>
    <w:rsid w:val="00181551"/>
    <w:rsid w:val="00182D83"/>
    <w:rsid w:val="0018346C"/>
    <w:rsid w:val="001837DF"/>
    <w:rsid w:val="001838E2"/>
    <w:rsid w:val="00183E53"/>
    <w:rsid w:val="00183FB3"/>
    <w:rsid w:val="001842D7"/>
    <w:rsid w:val="0018461D"/>
    <w:rsid w:val="00184B3A"/>
    <w:rsid w:val="00185608"/>
    <w:rsid w:val="0018562E"/>
    <w:rsid w:val="00186383"/>
    <w:rsid w:val="001869FF"/>
    <w:rsid w:val="0018765C"/>
    <w:rsid w:val="00187940"/>
    <w:rsid w:val="0019015B"/>
    <w:rsid w:val="00191415"/>
    <w:rsid w:val="001918DA"/>
    <w:rsid w:val="00191BE1"/>
    <w:rsid w:val="00192675"/>
    <w:rsid w:val="001926AB"/>
    <w:rsid w:val="00193B3F"/>
    <w:rsid w:val="0019471B"/>
    <w:rsid w:val="001962A1"/>
    <w:rsid w:val="00197AF0"/>
    <w:rsid w:val="001A0368"/>
    <w:rsid w:val="001A0CA1"/>
    <w:rsid w:val="001A0F6F"/>
    <w:rsid w:val="001A1886"/>
    <w:rsid w:val="001A196E"/>
    <w:rsid w:val="001A1996"/>
    <w:rsid w:val="001A2290"/>
    <w:rsid w:val="001A37AC"/>
    <w:rsid w:val="001A37E3"/>
    <w:rsid w:val="001A3818"/>
    <w:rsid w:val="001A4221"/>
    <w:rsid w:val="001A4745"/>
    <w:rsid w:val="001A4973"/>
    <w:rsid w:val="001A4F52"/>
    <w:rsid w:val="001A4F54"/>
    <w:rsid w:val="001A4FF4"/>
    <w:rsid w:val="001A51F7"/>
    <w:rsid w:val="001A53DF"/>
    <w:rsid w:val="001A54C2"/>
    <w:rsid w:val="001A5920"/>
    <w:rsid w:val="001A5D1B"/>
    <w:rsid w:val="001A61F9"/>
    <w:rsid w:val="001A666A"/>
    <w:rsid w:val="001A688C"/>
    <w:rsid w:val="001A6F91"/>
    <w:rsid w:val="001A7B83"/>
    <w:rsid w:val="001B040B"/>
    <w:rsid w:val="001B115E"/>
    <w:rsid w:val="001B1340"/>
    <w:rsid w:val="001B1737"/>
    <w:rsid w:val="001B18A8"/>
    <w:rsid w:val="001B25D3"/>
    <w:rsid w:val="001B2ED4"/>
    <w:rsid w:val="001B3961"/>
    <w:rsid w:val="001B3F17"/>
    <w:rsid w:val="001B4C8C"/>
    <w:rsid w:val="001B53AD"/>
    <w:rsid w:val="001B56FF"/>
    <w:rsid w:val="001B6EE9"/>
    <w:rsid w:val="001B70D6"/>
    <w:rsid w:val="001B7290"/>
    <w:rsid w:val="001B780C"/>
    <w:rsid w:val="001C0C66"/>
    <w:rsid w:val="001C1186"/>
    <w:rsid w:val="001C15D3"/>
    <w:rsid w:val="001C160A"/>
    <w:rsid w:val="001C1A26"/>
    <w:rsid w:val="001C2232"/>
    <w:rsid w:val="001C3090"/>
    <w:rsid w:val="001C38FE"/>
    <w:rsid w:val="001C4085"/>
    <w:rsid w:val="001C5162"/>
    <w:rsid w:val="001C52D3"/>
    <w:rsid w:val="001C569F"/>
    <w:rsid w:val="001C6014"/>
    <w:rsid w:val="001C687F"/>
    <w:rsid w:val="001C6974"/>
    <w:rsid w:val="001C70A2"/>
    <w:rsid w:val="001C70FD"/>
    <w:rsid w:val="001C7E4B"/>
    <w:rsid w:val="001D258A"/>
    <w:rsid w:val="001D2B22"/>
    <w:rsid w:val="001D2CDF"/>
    <w:rsid w:val="001D35F2"/>
    <w:rsid w:val="001D6066"/>
    <w:rsid w:val="001D66DC"/>
    <w:rsid w:val="001D6CE0"/>
    <w:rsid w:val="001D7C78"/>
    <w:rsid w:val="001E0728"/>
    <w:rsid w:val="001E07E9"/>
    <w:rsid w:val="001E0BB7"/>
    <w:rsid w:val="001E10E6"/>
    <w:rsid w:val="001E1C68"/>
    <w:rsid w:val="001E2096"/>
    <w:rsid w:val="001E262F"/>
    <w:rsid w:val="001E2F0E"/>
    <w:rsid w:val="001E370E"/>
    <w:rsid w:val="001E37F7"/>
    <w:rsid w:val="001E3FCE"/>
    <w:rsid w:val="001E4C43"/>
    <w:rsid w:val="001E502B"/>
    <w:rsid w:val="001F0312"/>
    <w:rsid w:val="001F087B"/>
    <w:rsid w:val="001F0D0A"/>
    <w:rsid w:val="001F127A"/>
    <w:rsid w:val="001F13EE"/>
    <w:rsid w:val="001F1D2C"/>
    <w:rsid w:val="001F2AA1"/>
    <w:rsid w:val="001F2B0E"/>
    <w:rsid w:val="001F2C47"/>
    <w:rsid w:val="001F2F65"/>
    <w:rsid w:val="001F3F1C"/>
    <w:rsid w:val="001F4792"/>
    <w:rsid w:val="001F4CE1"/>
    <w:rsid w:val="001F591F"/>
    <w:rsid w:val="001F5A36"/>
    <w:rsid w:val="001F692A"/>
    <w:rsid w:val="001F6BA8"/>
    <w:rsid w:val="001F6DBC"/>
    <w:rsid w:val="001F7498"/>
    <w:rsid w:val="001F773C"/>
    <w:rsid w:val="002000D3"/>
    <w:rsid w:val="00200670"/>
    <w:rsid w:val="00200F69"/>
    <w:rsid w:val="00201ADD"/>
    <w:rsid w:val="002055CB"/>
    <w:rsid w:val="00205FB7"/>
    <w:rsid w:val="0020770B"/>
    <w:rsid w:val="00210A5F"/>
    <w:rsid w:val="00211396"/>
    <w:rsid w:val="0021143E"/>
    <w:rsid w:val="00212286"/>
    <w:rsid w:val="0021255F"/>
    <w:rsid w:val="00212CDC"/>
    <w:rsid w:val="002130FF"/>
    <w:rsid w:val="00214BD8"/>
    <w:rsid w:val="00214C95"/>
    <w:rsid w:val="00215112"/>
    <w:rsid w:val="00215A78"/>
    <w:rsid w:val="00215B4D"/>
    <w:rsid w:val="00215CAE"/>
    <w:rsid w:val="00215F54"/>
    <w:rsid w:val="00216802"/>
    <w:rsid w:val="002170AA"/>
    <w:rsid w:val="002177BC"/>
    <w:rsid w:val="0021789C"/>
    <w:rsid w:val="00221CB7"/>
    <w:rsid w:val="00222137"/>
    <w:rsid w:val="002241C3"/>
    <w:rsid w:val="00224527"/>
    <w:rsid w:val="00224DA4"/>
    <w:rsid w:val="00225255"/>
    <w:rsid w:val="002260DA"/>
    <w:rsid w:val="002260DF"/>
    <w:rsid w:val="00226F30"/>
    <w:rsid w:val="00227515"/>
    <w:rsid w:val="00227CD6"/>
    <w:rsid w:val="0023020A"/>
    <w:rsid w:val="002310F2"/>
    <w:rsid w:val="00231D09"/>
    <w:rsid w:val="00232891"/>
    <w:rsid w:val="00232939"/>
    <w:rsid w:val="00233955"/>
    <w:rsid w:val="00234AC3"/>
    <w:rsid w:val="00235212"/>
    <w:rsid w:val="00235877"/>
    <w:rsid w:val="00236265"/>
    <w:rsid w:val="00236B0D"/>
    <w:rsid w:val="00236B4D"/>
    <w:rsid w:val="00237BB0"/>
    <w:rsid w:val="0024008A"/>
    <w:rsid w:val="002408EF"/>
    <w:rsid w:val="00240F4B"/>
    <w:rsid w:val="002425BC"/>
    <w:rsid w:val="00242BF2"/>
    <w:rsid w:val="00243228"/>
    <w:rsid w:val="002436F7"/>
    <w:rsid w:val="00243C07"/>
    <w:rsid w:val="00243D20"/>
    <w:rsid w:val="0024400D"/>
    <w:rsid w:val="002441E4"/>
    <w:rsid w:val="0024449E"/>
    <w:rsid w:val="0024460C"/>
    <w:rsid w:val="002449DC"/>
    <w:rsid w:val="00244DC0"/>
    <w:rsid w:val="002460F0"/>
    <w:rsid w:val="002466D9"/>
    <w:rsid w:val="00246F2A"/>
    <w:rsid w:val="00246F34"/>
    <w:rsid w:val="00246FCE"/>
    <w:rsid w:val="0024710A"/>
    <w:rsid w:val="0024731E"/>
    <w:rsid w:val="00247E23"/>
    <w:rsid w:val="002506F8"/>
    <w:rsid w:val="0025098B"/>
    <w:rsid w:val="002509EB"/>
    <w:rsid w:val="00250D53"/>
    <w:rsid w:val="00250F83"/>
    <w:rsid w:val="00252191"/>
    <w:rsid w:val="002539F2"/>
    <w:rsid w:val="00253F1B"/>
    <w:rsid w:val="002548B1"/>
    <w:rsid w:val="00254E5A"/>
    <w:rsid w:val="002555B3"/>
    <w:rsid w:val="00255F6E"/>
    <w:rsid w:val="00255FD3"/>
    <w:rsid w:val="002564C1"/>
    <w:rsid w:val="0025656F"/>
    <w:rsid w:val="00256D92"/>
    <w:rsid w:val="00257E62"/>
    <w:rsid w:val="00257ED0"/>
    <w:rsid w:val="00257EEC"/>
    <w:rsid w:val="00260985"/>
    <w:rsid w:val="00260D75"/>
    <w:rsid w:val="00260F65"/>
    <w:rsid w:val="00261B58"/>
    <w:rsid w:val="00262E55"/>
    <w:rsid w:val="0026309F"/>
    <w:rsid w:val="00263D2F"/>
    <w:rsid w:val="00264617"/>
    <w:rsid w:val="00264DC1"/>
    <w:rsid w:val="00267D8F"/>
    <w:rsid w:val="002702C3"/>
    <w:rsid w:val="002717C5"/>
    <w:rsid w:val="00272192"/>
    <w:rsid w:val="0027228F"/>
    <w:rsid w:val="002725DF"/>
    <w:rsid w:val="0027273B"/>
    <w:rsid w:val="00273520"/>
    <w:rsid w:val="00273942"/>
    <w:rsid w:val="00273B33"/>
    <w:rsid w:val="00274CA4"/>
    <w:rsid w:val="0027689B"/>
    <w:rsid w:val="00280737"/>
    <w:rsid w:val="00281BB6"/>
    <w:rsid w:val="00281E8A"/>
    <w:rsid w:val="002825EF"/>
    <w:rsid w:val="00282BF7"/>
    <w:rsid w:val="00283565"/>
    <w:rsid w:val="002836F8"/>
    <w:rsid w:val="00284D14"/>
    <w:rsid w:val="00285444"/>
    <w:rsid w:val="00286307"/>
    <w:rsid w:val="00286A51"/>
    <w:rsid w:val="00286DDA"/>
    <w:rsid w:val="00290CC8"/>
    <w:rsid w:val="00290E73"/>
    <w:rsid w:val="00291591"/>
    <w:rsid w:val="0029167F"/>
    <w:rsid w:val="00292D83"/>
    <w:rsid w:val="00292FFB"/>
    <w:rsid w:val="00293473"/>
    <w:rsid w:val="002934B3"/>
    <w:rsid w:val="002938C2"/>
    <w:rsid w:val="00294241"/>
    <w:rsid w:val="00294576"/>
    <w:rsid w:val="00294800"/>
    <w:rsid w:val="00294BA3"/>
    <w:rsid w:val="00294BD5"/>
    <w:rsid w:val="002955D8"/>
    <w:rsid w:val="00297646"/>
    <w:rsid w:val="002979A4"/>
    <w:rsid w:val="00297B05"/>
    <w:rsid w:val="00297F67"/>
    <w:rsid w:val="002A047C"/>
    <w:rsid w:val="002A0DB6"/>
    <w:rsid w:val="002A1713"/>
    <w:rsid w:val="002A177F"/>
    <w:rsid w:val="002A183C"/>
    <w:rsid w:val="002A20EF"/>
    <w:rsid w:val="002A2553"/>
    <w:rsid w:val="002A2585"/>
    <w:rsid w:val="002A3681"/>
    <w:rsid w:val="002A4104"/>
    <w:rsid w:val="002A4541"/>
    <w:rsid w:val="002A4A20"/>
    <w:rsid w:val="002A6A90"/>
    <w:rsid w:val="002A6CB2"/>
    <w:rsid w:val="002A7AA9"/>
    <w:rsid w:val="002B02E0"/>
    <w:rsid w:val="002B167F"/>
    <w:rsid w:val="002B1B3E"/>
    <w:rsid w:val="002B20D1"/>
    <w:rsid w:val="002B2114"/>
    <w:rsid w:val="002B303A"/>
    <w:rsid w:val="002B32A7"/>
    <w:rsid w:val="002B3BA5"/>
    <w:rsid w:val="002B4469"/>
    <w:rsid w:val="002B49DD"/>
    <w:rsid w:val="002B49EB"/>
    <w:rsid w:val="002B4C87"/>
    <w:rsid w:val="002B5123"/>
    <w:rsid w:val="002B5EF0"/>
    <w:rsid w:val="002B6277"/>
    <w:rsid w:val="002B764A"/>
    <w:rsid w:val="002B774B"/>
    <w:rsid w:val="002B77BA"/>
    <w:rsid w:val="002B7D3B"/>
    <w:rsid w:val="002B7EFB"/>
    <w:rsid w:val="002C0516"/>
    <w:rsid w:val="002C0714"/>
    <w:rsid w:val="002C147B"/>
    <w:rsid w:val="002C2490"/>
    <w:rsid w:val="002C3063"/>
    <w:rsid w:val="002C34E8"/>
    <w:rsid w:val="002C37BA"/>
    <w:rsid w:val="002C3C00"/>
    <w:rsid w:val="002C3C41"/>
    <w:rsid w:val="002C4A51"/>
    <w:rsid w:val="002C4CA4"/>
    <w:rsid w:val="002C53B5"/>
    <w:rsid w:val="002C56F0"/>
    <w:rsid w:val="002C7B0A"/>
    <w:rsid w:val="002D0AFE"/>
    <w:rsid w:val="002D171A"/>
    <w:rsid w:val="002D1773"/>
    <w:rsid w:val="002D21EA"/>
    <w:rsid w:val="002D2471"/>
    <w:rsid w:val="002D3E7C"/>
    <w:rsid w:val="002D4000"/>
    <w:rsid w:val="002D4D24"/>
    <w:rsid w:val="002D5398"/>
    <w:rsid w:val="002D59BC"/>
    <w:rsid w:val="002D5A55"/>
    <w:rsid w:val="002D5DB7"/>
    <w:rsid w:val="002D7086"/>
    <w:rsid w:val="002D7240"/>
    <w:rsid w:val="002D7325"/>
    <w:rsid w:val="002D7CE4"/>
    <w:rsid w:val="002E03DA"/>
    <w:rsid w:val="002E0563"/>
    <w:rsid w:val="002E0915"/>
    <w:rsid w:val="002E1A1C"/>
    <w:rsid w:val="002E45DE"/>
    <w:rsid w:val="002E6363"/>
    <w:rsid w:val="002E666D"/>
    <w:rsid w:val="002E67B0"/>
    <w:rsid w:val="002E6CA6"/>
    <w:rsid w:val="002E7F61"/>
    <w:rsid w:val="002F0352"/>
    <w:rsid w:val="002F1410"/>
    <w:rsid w:val="002F1A51"/>
    <w:rsid w:val="002F1FD8"/>
    <w:rsid w:val="002F2374"/>
    <w:rsid w:val="002F3533"/>
    <w:rsid w:val="002F40CE"/>
    <w:rsid w:val="002F6864"/>
    <w:rsid w:val="002F6F15"/>
    <w:rsid w:val="002F76F1"/>
    <w:rsid w:val="003002C8"/>
    <w:rsid w:val="00302238"/>
    <w:rsid w:val="003022BE"/>
    <w:rsid w:val="003024BD"/>
    <w:rsid w:val="00302BA2"/>
    <w:rsid w:val="0030517F"/>
    <w:rsid w:val="003056B9"/>
    <w:rsid w:val="0030591E"/>
    <w:rsid w:val="00305998"/>
    <w:rsid w:val="00305A2E"/>
    <w:rsid w:val="00306486"/>
    <w:rsid w:val="003065F9"/>
    <w:rsid w:val="00306C0D"/>
    <w:rsid w:val="00307922"/>
    <w:rsid w:val="00311647"/>
    <w:rsid w:val="00312E76"/>
    <w:rsid w:val="00313AFE"/>
    <w:rsid w:val="00313BB0"/>
    <w:rsid w:val="00313C3E"/>
    <w:rsid w:val="00313DBF"/>
    <w:rsid w:val="003148C8"/>
    <w:rsid w:val="00314901"/>
    <w:rsid w:val="003149F9"/>
    <w:rsid w:val="00314E01"/>
    <w:rsid w:val="0031675A"/>
    <w:rsid w:val="00320650"/>
    <w:rsid w:val="003207DE"/>
    <w:rsid w:val="0032085E"/>
    <w:rsid w:val="00320925"/>
    <w:rsid w:val="00321A10"/>
    <w:rsid w:val="003223FE"/>
    <w:rsid w:val="00322F03"/>
    <w:rsid w:val="00323FA7"/>
    <w:rsid w:val="00324C0E"/>
    <w:rsid w:val="00324DDA"/>
    <w:rsid w:val="00325120"/>
    <w:rsid w:val="00325200"/>
    <w:rsid w:val="0032571D"/>
    <w:rsid w:val="0032692E"/>
    <w:rsid w:val="00326974"/>
    <w:rsid w:val="00327228"/>
    <w:rsid w:val="00327494"/>
    <w:rsid w:val="003278CB"/>
    <w:rsid w:val="00331509"/>
    <w:rsid w:val="00333C59"/>
    <w:rsid w:val="0033428F"/>
    <w:rsid w:val="00334381"/>
    <w:rsid w:val="003345EC"/>
    <w:rsid w:val="00334A43"/>
    <w:rsid w:val="003363DE"/>
    <w:rsid w:val="00337198"/>
    <w:rsid w:val="003372FB"/>
    <w:rsid w:val="00337715"/>
    <w:rsid w:val="0033792D"/>
    <w:rsid w:val="00340706"/>
    <w:rsid w:val="00340C15"/>
    <w:rsid w:val="0034109F"/>
    <w:rsid w:val="0034246B"/>
    <w:rsid w:val="00342AC0"/>
    <w:rsid w:val="00343F20"/>
    <w:rsid w:val="0034408C"/>
    <w:rsid w:val="00344E0D"/>
    <w:rsid w:val="00344E85"/>
    <w:rsid w:val="00345A39"/>
    <w:rsid w:val="00345FC6"/>
    <w:rsid w:val="003462D6"/>
    <w:rsid w:val="003466F3"/>
    <w:rsid w:val="003474DB"/>
    <w:rsid w:val="003476C1"/>
    <w:rsid w:val="0034799D"/>
    <w:rsid w:val="0035012D"/>
    <w:rsid w:val="003502FE"/>
    <w:rsid w:val="0035076E"/>
    <w:rsid w:val="00350CF1"/>
    <w:rsid w:val="00352D63"/>
    <w:rsid w:val="003542E9"/>
    <w:rsid w:val="003550F5"/>
    <w:rsid w:val="00355193"/>
    <w:rsid w:val="00355A77"/>
    <w:rsid w:val="00355F5A"/>
    <w:rsid w:val="003562BF"/>
    <w:rsid w:val="003562FE"/>
    <w:rsid w:val="003563EB"/>
    <w:rsid w:val="00357617"/>
    <w:rsid w:val="003576ED"/>
    <w:rsid w:val="00357C26"/>
    <w:rsid w:val="00360743"/>
    <w:rsid w:val="00361855"/>
    <w:rsid w:val="003623A3"/>
    <w:rsid w:val="003627DA"/>
    <w:rsid w:val="00362834"/>
    <w:rsid w:val="00362BD5"/>
    <w:rsid w:val="0036359A"/>
    <w:rsid w:val="003635DB"/>
    <w:rsid w:val="0036373E"/>
    <w:rsid w:val="003647DD"/>
    <w:rsid w:val="00365824"/>
    <w:rsid w:val="00366835"/>
    <w:rsid w:val="0037126A"/>
    <w:rsid w:val="0037136A"/>
    <w:rsid w:val="0037160F"/>
    <w:rsid w:val="003724DD"/>
    <w:rsid w:val="00373576"/>
    <w:rsid w:val="0037372D"/>
    <w:rsid w:val="00373F80"/>
    <w:rsid w:val="003749E4"/>
    <w:rsid w:val="003755E9"/>
    <w:rsid w:val="0037601D"/>
    <w:rsid w:val="00376EF2"/>
    <w:rsid w:val="003770C8"/>
    <w:rsid w:val="003812E0"/>
    <w:rsid w:val="00381437"/>
    <w:rsid w:val="00381B1B"/>
    <w:rsid w:val="003821C0"/>
    <w:rsid w:val="00382676"/>
    <w:rsid w:val="00384EA7"/>
    <w:rsid w:val="00385618"/>
    <w:rsid w:val="00385D98"/>
    <w:rsid w:val="00385EF5"/>
    <w:rsid w:val="00386344"/>
    <w:rsid w:val="003867E8"/>
    <w:rsid w:val="00387291"/>
    <w:rsid w:val="0038729E"/>
    <w:rsid w:val="003879AF"/>
    <w:rsid w:val="0039064C"/>
    <w:rsid w:val="00390B52"/>
    <w:rsid w:val="0039148F"/>
    <w:rsid w:val="0039161D"/>
    <w:rsid w:val="00391AAC"/>
    <w:rsid w:val="00392919"/>
    <w:rsid w:val="0039350D"/>
    <w:rsid w:val="00393E62"/>
    <w:rsid w:val="0039431A"/>
    <w:rsid w:val="003947D5"/>
    <w:rsid w:val="00394B6C"/>
    <w:rsid w:val="00396293"/>
    <w:rsid w:val="00396822"/>
    <w:rsid w:val="00396F98"/>
    <w:rsid w:val="00397736"/>
    <w:rsid w:val="00397A36"/>
    <w:rsid w:val="003A1F01"/>
    <w:rsid w:val="003A1F36"/>
    <w:rsid w:val="003A21A4"/>
    <w:rsid w:val="003A28DC"/>
    <w:rsid w:val="003A2CB7"/>
    <w:rsid w:val="003A2DB7"/>
    <w:rsid w:val="003A30A5"/>
    <w:rsid w:val="003A3E66"/>
    <w:rsid w:val="003A432F"/>
    <w:rsid w:val="003A509B"/>
    <w:rsid w:val="003A54FF"/>
    <w:rsid w:val="003A6502"/>
    <w:rsid w:val="003A6B9D"/>
    <w:rsid w:val="003A70D1"/>
    <w:rsid w:val="003A75E4"/>
    <w:rsid w:val="003A7630"/>
    <w:rsid w:val="003A7683"/>
    <w:rsid w:val="003B06A7"/>
    <w:rsid w:val="003B0E80"/>
    <w:rsid w:val="003B1CDF"/>
    <w:rsid w:val="003B1F97"/>
    <w:rsid w:val="003B230E"/>
    <w:rsid w:val="003B23CF"/>
    <w:rsid w:val="003B319A"/>
    <w:rsid w:val="003B430C"/>
    <w:rsid w:val="003B4D6D"/>
    <w:rsid w:val="003B55A4"/>
    <w:rsid w:val="003B5F37"/>
    <w:rsid w:val="003B60FF"/>
    <w:rsid w:val="003B63E1"/>
    <w:rsid w:val="003B6B43"/>
    <w:rsid w:val="003B734C"/>
    <w:rsid w:val="003C090A"/>
    <w:rsid w:val="003C0A88"/>
    <w:rsid w:val="003C274E"/>
    <w:rsid w:val="003C2759"/>
    <w:rsid w:val="003C2F45"/>
    <w:rsid w:val="003C2FE5"/>
    <w:rsid w:val="003C5180"/>
    <w:rsid w:val="003C6D62"/>
    <w:rsid w:val="003C7B37"/>
    <w:rsid w:val="003C7BD7"/>
    <w:rsid w:val="003D0A7C"/>
    <w:rsid w:val="003D0C7A"/>
    <w:rsid w:val="003D1CEA"/>
    <w:rsid w:val="003D1F95"/>
    <w:rsid w:val="003D397E"/>
    <w:rsid w:val="003D3A23"/>
    <w:rsid w:val="003D3DFF"/>
    <w:rsid w:val="003D4059"/>
    <w:rsid w:val="003D539E"/>
    <w:rsid w:val="003D556F"/>
    <w:rsid w:val="003D69EB"/>
    <w:rsid w:val="003D6B13"/>
    <w:rsid w:val="003D70D3"/>
    <w:rsid w:val="003D7213"/>
    <w:rsid w:val="003D74A7"/>
    <w:rsid w:val="003D771E"/>
    <w:rsid w:val="003E0E22"/>
    <w:rsid w:val="003E0E82"/>
    <w:rsid w:val="003E1BD9"/>
    <w:rsid w:val="003E1ED9"/>
    <w:rsid w:val="003E23BF"/>
    <w:rsid w:val="003E289C"/>
    <w:rsid w:val="003E36B6"/>
    <w:rsid w:val="003E5FDF"/>
    <w:rsid w:val="003E6101"/>
    <w:rsid w:val="003E675F"/>
    <w:rsid w:val="003E71FD"/>
    <w:rsid w:val="003E74C6"/>
    <w:rsid w:val="003F0532"/>
    <w:rsid w:val="003F428E"/>
    <w:rsid w:val="003F4C71"/>
    <w:rsid w:val="003F4D6B"/>
    <w:rsid w:val="003F71F4"/>
    <w:rsid w:val="003F7243"/>
    <w:rsid w:val="003F72E3"/>
    <w:rsid w:val="004000CC"/>
    <w:rsid w:val="00400614"/>
    <w:rsid w:val="00400FBF"/>
    <w:rsid w:val="00401681"/>
    <w:rsid w:val="00402DAC"/>
    <w:rsid w:val="00403D98"/>
    <w:rsid w:val="004053FA"/>
    <w:rsid w:val="004055D1"/>
    <w:rsid w:val="004058A7"/>
    <w:rsid w:val="004058FF"/>
    <w:rsid w:val="0040625A"/>
    <w:rsid w:val="00410153"/>
    <w:rsid w:val="00410396"/>
    <w:rsid w:val="0041099C"/>
    <w:rsid w:val="00410B27"/>
    <w:rsid w:val="00410F12"/>
    <w:rsid w:val="004119A5"/>
    <w:rsid w:val="004126CB"/>
    <w:rsid w:val="00412715"/>
    <w:rsid w:val="00412C77"/>
    <w:rsid w:val="00413A46"/>
    <w:rsid w:val="00413B1D"/>
    <w:rsid w:val="004140C0"/>
    <w:rsid w:val="0041498E"/>
    <w:rsid w:val="00414A96"/>
    <w:rsid w:val="004153D2"/>
    <w:rsid w:val="00415BB6"/>
    <w:rsid w:val="00416411"/>
    <w:rsid w:val="0041763C"/>
    <w:rsid w:val="00417E23"/>
    <w:rsid w:val="00420A36"/>
    <w:rsid w:val="00420A69"/>
    <w:rsid w:val="00420C53"/>
    <w:rsid w:val="00421894"/>
    <w:rsid w:val="00421A93"/>
    <w:rsid w:val="0042329B"/>
    <w:rsid w:val="004236DA"/>
    <w:rsid w:val="00423916"/>
    <w:rsid w:val="0042408B"/>
    <w:rsid w:val="00424E21"/>
    <w:rsid w:val="00425B8A"/>
    <w:rsid w:val="00426270"/>
    <w:rsid w:val="00426652"/>
    <w:rsid w:val="00426807"/>
    <w:rsid w:val="0042682E"/>
    <w:rsid w:val="00430743"/>
    <w:rsid w:val="00430B28"/>
    <w:rsid w:val="0043110A"/>
    <w:rsid w:val="00431E0C"/>
    <w:rsid w:val="0043299E"/>
    <w:rsid w:val="00432C6A"/>
    <w:rsid w:val="004333D9"/>
    <w:rsid w:val="004337AA"/>
    <w:rsid w:val="00434A16"/>
    <w:rsid w:val="0043674A"/>
    <w:rsid w:val="004372A5"/>
    <w:rsid w:val="00437452"/>
    <w:rsid w:val="00437C0A"/>
    <w:rsid w:val="00441651"/>
    <w:rsid w:val="00442094"/>
    <w:rsid w:val="004421E7"/>
    <w:rsid w:val="004423AC"/>
    <w:rsid w:val="004426B6"/>
    <w:rsid w:val="004430B4"/>
    <w:rsid w:val="00443AC7"/>
    <w:rsid w:val="004459DF"/>
    <w:rsid w:val="00446964"/>
    <w:rsid w:val="0044795A"/>
    <w:rsid w:val="00447A14"/>
    <w:rsid w:val="00447CEC"/>
    <w:rsid w:val="00447D95"/>
    <w:rsid w:val="00450991"/>
    <w:rsid w:val="00450B0D"/>
    <w:rsid w:val="004511B1"/>
    <w:rsid w:val="00451F71"/>
    <w:rsid w:val="004526BF"/>
    <w:rsid w:val="004538D3"/>
    <w:rsid w:val="00454380"/>
    <w:rsid w:val="00457013"/>
    <w:rsid w:val="00457538"/>
    <w:rsid w:val="00457A5C"/>
    <w:rsid w:val="00457DC6"/>
    <w:rsid w:val="00460963"/>
    <w:rsid w:val="00460E80"/>
    <w:rsid w:val="00461199"/>
    <w:rsid w:val="00462D46"/>
    <w:rsid w:val="004630FB"/>
    <w:rsid w:val="00463621"/>
    <w:rsid w:val="004638A9"/>
    <w:rsid w:val="00463E0F"/>
    <w:rsid w:val="0046458B"/>
    <w:rsid w:val="00464A25"/>
    <w:rsid w:val="0046594E"/>
    <w:rsid w:val="00466C65"/>
    <w:rsid w:val="00466DE1"/>
    <w:rsid w:val="00467403"/>
    <w:rsid w:val="0046787C"/>
    <w:rsid w:val="00470BA8"/>
    <w:rsid w:val="00470FC8"/>
    <w:rsid w:val="00471DC9"/>
    <w:rsid w:val="00472DBF"/>
    <w:rsid w:val="00473A69"/>
    <w:rsid w:val="00473B8E"/>
    <w:rsid w:val="00473F8C"/>
    <w:rsid w:val="0047497D"/>
    <w:rsid w:val="004749F6"/>
    <w:rsid w:val="00474A0C"/>
    <w:rsid w:val="00474DF4"/>
    <w:rsid w:val="00474F94"/>
    <w:rsid w:val="00475F7C"/>
    <w:rsid w:val="00476A13"/>
    <w:rsid w:val="004775C6"/>
    <w:rsid w:val="0048040B"/>
    <w:rsid w:val="00481BAF"/>
    <w:rsid w:val="00482E73"/>
    <w:rsid w:val="00483971"/>
    <w:rsid w:val="00483BAA"/>
    <w:rsid w:val="00484FD5"/>
    <w:rsid w:val="00485E3C"/>
    <w:rsid w:val="00485FDA"/>
    <w:rsid w:val="00486B7F"/>
    <w:rsid w:val="00486D82"/>
    <w:rsid w:val="004900EB"/>
    <w:rsid w:val="00490A6C"/>
    <w:rsid w:val="00490DA2"/>
    <w:rsid w:val="00491A22"/>
    <w:rsid w:val="00491E5F"/>
    <w:rsid w:val="004920A1"/>
    <w:rsid w:val="0049431F"/>
    <w:rsid w:val="004950BE"/>
    <w:rsid w:val="00495238"/>
    <w:rsid w:val="004952EE"/>
    <w:rsid w:val="00495795"/>
    <w:rsid w:val="00495B6C"/>
    <w:rsid w:val="00495B9B"/>
    <w:rsid w:val="004962A2"/>
    <w:rsid w:val="00496482"/>
    <w:rsid w:val="00497B24"/>
    <w:rsid w:val="00497CA6"/>
    <w:rsid w:val="00497EEB"/>
    <w:rsid w:val="004A01F3"/>
    <w:rsid w:val="004A07DC"/>
    <w:rsid w:val="004A16BE"/>
    <w:rsid w:val="004A1852"/>
    <w:rsid w:val="004A2FA3"/>
    <w:rsid w:val="004A3E57"/>
    <w:rsid w:val="004A4076"/>
    <w:rsid w:val="004A6572"/>
    <w:rsid w:val="004A6799"/>
    <w:rsid w:val="004A7E2C"/>
    <w:rsid w:val="004B1593"/>
    <w:rsid w:val="004B160A"/>
    <w:rsid w:val="004B1D54"/>
    <w:rsid w:val="004B4675"/>
    <w:rsid w:val="004B4BC1"/>
    <w:rsid w:val="004B4EA6"/>
    <w:rsid w:val="004C0AA6"/>
    <w:rsid w:val="004C0FD9"/>
    <w:rsid w:val="004C127D"/>
    <w:rsid w:val="004C1964"/>
    <w:rsid w:val="004C1E02"/>
    <w:rsid w:val="004C24B7"/>
    <w:rsid w:val="004C2B17"/>
    <w:rsid w:val="004C2E20"/>
    <w:rsid w:val="004C2F6A"/>
    <w:rsid w:val="004C359A"/>
    <w:rsid w:val="004C3BD9"/>
    <w:rsid w:val="004C3D00"/>
    <w:rsid w:val="004C4481"/>
    <w:rsid w:val="004C497C"/>
    <w:rsid w:val="004C4AA8"/>
    <w:rsid w:val="004C5285"/>
    <w:rsid w:val="004C542B"/>
    <w:rsid w:val="004C65D6"/>
    <w:rsid w:val="004C69C9"/>
    <w:rsid w:val="004C70B7"/>
    <w:rsid w:val="004D0139"/>
    <w:rsid w:val="004D028E"/>
    <w:rsid w:val="004D0C29"/>
    <w:rsid w:val="004D0EDD"/>
    <w:rsid w:val="004D0FEB"/>
    <w:rsid w:val="004D259F"/>
    <w:rsid w:val="004D2B8B"/>
    <w:rsid w:val="004D3C98"/>
    <w:rsid w:val="004D5C3E"/>
    <w:rsid w:val="004D705B"/>
    <w:rsid w:val="004D73B2"/>
    <w:rsid w:val="004D7B1E"/>
    <w:rsid w:val="004E0C82"/>
    <w:rsid w:val="004E115A"/>
    <w:rsid w:val="004E19F6"/>
    <w:rsid w:val="004E2514"/>
    <w:rsid w:val="004E2A9E"/>
    <w:rsid w:val="004E48D9"/>
    <w:rsid w:val="004E4A98"/>
    <w:rsid w:val="004E4B03"/>
    <w:rsid w:val="004E5385"/>
    <w:rsid w:val="004E56C8"/>
    <w:rsid w:val="004E589B"/>
    <w:rsid w:val="004E5903"/>
    <w:rsid w:val="004E744E"/>
    <w:rsid w:val="004E7F91"/>
    <w:rsid w:val="004F02CE"/>
    <w:rsid w:val="004F0478"/>
    <w:rsid w:val="004F0BEF"/>
    <w:rsid w:val="004F1EB4"/>
    <w:rsid w:val="004F1EC5"/>
    <w:rsid w:val="004F209C"/>
    <w:rsid w:val="004F277B"/>
    <w:rsid w:val="004F3BB7"/>
    <w:rsid w:val="004F4970"/>
    <w:rsid w:val="004F4A59"/>
    <w:rsid w:val="004F6A3A"/>
    <w:rsid w:val="004F6D58"/>
    <w:rsid w:val="004F6E05"/>
    <w:rsid w:val="004F7058"/>
    <w:rsid w:val="004F709D"/>
    <w:rsid w:val="004F7A4D"/>
    <w:rsid w:val="0050030E"/>
    <w:rsid w:val="00500633"/>
    <w:rsid w:val="00500EB2"/>
    <w:rsid w:val="005012FA"/>
    <w:rsid w:val="00501A0B"/>
    <w:rsid w:val="00502498"/>
    <w:rsid w:val="005043EB"/>
    <w:rsid w:val="005046EF"/>
    <w:rsid w:val="0050584A"/>
    <w:rsid w:val="00507753"/>
    <w:rsid w:val="00510312"/>
    <w:rsid w:val="005107CA"/>
    <w:rsid w:val="00510C83"/>
    <w:rsid w:val="005112D1"/>
    <w:rsid w:val="00511C95"/>
    <w:rsid w:val="00511DCA"/>
    <w:rsid w:val="0051230B"/>
    <w:rsid w:val="005141CD"/>
    <w:rsid w:val="0051481E"/>
    <w:rsid w:val="00514CF1"/>
    <w:rsid w:val="005160B2"/>
    <w:rsid w:val="005164C2"/>
    <w:rsid w:val="00516AF7"/>
    <w:rsid w:val="0051730B"/>
    <w:rsid w:val="0051772E"/>
    <w:rsid w:val="00520067"/>
    <w:rsid w:val="00521C30"/>
    <w:rsid w:val="00521EFC"/>
    <w:rsid w:val="005221CA"/>
    <w:rsid w:val="0052235C"/>
    <w:rsid w:val="00522582"/>
    <w:rsid w:val="00522C9E"/>
    <w:rsid w:val="00522F1E"/>
    <w:rsid w:val="00522F60"/>
    <w:rsid w:val="00524504"/>
    <w:rsid w:val="0052451E"/>
    <w:rsid w:val="0052500C"/>
    <w:rsid w:val="00525125"/>
    <w:rsid w:val="0052731F"/>
    <w:rsid w:val="00527EA3"/>
    <w:rsid w:val="00527FD8"/>
    <w:rsid w:val="005304B1"/>
    <w:rsid w:val="00530B4A"/>
    <w:rsid w:val="00531563"/>
    <w:rsid w:val="005318EA"/>
    <w:rsid w:val="0053302D"/>
    <w:rsid w:val="00533984"/>
    <w:rsid w:val="00533992"/>
    <w:rsid w:val="005339AE"/>
    <w:rsid w:val="00534B00"/>
    <w:rsid w:val="005355ED"/>
    <w:rsid w:val="00535C61"/>
    <w:rsid w:val="00535C6F"/>
    <w:rsid w:val="00536044"/>
    <w:rsid w:val="0053630F"/>
    <w:rsid w:val="00537281"/>
    <w:rsid w:val="00540181"/>
    <w:rsid w:val="00540223"/>
    <w:rsid w:val="00540815"/>
    <w:rsid w:val="00540858"/>
    <w:rsid w:val="00540C23"/>
    <w:rsid w:val="005411DD"/>
    <w:rsid w:val="00541759"/>
    <w:rsid w:val="005418C6"/>
    <w:rsid w:val="005428F2"/>
    <w:rsid w:val="005430B0"/>
    <w:rsid w:val="00545FB0"/>
    <w:rsid w:val="00546188"/>
    <w:rsid w:val="0054712D"/>
    <w:rsid w:val="00550799"/>
    <w:rsid w:val="00550975"/>
    <w:rsid w:val="00550B45"/>
    <w:rsid w:val="00550BCA"/>
    <w:rsid w:val="00551BF9"/>
    <w:rsid w:val="005529F8"/>
    <w:rsid w:val="00552B84"/>
    <w:rsid w:val="0055329F"/>
    <w:rsid w:val="00553D16"/>
    <w:rsid w:val="005543D9"/>
    <w:rsid w:val="005544C4"/>
    <w:rsid w:val="00554CAD"/>
    <w:rsid w:val="005551FE"/>
    <w:rsid w:val="00555E45"/>
    <w:rsid w:val="00556E82"/>
    <w:rsid w:val="0055725F"/>
    <w:rsid w:val="00561159"/>
    <w:rsid w:val="00561663"/>
    <w:rsid w:val="005616D0"/>
    <w:rsid w:val="00561788"/>
    <w:rsid w:val="005622BA"/>
    <w:rsid w:val="0056258E"/>
    <w:rsid w:val="00562A67"/>
    <w:rsid w:val="005632B0"/>
    <w:rsid w:val="0056358C"/>
    <w:rsid w:val="00563C90"/>
    <w:rsid w:val="00564BD4"/>
    <w:rsid w:val="0056569F"/>
    <w:rsid w:val="00565E5F"/>
    <w:rsid w:val="00566286"/>
    <w:rsid w:val="00566936"/>
    <w:rsid w:val="00567440"/>
    <w:rsid w:val="0056758D"/>
    <w:rsid w:val="005711AC"/>
    <w:rsid w:val="00571B28"/>
    <w:rsid w:val="005731C2"/>
    <w:rsid w:val="0057321C"/>
    <w:rsid w:val="00573294"/>
    <w:rsid w:val="00574097"/>
    <w:rsid w:val="0057412F"/>
    <w:rsid w:val="00575640"/>
    <w:rsid w:val="005758CF"/>
    <w:rsid w:val="00575B92"/>
    <w:rsid w:val="00575CE3"/>
    <w:rsid w:val="00576FD9"/>
    <w:rsid w:val="00577392"/>
    <w:rsid w:val="005777FE"/>
    <w:rsid w:val="005801BC"/>
    <w:rsid w:val="00581C01"/>
    <w:rsid w:val="00581C0E"/>
    <w:rsid w:val="00581EDA"/>
    <w:rsid w:val="00582895"/>
    <w:rsid w:val="0058351D"/>
    <w:rsid w:val="00583BCC"/>
    <w:rsid w:val="00584975"/>
    <w:rsid w:val="00584A2A"/>
    <w:rsid w:val="00585F11"/>
    <w:rsid w:val="00587C09"/>
    <w:rsid w:val="0059006D"/>
    <w:rsid w:val="0059017A"/>
    <w:rsid w:val="00590CFB"/>
    <w:rsid w:val="0059164E"/>
    <w:rsid w:val="00591B20"/>
    <w:rsid w:val="00591E34"/>
    <w:rsid w:val="005928C1"/>
    <w:rsid w:val="00593A72"/>
    <w:rsid w:val="005953DD"/>
    <w:rsid w:val="00595E9F"/>
    <w:rsid w:val="0059705C"/>
    <w:rsid w:val="00597B2E"/>
    <w:rsid w:val="005A1553"/>
    <w:rsid w:val="005A1D5C"/>
    <w:rsid w:val="005A1EB4"/>
    <w:rsid w:val="005A1FBB"/>
    <w:rsid w:val="005A32F7"/>
    <w:rsid w:val="005A398A"/>
    <w:rsid w:val="005A3A8B"/>
    <w:rsid w:val="005A3EA6"/>
    <w:rsid w:val="005A4F35"/>
    <w:rsid w:val="005A514F"/>
    <w:rsid w:val="005B0E38"/>
    <w:rsid w:val="005B0FE4"/>
    <w:rsid w:val="005B122A"/>
    <w:rsid w:val="005B1896"/>
    <w:rsid w:val="005B4D9C"/>
    <w:rsid w:val="005B50A8"/>
    <w:rsid w:val="005B65D7"/>
    <w:rsid w:val="005B688D"/>
    <w:rsid w:val="005B6F82"/>
    <w:rsid w:val="005B7AF6"/>
    <w:rsid w:val="005C06A2"/>
    <w:rsid w:val="005C0D10"/>
    <w:rsid w:val="005C0DCF"/>
    <w:rsid w:val="005C0E72"/>
    <w:rsid w:val="005C1382"/>
    <w:rsid w:val="005C159D"/>
    <w:rsid w:val="005C1F7A"/>
    <w:rsid w:val="005C21FD"/>
    <w:rsid w:val="005C2433"/>
    <w:rsid w:val="005C271E"/>
    <w:rsid w:val="005C4C16"/>
    <w:rsid w:val="005C4C18"/>
    <w:rsid w:val="005C4F53"/>
    <w:rsid w:val="005C578E"/>
    <w:rsid w:val="005C6275"/>
    <w:rsid w:val="005C683E"/>
    <w:rsid w:val="005C7693"/>
    <w:rsid w:val="005C7C2C"/>
    <w:rsid w:val="005D067A"/>
    <w:rsid w:val="005D07DE"/>
    <w:rsid w:val="005D0A28"/>
    <w:rsid w:val="005D111B"/>
    <w:rsid w:val="005D2662"/>
    <w:rsid w:val="005D273D"/>
    <w:rsid w:val="005D29E3"/>
    <w:rsid w:val="005D2F99"/>
    <w:rsid w:val="005D2FD0"/>
    <w:rsid w:val="005D30BA"/>
    <w:rsid w:val="005D3BC5"/>
    <w:rsid w:val="005D465A"/>
    <w:rsid w:val="005D4AE8"/>
    <w:rsid w:val="005D5405"/>
    <w:rsid w:val="005D5F63"/>
    <w:rsid w:val="005E05D4"/>
    <w:rsid w:val="005E0F59"/>
    <w:rsid w:val="005E1F85"/>
    <w:rsid w:val="005E25BD"/>
    <w:rsid w:val="005E2A40"/>
    <w:rsid w:val="005E2D60"/>
    <w:rsid w:val="005E372F"/>
    <w:rsid w:val="005E4541"/>
    <w:rsid w:val="005E4A5F"/>
    <w:rsid w:val="005E4E17"/>
    <w:rsid w:val="005E500B"/>
    <w:rsid w:val="005E5562"/>
    <w:rsid w:val="005E5A8A"/>
    <w:rsid w:val="005E6143"/>
    <w:rsid w:val="005E6219"/>
    <w:rsid w:val="005E7DA2"/>
    <w:rsid w:val="005F0693"/>
    <w:rsid w:val="005F1F50"/>
    <w:rsid w:val="005F2A4C"/>
    <w:rsid w:val="005F2F74"/>
    <w:rsid w:val="005F2F8C"/>
    <w:rsid w:val="005F38AB"/>
    <w:rsid w:val="005F3AA0"/>
    <w:rsid w:val="005F44B5"/>
    <w:rsid w:val="005F46B0"/>
    <w:rsid w:val="005F5271"/>
    <w:rsid w:val="005F568F"/>
    <w:rsid w:val="005F5B5A"/>
    <w:rsid w:val="005F6511"/>
    <w:rsid w:val="005F7316"/>
    <w:rsid w:val="005F76D6"/>
    <w:rsid w:val="005F7A5C"/>
    <w:rsid w:val="006008EF"/>
    <w:rsid w:val="00600A14"/>
    <w:rsid w:val="00601273"/>
    <w:rsid w:val="00601BBA"/>
    <w:rsid w:val="006021B8"/>
    <w:rsid w:val="00602EF0"/>
    <w:rsid w:val="006044DA"/>
    <w:rsid w:val="006047D6"/>
    <w:rsid w:val="00604C16"/>
    <w:rsid w:val="00605381"/>
    <w:rsid w:val="006055C3"/>
    <w:rsid w:val="00606657"/>
    <w:rsid w:val="00606671"/>
    <w:rsid w:val="00607279"/>
    <w:rsid w:val="006072A8"/>
    <w:rsid w:val="00607421"/>
    <w:rsid w:val="00610B76"/>
    <w:rsid w:val="006112DB"/>
    <w:rsid w:val="0061252D"/>
    <w:rsid w:val="006125F8"/>
    <w:rsid w:val="006137AE"/>
    <w:rsid w:val="006138D1"/>
    <w:rsid w:val="00613BA9"/>
    <w:rsid w:val="00614258"/>
    <w:rsid w:val="0061441B"/>
    <w:rsid w:val="00614868"/>
    <w:rsid w:val="00614A3E"/>
    <w:rsid w:val="00614E0A"/>
    <w:rsid w:val="006153E0"/>
    <w:rsid w:val="00615760"/>
    <w:rsid w:val="00617152"/>
    <w:rsid w:val="006175DC"/>
    <w:rsid w:val="00617792"/>
    <w:rsid w:val="00617E1C"/>
    <w:rsid w:val="006201CD"/>
    <w:rsid w:val="006211E5"/>
    <w:rsid w:val="00621365"/>
    <w:rsid w:val="00621651"/>
    <w:rsid w:val="0062280B"/>
    <w:rsid w:val="00622FEB"/>
    <w:rsid w:val="0062303A"/>
    <w:rsid w:val="0062303C"/>
    <w:rsid w:val="006237AB"/>
    <w:rsid w:val="006238F6"/>
    <w:rsid w:val="00624886"/>
    <w:rsid w:val="0062506D"/>
    <w:rsid w:val="00625152"/>
    <w:rsid w:val="00625FC2"/>
    <w:rsid w:val="006263F1"/>
    <w:rsid w:val="0062718D"/>
    <w:rsid w:val="006271FB"/>
    <w:rsid w:val="00627BC4"/>
    <w:rsid w:val="00630178"/>
    <w:rsid w:val="006312B3"/>
    <w:rsid w:val="00631343"/>
    <w:rsid w:val="006319DB"/>
    <w:rsid w:val="00631ADC"/>
    <w:rsid w:val="00631EC6"/>
    <w:rsid w:val="00631F7A"/>
    <w:rsid w:val="006329B5"/>
    <w:rsid w:val="00632E30"/>
    <w:rsid w:val="00633125"/>
    <w:rsid w:val="00633174"/>
    <w:rsid w:val="00633C83"/>
    <w:rsid w:val="00634146"/>
    <w:rsid w:val="00634200"/>
    <w:rsid w:val="0063430C"/>
    <w:rsid w:val="00634781"/>
    <w:rsid w:val="0063544B"/>
    <w:rsid w:val="00635857"/>
    <w:rsid w:val="00635AF1"/>
    <w:rsid w:val="00635BE6"/>
    <w:rsid w:val="00636858"/>
    <w:rsid w:val="00636DCB"/>
    <w:rsid w:val="0063721A"/>
    <w:rsid w:val="00637E27"/>
    <w:rsid w:val="00640410"/>
    <w:rsid w:val="00640FB1"/>
    <w:rsid w:val="00641A4E"/>
    <w:rsid w:val="00641FE8"/>
    <w:rsid w:val="00642883"/>
    <w:rsid w:val="0064341F"/>
    <w:rsid w:val="00643494"/>
    <w:rsid w:val="006436BB"/>
    <w:rsid w:val="00644856"/>
    <w:rsid w:val="00644B0B"/>
    <w:rsid w:val="006457D4"/>
    <w:rsid w:val="006457FD"/>
    <w:rsid w:val="00646D57"/>
    <w:rsid w:val="006474F7"/>
    <w:rsid w:val="00647A20"/>
    <w:rsid w:val="0065006F"/>
    <w:rsid w:val="00650F39"/>
    <w:rsid w:val="00651535"/>
    <w:rsid w:val="00651906"/>
    <w:rsid w:val="0065203C"/>
    <w:rsid w:val="00652998"/>
    <w:rsid w:val="0065356E"/>
    <w:rsid w:val="00653659"/>
    <w:rsid w:val="00655551"/>
    <w:rsid w:val="0065588E"/>
    <w:rsid w:val="00655A86"/>
    <w:rsid w:val="00660139"/>
    <w:rsid w:val="006618A0"/>
    <w:rsid w:val="00661D9D"/>
    <w:rsid w:val="00662201"/>
    <w:rsid w:val="006626F8"/>
    <w:rsid w:val="00663C0C"/>
    <w:rsid w:val="00663F1D"/>
    <w:rsid w:val="006640C3"/>
    <w:rsid w:val="0066550E"/>
    <w:rsid w:val="006660A9"/>
    <w:rsid w:val="006660B7"/>
    <w:rsid w:val="00667AF3"/>
    <w:rsid w:val="0067019B"/>
    <w:rsid w:val="006705D0"/>
    <w:rsid w:val="00670607"/>
    <w:rsid w:val="00670784"/>
    <w:rsid w:val="00671794"/>
    <w:rsid w:val="00673022"/>
    <w:rsid w:val="0067368B"/>
    <w:rsid w:val="00673884"/>
    <w:rsid w:val="00674B09"/>
    <w:rsid w:val="00675214"/>
    <w:rsid w:val="00676264"/>
    <w:rsid w:val="00676B3F"/>
    <w:rsid w:val="00677A62"/>
    <w:rsid w:val="0068144B"/>
    <w:rsid w:val="0068185C"/>
    <w:rsid w:val="00682140"/>
    <w:rsid w:val="00683397"/>
    <w:rsid w:val="00683DB6"/>
    <w:rsid w:val="00683E64"/>
    <w:rsid w:val="006850CA"/>
    <w:rsid w:val="0068549A"/>
    <w:rsid w:val="0068573C"/>
    <w:rsid w:val="00685C83"/>
    <w:rsid w:val="006867CC"/>
    <w:rsid w:val="006873ED"/>
    <w:rsid w:val="006900E5"/>
    <w:rsid w:val="006919BF"/>
    <w:rsid w:val="00691C56"/>
    <w:rsid w:val="00691E7A"/>
    <w:rsid w:val="006923BB"/>
    <w:rsid w:val="0069263E"/>
    <w:rsid w:val="00692FED"/>
    <w:rsid w:val="00693082"/>
    <w:rsid w:val="006941CE"/>
    <w:rsid w:val="0069434F"/>
    <w:rsid w:val="00694601"/>
    <w:rsid w:val="0069472A"/>
    <w:rsid w:val="0069553A"/>
    <w:rsid w:val="006959EE"/>
    <w:rsid w:val="00695B1D"/>
    <w:rsid w:val="00695B6E"/>
    <w:rsid w:val="0069643C"/>
    <w:rsid w:val="0069717B"/>
    <w:rsid w:val="00697489"/>
    <w:rsid w:val="006A06C5"/>
    <w:rsid w:val="006A0FF8"/>
    <w:rsid w:val="006A20D1"/>
    <w:rsid w:val="006A20F7"/>
    <w:rsid w:val="006A2234"/>
    <w:rsid w:val="006A28CC"/>
    <w:rsid w:val="006A2A85"/>
    <w:rsid w:val="006A3555"/>
    <w:rsid w:val="006A357B"/>
    <w:rsid w:val="006A3D05"/>
    <w:rsid w:val="006A3D0F"/>
    <w:rsid w:val="006A45EA"/>
    <w:rsid w:val="006A4B4C"/>
    <w:rsid w:val="006A4BE2"/>
    <w:rsid w:val="006A5038"/>
    <w:rsid w:val="006A5DA9"/>
    <w:rsid w:val="006A75EA"/>
    <w:rsid w:val="006B0105"/>
    <w:rsid w:val="006B170D"/>
    <w:rsid w:val="006B18F1"/>
    <w:rsid w:val="006B21FE"/>
    <w:rsid w:val="006B2338"/>
    <w:rsid w:val="006B283A"/>
    <w:rsid w:val="006B405A"/>
    <w:rsid w:val="006B6422"/>
    <w:rsid w:val="006B73A8"/>
    <w:rsid w:val="006B7E84"/>
    <w:rsid w:val="006C010B"/>
    <w:rsid w:val="006C0AEA"/>
    <w:rsid w:val="006C0C4F"/>
    <w:rsid w:val="006C16FF"/>
    <w:rsid w:val="006C2FF5"/>
    <w:rsid w:val="006C4588"/>
    <w:rsid w:val="006C5145"/>
    <w:rsid w:val="006C641B"/>
    <w:rsid w:val="006C6509"/>
    <w:rsid w:val="006C69E7"/>
    <w:rsid w:val="006C79CE"/>
    <w:rsid w:val="006C7EF2"/>
    <w:rsid w:val="006D1256"/>
    <w:rsid w:val="006D13FD"/>
    <w:rsid w:val="006D16FF"/>
    <w:rsid w:val="006D180E"/>
    <w:rsid w:val="006D1C82"/>
    <w:rsid w:val="006D1C87"/>
    <w:rsid w:val="006D3730"/>
    <w:rsid w:val="006D3D80"/>
    <w:rsid w:val="006D3F2D"/>
    <w:rsid w:val="006D43AE"/>
    <w:rsid w:val="006D51BE"/>
    <w:rsid w:val="006D5A55"/>
    <w:rsid w:val="006D6326"/>
    <w:rsid w:val="006D6490"/>
    <w:rsid w:val="006D7735"/>
    <w:rsid w:val="006D790D"/>
    <w:rsid w:val="006D7E01"/>
    <w:rsid w:val="006E040C"/>
    <w:rsid w:val="006E0AB5"/>
    <w:rsid w:val="006E12E5"/>
    <w:rsid w:val="006E27C1"/>
    <w:rsid w:val="006E2DB3"/>
    <w:rsid w:val="006E373F"/>
    <w:rsid w:val="006E3A48"/>
    <w:rsid w:val="006E40E3"/>
    <w:rsid w:val="006E449A"/>
    <w:rsid w:val="006E4BE3"/>
    <w:rsid w:val="006E5DE3"/>
    <w:rsid w:val="006E6E9A"/>
    <w:rsid w:val="006E6F6C"/>
    <w:rsid w:val="006F0E10"/>
    <w:rsid w:val="006F1117"/>
    <w:rsid w:val="006F1329"/>
    <w:rsid w:val="006F1618"/>
    <w:rsid w:val="006F1BD0"/>
    <w:rsid w:val="006F1DD4"/>
    <w:rsid w:val="006F1F52"/>
    <w:rsid w:val="006F2021"/>
    <w:rsid w:val="006F2878"/>
    <w:rsid w:val="006F315A"/>
    <w:rsid w:val="006F3F18"/>
    <w:rsid w:val="006F56EE"/>
    <w:rsid w:val="006F5DEB"/>
    <w:rsid w:val="006F61E7"/>
    <w:rsid w:val="006F65FC"/>
    <w:rsid w:val="006F68BB"/>
    <w:rsid w:val="00700DBA"/>
    <w:rsid w:val="00700F3D"/>
    <w:rsid w:val="0070240D"/>
    <w:rsid w:val="00702FD8"/>
    <w:rsid w:val="0070303D"/>
    <w:rsid w:val="007034AB"/>
    <w:rsid w:val="007043C6"/>
    <w:rsid w:val="0070461F"/>
    <w:rsid w:val="007051EE"/>
    <w:rsid w:val="0070548B"/>
    <w:rsid w:val="00705850"/>
    <w:rsid w:val="00705CB6"/>
    <w:rsid w:val="00705E5E"/>
    <w:rsid w:val="00710E7F"/>
    <w:rsid w:val="00711104"/>
    <w:rsid w:val="007117E0"/>
    <w:rsid w:val="00711BF1"/>
    <w:rsid w:val="0071200E"/>
    <w:rsid w:val="00712370"/>
    <w:rsid w:val="007123B4"/>
    <w:rsid w:val="00712B8B"/>
    <w:rsid w:val="00712E7D"/>
    <w:rsid w:val="007144A0"/>
    <w:rsid w:val="0071648A"/>
    <w:rsid w:val="00716709"/>
    <w:rsid w:val="007170B6"/>
    <w:rsid w:val="007200D2"/>
    <w:rsid w:val="007202AE"/>
    <w:rsid w:val="00720435"/>
    <w:rsid w:val="007210EB"/>
    <w:rsid w:val="00721502"/>
    <w:rsid w:val="00721B89"/>
    <w:rsid w:val="0072257B"/>
    <w:rsid w:val="0072259C"/>
    <w:rsid w:val="0072297E"/>
    <w:rsid w:val="00722AF4"/>
    <w:rsid w:val="007230F6"/>
    <w:rsid w:val="00725194"/>
    <w:rsid w:val="007252F8"/>
    <w:rsid w:val="0072543D"/>
    <w:rsid w:val="00726755"/>
    <w:rsid w:val="00726ED1"/>
    <w:rsid w:val="007278E7"/>
    <w:rsid w:val="00727E6F"/>
    <w:rsid w:val="00730D7B"/>
    <w:rsid w:val="00731974"/>
    <w:rsid w:val="00731D6B"/>
    <w:rsid w:val="00732886"/>
    <w:rsid w:val="007338A6"/>
    <w:rsid w:val="00734948"/>
    <w:rsid w:val="00735097"/>
    <w:rsid w:val="00735226"/>
    <w:rsid w:val="00735D54"/>
    <w:rsid w:val="00737640"/>
    <w:rsid w:val="00740642"/>
    <w:rsid w:val="00740D62"/>
    <w:rsid w:val="00741283"/>
    <w:rsid w:val="00741B52"/>
    <w:rsid w:val="00742374"/>
    <w:rsid w:val="0074255F"/>
    <w:rsid w:val="00742989"/>
    <w:rsid w:val="00743E42"/>
    <w:rsid w:val="00743E5C"/>
    <w:rsid w:val="0074440C"/>
    <w:rsid w:val="007444A5"/>
    <w:rsid w:val="00744525"/>
    <w:rsid w:val="007456CA"/>
    <w:rsid w:val="00745DAC"/>
    <w:rsid w:val="00746147"/>
    <w:rsid w:val="007478FD"/>
    <w:rsid w:val="007502B9"/>
    <w:rsid w:val="00750409"/>
    <w:rsid w:val="007508F7"/>
    <w:rsid w:val="00751361"/>
    <w:rsid w:val="00752068"/>
    <w:rsid w:val="00752DF4"/>
    <w:rsid w:val="0075383A"/>
    <w:rsid w:val="00753CF4"/>
    <w:rsid w:val="00753D71"/>
    <w:rsid w:val="00754D13"/>
    <w:rsid w:val="00755379"/>
    <w:rsid w:val="00755BBF"/>
    <w:rsid w:val="00755C8E"/>
    <w:rsid w:val="00756142"/>
    <w:rsid w:val="00756F57"/>
    <w:rsid w:val="00757274"/>
    <w:rsid w:val="007572DD"/>
    <w:rsid w:val="00757E5A"/>
    <w:rsid w:val="0076078D"/>
    <w:rsid w:val="00762696"/>
    <w:rsid w:val="0076353E"/>
    <w:rsid w:val="007645D9"/>
    <w:rsid w:val="007646BC"/>
    <w:rsid w:val="00764D6A"/>
    <w:rsid w:val="007659A4"/>
    <w:rsid w:val="007661EB"/>
    <w:rsid w:val="00767B4D"/>
    <w:rsid w:val="00767BDD"/>
    <w:rsid w:val="00767CE9"/>
    <w:rsid w:val="00767F87"/>
    <w:rsid w:val="007706AE"/>
    <w:rsid w:val="00770B7C"/>
    <w:rsid w:val="00770D54"/>
    <w:rsid w:val="00770E89"/>
    <w:rsid w:val="00770EF0"/>
    <w:rsid w:val="00771655"/>
    <w:rsid w:val="00771740"/>
    <w:rsid w:val="00771774"/>
    <w:rsid w:val="00771B5A"/>
    <w:rsid w:val="00771FC0"/>
    <w:rsid w:val="0077270D"/>
    <w:rsid w:val="00772CD7"/>
    <w:rsid w:val="00773056"/>
    <w:rsid w:val="007740A3"/>
    <w:rsid w:val="00774AE1"/>
    <w:rsid w:val="00774F3F"/>
    <w:rsid w:val="007755D0"/>
    <w:rsid w:val="00775E1B"/>
    <w:rsid w:val="00775E57"/>
    <w:rsid w:val="0077773F"/>
    <w:rsid w:val="00777BD8"/>
    <w:rsid w:val="0078111E"/>
    <w:rsid w:val="00782DEE"/>
    <w:rsid w:val="0078366C"/>
    <w:rsid w:val="007836BE"/>
    <w:rsid w:val="00783CD8"/>
    <w:rsid w:val="00785793"/>
    <w:rsid w:val="00785C62"/>
    <w:rsid w:val="00787326"/>
    <w:rsid w:val="00787C7C"/>
    <w:rsid w:val="007903FF"/>
    <w:rsid w:val="00790A4C"/>
    <w:rsid w:val="007917A7"/>
    <w:rsid w:val="00791821"/>
    <w:rsid w:val="00791B59"/>
    <w:rsid w:val="00792147"/>
    <w:rsid w:val="00793082"/>
    <w:rsid w:val="007938F0"/>
    <w:rsid w:val="00794810"/>
    <w:rsid w:val="007955A6"/>
    <w:rsid w:val="007959DA"/>
    <w:rsid w:val="00795D0A"/>
    <w:rsid w:val="00795F8F"/>
    <w:rsid w:val="0079743F"/>
    <w:rsid w:val="00797BEE"/>
    <w:rsid w:val="007A18BA"/>
    <w:rsid w:val="007A2713"/>
    <w:rsid w:val="007A2801"/>
    <w:rsid w:val="007A30C8"/>
    <w:rsid w:val="007A32E1"/>
    <w:rsid w:val="007A3423"/>
    <w:rsid w:val="007A411B"/>
    <w:rsid w:val="007A518D"/>
    <w:rsid w:val="007A63C4"/>
    <w:rsid w:val="007A69C2"/>
    <w:rsid w:val="007A6B7D"/>
    <w:rsid w:val="007A7D58"/>
    <w:rsid w:val="007A7F2C"/>
    <w:rsid w:val="007A7FFA"/>
    <w:rsid w:val="007B11C8"/>
    <w:rsid w:val="007B136E"/>
    <w:rsid w:val="007B13E1"/>
    <w:rsid w:val="007B24CC"/>
    <w:rsid w:val="007B26F2"/>
    <w:rsid w:val="007B29A5"/>
    <w:rsid w:val="007B3CC7"/>
    <w:rsid w:val="007B5A94"/>
    <w:rsid w:val="007B6089"/>
    <w:rsid w:val="007B6E22"/>
    <w:rsid w:val="007B7012"/>
    <w:rsid w:val="007B7F3A"/>
    <w:rsid w:val="007C0337"/>
    <w:rsid w:val="007C0616"/>
    <w:rsid w:val="007C0C18"/>
    <w:rsid w:val="007C1695"/>
    <w:rsid w:val="007C183A"/>
    <w:rsid w:val="007C2772"/>
    <w:rsid w:val="007C3262"/>
    <w:rsid w:val="007C358A"/>
    <w:rsid w:val="007C36BC"/>
    <w:rsid w:val="007C56B3"/>
    <w:rsid w:val="007C6560"/>
    <w:rsid w:val="007C6AC2"/>
    <w:rsid w:val="007C6B7C"/>
    <w:rsid w:val="007C6FE1"/>
    <w:rsid w:val="007C7421"/>
    <w:rsid w:val="007C7605"/>
    <w:rsid w:val="007C799C"/>
    <w:rsid w:val="007D13E8"/>
    <w:rsid w:val="007D14D8"/>
    <w:rsid w:val="007D3261"/>
    <w:rsid w:val="007D4212"/>
    <w:rsid w:val="007D47C1"/>
    <w:rsid w:val="007D4B5B"/>
    <w:rsid w:val="007D593C"/>
    <w:rsid w:val="007D65A9"/>
    <w:rsid w:val="007D7253"/>
    <w:rsid w:val="007D74D6"/>
    <w:rsid w:val="007D788A"/>
    <w:rsid w:val="007D7C9F"/>
    <w:rsid w:val="007D7EE5"/>
    <w:rsid w:val="007E050E"/>
    <w:rsid w:val="007E18C1"/>
    <w:rsid w:val="007E24D4"/>
    <w:rsid w:val="007E2B2A"/>
    <w:rsid w:val="007E59AE"/>
    <w:rsid w:val="007E6F1B"/>
    <w:rsid w:val="007E7282"/>
    <w:rsid w:val="007E773C"/>
    <w:rsid w:val="007E7B20"/>
    <w:rsid w:val="007F0964"/>
    <w:rsid w:val="007F273E"/>
    <w:rsid w:val="007F3E00"/>
    <w:rsid w:val="007F411C"/>
    <w:rsid w:val="007F4290"/>
    <w:rsid w:val="007F44CA"/>
    <w:rsid w:val="007F58E2"/>
    <w:rsid w:val="007F5E6C"/>
    <w:rsid w:val="007F73AB"/>
    <w:rsid w:val="007F7820"/>
    <w:rsid w:val="007F7958"/>
    <w:rsid w:val="007F7AD5"/>
    <w:rsid w:val="007F7E82"/>
    <w:rsid w:val="007F7EF9"/>
    <w:rsid w:val="0080035A"/>
    <w:rsid w:val="00800B11"/>
    <w:rsid w:val="00801139"/>
    <w:rsid w:val="00801771"/>
    <w:rsid w:val="00801FF5"/>
    <w:rsid w:val="00802151"/>
    <w:rsid w:val="008024EC"/>
    <w:rsid w:val="00802F22"/>
    <w:rsid w:val="00803BAC"/>
    <w:rsid w:val="008052F4"/>
    <w:rsid w:val="008059E8"/>
    <w:rsid w:val="00805C91"/>
    <w:rsid w:val="008061C7"/>
    <w:rsid w:val="008069F4"/>
    <w:rsid w:val="00807109"/>
    <w:rsid w:val="00807763"/>
    <w:rsid w:val="00807E3C"/>
    <w:rsid w:val="00810BEB"/>
    <w:rsid w:val="008110FD"/>
    <w:rsid w:val="00811176"/>
    <w:rsid w:val="00811F09"/>
    <w:rsid w:val="0081234A"/>
    <w:rsid w:val="00812FDF"/>
    <w:rsid w:val="00813346"/>
    <w:rsid w:val="00813C4A"/>
    <w:rsid w:val="00814380"/>
    <w:rsid w:val="008147A1"/>
    <w:rsid w:val="00814E6D"/>
    <w:rsid w:val="008165A8"/>
    <w:rsid w:val="00816AAF"/>
    <w:rsid w:val="00816D78"/>
    <w:rsid w:val="0081701B"/>
    <w:rsid w:val="00817D97"/>
    <w:rsid w:val="008219FE"/>
    <w:rsid w:val="00821C58"/>
    <w:rsid w:val="0082226E"/>
    <w:rsid w:val="00822569"/>
    <w:rsid w:val="00822E35"/>
    <w:rsid w:val="00822EA5"/>
    <w:rsid w:val="00823829"/>
    <w:rsid w:val="00823DF1"/>
    <w:rsid w:val="00824109"/>
    <w:rsid w:val="00824201"/>
    <w:rsid w:val="00824282"/>
    <w:rsid w:val="008258AD"/>
    <w:rsid w:val="00825F51"/>
    <w:rsid w:val="00827465"/>
    <w:rsid w:val="008276C6"/>
    <w:rsid w:val="00827B48"/>
    <w:rsid w:val="00830762"/>
    <w:rsid w:val="008317E8"/>
    <w:rsid w:val="00831A75"/>
    <w:rsid w:val="0083220D"/>
    <w:rsid w:val="008328F8"/>
    <w:rsid w:val="00833596"/>
    <w:rsid w:val="00833A4D"/>
    <w:rsid w:val="0083546F"/>
    <w:rsid w:val="0083594F"/>
    <w:rsid w:val="008374FF"/>
    <w:rsid w:val="008378B3"/>
    <w:rsid w:val="00837AA0"/>
    <w:rsid w:val="00837B68"/>
    <w:rsid w:val="00840983"/>
    <w:rsid w:val="00840D1D"/>
    <w:rsid w:val="00840E69"/>
    <w:rsid w:val="00841923"/>
    <w:rsid w:val="00841A2F"/>
    <w:rsid w:val="00841E1D"/>
    <w:rsid w:val="00842644"/>
    <w:rsid w:val="0084279D"/>
    <w:rsid w:val="0084334C"/>
    <w:rsid w:val="00843B0F"/>
    <w:rsid w:val="0084441A"/>
    <w:rsid w:val="00844465"/>
    <w:rsid w:val="008447B2"/>
    <w:rsid w:val="00844B86"/>
    <w:rsid w:val="00845DA9"/>
    <w:rsid w:val="0084649B"/>
    <w:rsid w:val="00847757"/>
    <w:rsid w:val="00850BAA"/>
    <w:rsid w:val="00850D38"/>
    <w:rsid w:val="00852B78"/>
    <w:rsid w:val="00853CA2"/>
    <w:rsid w:val="00854969"/>
    <w:rsid w:val="00855313"/>
    <w:rsid w:val="008557AB"/>
    <w:rsid w:val="008577BA"/>
    <w:rsid w:val="00857ADC"/>
    <w:rsid w:val="00862877"/>
    <w:rsid w:val="00862DF6"/>
    <w:rsid w:val="008636E1"/>
    <w:rsid w:val="00864811"/>
    <w:rsid w:val="00865197"/>
    <w:rsid w:val="00865946"/>
    <w:rsid w:val="008677B3"/>
    <w:rsid w:val="00870882"/>
    <w:rsid w:val="00870B9D"/>
    <w:rsid w:val="00870EDD"/>
    <w:rsid w:val="0087230C"/>
    <w:rsid w:val="00872B85"/>
    <w:rsid w:val="00873256"/>
    <w:rsid w:val="00875440"/>
    <w:rsid w:val="00876241"/>
    <w:rsid w:val="00876930"/>
    <w:rsid w:val="00880E28"/>
    <w:rsid w:val="00881009"/>
    <w:rsid w:val="00881CBD"/>
    <w:rsid w:val="00881E5E"/>
    <w:rsid w:val="00882768"/>
    <w:rsid w:val="0088592A"/>
    <w:rsid w:val="00885B44"/>
    <w:rsid w:val="00887664"/>
    <w:rsid w:val="00887817"/>
    <w:rsid w:val="00887824"/>
    <w:rsid w:val="008879FB"/>
    <w:rsid w:val="00887C57"/>
    <w:rsid w:val="00890E91"/>
    <w:rsid w:val="008921D4"/>
    <w:rsid w:val="00895DC7"/>
    <w:rsid w:val="00896C4D"/>
    <w:rsid w:val="008975C4"/>
    <w:rsid w:val="0089795A"/>
    <w:rsid w:val="008A05A2"/>
    <w:rsid w:val="008A0C56"/>
    <w:rsid w:val="008A12DF"/>
    <w:rsid w:val="008A1452"/>
    <w:rsid w:val="008A19BC"/>
    <w:rsid w:val="008A1BE5"/>
    <w:rsid w:val="008A2BF4"/>
    <w:rsid w:val="008A51DD"/>
    <w:rsid w:val="008A5371"/>
    <w:rsid w:val="008A5EB3"/>
    <w:rsid w:val="008A686A"/>
    <w:rsid w:val="008A6921"/>
    <w:rsid w:val="008A6937"/>
    <w:rsid w:val="008A6CFE"/>
    <w:rsid w:val="008A79B4"/>
    <w:rsid w:val="008B0755"/>
    <w:rsid w:val="008B152D"/>
    <w:rsid w:val="008B1C38"/>
    <w:rsid w:val="008B2657"/>
    <w:rsid w:val="008B36F2"/>
    <w:rsid w:val="008B373F"/>
    <w:rsid w:val="008B3823"/>
    <w:rsid w:val="008B4ABA"/>
    <w:rsid w:val="008B55E9"/>
    <w:rsid w:val="008B6362"/>
    <w:rsid w:val="008B6369"/>
    <w:rsid w:val="008B68DE"/>
    <w:rsid w:val="008B6B2E"/>
    <w:rsid w:val="008B7CBE"/>
    <w:rsid w:val="008C2463"/>
    <w:rsid w:val="008C2688"/>
    <w:rsid w:val="008C2E99"/>
    <w:rsid w:val="008C5336"/>
    <w:rsid w:val="008C5689"/>
    <w:rsid w:val="008C6D26"/>
    <w:rsid w:val="008C745A"/>
    <w:rsid w:val="008D04F5"/>
    <w:rsid w:val="008D183C"/>
    <w:rsid w:val="008D1A26"/>
    <w:rsid w:val="008D1D30"/>
    <w:rsid w:val="008D212A"/>
    <w:rsid w:val="008D247A"/>
    <w:rsid w:val="008D2786"/>
    <w:rsid w:val="008D2C75"/>
    <w:rsid w:val="008D2E2F"/>
    <w:rsid w:val="008D2E81"/>
    <w:rsid w:val="008D30A7"/>
    <w:rsid w:val="008D3871"/>
    <w:rsid w:val="008D3ACB"/>
    <w:rsid w:val="008D3D31"/>
    <w:rsid w:val="008D4787"/>
    <w:rsid w:val="008D4961"/>
    <w:rsid w:val="008D4AE4"/>
    <w:rsid w:val="008D58BE"/>
    <w:rsid w:val="008D619B"/>
    <w:rsid w:val="008D73D8"/>
    <w:rsid w:val="008E018B"/>
    <w:rsid w:val="008E1FA5"/>
    <w:rsid w:val="008E22A2"/>
    <w:rsid w:val="008E24B1"/>
    <w:rsid w:val="008E259E"/>
    <w:rsid w:val="008E2A90"/>
    <w:rsid w:val="008E3FD8"/>
    <w:rsid w:val="008E4168"/>
    <w:rsid w:val="008E4311"/>
    <w:rsid w:val="008E4359"/>
    <w:rsid w:val="008E50C2"/>
    <w:rsid w:val="008E5342"/>
    <w:rsid w:val="008E6345"/>
    <w:rsid w:val="008E6CF2"/>
    <w:rsid w:val="008E6F81"/>
    <w:rsid w:val="008E7997"/>
    <w:rsid w:val="008F0738"/>
    <w:rsid w:val="008F1A17"/>
    <w:rsid w:val="008F1CCD"/>
    <w:rsid w:val="008F250B"/>
    <w:rsid w:val="008F27B2"/>
    <w:rsid w:val="008F51FA"/>
    <w:rsid w:val="008F5607"/>
    <w:rsid w:val="008F5E94"/>
    <w:rsid w:val="008F6175"/>
    <w:rsid w:val="008F66DD"/>
    <w:rsid w:val="008F66EB"/>
    <w:rsid w:val="008F6BD1"/>
    <w:rsid w:val="00900738"/>
    <w:rsid w:val="00900F12"/>
    <w:rsid w:val="00901D24"/>
    <w:rsid w:val="00902A6A"/>
    <w:rsid w:val="00903265"/>
    <w:rsid w:val="0090462F"/>
    <w:rsid w:val="00904B2F"/>
    <w:rsid w:val="00905BBE"/>
    <w:rsid w:val="00905EEF"/>
    <w:rsid w:val="009064CB"/>
    <w:rsid w:val="0090682E"/>
    <w:rsid w:val="00907434"/>
    <w:rsid w:val="00907D29"/>
    <w:rsid w:val="009108B9"/>
    <w:rsid w:val="0091106A"/>
    <w:rsid w:val="00911186"/>
    <w:rsid w:val="00911A09"/>
    <w:rsid w:val="00911B7A"/>
    <w:rsid w:val="009122A9"/>
    <w:rsid w:val="0091285B"/>
    <w:rsid w:val="0091309C"/>
    <w:rsid w:val="00913186"/>
    <w:rsid w:val="00914D2A"/>
    <w:rsid w:val="0091511E"/>
    <w:rsid w:val="0091535D"/>
    <w:rsid w:val="00915527"/>
    <w:rsid w:val="0091582C"/>
    <w:rsid w:val="00915C87"/>
    <w:rsid w:val="00915DB4"/>
    <w:rsid w:val="009165A3"/>
    <w:rsid w:val="00916703"/>
    <w:rsid w:val="00916DDE"/>
    <w:rsid w:val="00920DD7"/>
    <w:rsid w:val="00921118"/>
    <w:rsid w:val="00921482"/>
    <w:rsid w:val="009215DC"/>
    <w:rsid w:val="00922229"/>
    <w:rsid w:val="009222DF"/>
    <w:rsid w:val="00923C81"/>
    <w:rsid w:val="0092406A"/>
    <w:rsid w:val="00924DA3"/>
    <w:rsid w:val="00925519"/>
    <w:rsid w:val="009257D4"/>
    <w:rsid w:val="009262D5"/>
    <w:rsid w:val="0092689C"/>
    <w:rsid w:val="0092692D"/>
    <w:rsid w:val="00926C31"/>
    <w:rsid w:val="0092725D"/>
    <w:rsid w:val="0093003A"/>
    <w:rsid w:val="00930A45"/>
    <w:rsid w:val="00930A82"/>
    <w:rsid w:val="00930E34"/>
    <w:rsid w:val="00930EEF"/>
    <w:rsid w:val="009315CF"/>
    <w:rsid w:val="00931E64"/>
    <w:rsid w:val="00932156"/>
    <w:rsid w:val="0093300B"/>
    <w:rsid w:val="00934982"/>
    <w:rsid w:val="00934A78"/>
    <w:rsid w:val="0093526C"/>
    <w:rsid w:val="009352D2"/>
    <w:rsid w:val="00935352"/>
    <w:rsid w:val="009358F9"/>
    <w:rsid w:val="00935934"/>
    <w:rsid w:val="00935FDD"/>
    <w:rsid w:val="00936C09"/>
    <w:rsid w:val="009377A0"/>
    <w:rsid w:val="0094004F"/>
    <w:rsid w:val="0094012B"/>
    <w:rsid w:val="00940F47"/>
    <w:rsid w:val="0094125F"/>
    <w:rsid w:val="00941761"/>
    <w:rsid w:val="0094232B"/>
    <w:rsid w:val="0094337D"/>
    <w:rsid w:val="00943CE5"/>
    <w:rsid w:val="00943F41"/>
    <w:rsid w:val="00944283"/>
    <w:rsid w:val="009450AB"/>
    <w:rsid w:val="00946128"/>
    <w:rsid w:val="009461E6"/>
    <w:rsid w:val="009461F1"/>
    <w:rsid w:val="009469D7"/>
    <w:rsid w:val="00946EB3"/>
    <w:rsid w:val="0094725E"/>
    <w:rsid w:val="009477D8"/>
    <w:rsid w:val="009534E9"/>
    <w:rsid w:val="00953F70"/>
    <w:rsid w:val="009552FB"/>
    <w:rsid w:val="00955638"/>
    <w:rsid w:val="00955AEB"/>
    <w:rsid w:val="00956AA9"/>
    <w:rsid w:val="00957405"/>
    <w:rsid w:val="009576B7"/>
    <w:rsid w:val="00960DAE"/>
    <w:rsid w:val="00962FE3"/>
    <w:rsid w:val="0096361E"/>
    <w:rsid w:val="0096451F"/>
    <w:rsid w:val="0096492A"/>
    <w:rsid w:val="00965CA2"/>
    <w:rsid w:val="00965DE5"/>
    <w:rsid w:val="0096606D"/>
    <w:rsid w:val="009663B9"/>
    <w:rsid w:val="009664D9"/>
    <w:rsid w:val="00966527"/>
    <w:rsid w:val="00967215"/>
    <w:rsid w:val="00967DA9"/>
    <w:rsid w:val="00970D21"/>
    <w:rsid w:val="009722C3"/>
    <w:rsid w:val="00973A42"/>
    <w:rsid w:val="00973C3B"/>
    <w:rsid w:val="009741C9"/>
    <w:rsid w:val="00974584"/>
    <w:rsid w:val="00974A2E"/>
    <w:rsid w:val="00974FA9"/>
    <w:rsid w:val="0097526E"/>
    <w:rsid w:val="00975739"/>
    <w:rsid w:val="00975F77"/>
    <w:rsid w:val="00976132"/>
    <w:rsid w:val="00977269"/>
    <w:rsid w:val="0097761C"/>
    <w:rsid w:val="00982356"/>
    <w:rsid w:val="0098296E"/>
    <w:rsid w:val="0098425B"/>
    <w:rsid w:val="00984D63"/>
    <w:rsid w:val="009851C9"/>
    <w:rsid w:val="00987122"/>
    <w:rsid w:val="00987C88"/>
    <w:rsid w:val="0099030A"/>
    <w:rsid w:val="00991410"/>
    <w:rsid w:val="00991450"/>
    <w:rsid w:val="009917E0"/>
    <w:rsid w:val="0099336F"/>
    <w:rsid w:val="00993939"/>
    <w:rsid w:val="00995573"/>
    <w:rsid w:val="00995BEF"/>
    <w:rsid w:val="0099604D"/>
    <w:rsid w:val="00996ABA"/>
    <w:rsid w:val="009976E4"/>
    <w:rsid w:val="00997F1B"/>
    <w:rsid w:val="009A03C0"/>
    <w:rsid w:val="009A0CD0"/>
    <w:rsid w:val="009A0FC5"/>
    <w:rsid w:val="009A2446"/>
    <w:rsid w:val="009A36C7"/>
    <w:rsid w:val="009A3A35"/>
    <w:rsid w:val="009A4328"/>
    <w:rsid w:val="009A4665"/>
    <w:rsid w:val="009A4BB6"/>
    <w:rsid w:val="009A4CF9"/>
    <w:rsid w:val="009A4FBC"/>
    <w:rsid w:val="009A5E1F"/>
    <w:rsid w:val="009A7290"/>
    <w:rsid w:val="009B03EC"/>
    <w:rsid w:val="009B13E3"/>
    <w:rsid w:val="009B1765"/>
    <w:rsid w:val="009B2053"/>
    <w:rsid w:val="009B58BE"/>
    <w:rsid w:val="009B59DC"/>
    <w:rsid w:val="009B6746"/>
    <w:rsid w:val="009B6F80"/>
    <w:rsid w:val="009B702E"/>
    <w:rsid w:val="009B74A0"/>
    <w:rsid w:val="009C053B"/>
    <w:rsid w:val="009C22B1"/>
    <w:rsid w:val="009C26B0"/>
    <w:rsid w:val="009C461A"/>
    <w:rsid w:val="009C4CD1"/>
    <w:rsid w:val="009C4E34"/>
    <w:rsid w:val="009C4EF7"/>
    <w:rsid w:val="009C5271"/>
    <w:rsid w:val="009C59EA"/>
    <w:rsid w:val="009C783C"/>
    <w:rsid w:val="009D01C6"/>
    <w:rsid w:val="009D0ABD"/>
    <w:rsid w:val="009D197A"/>
    <w:rsid w:val="009D3023"/>
    <w:rsid w:val="009D3C68"/>
    <w:rsid w:val="009D3FEA"/>
    <w:rsid w:val="009D45B9"/>
    <w:rsid w:val="009D4B57"/>
    <w:rsid w:val="009D4CA8"/>
    <w:rsid w:val="009D5007"/>
    <w:rsid w:val="009D7A72"/>
    <w:rsid w:val="009E039B"/>
    <w:rsid w:val="009E092B"/>
    <w:rsid w:val="009E20E4"/>
    <w:rsid w:val="009E213C"/>
    <w:rsid w:val="009E2312"/>
    <w:rsid w:val="009E31B3"/>
    <w:rsid w:val="009E35A1"/>
    <w:rsid w:val="009E368E"/>
    <w:rsid w:val="009E395B"/>
    <w:rsid w:val="009E47BC"/>
    <w:rsid w:val="009E4ED1"/>
    <w:rsid w:val="009E591F"/>
    <w:rsid w:val="009E6C1F"/>
    <w:rsid w:val="009E6CF0"/>
    <w:rsid w:val="009E711E"/>
    <w:rsid w:val="009E7B52"/>
    <w:rsid w:val="009E7F54"/>
    <w:rsid w:val="009F0216"/>
    <w:rsid w:val="009F0A9E"/>
    <w:rsid w:val="009F0CD6"/>
    <w:rsid w:val="009F0F49"/>
    <w:rsid w:val="009F1EFF"/>
    <w:rsid w:val="009F2126"/>
    <w:rsid w:val="009F2E39"/>
    <w:rsid w:val="009F2F34"/>
    <w:rsid w:val="009F3898"/>
    <w:rsid w:val="009F3F8E"/>
    <w:rsid w:val="009F4A3A"/>
    <w:rsid w:val="009F6765"/>
    <w:rsid w:val="009F7A46"/>
    <w:rsid w:val="009F7C84"/>
    <w:rsid w:val="00A00B4B"/>
    <w:rsid w:val="00A01FEB"/>
    <w:rsid w:val="00A023EA"/>
    <w:rsid w:val="00A029F4"/>
    <w:rsid w:val="00A02A5B"/>
    <w:rsid w:val="00A031F3"/>
    <w:rsid w:val="00A0446F"/>
    <w:rsid w:val="00A04F2E"/>
    <w:rsid w:val="00A04F3A"/>
    <w:rsid w:val="00A06525"/>
    <w:rsid w:val="00A06D73"/>
    <w:rsid w:val="00A06FA1"/>
    <w:rsid w:val="00A07DBD"/>
    <w:rsid w:val="00A10104"/>
    <w:rsid w:val="00A10515"/>
    <w:rsid w:val="00A10FBA"/>
    <w:rsid w:val="00A111C5"/>
    <w:rsid w:val="00A113BA"/>
    <w:rsid w:val="00A119F8"/>
    <w:rsid w:val="00A11B29"/>
    <w:rsid w:val="00A129AB"/>
    <w:rsid w:val="00A12B1D"/>
    <w:rsid w:val="00A15457"/>
    <w:rsid w:val="00A15562"/>
    <w:rsid w:val="00A15F2F"/>
    <w:rsid w:val="00A16A05"/>
    <w:rsid w:val="00A17B95"/>
    <w:rsid w:val="00A2040E"/>
    <w:rsid w:val="00A22B7D"/>
    <w:rsid w:val="00A232CD"/>
    <w:rsid w:val="00A2440E"/>
    <w:rsid w:val="00A24993"/>
    <w:rsid w:val="00A24C8C"/>
    <w:rsid w:val="00A24CC9"/>
    <w:rsid w:val="00A25070"/>
    <w:rsid w:val="00A262B6"/>
    <w:rsid w:val="00A265F3"/>
    <w:rsid w:val="00A26677"/>
    <w:rsid w:val="00A26E45"/>
    <w:rsid w:val="00A27089"/>
    <w:rsid w:val="00A27A7B"/>
    <w:rsid w:val="00A27AFA"/>
    <w:rsid w:val="00A30056"/>
    <w:rsid w:val="00A300FA"/>
    <w:rsid w:val="00A30FB7"/>
    <w:rsid w:val="00A32554"/>
    <w:rsid w:val="00A32FF0"/>
    <w:rsid w:val="00A3391A"/>
    <w:rsid w:val="00A34626"/>
    <w:rsid w:val="00A34B5B"/>
    <w:rsid w:val="00A34D2E"/>
    <w:rsid w:val="00A356A3"/>
    <w:rsid w:val="00A365E6"/>
    <w:rsid w:val="00A36814"/>
    <w:rsid w:val="00A372F1"/>
    <w:rsid w:val="00A37725"/>
    <w:rsid w:val="00A3783D"/>
    <w:rsid w:val="00A37C97"/>
    <w:rsid w:val="00A37FAF"/>
    <w:rsid w:val="00A4020C"/>
    <w:rsid w:val="00A417F6"/>
    <w:rsid w:val="00A4219B"/>
    <w:rsid w:val="00A4228E"/>
    <w:rsid w:val="00A42CCA"/>
    <w:rsid w:val="00A43824"/>
    <w:rsid w:val="00A44268"/>
    <w:rsid w:val="00A4473D"/>
    <w:rsid w:val="00A44D29"/>
    <w:rsid w:val="00A46182"/>
    <w:rsid w:val="00A465A2"/>
    <w:rsid w:val="00A4763B"/>
    <w:rsid w:val="00A47BED"/>
    <w:rsid w:val="00A47F5E"/>
    <w:rsid w:val="00A50766"/>
    <w:rsid w:val="00A50829"/>
    <w:rsid w:val="00A51FF2"/>
    <w:rsid w:val="00A521BE"/>
    <w:rsid w:val="00A52718"/>
    <w:rsid w:val="00A5361E"/>
    <w:rsid w:val="00A53BBE"/>
    <w:rsid w:val="00A54040"/>
    <w:rsid w:val="00A546C6"/>
    <w:rsid w:val="00A54818"/>
    <w:rsid w:val="00A549E2"/>
    <w:rsid w:val="00A55273"/>
    <w:rsid w:val="00A5570A"/>
    <w:rsid w:val="00A55975"/>
    <w:rsid w:val="00A55C7F"/>
    <w:rsid w:val="00A55FFB"/>
    <w:rsid w:val="00A56C6E"/>
    <w:rsid w:val="00A57109"/>
    <w:rsid w:val="00A573DE"/>
    <w:rsid w:val="00A57F49"/>
    <w:rsid w:val="00A601F9"/>
    <w:rsid w:val="00A61464"/>
    <w:rsid w:val="00A61D54"/>
    <w:rsid w:val="00A61E78"/>
    <w:rsid w:val="00A623C4"/>
    <w:rsid w:val="00A62A06"/>
    <w:rsid w:val="00A645B6"/>
    <w:rsid w:val="00A64FCD"/>
    <w:rsid w:val="00A65425"/>
    <w:rsid w:val="00A65DAA"/>
    <w:rsid w:val="00A664EA"/>
    <w:rsid w:val="00A66E45"/>
    <w:rsid w:val="00A67AF9"/>
    <w:rsid w:val="00A67B6F"/>
    <w:rsid w:val="00A67B72"/>
    <w:rsid w:val="00A70885"/>
    <w:rsid w:val="00A70BC0"/>
    <w:rsid w:val="00A70E25"/>
    <w:rsid w:val="00A70F57"/>
    <w:rsid w:val="00A7107C"/>
    <w:rsid w:val="00A7132A"/>
    <w:rsid w:val="00A71728"/>
    <w:rsid w:val="00A71CD3"/>
    <w:rsid w:val="00A71D2C"/>
    <w:rsid w:val="00A7228D"/>
    <w:rsid w:val="00A722BE"/>
    <w:rsid w:val="00A74481"/>
    <w:rsid w:val="00A74DB4"/>
    <w:rsid w:val="00A7614E"/>
    <w:rsid w:val="00A768D4"/>
    <w:rsid w:val="00A77B51"/>
    <w:rsid w:val="00A811E8"/>
    <w:rsid w:val="00A8225A"/>
    <w:rsid w:val="00A82DE1"/>
    <w:rsid w:val="00A83D02"/>
    <w:rsid w:val="00A848AC"/>
    <w:rsid w:val="00A85927"/>
    <w:rsid w:val="00A85EA9"/>
    <w:rsid w:val="00A86789"/>
    <w:rsid w:val="00A87447"/>
    <w:rsid w:val="00A907F1"/>
    <w:rsid w:val="00A90B85"/>
    <w:rsid w:val="00A91225"/>
    <w:rsid w:val="00A91853"/>
    <w:rsid w:val="00A91FDD"/>
    <w:rsid w:val="00A92089"/>
    <w:rsid w:val="00A924C8"/>
    <w:rsid w:val="00A92643"/>
    <w:rsid w:val="00A928D3"/>
    <w:rsid w:val="00A9355C"/>
    <w:rsid w:val="00A94007"/>
    <w:rsid w:val="00A945F3"/>
    <w:rsid w:val="00A9537D"/>
    <w:rsid w:val="00A9541F"/>
    <w:rsid w:val="00A960E5"/>
    <w:rsid w:val="00A97383"/>
    <w:rsid w:val="00A977E9"/>
    <w:rsid w:val="00A97B2D"/>
    <w:rsid w:val="00A97F29"/>
    <w:rsid w:val="00AA112E"/>
    <w:rsid w:val="00AA1257"/>
    <w:rsid w:val="00AA193C"/>
    <w:rsid w:val="00AA28D9"/>
    <w:rsid w:val="00AA2A56"/>
    <w:rsid w:val="00AA38BF"/>
    <w:rsid w:val="00AA46EC"/>
    <w:rsid w:val="00AA4898"/>
    <w:rsid w:val="00AA4A78"/>
    <w:rsid w:val="00AA50AD"/>
    <w:rsid w:val="00AA575B"/>
    <w:rsid w:val="00AA5FCF"/>
    <w:rsid w:val="00AA7864"/>
    <w:rsid w:val="00AB2552"/>
    <w:rsid w:val="00AB27C0"/>
    <w:rsid w:val="00AB289F"/>
    <w:rsid w:val="00AB35DF"/>
    <w:rsid w:val="00AB3E1E"/>
    <w:rsid w:val="00AB42E4"/>
    <w:rsid w:val="00AB47E0"/>
    <w:rsid w:val="00AB5428"/>
    <w:rsid w:val="00AB5AFF"/>
    <w:rsid w:val="00AB5E6F"/>
    <w:rsid w:val="00AB7368"/>
    <w:rsid w:val="00AB7944"/>
    <w:rsid w:val="00AB798C"/>
    <w:rsid w:val="00AB7D02"/>
    <w:rsid w:val="00AC0609"/>
    <w:rsid w:val="00AC10F9"/>
    <w:rsid w:val="00AC16E3"/>
    <w:rsid w:val="00AC1EE3"/>
    <w:rsid w:val="00AC280C"/>
    <w:rsid w:val="00AC35F5"/>
    <w:rsid w:val="00AC3ED2"/>
    <w:rsid w:val="00AC4514"/>
    <w:rsid w:val="00AC4ECB"/>
    <w:rsid w:val="00AC5A5E"/>
    <w:rsid w:val="00AC600F"/>
    <w:rsid w:val="00AC7440"/>
    <w:rsid w:val="00AD0517"/>
    <w:rsid w:val="00AD0EC8"/>
    <w:rsid w:val="00AD1B51"/>
    <w:rsid w:val="00AD2A1C"/>
    <w:rsid w:val="00AD2FE2"/>
    <w:rsid w:val="00AD3847"/>
    <w:rsid w:val="00AD43F2"/>
    <w:rsid w:val="00AD5228"/>
    <w:rsid w:val="00AD5476"/>
    <w:rsid w:val="00AE0776"/>
    <w:rsid w:val="00AE0E89"/>
    <w:rsid w:val="00AE0EA1"/>
    <w:rsid w:val="00AE197F"/>
    <w:rsid w:val="00AE20DD"/>
    <w:rsid w:val="00AE2180"/>
    <w:rsid w:val="00AE244A"/>
    <w:rsid w:val="00AE2665"/>
    <w:rsid w:val="00AE2C24"/>
    <w:rsid w:val="00AE4237"/>
    <w:rsid w:val="00AE43CE"/>
    <w:rsid w:val="00AE4F1B"/>
    <w:rsid w:val="00AE5433"/>
    <w:rsid w:val="00AE605B"/>
    <w:rsid w:val="00AE70C7"/>
    <w:rsid w:val="00AF0459"/>
    <w:rsid w:val="00AF0591"/>
    <w:rsid w:val="00AF07E4"/>
    <w:rsid w:val="00AF09D6"/>
    <w:rsid w:val="00AF1769"/>
    <w:rsid w:val="00AF17B1"/>
    <w:rsid w:val="00AF1A4A"/>
    <w:rsid w:val="00AF3693"/>
    <w:rsid w:val="00AF3EF1"/>
    <w:rsid w:val="00AF43A3"/>
    <w:rsid w:val="00AF4B48"/>
    <w:rsid w:val="00AF5AB9"/>
    <w:rsid w:val="00AF649A"/>
    <w:rsid w:val="00AF64A5"/>
    <w:rsid w:val="00AF672F"/>
    <w:rsid w:val="00AF6845"/>
    <w:rsid w:val="00AF6EA9"/>
    <w:rsid w:val="00AF7863"/>
    <w:rsid w:val="00B007A5"/>
    <w:rsid w:val="00B00BB7"/>
    <w:rsid w:val="00B00F15"/>
    <w:rsid w:val="00B02A6F"/>
    <w:rsid w:val="00B02B95"/>
    <w:rsid w:val="00B03A39"/>
    <w:rsid w:val="00B03E72"/>
    <w:rsid w:val="00B043C1"/>
    <w:rsid w:val="00B04526"/>
    <w:rsid w:val="00B04D55"/>
    <w:rsid w:val="00B066A2"/>
    <w:rsid w:val="00B06CCE"/>
    <w:rsid w:val="00B06E36"/>
    <w:rsid w:val="00B072A3"/>
    <w:rsid w:val="00B10E28"/>
    <w:rsid w:val="00B123D0"/>
    <w:rsid w:val="00B12935"/>
    <w:rsid w:val="00B12A10"/>
    <w:rsid w:val="00B13013"/>
    <w:rsid w:val="00B13EDF"/>
    <w:rsid w:val="00B14370"/>
    <w:rsid w:val="00B14477"/>
    <w:rsid w:val="00B14949"/>
    <w:rsid w:val="00B150B3"/>
    <w:rsid w:val="00B15897"/>
    <w:rsid w:val="00B16EA5"/>
    <w:rsid w:val="00B17C4C"/>
    <w:rsid w:val="00B206F9"/>
    <w:rsid w:val="00B214AE"/>
    <w:rsid w:val="00B21AAA"/>
    <w:rsid w:val="00B236C8"/>
    <w:rsid w:val="00B24116"/>
    <w:rsid w:val="00B24117"/>
    <w:rsid w:val="00B243B2"/>
    <w:rsid w:val="00B25139"/>
    <w:rsid w:val="00B26BF5"/>
    <w:rsid w:val="00B26E41"/>
    <w:rsid w:val="00B26FA6"/>
    <w:rsid w:val="00B2782C"/>
    <w:rsid w:val="00B2783F"/>
    <w:rsid w:val="00B30597"/>
    <w:rsid w:val="00B305A3"/>
    <w:rsid w:val="00B310BF"/>
    <w:rsid w:val="00B324DE"/>
    <w:rsid w:val="00B3270D"/>
    <w:rsid w:val="00B32AC6"/>
    <w:rsid w:val="00B338B1"/>
    <w:rsid w:val="00B33C09"/>
    <w:rsid w:val="00B34178"/>
    <w:rsid w:val="00B34240"/>
    <w:rsid w:val="00B34A03"/>
    <w:rsid w:val="00B34A06"/>
    <w:rsid w:val="00B3528E"/>
    <w:rsid w:val="00B36103"/>
    <w:rsid w:val="00B366DF"/>
    <w:rsid w:val="00B3687B"/>
    <w:rsid w:val="00B36971"/>
    <w:rsid w:val="00B3706E"/>
    <w:rsid w:val="00B37B00"/>
    <w:rsid w:val="00B40240"/>
    <w:rsid w:val="00B407E4"/>
    <w:rsid w:val="00B411A3"/>
    <w:rsid w:val="00B426DD"/>
    <w:rsid w:val="00B42B0F"/>
    <w:rsid w:val="00B436C8"/>
    <w:rsid w:val="00B43B04"/>
    <w:rsid w:val="00B4406D"/>
    <w:rsid w:val="00B445AF"/>
    <w:rsid w:val="00B448E2"/>
    <w:rsid w:val="00B45EC6"/>
    <w:rsid w:val="00B464FA"/>
    <w:rsid w:val="00B46A8C"/>
    <w:rsid w:val="00B46E3D"/>
    <w:rsid w:val="00B46F32"/>
    <w:rsid w:val="00B473B6"/>
    <w:rsid w:val="00B473DD"/>
    <w:rsid w:val="00B50935"/>
    <w:rsid w:val="00B5099E"/>
    <w:rsid w:val="00B526B3"/>
    <w:rsid w:val="00B52F0B"/>
    <w:rsid w:val="00B533EA"/>
    <w:rsid w:val="00B53FF6"/>
    <w:rsid w:val="00B549FD"/>
    <w:rsid w:val="00B5611A"/>
    <w:rsid w:val="00B567F9"/>
    <w:rsid w:val="00B56C77"/>
    <w:rsid w:val="00B5740E"/>
    <w:rsid w:val="00B60AB9"/>
    <w:rsid w:val="00B60EA5"/>
    <w:rsid w:val="00B6177D"/>
    <w:rsid w:val="00B6281A"/>
    <w:rsid w:val="00B63B37"/>
    <w:rsid w:val="00B65C88"/>
    <w:rsid w:val="00B67B63"/>
    <w:rsid w:val="00B7183E"/>
    <w:rsid w:val="00B71C0C"/>
    <w:rsid w:val="00B7295F"/>
    <w:rsid w:val="00B73722"/>
    <w:rsid w:val="00B73CC3"/>
    <w:rsid w:val="00B74C96"/>
    <w:rsid w:val="00B75E00"/>
    <w:rsid w:val="00B765CB"/>
    <w:rsid w:val="00B77036"/>
    <w:rsid w:val="00B7772B"/>
    <w:rsid w:val="00B800D4"/>
    <w:rsid w:val="00B8052D"/>
    <w:rsid w:val="00B8082F"/>
    <w:rsid w:val="00B80DE0"/>
    <w:rsid w:val="00B81736"/>
    <w:rsid w:val="00B817EB"/>
    <w:rsid w:val="00B82A81"/>
    <w:rsid w:val="00B84A73"/>
    <w:rsid w:val="00B85216"/>
    <w:rsid w:val="00B861B4"/>
    <w:rsid w:val="00B8702F"/>
    <w:rsid w:val="00B92A3D"/>
    <w:rsid w:val="00B92A66"/>
    <w:rsid w:val="00B93600"/>
    <w:rsid w:val="00B938BC"/>
    <w:rsid w:val="00B9436C"/>
    <w:rsid w:val="00B952B5"/>
    <w:rsid w:val="00B95E8A"/>
    <w:rsid w:val="00B963DD"/>
    <w:rsid w:val="00B965B1"/>
    <w:rsid w:val="00B96825"/>
    <w:rsid w:val="00B97E61"/>
    <w:rsid w:val="00BA0296"/>
    <w:rsid w:val="00BA0C2F"/>
    <w:rsid w:val="00BA0D57"/>
    <w:rsid w:val="00BA0EC4"/>
    <w:rsid w:val="00BA1184"/>
    <w:rsid w:val="00BA1570"/>
    <w:rsid w:val="00BA350A"/>
    <w:rsid w:val="00BA36D1"/>
    <w:rsid w:val="00BA3B08"/>
    <w:rsid w:val="00BA3BE2"/>
    <w:rsid w:val="00BA3E53"/>
    <w:rsid w:val="00BA40DF"/>
    <w:rsid w:val="00BA5EBA"/>
    <w:rsid w:val="00BA7059"/>
    <w:rsid w:val="00BB0562"/>
    <w:rsid w:val="00BB11BB"/>
    <w:rsid w:val="00BB1246"/>
    <w:rsid w:val="00BB2B65"/>
    <w:rsid w:val="00BB2C5D"/>
    <w:rsid w:val="00BB3110"/>
    <w:rsid w:val="00BB4FCF"/>
    <w:rsid w:val="00BB514F"/>
    <w:rsid w:val="00BB5787"/>
    <w:rsid w:val="00BB671E"/>
    <w:rsid w:val="00BB716B"/>
    <w:rsid w:val="00BB7EE8"/>
    <w:rsid w:val="00BC012B"/>
    <w:rsid w:val="00BC1616"/>
    <w:rsid w:val="00BC175F"/>
    <w:rsid w:val="00BC18CA"/>
    <w:rsid w:val="00BC2019"/>
    <w:rsid w:val="00BC2201"/>
    <w:rsid w:val="00BC2261"/>
    <w:rsid w:val="00BC3410"/>
    <w:rsid w:val="00BC3F0B"/>
    <w:rsid w:val="00BC5545"/>
    <w:rsid w:val="00BC66EA"/>
    <w:rsid w:val="00BC6DAE"/>
    <w:rsid w:val="00BC6DFE"/>
    <w:rsid w:val="00BC6FC0"/>
    <w:rsid w:val="00BD0338"/>
    <w:rsid w:val="00BD12A2"/>
    <w:rsid w:val="00BD1600"/>
    <w:rsid w:val="00BD35E1"/>
    <w:rsid w:val="00BD3BD6"/>
    <w:rsid w:val="00BD4008"/>
    <w:rsid w:val="00BD4151"/>
    <w:rsid w:val="00BD4CC1"/>
    <w:rsid w:val="00BD4F5A"/>
    <w:rsid w:val="00BD5085"/>
    <w:rsid w:val="00BD5E4F"/>
    <w:rsid w:val="00BD6580"/>
    <w:rsid w:val="00BD6820"/>
    <w:rsid w:val="00BD6EDB"/>
    <w:rsid w:val="00BD721E"/>
    <w:rsid w:val="00BD7441"/>
    <w:rsid w:val="00BD7AEB"/>
    <w:rsid w:val="00BE0387"/>
    <w:rsid w:val="00BE05B5"/>
    <w:rsid w:val="00BE0981"/>
    <w:rsid w:val="00BE1696"/>
    <w:rsid w:val="00BE1A23"/>
    <w:rsid w:val="00BE1A8E"/>
    <w:rsid w:val="00BE1FF8"/>
    <w:rsid w:val="00BE225B"/>
    <w:rsid w:val="00BE30DE"/>
    <w:rsid w:val="00BE35E6"/>
    <w:rsid w:val="00BE3BE1"/>
    <w:rsid w:val="00BE53D6"/>
    <w:rsid w:val="00BE561A"/>
    <w:rsid w:val="00BE5BAC"/>
    <w:rsid w:val="00BE6864"/>
    <w:rsid w:val="00BE7A3F"/>
    <w:rsid w:val="00BE7CF6"/>
    <w:rsid w:val="00BE7F03"/>
    <w:rsid w:val="00BF01ED"/>
    <w:rsid w:val="00BF058D"/>
    <w:rsid w:val="00BF11DA"/>
    <w:rsid w:val="00BF14EC"/>
    <w:rsid w:val="00BF17A7"/>
    <w:rsid w:val="00BF1F01"/>
    <w:rsid w:val="00BF2A0B"/>
    <w:rsid w:val="00BF31E1"/>
    <w:rsid w:val="00BF4ABD"/>
    <w:rsid w:val="00C003C5"/>
    <w:rsid w:val="00C00F4D"/>
    <w:rsid w:val="00C0133D"/>
    <w:rsid w:val="00C019AE"/>
    <w:rsid w:val="00C022E3"/>
    <w:rsid w:val="00C02519"/>
    <w:rsid w:val="00C03239"/>
    <w:rsid w:val="00C03CC6"/>
    <w:rsid w:val="00C047F4"/>
    <w:rsid w:val="00C053A4"/>
    <w:rsid w:val="00C0655F"/>
    <w:rsid w:val="00C06A0D"/>
    <w:rsid w:val="00C07DDE"/>
    <w:rsid w:val="00C07FB5"/>
    <w:rsid w:val="00C10A82"/>
    <w:rsid w:val="00C10D58"/>
    <w:rsid w:val="00C111EB"/>
    <w:rsid w:val="00C12031"/>
    <w:rsid w:val="00C12ACE"/>
    <w:rsid w:val="00C13E6C"/>
    <w:rsid w:val="00C13EAB"/>
    <w:rsid w:val="00C1414B"/>
    <w:rsid w:val="00C1440B"/>
    <w:rsid w:val="00C14845"/>
    <w:rsid w:val="00C15A4C"/>
    <w:rsid w:val="00C1680E"/>
    <w:rsid w:val="00C16E33"/>
    <w:rsid w:val="00C17E2A"/>
    <w:rsid w:val="00C17F75"/>
    <w:rsid w:val="00C2013D"/>
    <w:rsid w:val="00C20169"/>
    <w:rsid w:val="00C2077E"/>
    <w:rsid w:val="00C21E03"/>
    <w:rsid w:val="00C22D36"/>
    <w:rsid w:val="00C2461B"/>
    <w:rsid w:val="00C24AB9"/>
    <w:rsid w:val="00C26390"/>
    <w:rsid w:val="00C26409"/>
    <w:rsid w:val="00C26420"/>
    <w:rsid w:val="00C275FE"/>
    <w:rsid w:val="00C2782D"/>
    <w:rsid w:val="00C27C7B"/>
    <w:rsid w:val="00C31EF0"/>
    <w:rsid w:val="00C33358"/>
    <w:rsid w:val="00C33BDF"/>
    <w:rsid w:val="00C35AE4"/>
    <w:rsid w:val="00C36303"/>
    <w:rsid w:val="00C36C03"/>
    <w:rsid w:val="00C37685"/>
    <w:rsid w:val="00C379AB"/>
    <w:rsid w:val="00C416E5"/>
    <w:rsid w:val="00C416EC"/>
    <w:rsid w:val="00C42485"/>
    <w:rsid w:val="00C432CB"/>
    <w:rsid w:val="00C443B6"/>
    <w:rsid w:val="00C44CD1"/>
    <w:rsid w:val="00C45553"/>
    <w:rsid w:val="00C45964"/>
    <w:rsid w:val="00C46527"/>
    <w:rsid w:val="00C47D0E"/>
    <w:rsid w:val="00C50BC1"/>
    <w:rsid w:val="00C5328C"/>
    <w:rsid w:val="00C53979"/>
    <w:rsid w:val="00C54505"/>
    <w:rsid w:val="00C54AEF"/>
    <w:rsid w:val="00C55961"/>
    <w:rsid w:val="00C570A6"/>
    <w:rsid w:val="00C57CE0"/>
    <w:rsid w:val="00C603C2"/>
    <w:rsid w:val="00C605BC"/>
    <w:rsid w:val="00C61B01"/>
    <w:rsid w:val="00C61D57"/>
    <w:rsid w:val="00C61FB5"/>
    <w:rsid w:val="00C649BD"/>
    <w:rsid w:val="00C64C63"/>
    <w:rsid w:val="00C652AA"/>
    <w:rsid w:val="00C65961"/>
    <w:rsid w:val="00C65E98"/>
    <w:rsid w:val="00C667AE"/>
    <w:rsid w:val="00C66FF0"/>
    <w:rsid w:val="00C67E47"/>
    <w:rsid w:val="00C70ED3"/>
    <w:rsid w:val="00C71351"/>
    <w:rsid w:val="00C741FF"/>
    <w:rsid w:val="00C74204"/>
    <w:rsid w:val="00C744DF"/>
    <w:rsid w:val="00C74592"/>
    <w:rsid w:val="00C76579"/>
    <w:rsid w:val="00C76749"/>
    <w:rsid w:val="00C771BF"/>
    <w:rsid w:val="00C7776C"/>
    <w:rsid w:val="00C8178C"/>
    <w:rsid w:val="00C81841"/>
    <w:rsid w:val="00C81D9C"/>
    <w:rsid w:val="00C82B06"/>
    <w:rsid w:val="00C83BE6"/>
    <w:rsid w:val="00C843D5"/>
    <w:rsid w:val="00C84624"/>
    <w:rsid w:val="00C84B89"/>
    <w:rsid w:val="00C84D14"/>
    <w:rsid w:val="00C85B74"/>
    <w:rsid w:val="00C85C54"/>
    <w:rsid w:val="00C85C62"/>
    <w:rsid w:val="00C85ED2"/>
    <w:rsid w:val="00C86347"/>
    <w:rsid w:val="00C87535"/>
    <w:rsid w:val="00C91237"/>
    <w:rsid w:val="00C91AF0"/>
    <w:rsid w:val="00C91DAE"/>
    <w:rsid w:val="00C922F1"/>
    <w:rsid w:val="00C9236A"/>
    <w:rsid w:val="00C93E06"/>
    <w:rsid w:val="00C943B8"/>
    <w:rsid w:val="00C95170"/>
    <w:rsid w:val="00C952E3"/>
    <w:rsid w:val="00C9532B"/>
    <w:rsid w:val="00C95A8C"/>
    <w:rsid w:val="00C963D7"/>
    <w:rsid w:val="00C96D6F"/>
    <w:rsid w:val="00C97065"/>
    <w:rsid w:val="00CA1D88"/>
    <w:rsid w:val="00CA238A"/>
    <w:rsid w:val="00CA2AE3"/>
    <w:rsid w:val="00CA2AFC"/>
    <w:rsid w:val="00CA3B14"/>
    <w:rsid w:val="00CA458B"/>
    <w:rsid w:val="00CA566B"/>
    <w:rsid w:val="00CA62FE"/>
    <w:rsid w:val="00CB0332"/>
    <w:rsid w:val="00CB1C58"/>
    <w:rsid w:val="00CB1EF2"/>
    <w:rsid w:val="00CB26CC"/>
    <w:rsid w:val="00CB2879"/>
    <w:rsid w:val="00CB2D75"/>
    <w:rsid w:val="00CB6475"/>
    <w:rsid w:val="00CB707F"/>
    <w:rsid w:val="00CB7DF4"/>
    <w:rsid w:val="00CB7FFD"/>
    <w:rsid w:val="00CC1820"/>
    <w:rsid w:val="00CC285F"/>
    <w:rsid w:val="00CC3727"/>
    <w:rsid w:val="00CC3F3E"/>
    <w:rsid w:val="00CC5171"/>
    <w:rsid w:val="00CC5E37"/>
    <w:rsid w:val="00CC7073"/>
    <w:rsid w:val="00CC724A"/>
    <w:rsid w:val="00CC7589"/>
    <w:rsid w:val="00CD04C2"/>
    <w:rsid w:val="00CD08D3"/>
    <w:rsid w:val="00CD0BFD"/>
    <w:rsid w:val="00CD160A"/>
    <w:rsid w:val="00CD375F"/>
    <w:rsid w:val="00CD3B8D"/>
    <w:rsid w:val="00CD52E7"/>
    <w:rsid w:val="00CD5969"/>
    <w:rsid w:val="00CD610A"/>
    <w:rsid w:val="00CD6886"/>
    <w:rsid w:val="00CD6C8B"/>
    <w:rsid w:val="00CD7193"/>
    <w:rsid w:val="00CD7BAC"/>
    <w:rsid w:val="00CD7CBD"/>
    <w:rsid w:val="00CD7DA8"/>
    <w:rsid w:val="00CE0092"/>
    <w:rsid w:val="00CE018C"/>
    <w:rsid w:val="00CE0C51"/>
    <w:rsid w:val="00CE295C"/>
    <w:rsid w:val="00CE2C0E"/>
    <w:rsid w:val="00CE33E1"/>
    <w:rsid w:val="00CE48EC"/>
    <w:rsid w:val="00CE52A0"/>
    <w:rsid w:val="00CE6325"/>
    <w:rsid w:val="00CE66D8"/>
    <w:rsid w:val="00CE6E03"/>
    <w:rsid w:val="00CE7E7D"/>
    <w:rsid w:val="00CF0AEE"/>
    <w:rsid w:val="00CF0C66"/>
    <w:rsid w:val="00CF2705"/>
    <w:rsid w:val="00CF425E"/>
    <w:rsid w:val="00CF432E"/>
    <w:rsid w:val="00CF46CF"/>
    <w:rsid w:val="00CF541C"/>
    <w:rsid w:val="00CF5B30"/>
    <w:rsid w:val="00CF6D91"/>
    <w:rsid w:val="00CF70FB"/>
    <w:rsid w:val="00CF7163"/>
    <w:rsid w:val="00D0020E"/>
    <w:rsid w:val="00D013FA"/>
    <w:rsid w:val="00D014D5"/>
    <w:rsid w:val="00D0159B"/>
    <w:rsid w:val="00D0193D"/>
    <w:rsid w:val="00D01C09"/>
    <w:rsid w:val="00D0214E"/>
    <w:rsid w:val="00D02E02"/>
    <w:rsid w:val="00D03A67"/>
    <w:rsid w:val="00D03AEF"/>
    <w:rsid w:val="00D04667"/>
    <w:rsid w:val="00D052B1"/>
    <w:rsid w:val="00D063B3"/>
    <w:rsid w:val="00D07ED6"/>
    <w:rsid w:val="00D07F9A"/>
    <w:rsid w:val="00D10A23"/>
    <w:rsid w:val="00D10F4A"/>
    <w:rsid w:val="00D1103B"/>
    <w:rsid w:val="00D12164"/>
    <w:rsid w:val="00D121CE"/>
    <w:rsid w:val="00D126A9"/>
    <w:rsid w:val="00D12DFF"/>
    <w:rsid w:val="00D13338"/>
    <w:rsid w:val="00D13CD8"/>
    <w:rsid w:val="00D142D9"/>
    <w:rsid w:val="00D14432"/>
    <w:rsid w:val="00D152BC"/>
    <w:rsid w:val="00D16285"/>
    <w:rsid w:val="00D173B9"/>
    <w:rsid w:val="00D20961"/>
    <w:rsid w:val="00D21672"/>
    <w:rsid w:val="00D22094"/>
    <w:rsid w:val="00D22243"/>
    <w:rsid w:val="00D22C4A"/>
    <w:rsid w:val="00D23322"/>
    <w:rsid w:val="00D24697"/>
    <w:rsid w:val="00D24F3D"/>
    <w:rsid w:val="00D24F88"/>
    <w:rsid w:val="00D25531"/>
    <w:rsid w:val="00D2565A"/>
    <w:rsid w:val="00D25B54"/>
    <w:rsid w:val="00D2651A"/>
    <w:rsid w:val="00D2660A"/>
    <w:rsid w:val="00D2734B"/>
    <w:rsid w:val="00D275A6"/>
    <w:rsid w:val="00D2769D"/>
    <w:rsid w:val="00D3016A"/>
    <w:rsid w:val="00D3028F"/>
    <w:rsid w:val="00D3166F"/>
    <w:rsid w:val="00D32026"/>
    <w:rsid w:val="00D32034"/>
    <w:rsid w:val="00D32A73"/>
    <w:rsid w:val="00D330F6"/>
    <w:rsid w:val="00D33ADD"/>
    <w:rsid w:val="00D34343"/>
    <w:rsid w:val="00D343FA"/>
    <w:rsid w:val="00D34BF8"/>
    <w:rsid w:val="00D35EA0"/>
    <w:rsid w:val="00D37911"/>
    <w:rsid w:val="00D40B3B"/>
    <w:rsid w:val="00D41BAB"/>
    <w:rsid w:val="00D41FF5"/>
    <w:rsid w:val="00D42D47"/>
    <w:rsid w:val="00D42DEC"/>
    <w:rsid w:val="00D44029"/>
    <w:rsid w:val="00D4543B"/>
    <w:rsid w:val="00D46711"/>
    <w:rsid w:val="00D47121"/>
    <w:rsid w:val="00D508DE"/>
    <w:rsid w:val="00D50CDA"/>
    <w:rsid w:val="00D5122E"/>
    <w:rsid w:val="00D521BA"/>
    <w:rsid w:val="00D529ED"/>
    <w:rsid w:val="00D5318A"/>
    <w:rsid w:val="00D53425"/>
    <w:rsid w:val="00D535A1"/>
    <w:rsid w:val="00D53D67"/>
    <w:rsid w:val="00D54B5D"/>
    <w:rsid w:val="00D559CC"/>
    <w:rsid w:val="00D56236"/>
    <w:rsid w:val="00D575E0"/>
    <w:rsid w:val="00D579B4"/>
    <w:rsid w:val="00D57BA7"/>
    <w:rsid w:val="00D606E1"/>
    <w:rsid w:val="00D60881"/>
    <w:rsid w:val="00D62B43"/>
    <w:rsid w:val="00D63D17"/>
    <w:rsid w:val="00D644AC"/>
    <w:rsid w:val="00D651B4"/>
    <w:rsid w:val="00D65AA1"/>
    <w:rsid w:val="00D6626A"/>
    <w:rsid w:val="00D66406"/>
    <w:rsid w:val="00D6663A"/>
    <w:rsid w:val="00D667D7"/>
    <w:rsid w:val="00D67F19"/>
    <w:rsid w:val="00D70299"/>
    <w:rsid w:val="00D7046B"/>
    <w:rsid w:val="00D71310"/>
    <w:rsid w:val="00D721CE"/>
    <w:rsid w:val="00D726FB"/>
    <w:rsid w:val="00D72701"/>
    <w:rsid w:val="00D72852"/>
    <w:rsid w:val="00D735C1"/>
    <w:rsid w:val="00D736E8"/>
    <w:rsid w:val="00D745BB"/>
    <w:rsid w:val="00D75562"/>
    <w:rsid w:val="00D75839"/>
    <w:rsid w:val="00D7652D"/>
    <w:rsid w:val="00D77D0E"/>
    <w:rsid w:val="00D77E6E"/>
    <w:rsid w:val="00D800A2"/>
    <w:rsid w:val="00D80BD6"/>
    <w:rsid w:val="00D81E78"/>
    <w:rsid w:val="00D8211B"/>
    <w:rsid w:val="00D82B40"/>
    <w:rsid w:val="00D82F3D"/>
    <w:rsid w:val="00D83313"/>
    <w:rsid w:val="00D83F37"/>
    <w:rsid w:val="00D845DC"/>
    <w:rsid w:val="00D84B7B"/>
    <w:rsid w:val="00D85530"/>
    <w:rsid w:val="00D85D6C"/>
    <w:rsid w:val="00D85E20"/>
    <w:rsid w:val="00D8612B"/>
    <w:rsid w:val="00D86A63"/>
    <w:rsid w:val="00D872DB"/>
    <w:rsid w:val="00D87C7E"/>
    <w:rsid w:val="00D900EC"/>
    <w:rsid w:val="00D91276"/>
    <w:rsid w:val="00D914CD"/>
    <w:rsid w:val="00D918BC"/>
    <w:rsid w:val="00D92459"/>
    <w:rsid w:val="00D93F3C"/>
    <w:rsid w:val="00D94B77"/>
    <w:rsid w:val="00D94CA9"/>
    <w:rsid w:val="00D94EB0"/>
    <w:rsid w:val="00D9582D"/>
    <w:rsid w:val="00D95834"/>
    <w:rsid w:val="00D960BF"/>
    <w:rsid w:val="00D96A28"/>
    <w:rsid w:val="00D97D81"/>
    <w:rsid w:val="00DA03F1"/>
    <w:rsid w:val="00DA0572"/>
    <w:rsid w:val="00DA0605"/>
    <w:rsid w:val="00DA3D78"/>
    <w:rsid w:val="00DA49F3"/>
    <w:rsid w:val="00DA4D2D"/>
    <w:rsid w:val="00DA4F97"/>
    <w:rsid w:val="00DA57C3"/>
    <w:rsid w:val="00DA5DB5"/>
    <w:rsid w:val="00DA5F1A"/>
    <w:rsid w:val="00DA6A48"/>
    <w:rsid w:val="00DB032B"/>
    <w:rsid w:val="00DB09C6"/>
    <w:rsid w:val="00DB0E8B"/>
    <w:rsid w:val="00DB133C"/>
    <w:rsid w:val="00DB155A"/>
    <w:rsid w:val="00DB1812"/>
    <w:rsid w:val="00DB1AE4"/>
    <w:rsid w:val="00DB2C72"/>
    <w:rsid w:val="00DB30CF"/>
    <w:rsid w:val="00DB4A6E"/>
    <w:rsid w:val="00DB5D09"/>
    <w:rsid w:val="00DB61E3"/>
    <w:rsid w:val="00DB6E04"/>
    <w:rsid w:val="00DB7171"/>
    <w:rsid w:val="00DB78DE"/>
    <w:rsid w:val="00DC1840"/>
    <w:rsid w:val="00DC2FED"/>
    <w:rsid w:val="00DC3327"/>
    <w:rsid w:val="00DC45F7"/>
    <w:rsid w:val="00DC5734"/>
    <w:rsid w:val="00DC5D85"/>
    <w:rsid w:val="00DC627A"/>
    <w:rsid w:val="00DC62BA"/>
    <w:rsid w:val="00DC6502"/>
    <w:rsid w:val="00DC75E7"/>
    <w:rsid w:val="00DC7BB6"/>
    <w:rsid w:val="00DD02E2"/>
    <w:rsid w:val="00DD1AF9"/>
    <w:rsid w:val="00DD2A39"/>
    <w:rsid w:val="00DD2E91"/>
    <w:rsid w:val="00DD3B91"/>
    <w:rsid w:val="00DD4840"/>
    <w:rsid w:val="00DD492E"/>
    <w:rsid w:val="00DD4AEE"/>
    <w:rsid w:val="00DD4C01"/>
    <w:rsid w:val="00DD5630"/>
    <w:rsid w:val="00DD5A41"/>
    <w:rsid w:val="00DD6877"/>
    <w:rsid w:val="00DD6AA4"/>
    <w:rsid w:val="00DD6C43"/>
    <w:rsid w:val="00DD7AA2"/>
    <w:rsid w:val="00DE02AE"/>
    <w:rsid w:val="00DE0744"/>
    <w:rsid w:val="00DE163E"/>
    <w:rsid w:val="00DE1D5F"/>
    <w:rsid w:val="00DE22BE"/>
    <w:rsid w:val="00DE2ACB"/>
    <w:rsid w:val="00DE3D66"/>
    <w:rsid w:val="00DE416B"/>
    <w:rsid w:val="00DE431E"/>
    <w:rsid w:val="00DE4C45"/>
    <w:rsid w:val="00DE4CA4"/>
    <w:rsid w:val="00DE5E74"/>
    <w:rsid w:val="00DE66F3"/>
    <w:rsid w:val="00DE6CD4"/>
    <w:rsid w:val="00DE7491"/>
    <w:rsid w:val="00DF1C69"/>
    <w:rsid w:val="00DF2391"/>
    <w:rsid w:val="00DF29D3"/>
    <w:rsid w:val="00DF30DD"/>
    <w:rsid w:val="00DF386F"/>
    <w:rsid w:val="00DF4F2E"/>
    <w:rsid w:val="00DF4F56"/>
    <w:rsid w:val="00DF6B77"/>
    <w:rsid w:val="00E00310"/>
    <w:rsid w:val="00E00449"/>
    <w:rsid w:val="00E0084C"/>
    <w:rsid w:val="00E00991"/>
    <w:rsid w:val="00E00B7E"/>
    <w:rsid w:val="00E01772"/>
    <w:rsid w:val="00E01EE3"/>
    <w:rsid w:val="00E0219E"/>
    <w:rsid w:val="00E02A21"/>
    <w:rsid w:val="00E02A5E"/>
    <w:rsid w:val="00E03B0C"/>
    <w:rsid w:val="00E04CD1"/>
    <w:rsid w:val="00E06264"/>
    <w:rsid w:val="00E07B8E"/>
    <w:rsid w:val="00E105A3"/>
    <w:rsid w:val="00E10896"/>
    <w:rsid w:val="00E10AD0"/>
    <w:rsid w:val="00E118E9"/>
    <w:rsid w:val="00E128B4"/>
    <w:rsid w:val="00E12ED1"/>
    <w:rsid w:val="00E12FFD"/>
    <w:rsid w:val="00E1408F"/>
    <w:rsid w:val="00E149F3"/>
    <w:rsid w:val="00E14F99"/>
    <w:rsid w:val="00E153F4"/>
    <w:rsid w:val="00E17020"/>
    <w:rsid w:val="00E17198"/>
    <w:rsid w:val="00E17F29"/>
    <w:rsid w:val="00E20810"/>
    <w:rsid w:val="00E20A29"/>
    <w:rsid w:val="00E20B39"/>
    <w:rsid w:val="00E21E8D"/>
    <w:rsid w:val="00E22137"/>
    <w:rsid w:val="00E223D8"/>
    <w:rsid w:val="00E22AE1"/>
    <w:rsid w:val="00E24AA1"/>
    <w:rsid w:val="00E25190"/>
    <w:rsid w:val="00E26812"/>
    <w:rsid w:val="00E26EEF"/>
    <w:rsid w:val="00E2715E"/>
    <w:rsid w:val="00E27521"/>
    <w:rsid w:val="00E320B8"/>
    <w:rsid w:val="00E32293"/>
    <w:rsid w:val="00E3252C"/>
    <w:rsid w:val="00E330CC"/>
    <w:rsid w:val="00E337E9"/>
    <w:rsid w:val="00E33BE5"/>
    <w:rsid w:val="00E33F5D"/>
    <w:rsid w:val="00E3424D"/>
    <w:rsid w:val="00E346C1"/>
    <w:rsid w:val="00E3555F"/>
    <w:rsid w:val="00E3578E"/>
    <w:rsid w:val="00E35D0B"/>
    <w:rsid w:val="00E35E54"/>
    <w:rsid w:val="00E3607C"/>
    <w:rsid w:val="00E36F40"/>
    <w:rsid w:val="00E37354"/>
    <w:rsid w:val="00E40D25"/>
    <w:rsid w:val="00E415E2"/>
    <w:rsid w:val="00E415FF"/>
    <w:rsid w:val="00E41F3B"/>
    <w:rsid w:val="00E42D63"/>
    <w:rsid w:val="00E44009"/>
    <w:rsid w:val="00E4428A"/>
    <w:rsid w:val="00E445D4"/>
    <w:rsid w:val="00E4462A"/>
    <w:rsid w:val="00E45B1D"/>
    <w:rsid w:val="00E46DD2"/>
    <w:rsid w:val="00E471EA"/>
    <w:rsid w:val="00E47A49"/>
    <w:rsid w:val="00E503B1"/>
    <w:rsid w:val="00E51036"/>
    <w:rsid w:val="00E51A66"/>
    <w:rsid w:val="00E5220A"/>
    <w:rsid w:val="00E52BC3"/>
    <w:rsid w:val="00E53FD7"/>
    <w:rsid w:val="00E56006"/>
    <w:rsid w:val="00E560C6"/>
    <w:rsid w:val="00E57444"/>
    <w:rsid w:val="00E574C3"/>
    <w:rsid w:val="00E57598"/>
    <w:rsid w:val="00E6030D"/>
    <w:rsid w:val="00E61981"/>
    <w:rsid w:val="00E6232A"/>
    <w:rsid w:val="00E62A1C"/>
    <w:rsid w:val="00E62A4D"/>
    <w:rsid w:val="00E6327A"/>
    <w:rsid w:val="00E632EF"/>
    <w:rsid w:val="00E64C1D"/>
    <w:rsid w:val="00E656AF"/>
    <w:rsid w:val="00E66BED"/>
    <w:rsid w:val="00E66CBD"/>
    <w:rsid w:val="00E70994"/>
    <w:rsid w:val="00E70A2F"/>
    <w:rsid w:val="00E70CDC"/>
    <w:rsid w:val="00E74038"/>
    <w:rsid w:val="00E74AB6"/>
    <w:rsid w:val="00E74D47"/>
    <w:rsid w:val="00E76518"/>
    <w:rsid w:val="00E766B3"/>
    <w:rsid w:val="00E76D7E"/>
    <w:rsid w:val="00E7707E"/>
    <w:rsid w:val="00E7767B"/>
    <w:rsid w:val="00E815EB"/>
    <w:rsid w:val="00E81CA4"/>
    <w:rsid w:val="00E8222A"/>
    <w:rsid w:val="00E82621"/>
    <w:rsid w:val="00E82D10"/>
    <w:rsid w:val="00E8443C"/>
    <w:rsid w:val="00E858AB"/>
    <w:rsid w:val="00E870DE"/>
    <w:rsid w:val="00E87598"/>
    <w:rsid w:val="00E87EB7"/>
    <w:rsid w:val="00E902FB"/>
    <w:rsid w:val="00E90300"/>
    <w:rsid w:val="00E91094"/>
    <w:rsid w:val="00E913D4"/>
    <w:rsid w:val="00E91883"/>
    <w:rsid w:val="00E91D72"/>
    <w:rsid w:val="00E91F08"/>
    <w:rsid w:val="00E925AA"/>
    <w:rsid w:val="00E93381"/>
    <w:rsid w:val="00E93447"/>
    <w:rsid w:val="00E93704"/>
    <w:rsid w:val="00E938C4"/>
    <w:rsid w:val="00E9428F"/>
    <w:rsid w:val="00E966E3"/>
    <w:rsid w:val="00E966E7"/>
    <w:rsid w:val="00EA002D"/>
    <w:rsid w:val="00EA0123"/>
    <w:rsid w:val="00EA0B5A"/>
    <w:rsid w:val="00EA22B1"/>
    <w:rsid w:val="00EA29EC"/>
    <w:rsid w:val="00EA3171"/>
    <w:rsid w:val="00EA38AA"/>
    <w:rsid w:val="00EA3FAB"/>
    <w:rsid w:val="00EA4076"/>
    <w:rsid w:val="00EA487E"/>
    <w:rsid w:val="00EA4A63"/>
    <w:rsid w:val="00EA513C"/>
    <w:rsid w:val="00EA57D5"/>
    <w:rsid w:val="00EA6AC9"/>
    <w:rsid w:val="00EA78C8"/>
    <w:rsid w:val="00EB2769"/>
    <w:rsid w:val="00EB2C85"/>
    <w:rsid w:val="00EB2C8B"/>
    <w:rsid w:val="00EB3EBC"/>
    <w:rsid w:val="00EB46FB"/>
    <w:rsid w:val="00EB4B93"/>
    <w:rsid w:val="00EB5E52"/>
    <w:rsid w:val="00EB5FEC"/>
    <w:rsid w:val="00EB6A70"/>
    <w:rsid w:val="00EB7762"/>
    <w:rsid w:val="00EB7FA3"/>
    <w:rsid w:val="00EC0742"/>
    <w:rsid w:val="00EC0BAD"/>
    <w:rsid w:val="00EC147A"/>
    <w:rsid w:val="00EC2F1A"/>
    <w:rsid w:val="00EC3100"/>
    <w:rsid w:val="00EC37B7"/>
    <w:rsid w:val="00EC4BB1"/>
    <w:rsid w:val="00EC5590"/>
    <w:rsid w:val="00EC6037"/>
    <w:rsid w:val="00EC61DE"/>
    <w:rsid w:val="00EC66E2"/>
    <w:rsid w:val="00ED0463"/>
    <w:rsid w:val="00ED091C"/>
    <w:rsid w:val="00ED0CBA"/>
    <w:rsid w:val="00ED1BB3"/>
    <w:rsid w:val="00ED433C"/>
    <w:rsid w:val="00ED43F1"/>
    <w:rsid w:val="00ED4A07"/>
    <w:rsid w:val="00ED5105"/>
    <w:rsid w:val="00ED513D"/>
    <w:rsid w:val="00ED543A"/>
    <w:rsid w:val="00ED5A7C"/>
    <w:rsid w:val="00EE049C"/>
    <w:rsid w:val="00EE13BE"/>
    <w:rsid w:val="00EE1896"/>
    <w:rsid w:val="00EE1FA2"/>
    <w:rsid w:val="00EE2A5C"/>
    <w:rsid w:val="00EE328B"/>
    <w:rsid w:val="00EE3850"/>
    <w:rsid w:val="00EE3B48"/>
    <w:rsid w:val="00EE3F84"/>
    <w:rsid w:val="00EE401B"/>
    <w:rsid w:val="00EE4411"/>
    <w:rsid w:val="00EE4E89"/>
    <w:rsid w:val="00EE56C7"/>
    <w:rsid w:val="00EE5B74"/>
    <w:rsid w:val="00EE7DBB"/>
    <w:rsid w:val="00EF0737"/>
    <w:rsid w:val="00EF076A"/>
    <w:rsid w:val="00EF1439"/>
    <w:rsid w:val="00EF28BE"/>
    <w:rsid w:val="00EF31EA"/>
    <w:rsid w:val="00EF3334"/>
    <w:rsid w:val="00EF33DF"/>
    <w:rsid w:val="00EF4B1F"/>
    <w:rsid w:val="00EF55CC"/>
    <w:rsid w:val="00EF64D2"/>
    <w:rsid w:val="00EF6A2A"/>
    <w:rsid w:val="00EF6CE8"/>
    <w:rsid w:val="00EF6F8B"/>
    <w:rsid w:val="00EF783E"/>
    <w:rsid w:val="00EF7B71"/>
    <w:rsid w:val="00F00854"/>
    <w:rsid w:val="00F00A34"/>
    <w:rsid w:val="00F00A36"/>
    <w:rsid w:val="00F00F3E"/>
    <w:rsid w:val="00F01426"/>
    <w:rsid w:val="00F01E66"/>
    <w:rsid w:val="00F01F1D"/>
    <w:rsid w:val="00F0342D"/>
    <w:rsid w:val="00F03B98"/>
    <w:rsid w:val="00F04729"/>
    <w:rsid w:val="00F048B9"/>
    <w:rsid w:val="00F05AE8"/>
    <w:rsid w:val="00F07CF0"/>
    <w:rsid w:val="00F07E9D"/>
    <w:rsid w:val="00F07F7D"/>
    <w:rsid w:val="00F108C3"/>
    <w:rsid w:val="00F110C9"/>
    <w:rsid w:val="00F12F7A"/>
    <w:rsid w:val="00F131BF"/>
    <w:rsid w:val="00F13784"/>
    <w:rsid w:val="00F15B9D"/>
    <w:rsid w:val="00F16ABE"/>
    <w:rsid w:val="00F175DC"/>
    <w:rsid w:val="00F1779C"/>
    <w:rsid w:val="00F2091A"/>
    <w:rsid w:val="00F22599"/>
    <w:rsid w:val="00F225AF"/>
    <w:rsid w:val="00F233E7"/>
    <w:rsid w:val="00F23808"/>
    <w:rsid w:val="00F23961"/>
    <w:rsid w:val="00F239E4"/>
    <w:rsid w:val="00F23AF1"/>
    <w:rsid w:val="00F23E3E"/>
    <w:rsid w:val="00F242F7"/>
    <w:rsid w:val="00F246AE"/>
    <w:rsid w:val="00F248D8"/>
    <w:rsid w:val="00F26CC6"/>
    <w:rsid w:val="00F27075"/>
    <w:rsid w:val="00F27CDB"/>
    <w:rsid w:val="00F3012D"/>
    <w:rsid w:val="00F3032B"/>
    <w:rsid w:val="00F3091B"/>
    <w:rsid w:val="00F318F2"/>
    <w:rsid w:val="00F335FC"/>
    <w:rsid w:val="00F34749"/>
    <w:rsid w:val="00F37252"/>
    <w:rsid w:val="00F375AD"/>
    <w:rsid w:val="00F40EAF"/>
    <w:rsid w:val="00F41A73"/>
    <w:rsid w:val="00F41A75"/>
    <w:rsid w:val="00F437DF"/>
    <w:rsid w:val="00F44056"/>
    <w:rsid w:val="00F44465"/>
    <w:rsid w:val="00F455E4"/>
    <w:rsid w:val="00F45760"/>
    <w:rsid w:val="00F45850"/>
    <w:rsid w:val="00F45889"/>
    <w:rsid w:val="00F459C0"/>
    <w:rsid w:val="00F46017"/>
    <w:rsid w:val="00F46C68"/>
    <w:rsid w:val="00F46DB8"/>
    <w:rsid w:val="00F46DDC"/>
    <w:rsid w:val="00F51E10"/>
    <w:rsid w:val="00F52F30"/>
    <w:rsid w:val="00F5390D"/>
    <w:rsid w:val="00F54503"/>
    <w:rsid w:val="00F545B2"/>
    <w:rsid w:val="00F5611D"/>
    <w:rsid w:val="00F56410"/>
    <w:rsid w:val="00F56659"/>
    <w:rsid w:val="00F56C0E"/>
    <w:rsid w:val="00F56CC8"/>
    <w:rsid w:val="00F56F2A"/>
    <w:rsid w:val="00F570BA"/>
    <w:rsid w:val="00F57AD0"/>
    <w:rsid w:val="00F6130C"/>
    <w:rsid w:val="00F618FC"/>
    <w:rsid w:val="00F61F01"/>
    <w:rsid w:val="00F6239D"/>
    <w:rsid w:val="00F62835"/>
    <w:rsid w:val="00F62D25"/>
    <w:rsid w:val="00F63151"/>
    <w:rsid w:val="00F63550"/>
    <w:rsid w:val="00F63FB3"/>
    <w:rsid w:val="00F64C39"/>
    <w:rsid w:val="00F64C4A"/>
    <w:rsid w:val="00F660D4"/>
    <w:rsid w:val="00F66A8C"/>
    <w:rsid w:val="00F728C4"/>
    <w:rsid w:val="00F73C24"/>
    <w:rsid w:val="00F74039"/>
    <w:rsid w:val="00F75BD4"/>
    <w:rsid w:val="00F77E86"/>
    <w:rsid w:val="00F829FC"/>
    <w:rsid w:val="00F84056"/>
    <w:rsid w:val="00F844F3"/>
    <w:rsid w:val="00F846EF"/>
    <w:rsid w:val="00F85BED"/>
    <w:rsid w:val="00F85CA9"/>
    <w:rsid w:val="00F85D8B"/>
    <w:rsid w:val="00F86694"/>
    <w:rsid w:val="00F873BB"/>
    <w:rsid w:val="00F87862"/>
    <w:rsid w:val="00F87E0C"/>
    <w:rsid w:val="00F90561"/>
    <w:rsid w:val="00F91028"/>
    <w:rsid w:val="00F91C6C"/>
    <w:rsid w:val="00F91F92"/>
    <w:rsid w:val="00F928FA"/>
    <w:rsid w:val="00F92F20"/>
    <w:rsid w:val="00F93361"/>
    <w:rsid w:val="00F93BB0"/>
    <w:rsid w:val="00F94745"/>
    <w:rsid w:val="00F94B24"/>
    <w:rsid w:val="00F957F3"/>
    <w:rsid w:val="00F96892"/>
    <w:rsid w:val="00F96BC6"/>
    <w:rsid w:val="00F96F20"/>
    <w:rsid w:val="00F9754E"/>
    <w:rsid w:val="00F97A23"/>
    <w:rsid w:val="00FA00CC"/>
    <w:rsid w:val="00FA05F8"/>
    <w:rsid w:val="00FA0BC7"/>
    <w:rsid w:val="00FA1262"/>
    <w:rsid w:val="00FA16A4"/>
    <w:rsid w:val="00FA193D"/>
    <w:rsid w:val="00FA2743"/>
    <w:rsid w:val="00FA2892"/>
    <w:rsid w:val="00FA2BA9"/>
    <w:rsid w:val="00FA31D8"/>
    <w:rsid w:val="00FA422A"/>
    <w:rsid w:val="00FA4AE2"/>
    <w:rsid w:val="00FA4DAA"/>
    <w:rsid w:val="00FA4FB4"/>
    <w:rsid w:val="00FA52BE"/>
    <w:rsid w:val="00FA628D"/>
    <w:rsid w:val="00FA6FD7"/>
    <w:rsid w:val="00FA7179"/>
    <w:rsid w:val="00FA7B51"/>
    <w:rsid w:val="00FB0392"/>
    <w:rsid w:val="00FB3CA3"/>
    <w:rsid w:val="00FB4800"/>
    <w:rsid w:val="00FB6586"/>
    <w:rsid w:val="00FC018A"/>
    <w:rsid w:val="00FC019C"/>
    <w:rsid w:val="00FC0760"/>
    <w:rsid w:val="00FC1218"/>
    <w:rsid w:val="00FC1759"/>
    <w:rsid w:val="00FC1A26"/>
    <w:rsid w:val="00FC1E60"/>
    <w:rsid w:val="00FC2FED"/>
    <w:rsid w:val="00FC3245"/>
    <w:rsid w:val="00FC3950"/>
    <w:rsid w:val="00FC3B34"/>
    <w:rsid w:val="00FC40A0"/>
    <w:rsid w:val="00FC4352"/>
    <w:rsid w:val="00FC59C1"/>
    <w:rsid w:val="00FC69CA"/>
    <w:rsid w:val="00FD0027"/>
    <w:rsid w:val="00FD07A3"/>
    <w:rsid w:val="00FD1242"/>
    <w:rsid w:val="00FD1721"/>
    <w:rsid w:val="00FD26DB"/>
    <w:rsid w:val="00FD32BB"/>
    <w:rsid w:val="00FD4105"/>
    <w:rsid w:val="00FD4424"/>
    <w:rsid w:val="00FD507B"/>
    <w:rsid w:val="00FD58F4"/>
    <w:rsid w:val="00FD7625"/>
    <w:rsid w:val="00FE09EA"/>
    <w:rsid w:val="00FE1CC0"/>
    <w:rsid w:val="00FE2217"/>
    <w:rsid w:val="00FE26DC"/>
    <w:rsid w:val="00FE274C"/>
    <w:rsid w:val="00FE3785"/>
    <w:rsid w:val="00FE3BDA"/>
    <w:rsid w:val="00FE4196"/>
    <w:rsid w:val="00FE48A7"/>
    <w:rsid w:val="00FE4C94"/>
    <w:rsid w:val="00FE57CB"/>
    <w:rsid w:val="00FE5AFC"/>
    <w:rsid w:val="00FE5EDE"/>
    <w:rsid w:val="00FE663F"/>
    <w:rsid w:val="00FE7313"/>
    <w:rsid w:val="00FF0415"/>
    <w:rsid w:val="00FF0C0C"/>
    <w:rsid w:val="00FF0F9F"/>
    <w:rsid w:val="00FF145D"/>
    <w:rsid w:val="00FF24C2"/>
    <w:rsid w:val="00FF2615"/>
    <w:rsid w:val="00FF32BB"/>
    <w:rsid w:val="00FF3459"/>
    <w:rsid w:val="00FF36C8"/>
    <w:rsid w:val="00FF396F"/>
    <w:rsid w:val="00FF44F0"/>
    <w:rsid w:val="00FF4FC8"/>
    <w:rsid w:val="00FF55DD"/>
    <w:rsid w:val="00FF5695"/>
    <w:rsid w:val="00FF585C"/>
    <w:rsid w:val="00FF5997"/>
    <w:rsid w:val="00FF5F86"/>
    <w:rsid w:val="018679D6"/>
    <w:rsid w:val="025A9C60"/>
    <w:rsid w:val="025AA368"/>
    <w:rsid w:val="0262E246"/>
    <w:rsid w:val="03024FB1"/>
    <w:rsid w:val="046B4797"/>
    <w:rsid w:val="046E0C0A"/>
    <w:rsid w:val="04D342AA"/>
    <w:rsid w:val="05227950"/>
    <w:rsid w:val="07158978"/>
    <w:rsid w:val="07A02F5A"/>
    <w:rsid w:val="082A85A9"/>
    <w:rsid w:val="08998E8E"/>
    <w:rsid w:val="091E3684"/>
    <w:rsid w:val="094CA2EF"/>
    <w:rsid w:val="09AEB027"/>
    <w:rsid w:val="09C2DA19"/>
    <w:rsid w:val="0A6FB41D"/>
    <w:rsid w:val="0AFE0947"/>
    <w:rsid w:val="0BE9127A"/>
    <w:rsid w:val="0C0C8869"/>
    <w:rsid w:val="0C5E0B87"/>
    <w:rsid w:val="0C9ACA42"/>
    <w:rsid w:val="0CA3D9D6"/>
    <w:rsid w:val="0CEC8521"/>
    <w:rsid w:val="0D736418"/>
    <w:rsid w:val="0E6F5A99"/>
    <w:rsid w:val="0EA0A581"/>
    <w:rsid w:val="0F74406E"/>
    <w:rsid w:val="0F8119ED"/>
    <w:rsid w:val="1025F742"/>
    <w:rsid w:val="104AEF2D"/>
    <w:rsid w:val="118848ED"/>
    <w:rsid w:val="1292D9B2"/>
    <w:rsid w:val="13F11204"/>
    <w:rsid w:val="141427AD"/>
    <w:rsid w:val="145C45CA"/>
    <w:rsid w:val="14A9FE25"/>
    <w:rsid w:val="14E1DD8A"/>
    <w:rsid w:val="15E31CAE"/>
    <w:rsid w:val="160FF460"/>
    <w:rsid w:val="1691FFA7"/>
    <w:rsid w:val="170E6A39"/>
    <w:rsid w:val="17A638EF"/>
    <w:rsid w:val="17BF2274"/>
    <w:rsid w:val="180F43BB"/>
    <w:rsid w:val="182925BD"/>
    <w:rsid w:val="184B4A78"/>
    <w:rsid w:val="18E1BF72"/>
    <w:rsid w:val="19113A3E"/>
    <w:rsid w:val="19ED5FE3"/>
    <w:rsid w:val="1A39D121"/>
    <w:rsid w:val="1A558E21"/>
    <w:rsid w:val="1A632E6C"/>
    <w:rsid w:val="1A926D7F"/>
    <w:rsid w:val="1AB303A3"/>
    <w:rsid w:val="1ABB18B7"/>
    <w:rsid w:val="1B0E857C"/>
    <w:rsid w:val="1B167C5B"/>
    <w:rsid w:val="1BA1A5D7"/>
    <w:rsid w:val="1BFE550B"/>
    <w:rsid w:val="1C58FB30"/>
    <w:rsid w:val="1C61D103"/>
    <w:rsid w:val="1CBED2DA"/>
    <w:rsid w:val="1CF41A3C"/>
    <w:rsid w:val="1CF739DA"/>
    <w:rsid w:val="1D0CA983"/>
    <w:rsid w:val="1DC83EA9"/>
    <w:rsid w:val="1DDA1404"/>
    <w:rsid w:val="1E534AFB"/>
    <w:rsid w:val="1EC62E01"/>
    <w:rsid w:val="1EE934A1"/>
    <w:rsid w:val="1EF68551"/>
    <w:rsid w:val="1F44C2BB"/>
    <w:rsid w:val="1F639913"/>
    <w:rsid w:val="1F6DA988"/>
    <w:rsid w:val="1FCD3758"/>
    <w:rsid w:val="1FF7D167"/>
    <w:rsid w:val="20123644"/>
    <w:rsid w:val="211461AD"/>
    <w:rsid w:val="2251DDFA"/>
    <w:rsid w:val="22704507"/>
    <w:rsid w:val="22FCB98B"/>
    <w:rsid w:val="237F62D0"/>
    <w:rsid w:val="2494208C"/>
    <w:rsid w:val="255F1EBD"/>
    <w:rsid w:val="27B449E6"/>
    <w:rsid w:val="2856D430"/>
    <w:rsid w:val="28595ED4"/>
    <w:rsid w:val="286474BF"/>
    <w:rsid w:val="2910A699"/>
    <w:rsid w:val="294398E7"/>
    <w:rsid w:val="29E7CC4F"/>
    <w:rsid w:val="2A491E20"/>
    <w:rsid w:val="2ADBD9D4"/>
    <w:rsid w:val="2AEA2509"/>
    <w:rsid w:val="2B0BE613"/>
    <w:rsid w:val="2C02A8F6"/>
    <w:rsid w:val="2D1780D1"/>
    <w:rsid w:val="2D5E7431"/>
    <w:rsid w:val="2D6C65BF"/>
    <w:rsid w:val="2E1E8CC0"/>
    <w:rsid w:val="2EDF6F3D"/>
    <w:rsid w:val="2EF8E6AF"/>
    <w:rsid w:val="2F10D80B"/>
    <w:rsid w:val="2FECE049"/>
    <w:rsid w:val="2FF7A4C1"/>
    <w:rsid w:val="302C58D7"/>
    <w:rsid w:val="3046051D"/>
    <w:rsid w:val="304EBE8B"/>
    <w:rsid w:val="30689AA4"/>
    <w:rsid w:val="3093EF18"/>
    <w:rsid w:val="309EDAC7"/>
    <w:rsid w:val="30E0CF1D"/>
    <w:rsid w:val="317B4304"/>
    <w:rsid w:val="31A60ADF"/>
    <w:rsid w:val="31D35D2E"/>
    <w:rsid w:val="325D84A0"/>
    <w:rsid w:val="33583041"/>
    <w:rsid w:val="3395CC0B"/>
    <w:rsid w:val="3468F470"/>
    <w:rsid w:val="347371E5"/>
    <w:rsid w:val="34F03F46"/>
    <w:rsid w:val="3503F71B"/>
    <w:rsid w:val="3539F661"/>
    <w:rsid w:val="35F1B736"/>
    <w:rsid w:val="36016DE2"/>
    <w:rsid w:val="364B3FCB"/>
    <w:rsid w:val="366A6C3A"/>
    <w:rsid w:val="371F148C"/>
    <w:rsid w:val="378AB0D7"/>
    <w:rsid w:val="37D3C2B0"/>
    <w:rsid w:val="37ED834A"/>
    <w:rsid w:val="383A7F56"/>
    <w:rsid w:val="38B0B7BB"/>
    <w:rsid w:val="39066E44"/>
    <w:rsid w:val="39E372E5"/>
    <w:rsid w:val="3A603D95"/>
    <w:rsid w:val="3AFF628C"/>
    <w:rsid w:val="3B80CB39"/>
    <w:rsid w:val="3BB2B76C"/>
    <w:rsid w:val="3C9AAE86"/>
    <w:rsid w:val="3CF5E83D"/>
    <w:rsid w:val="3D8975FB"/>
    <w:rsid w:val="3DD6F0D3"/>
    <w:rsid w:val="3E36A202"/>
    <w:rsid w:val="3E9FB2D9"/>
    <w:rsid w:val="3EF3BBDE"/>
    <w:rsid w:val="3F0B866D"/>
    <w:rsid w:val="3FFACE2E"/>
    <w:rsid w:val="40953DA8"/>
    <w:rsid w:val="410CF12C"/>
    <w:rsid w:val="42484A01"/>
    <w:rsid w:val="42E8EF1C"/>
    <w:rsid w:val="43409922"/>
    <w:rsid w:val="43B75F7D"/>
    <w:rsid w:val="44C13269"/>
    <w:rsid w:val="44FC7C57"/>
    <w:rsid w:val="455F1BE1"/>
    <w:rsid w:val="45ECCD3F"/>
    <w:rsid w:val="46027766"/>
    <w:rsid w:val="4687A26C"/>
    <w:rsid w:val="46B22012"/>
    <w:rsid w:val="46F0BE0D"/>
    <w:rsid w:val="475688C9"/>
    <w:rsid w:val="482F8E38"/>
    <w:rsid w:val="48982D2F"/>
    <w:rsid w:val="495E0960"/>
    <w:rsid w:val="4A150A45"/>
    <w:rsid w:val="4A241A21"/>
    <w:rsid w:val="4A67C263"/>
    <w:rsid w:val="4A979E0B"/>
    <w:rsid w:val="4AA83C20"/>
    <w:rsid w:val="4B172994"/>
    <w:rsid w:val="4B38BB96"/>
    <w:rsid w:val="4BB566C1"/>
    <w:rsid w:val="4CD2CF8F"/>
    <w:rsid w:val="4CFB134E"/>
    <w:rsid w:val="4D11A5EE"/>
    <w:rsid w:val="4D4AC8AB"/>
    <w:rsid w:val="4D6F986D"/>
    <w:rsid w:val="4DC72C24"/>
    <w:rsid w:val="4E002074"/>
    <w:rsid w:val="4E49A11A"/>
    <w:rsid w:val="4E55985E"/>
    <w:rsid w:val="4ED09BE2"/>
    <w:rsid w:val="4ED7DC45"/>
    <w:rsid w:val="4EEF7F81"/>
    <w:rsid w:val="4F613477"/>
    <w:rsid w:val="4FEFD4AC"/>
    <w:rsid w:val="506B59D7"/>
    <w:rsid w:val="51161BDE"/>
    <w:rsid w:val="51192B39"/>
    <w:rsid w:val="51D26A55"/>
    <w:rsid w:val="51FE7D83"/>
    <w:rsid w:val="523FF9BB"/>
    <w:rsid w:val="52C7B149"/>
    <w:rsid w:val="530E55BD"/>
    <w:rsid w:val="531DBED2"/>
    <w:rsid w:val="535582CB"/>
    <w:rsid w:val="53AA11D3"/>
    <w:rsid w:val="53CE37A1"/>
    <w:rsid w:val="53E2A1B9"/>
    <w:rsid w:val="542E54BB"/>
    <w:rsid w:val="54EE2408"/>
    <w:rsid w:val="55B41E8F"/>
    <w:rsid w:val="5605BE37"/>
    <w:rsid w:val="5663683E"/>
    <w:rsid w:val="56649015"/>
    <w:rsid w:val="569C468C"/>
    <w:rsid w:val="56BB4F49"/>
    <w:rsid w:val="57390A58"/>
    <w:rsid w:val="57A53C52"/>
    <w:rsid w:val="57AC4515"/>
    <w:rsid w:val="58779D1A"/>
    <w:rsid w:val="58BB97EA"/>
    <w:rsid w:val="58D1D0E1"/>
    <w:rsid w:val="5957FA27"/>
    <w:rsid w:val="59A04EDE"/>
    <w:rsid w:val="5A0FF7FD"/>
    <w:rsid w:val="5A4CF09B"/>
    <w:rsid w:val="5BA45BF9"/>
    <w:rsid w:val="5BE75FAE"/>
    <w:rsid w:val="5C0DEE9D"/>
    <w:rsid w:val="5CD16ED7"/>
    <w:rsid w:val="5CEC121E"/>
    <w:rsid w:val="5D504441"/>
    <w:rsid w:val="5D7D9B65"/>
    <w:rsid w:val="5E704B41"/>
    <w:rsid w:val="5EB96EAF"/>
    <w:rsid w:val="5EC6B84B"/>
    <w:rsid w:val="5EF3BBD2"/>
    <w:rsid w:val="5F491C98"/>
    <w:rsid w:val="5F8DC409"/>
    <w:rsid w:val="5F96D0BC"/>
    <w:rsid w:val="5FF5B0A0"/>
    <w:rsid w:val="603BDA44"/>
    <w:rsid w:val="607528DD"/>
    <w:rsid w:val="608A5514"/>
    <w:rsid w:val="60E93092"/>
    <w:rsid w:val="60ED0428"/>
    <w:rsid w:val="613DAF82"/>
    <w:rsid w:val="61C8EB04"/>
    <w:rsid w:val="623B80E1"/>
    <w:rsid w:val="628E15F1"/>
    <w:rsid w:val="63712242"/>
    <w:rsid w:val="63A9EB1A"/>
    <w:rsid w:val="63AF0670"/>
    <w:rsid w:val="63CBD7DB"/>
    <w:rsid w:val="64C470D8"/>
    <w:rsid w:val="64C91108"/>
    <w:rsid w:val="64FEDCEF"/>
    <w:rsid w:val="6562342D"/>
    <w:rsid w:val="65815B75"/>
    <w:rsid w:val="65F75B50"/>
    <w:rsid w:val="66009315"/>
    <w:rsid w:val="66BB5A80"/>
    <w:rsid w:val="6711D3A2"/>
    <w:rsid w:val="6750F38F"/>
    <w:rsid w:val="6766D231"/>
    <w:rsid w:val="68137049"/>
    <w:rsid w:val="6824598B"/>
    <w:rsid w:val="68ADE445"/>
    <w:rsid w:val="68DF0BC8"/>
    <w:rsid w:val="692969AD"/>
    <w:rsid w:val="6939BDED"/>
    <w:rsid w:val="6946151F"/>
    <w:rsid w:val="698EC325"/>
    <w:rsid w:val="69D931D0"/>
    <w:rsid w:val="6A595BE6"/>
    <w:rsid w:val="6B08FCF4"/>
    <w:rsid w:val="6B1C2F45"/>
    <w:rsid w:val="6B838233"/>
    <w:rsid w:val="6BAD0392"/>
    <w:rsid w:val="6C613F67"/>
    <w:rsid w:val="6C93A7E3"/>
    <w:rsid w:val="6C964949"/>
    <w:rsid w:val="6CEF5808"/>
    <w:rsid w:val="6D8DCA26"/>
    <w:rsid w:val="6DC2E7DD"/>
    <w:rsid w:val="6EADEDB6"/>
    <w:rsid w:val="6EB6CA86"/>
    <w:rsid w:val="6F1B0FAD"/>
    <w:rsid w:val="6F4FDA0A"/>
    <w:rsid w:val="6FD37AFF"/>
    <w:rsid w:val="705EB47E"/>
    <w:rsid w:val="70F7DD84"/>
    <w:rsid w:val="71165B07"/>
    <w:rsid w:val="711B9DCA"/>
    <w:rsid w:val="711D199D"/>
    <w:rsid w:val="7120563F"/>
    <w:rsid w:val="7174C174"/>
    <w:rsid w:val="71F7F35B"/>
    <w:rsid w:val="72A3BED4"/>
    <w:rsid w:val="73743221"/>
    <w:rsid w:val="73F0B418"/>
    <w:rsid w:val="741D0CD0"/>
    <w:rsid w:val="747987CD"/>
    <w:rsid w:val="7504AA70"/>
    <w:rsid w:val="75511F75"/>
    <w:rsid w:val="756C5E5E"/>
    <w:rsid w:val="76176AA5"/>
    <w:rsid w:val="769F7CE1"/>
    <w:rsid w:val="76EB2E45"/>
    <w:rsid w:val="77BDAE21"/>
    <w:rsid w:val="78E19F1A"/>
    <w:rsid w:val="7975BF13"/>
    <w:rsid w:val="79A1B529"/>
    <w:rsid w:val="79F67073"/>
    <w:rsid w:val="7A24F91B"/>
    <w:rsid w:val="7AC619BE"/>
    <w:rsid w:val="7B1D4F95"/>
    <w:rsid w:val="7B63854E"/>
    <w:rsid w:val="7B7383DE"/>
    <w:rsid w:val="7BA16879"/>
    <w:rsid w:val="7C7E87B8"/>
    <w:rsid w:val="7C875BEE"/>
    <w:rsid w:val="7CF0F928"/>
    <w:rsid w:val="7D053258"/>
    <w:rsid w:val="7D4AA592"/>
    <w:rsid w:val="7DEBF73C"/>
    <w:rsid w:val="7E57F196"/>
    <w:rsid w:val="7E71E375"/>
    <w:rsid w:val="7F56E1DC"/>
    <w:rsid w:val="7F7654E6"/>
    <w:rsid w:val="7F7DAD31"/>
    <w:rsid w:val="7FAD0461"/>
    <w:rsid w:val="7FBB80E3"/>
    <w:rsid w:val="7FF36B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EE1EF"/>
  <w15:docId w15:val="{C7DB33A3-FFAE-47C2-88D0-79D6CB0A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A2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566936"/>
    <w:pPr>
      <w:pageBreakBefore/>
      <w:numPr>
        <w:numId w:val="6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566936"/>
    <w:pPr>
      <w:keepNext/>
      <w:keepLines/>
      <w:numPr>
        <w:ilvl w:val="1"/>
        <w:numId w:val="6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566936"/>
    <w:pPr>
      <w:keepNext/>
      <w:numPr>
        <w:ilvl w:val="2"/>
        <w:numId w:val="6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566936"/>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566936"/>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566936"/>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9108B9"/>
    <w:pPr>
      <w:keepNext/>
      <w:spacing w:after="120"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AD5228"/>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AD5228"/>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D5228"/>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D5228"/>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215B4D"/>
    <w:pPr>
      <w:numPr>
        <w:numId w:val="7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C27C7B"/>
    <w:pPr>
      <w:numPr>
        <w:ilvl w:val="1"/>
        <w:numId w:val="73"/>
      </w:numPr>
      <w:spacing w:before="120" w:after="120"/>
      <w:contextualSpacing/>
    </w:pPr>
  </w:style>
  <w:style w:type="paragraph" w:styleId="ListNumber">
    <w:name w:val="List Number"/>
    <w:basedOn w:val="Normal"/>
    <w:uiPriority w:val="9"/>
    <w:qFormat/>
    <w:rsid w:val="00C27C7B"/>
    <w:pPr>
      <w:numPr>
        <w:numId w:val="65"/>
      </w:numPr>
      <w:tabs>
        <w:tab w:val="left" w:pos="142"/>
      </w:tabs>
      <w:spacing w:before="120" w:after="120"/>
    </w:pPr>
  </w:style>
  <w:style w:type="paragraph" w:styleId="ListNumber2">
    <w:name w:val="List Number 2"/>
    <w:uiPriority w:val="10"/>
    <w:qFormat/>
    <w:rsid w:val="00C27C7B"/>
    <w:pPr>
      <w:numPr>
        <w:ilvl w:val="1"/>
        <w:numId w:val="6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27C7B"/>
    <w:pPr>
      <w:numPr>
        <w:ilvl w:val="2"/>
        <w:numId w:val="6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134B12"/>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rsid w:val="00AD5228"/>
    <w:pPr>
      <w:spacing w:before="120"/>
    </w:pPr>
    <w:rPr>
      <w:bCs w:val="0"/>
      <w:color w:val="auto"/>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sid w:val="00AD5228"/>
    <w:rPr>
      <w:rFonts w:ascii="Calibri Light" w:eastAsiaTheme="minorHAnsi" w:hAnsi="Calibri Light" w:cstheme="minorBidi"/>
      <w:sz w:val="36"/>
      <w:szCs w:val="22"/>
      <w:lang w:eastAsia="en-US"/>
    </w:rPr>
  </w:style>
  <w:style w:type="numbering" w:customStyle="1" w:styleId="Numberlist">
    <w:name w:val="Number list"/>
    <w:uiPriority w:val="99"/>
    <w:pPr>
      <w:numPr>
        <w:numId w:val="23"/>
      </w:numPr>
    </w:pPr>
  </w:style>
  <w:style w:type="numbering" w:customStyle="1" w:styleId="Headinglist">
    <w:name w:val="Heading list"/>
    <w:uiPriority w:val="99"/>
    <w:pPr>
      <w:numPr>
        <w:numId w:val="4"/>
      </w:numPr>
    </w:pPr>
  </w:style>
  <w:style w:type="paragraph" w:customStyle="1" w:styleId="Normalsmall">
    <w:name w:val="Normal small"/>
    <w:qFormat/>
    <w:rsid w:val="00450991"/>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C27C7B"/>
    <w:pPr>
      <w:numPr>
        <w:ilvl w:val="2"/>
        <w:numId w:val="7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C27C7B"/>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AD5228"/>
    <w:pPr>
      <w:numPr>
        <w:numId w:val="7"/>
      </w:numPr>
      <w:tabs>
        <w:tab w:val="num" w:pos="360"/>
      </w:tabs>
      <w:spacing w:before="60" w:after="60"/>
      <w:ind w:left="0" w:firstLine="284"/>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8"/>
      </w:numPr>
      <w:tabs>
        <w:tab w:val="num" w:pos="284"/>
        <w:tab w:val="num" w:pos="360"/>
      </w:tabs>
      <w:ind w:left="568" w:hanging="284"/>
    </w:pPr>
  </w:style>
  <w:style w:type="numbering" w:customStyle="1" w:styleId="TableBulletlist">
    <w:name w:val="Table Bullet list"/>
    <w:uiPriority w:val="99"/>
  </w:style>
  <w:style w:type="character" w:customStyle="1" w:styleId="UnresolvedMention1">
    <w:name w:val="Unresolved Mention1"/>
    <w:basedOn w:val="DefaultParagraphFont"/>
    <w:uiPriority w:val="99"/>
    <w:semiHidden/>
    <w:unhideWhenUsed/>
    <w:rsid w:val="000B128E"/>
    <w:rPr>
      <w:color w:val="605E5C"/>
      <w:shd w:val="clear" w:color="auto" w:fill="E1DFDD"/>
    </w:rPr>
  </w:style>
  <w:style w:type="paragraph" w:styleId="Revision">
    <w:name w:val="Revision"/>
    <w:hidden/>
    <w:uiPriority w:val="99"/>
    <w:semiHidden/>
    <w:rsid w:val="00A01FEB"/>
    <w:rPr>
      <w:rFonts w:eastAsiaTheme="minorHAnsi" w:cstheme="minorBidi"/>
      <w:sz w:val="22"/>
      <w:szCs w:val="22"/>
      <w:lang w:eastAsia="en-US"/>
    </w:rPr>
  </w:style>
  <w:style w:type="character" w:styleId="UnresolvedMention">
    <w:name w:val="Unresolved Mention"/>
    <w:basedOn w:val="DefaultParagraphFont"/>
    <w:uiPriority w:val="99"/>
    <w:semiHidden/>
    <w:unhideWhenUsed/>
    <w:rsid w:val="00EC3100"/>
    <w:rPr>
      <w:color w:val="605E5C"/>
      <w:shd w:val="clear" w:color="auto" w:fill="E1DFDD"/>
    </w:rPr>
  </w:style>
  <w:style w:type="table" w:customStyle="1" w:styleId="TableGrid10">
    <w:name w:val="Table Grid1"/>
    <w:basedOn w:val="TableNormal"/>
    <w:next w:val="TableGrid"/>
    <w:uiPriority w:val="39"/>
    <w:rsid w:val="00BB4F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rsid w:val="00D644AC"/>
    <w:pPr>
      <w:spacing w:after="100" w:line="259" w:lineRule="auto"/>
      <w:ind w:left="660"/>
    </w:pPr>
    <w:rPr>
      <w:rFonts w:eastAsiaTheme="minorEastAsia"/>
      <w:lang w:eastAsia="en-AU"/>
    </w:rPr>
  </w:style>
  <w:style w:type="paragraph" w:styleId="TOC5">
    <w:name w:val="toc 5"/>
    <w:basedOn w:val="Normal"/>
    <w:next w:val="Normal"/>
    <w:autoRedefine/>
    <w:uiPriority w:val="39"/>
    <w:semiHidden/>
    <w:rsid w:val="00D644AC"/>
    <w:pPr>
      <w:spacing w:after="100" w:line="259" w:lineRule="auto"/>
      <w:ind w:left="880"/>
    </w:pPr>
    <w:rPr>
      <w:rFonts w:eastAsiaTheme="minorEastAsia"/>
      <w:lang w:eastAsia="en-AU"/>
    </w:rPr>
  </w:style>
  <w:style w:type="paragraph" w:styleId="TOC6">
    <w:name w:val="toc 6"/>
    <w:basedOn w:val="Normal"/>
    <w:next w:val="Normal"/>
    <w:autoRedefine/>
    <w:uiPriority w:val="39"/>
    <w:semiHidden/>
    <w:rsid w:val="00D644AC"/>
    <w:pPr>
      <w:spacing w:after="100" w:line="259" w:lineRule="auto"/>
      <w:ind w:left="1100"/>
    </w:pPr>
    <w:rPr>
      <w:rFonts w:eastAsiaTheme="minorEastAsia"/>
      <w:lang w:eastAsia="en-AU"/>
    </w:rPr>
  </w:style>
  <w:style w:type="paragraph" w:styleId="TOC7">
    <w:name w:val="toc 7"/>
    <w:basedOn w:val="Normal"/>
    <w:next w:val="Normal"/>
    <w:autoRedefine/>
    <w:uiPriority w:val="39"/>
    <w:semiHidden/>
    <w:rsid w:val="00D644AC"/>
    <w:pPr>
      <w:spacing w:after="100" w:line="259" w:lineRule="auto"/>
      <w:ind w:left="1320"/>
    </w:pPr>
    <w:rPr>
      <w:rFonts w:eastAsiaTheme="minorEastAsia"/>
      <w:lang w:eastAsia="en-AU"/>
    </w:rPr>
  </w:style>
  <w:style w:type="paragraph" w:styleId="TOC8">
    <w:name w:val="toc 8"/>
    <w:basedOn w:val="Normal"/>
    <w:next w:val="Normal"/>
    <w:autoRedefine/>
    <w:uiPriority w:val="39"/>
    <w:semiHidden/>
    <w:rsid w:val="00D644AC"/>
    <w:pPr>
      <w:spacing w:after="100" w:line="259" w:lineRule="auto"/>
      <w:ind w:left="1540"/>
    </w:pPr>
    <w:rPr>
      <w:rFonts w:eastAsiaTheme="minorEastAsia"/>
      <w:lang w:eastAsia="en-AU"/>
    </w:rPr>
  </w:style>
  <w:style w:type="paragraph" w:styleId="TOC9">
    <w:name w:val="toc 9"/>
    <w:basedOn w:val="Normal"/>
    <w:next w:val="Normal"/>
    <w:autoRedefine/>
    <w:uiPriority w:val="39"/>
    <w:semiHidden/>
    <w:rsid w:val="00D644AC"/>
    <w:pPr>
      <w:spacing w:after="100" w:line="259" w:lineRule="auto"/>
      <w:ind w:left="1760"/>
    </w:pPr>
    <w:rPr>
      <w:rFonts w:eastAsiaTheme="minorEastAsia"/>
      <w:lang w:eastAsia="en-AU"/>
    </w:rPr>
  </w:style>
  <w:style w:type="numbering" w:customStyle="1" w:styleId="ListNumbers">
    <w:name w:val="ListNumbers"/>
    <w:uiPriority w:val="99"/>
    <w:rsid w:val="008F27B2"/>
    <w:pPr>
      <w:numPr>
        <w:numId w:val="19"/>
      </w:numPr>
    </w:pPr>
  </w:style>
  <w:style w:type="character" w:styleId="Mention">
    <w:name w:val="Mention"/>
    <w:basedOn w:val="DefaultParagraphFont"/>
    <w:uiPriority w:val="99"/>
    <w:semiHidden/>
    <w:rsid w:val="00641A4E"/>
    <w:rPr>
      <w:color w:val="2B579A"/>
      <w:shd w:val="clear" w:color="auto" w:fill="E1DFDD"/>
    </w:rPr>
  </w:style>
  <w:style w:type="paragraph" w:styleId="ListParagraph">
    <w:name w:val="List Paragraph"/>
    <w:basedOn w:val="Normal"/>
    <w:uiPriority w:val="99"/>
    <w:qFormat/>
    <w:rsid w:val="0015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389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80798037">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879029">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33772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82926684">
      <w:bodyDiv w:val="1"/>
      <w:marLeft w:val="0"/>
      <w:marRight w:val="0"/>
      <w:marTop w:val="0"/>
      <w:marBottom w:val="0"/>
      <w:divBdr>
        <w:top w:val="none" w:sz="0" w:space="0" w:color="auto"/>
        <w:left w:val="none" w:sz="0" w:space="0" w:color="auto"/>
        <w:bottom w:val="none" w:sz="0" w:space="0" w:color="auto"/>
        <w:right w:val="none" w:sz="0" w:space="0" w:color="auto"/>
      </w:divBdr>
    </w:div>
    <w:div w:id="1001587539">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54481">
      <w:bodyDiv w:val="1"/>
      <w:marLeft w:val="0"/>
      <w:marRight w:val="0"/>
      <w:marTop w:val="0"/>
      <w:marBottom w:val="0"/>
      <w:divBdr>
        <w:top w:val="none" w:sz="0" w:space="0" w:color="auto"/>
        <w:left w:val="none" w:sz="0" w:space="0" w:color="auto"/>
        <w:bottom w:val="none" w:sz="0" w:space="0" w:color="auto"/>
        <w:right w:val="none" w:sz="0" w:space="0" w:color="auto"/>
      </w:divBdr>
    </w:div>
    <w:div w:id="117534574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5649239">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7963">
      <w:bodyDiv w:val="1"/>
      <w:marLeft w:val="0"/>
      <w:marRight w:val="0"/>
      <w:marTop w:val="0"/>
      <w:marBottom w:val="0"/>
      <w:divBdr>
        <w:top w:val="none" w:sz="0" w:space="0" w:color="auto"/>
        <w:left w:val="none" w:sz="0" w:space="0" w:color="auto"/>
        <w:bottom w:val="none" w:sz="0" w:space="0" w:color="auto"/>
        <w:right w:val="none" w:sz="0" w:space="0" w:color="auto"/>
      </w:divBdr>
    </w:div>
    <w:div w:id="149718709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2105084">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2607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786447">
      <w:bodyDiv w:val="1"/>
      <w:marLeft w:val="0"/>
      <w:marRight w:val="0"/>
      <w:marTop w:val="0"/>
      <w:marBottom w:val="0"/>
      <w:divBdr>
        <w:top w:val="none" w:sz="0" w:space="0" w:color="auto"/>
        <w:left w:val="none" w:sz="0" w:space="0" w:color="auto"/>
        <w:bottom w:val="none" w:sz="0" w:space="0" w:color="auto"/>
        <w:right w:val="none" w:sz="0" w:space="0" w:color="auto"/>
      </w:divBdr>
    </w:div>
    <w:div w:id="1870952968">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1023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63863393">
      <w:bodyDiv w:val="1"/>
      <w:marLeft w:val="0"/>
      <w:marRight w:val="0"/>
      <w:marTop w:val="0"/>
      <w:marBottom w:val="0"/>
      <w:divBdr>
        <w:top w:val="none" w:sz="0" w:space="0" w:color="auto"/>
        <w:left w:val="none" w:sz="0" w:space="0" w:color="auto"/>
        <w:bottom w:val="none" w:sz="0" w:space="0" w:color="auto"/>
        <w:right w:val="none" w:sz="0" w:space="0" w:color="auto"/>
      </w:divBdr>
    </w:div>
    <w:div w:id="20762711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policy/self-assessed-clearances-cost-recovery" TargetMode="External"/><Relationship Id="rId18" Type="http://schemas.openxmlformats.org/officeDocument/2006/relationships/footer" Target="footer2.xml"/><Relationship Id="rId26" Type="http://schemas.openxmlformats.org/officeDocument/2006/relationships/hyperlink" Target="https://www.agriculture.gov.au/about/fees/biosecurity-cris" TargetMode="External"/><Relationship Id="rId39" Type="http://schemas.openxmlformats.org/officeDocument/2006/relationships/fontTable" Target="fontTable.xml"/><Relationship Id="rId21" Type="http://schemas.openxmlformats.org/officeDocument/2006/relationships/hyperlink" Target="https://www.agriculture.gov.au/about/fees/biosecurity-cris" TargetMode="External"/><Relationship Id="rId34" Type="http://schemas.openxmlformats.org/officeDocument/2006/relationships/hyperlink" Target="https://www.agriculture.gov.au/about/fees/biosecurity-cri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agriculture.gov.au/about/fees/biosecurity-cris" TargetMode="External"/><Relationship Id="rId29" Type="http://schemas.openxmlformats.org/officeDocument/2006/relationships/hyperlink" Target="https://www.agriculture.gov.au/about/fees/biosecurity-cris"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ccc.gov.au/about-us/accc-role-and-structure/governance-and-accountability/regulator-performance-guide" TargetMode="External"/><Relationship Id="rId32" Type="http://schemas.openxmlformats.org/officeDocument/2006/relationships/hyperlink" Target="https://www.agriculture.gov.au/about/fees/biosecurity-cris" TargetMode="External"/><Relationship Id="rId37" Type="http://schemas.openxmlformats.org/officeDocument/2006/relationships/hyperlink" Target="https://www.agriculture.gov.au/about/fees/biosecurity-cri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inance.gov.au/government/managing-commonwealth-resources/implementing-charging-framework-rmg-302/australian-government-charging-policy" TargetMode="External"/><Relationship Id="rId28" Type="http://schemas.openxmlformats.org/officeDocument/2006/relationships/hyperlink" Target="https://www.legislation.gov.au/Details/C2023C00098" TargetMode="External"/><Relationship Id="rId36" Type="http://schemas.openxmlformats.org/officeDocument/2006/relationships/hyperlink" Target="https://www.agriculture.gov.au/biosecurity-trade/policy/self-assessed-clearances-cost-recovery"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abs.gov.au/statistics/economy/price-indexes-and-inflation/consumer-price-index-australia/mar-quarter-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about/fees/biosecurity-cris" TargetMode="External"/><Relationship Id="rId27" Type="http://schemas.openxmlformats.org/officeDocument/2006/relationships/hyperlink" Target="https://www.legislation.gov.au/Details/F2023C00023" TargetMode="External"/><Relationship Id="rId30" Type="http://schemas.openxmlformats.org/officeDocument/2006/relationships/hyperlink" Target="https://www.agriculture.gov.au/about/fees/biosecurity-cris" TargetMode="External"/><Relationship Id="rId35" Type="http://schemas.openxmlformats.org/officeDocument/2006/relationships/hyperlink" Target="https://www.agriculture.gov.au/about/fees/biosecurity-cri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griculture.gov.au/about/fees/biosecurity-cris" TargetMode="External"/><Relationship Id="rId33" Type="http://schemas.openxmlformats.org/officeDocument/2006/relationships/hyperlink" Target="https://oia.pmc.gov.au/published-impact-analyses-and-reports/biosecurity-sustainable-funding-submission" TargetMode="External"/><Relationship Id="rId38" Type="http://schemas.openxmlformats.org/officeDocument/2006/relationships/hyperlink" Target="https://www.agriculture.gov.au/about/fees/biosecurity-cri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29167CFD-5D57-439F-A7A5-6C5FDD99E7A8}">
  <ds:schemaRefs>
    <ds:schemaRef ds:uri="http://schemas.openxmlformats.org/officeDocument/2006/bibliography"/>
  </ds:schemaRefs>
</ds:datastoreItem>
</file>

<file path=customXml/itemProps3.xml><?xml version="1.0" encoding="utf-8"?>
<ds:datastoreItem xmlns:ds="http://schemas.openxmlformats.org/officeDocument/2006/customXml" ds:itemID="{D3A52401-F857-44EA-9938-0D4776F2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purl.org/dc/elements/1.1/"/>
    <ds:schemaRef ds:uri="http://purl.org/dc/dcmitype/"/>
    <ds:schemaRef ds:uri="http://purl.org/dc/terms/"/>
    <ds:schemaRef ds:uri="2b53c995-2120-4bc0-8922-c25044d37f65"/>
    <ds:schemaRef ds:uri="http://schemas.microsoft.com/office/2006/metadata/properties"/>
    <ds:schemaRef ds:uri="c95b51c2-b2ac-4224-a5b5-069909057829"/>
    <ds:schemaRef ds:uri="http://www.w3.org/XML/1998/namespace"/>
    <ds:schemaRef ds:uri="http://schemas.microsoft.com/office/infopath/2007/PartnerControls"/>
    <ds:schemaRef ds:uri="http://schemas.openxmlformats.org/package/2006/metadata/core-properties"/>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Report_template_2</Template>
  <TotalTime>0</TotalTime>
  <Pages>17</Pages>
  <Words>4107</Words>
  <Characters>23414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Cost recovery implementation statement 2024–25: low-value goods imported under a self-assessed clearance declaration</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2024–25: low-value goods imported under a self-assessed clearance declaration</dc:title>
  <dc:subject/>
  <dc:creator>Department of Agriculture, Fisheries and Forestry</dc:creator>
  <cp:keywords/>
  <cp:revision>6</cp:revision>
  <cp:lastPrinted>2023-07-01T17:14:00Z</cp:lastPrinted>
  <dcterms:created xsi:type="dcterms:W3CDTF">2024-09-27T02:17:00Z</dcterms:created>
  <dcterms:modified xsi:type="dcterms:W3CDTF">2024-10-11T03:44:00Z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0x010100B4FA7948400A0041A47256A06BAB2BA5</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OrgUnit">
    <vt:lpwstr>2;#Charging Policy|cbcf5b89-4aab-4c5d-ba02-041c19cdb5b1</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3c19051d-37c4-4544-82ed-6e1b03a95efb</vt:lpwstr>
  </property>
  <property fmtid="{D5CDD505-2E9C-101B-9397-08002B2CF9AE}" pid="9" name="MediaServiceImageTags">
    <vt:lpwstr/>
  </property>
  <property fmtid="{D5CDD505-2E9C-101B-9397-08002B2CF9AE}" pid="10" name="ClassificationContentMarkingHeaderShapeIds">
    <vt:lpwstr>72f22ae5,38c7818,6b97dc79</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51f30a28,4a3c566e,3b25a2e1</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933d8be6-3c40-4052-87a2-9c2adcba8759_Enabled">
    <vt:lpwstr>true</vt:lpwstr>
  </property>
  <property fmtid="{D5CDD505-2E9C-101B-9397-08002B2CF9AE}" pid="17" name="MSIP_Label_933d8be6-3c40-4052-87a2-9c2adcba8759_SetDate">
    <vt:lpwstr>2024-07-08T05:15:50Z</vt:lpwstr>
  </property>
  <property fmtid="{D5CDD505-2E9C-101B-9397-08002B2CF9AE}" pid="18" name="MSIP_Label_933d8be6-3c40-4052-87a2-9c2adcba8759_Method">
    <vt:lpwstr>Privileged</vt:lpwstr>
  </property>
  <property fmtid="{D5CDD505-2E9C-101B-9397-08002B2CF9AE}" pid="19" name="MSIP_Label_933d8be6-3c40-4052-87a2-9c2adcba8759_Name">
    <vt:lpwstr>OFFICIAL</vt:lpwstr>
  </property>
  <property fmtid="{D5CDD505-2E9C-101B-9397-08002B2CF9AE}" pid="20" name="MSIP_Label_933d8be6-3c40-4052-87a2-9c2adcba8759_SiteId">
    <vt:lpwstr>2be67eb7-400c-4b3f-a5a1-1258c0da0696</vt:lpwstr>
  </property>
  <property fmtid="{D5CDD505-2E9C-101B-9397-08002B2CF9AE}" pid="21" name="MSIP_Label_933d8be6-3c40-4052-87a2-9c2adcba8759_ActionId">
    <vt:lpwstr>a1e97988-ec48-4051-bb6c-eea4c63a30a4</vt:lpwstr>
  </property>
  <property fmtid="{D5CDD505-2E9C-101B-9397-08002B2CF9AE}" pid="22" name="MSIP_Label_933d8be6-3c40-4052-87a2-9c2adcba8759_ContentBits">
    <vt:lpwstr>3</vt:lpwstr>
  </property>
</Properties>
</file>