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C49" w:rsidRPr="007972B0" w:rsidRDefault="00732F35" w:rsidP="00A10C49">
      <w:pPr>
        <w:jc w:val="both"/>
      </w:pPr>
      <w:r>
        <w:rPr>
          <w:noProof/>
          <w:lang w:eastAsia="en-AU"/>
        </w:rPr>
        <w:pict>
          <v:group id="Group 12" o:spid="_x0000_s1026" style="position:absolute;left:0;text-align:left;margin-left:9.1pt;margin-top:306.65pt;width:448.65pt;height:248.25pt;z-index:251678720" coordorigin="2445,7830" coordsize="8973,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">
            <v:shapetype id="_x0000_t202" coordsize="21600,21600" o:spt="202" path="m,l,21600r21600,l21600,xe">
              <v:stroke joinstyle="miter"/>
              <v:path gradientshapeok="t" o:connecttype="rect"/>
            </v:shapetype>
            <v:shape id="Text Box 3" o:spid="_x0000_s1027" type="#_x0000_t202" style="position:absolute;left:2640;top:7830;width:239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61sQA&#10;AADaAAAADwAAAGRycy9kb3ducmV2LnhtbESPQWvCQBSE70L/w/IKvYhuLKglupEi2PYgFVPB6yP7&#10;moRk38bdrUn/fVcoeBxm5htmvRlMK67kfG1ZwWyagCAurK65VHD62k1eQPiArLG1TAp+ycMmexit&#10;MdW25yNd81CKCGGfooIqhC6V0hcVGfRT2xFH79s6gyFKV0rtsI9w08rnJFlIgzXHhQo72lZUNPmP&#10;UbBYfu7P877x4+7yfijH0vXFm1Pq6XF4XYEINIR7+L/9oRXM4XYl3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OtbEAAAA2gAAAA8AAAAAAAAAAAAAAAAAmAIAAGRycy9k&#10;b3ducmV2LnhtbFBLBQYAAAAABAAEAPUAAACJAwAAAAA=&#10;" fillcolor="#ffc000" stroked="f">
              <v:textbox>
                <w:txbxContent>
                  <w:p w:rsidR="005F5A52" w:rsidRPr="008A0C07" w:rsidRDefault="005F5A52" w:rsidP="00A10C49">
                    <w:pPr>
                      <w:rPr>
                        <w:rFonts w:ascii="Corbel" w:hAnsi="Corbel"/>
                        <w:b/>
                        <w:smallCaps/>
                        <w:sz w:val="32"/>
                        <w:szCs w:val="32"/>
                      </w:rPr>
                    </w:pPr>
                    <w:r>
                      <w:rPr>
                        <w:rFonts w:ascii="Corbel" w:hAnsi="Corbel"/>
                        <w:b/>
                        <w:smallCaps/>
                        <w:sz w:val="32"/>
                        <w:szCs w:val="32"/>
                      </w:rPr>
                      <w:t>Final Report</w:t>
                    </w:r>
                  </w:p>
                </w:txbxContent>
              </v:textbox>
            </v:shape>
            <v:shape id="Text Box 4" o:spid="_x0000_s1028" type="#_x0000_t202" style="position:absolute;left:5145;top:7830;width:25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5F5A52" w:rsidRPr="008A0C07" w:rsidRDefault="005F5A52" w:rsidP="00F728A1">
                    <w:pPr>
                      <w:spacing w:after="0" w:line="240" w:lineRule="auto"/>
                      <w:jc w:val="both"/>
                      <w:rPr>
                        <w:color w:val="FFFFFF" w:themeColor="background1"/>
                        <w:sz w:val="32"/>
                        <w:szCs w:val="32"/>
                      </w:rPr>
                    </w:pPr>
                    <w:r>
                      <w:rPr>
                        <w:smallCaps/>
                        <w:color w:val="FFFFFF" w:themeColor="background1"/>
                        <w:sz w:val="32"/>
                        <w:szCs w:val="32"/>
                      </w:rPr>
                      <w:t xml:space="preserve">July </w:t>
                    </w:r>
                    <w:r w:rsidRPr="008A0C07">
                      <w:rPr>
                        <w:color w:val="FFFFFF" w:themeColor="background1"/>
                        <w:sz w:val="32"/>
                        <w:szCs w:val="32"/>
                      </w:rPr>
                      <w:t>201</w:t>
                    </w:r>
                    <w:r>
                      <w:rPr>
                        <w:color w:val="FFFFFF" w:themeColor="background1"/>
                        <w:sz w:val="32"/>
                        <w:szCs w:val="32"/>
                      </w:rPr>
                      <w:t>4</w:t>
                    </w:r>
                  </w:p>
                </w:txbxContent>
              </v:textbox>
            </v:shape>
            <v:shape id="Text Box 5" o:spid="_x0000_s1029" type="#_x0000_t202" style="position:absolute;left:2445;top:8940;width:8973;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5F5A52" w:rsidRPr="008A0C07" w:rsidRDefault="005F5A52" w:rsidP="008F0BE1">
                    <w:pPr>
                      <w:spacing w:after="0" w:line="240" w:lineRule="auto"/>
                      <w:rPr>
                        <w:rFonts w:ascii="Corbel" w:hAnsi="Corbel"/>
                        <w:color w:val="FFFFFF" w:themeColor="background1"/>
                        <w:sz w:val="40"/>
                        <w:szCs w:val="40"/>
                      </w:rPr>
                    </w:pPr>
                    <w:r w:rsidRPr="008F0BE1">
                      <w:rPr>
                        <w:rFonts w:ascii="Corbel" w:hAnsi="Corbel"/>
                        <w:color w:val="FFFFFF" w:themeColor="background1"/>
                        <w:sz w:val="40"/>
                        <w:szCs w:val="40"/>
                      </w:rPr>
                      <w:t>Estimate of the cost of hazardous waste in Australia</w:t>
                    </w:r>
                  </w:p>
                </w:txbxContent>
              </v:textbox>
            </v:shape>
            <v:shape id="Text Box 6" o:spid="_x0000_s1030" type="#_x0000_t202" style="position:absolute;left:2445;top:11115;width:8063;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5F5A52" w:rsidRDefault="005F5A52" w:rsidP="00F728A1">
                    <w:pPr>
                      <w:spacing w:after="0" w:line="240" w:lineRule="auto"/>
                      <w:rPr>
                        <w:rFonts w:ascii="Corbel" w:hAnsi="Corbel"/>
                        <w:color w:val="8EBDD8"/>
                        <w:sz w:val="36"/>
                        <w:szCs w:val="36"/>
                      </w:rPr>
                    </w:pPr>
                    <w:r>
                      <w:rPr>
                        <w:rFonts w:ascii="Corbel" w:hAnsi="Corbel"/>
                        <w:color w:val="8EBDD8"/>
                        <w:sz w:val="36"/>
                        <w:szCs w:val="36"/>
                      </w:rPr>
                      <w:t>Report</w:t>
                    </w:r>
                    <w:r w:rsidRPr="00E51C1E">
                      <w:rPr>
                        <w:rFonts w:ascii="Corbel" w:hAnsi="Corbel"/>
                        <w:color w:val="8EBDD8"/>
                        <w:sz w:val="36"/>
                        <w:szCs w:val="36"/>
                      </w:rPr>
                      <w:t xml:space="preserve"> prepared for </w:t>
                    </w:r>
                    <w:r>
                      <w:rPr>
                        <w:rFonts w:ascii="Corbel" w:hAnsi="Corbel"/>
                        <w:color w:val="8EBDD8"/>
                        <w:sz w:val="36"/>
                        <w:szCs w:val="36"/>
                      </w:rPr>
                      <w:t>the Department of the Environment</w:t>
                    </w:r>
                  </w:p>
                  <w:p w:rsidR="005F5A52" w:rsidRPr="00057140" w:rsidRDefault="005F5A52" w:rsidP="00A10C49">
                    <w:pPr>
                      <w:rPr>
                        <w:szCs w:val="36"/>
                      </w:rPr>
                    </w:pPr>
                  </w:p>
                </w:txbxContent>
              </v:textbox>
            </v:shape>
          </v:group>
        </w:pict>
      </w:r>
      <w:r w:rsidR="002E36FD">
        <w:rPr>
          <w:noProof/>
          <w:lang w:eastAsia="en-AU"/>
        </w:rPr>
        <w:drawing>
          <wp:anchor distT="0" distB="0" distL="114300" distR="114300" simplePos="0" relativeHeight="251662336" behindDoc="1" locked="0" layoutInCell="1" allowOverlap="1">
            <wp:simplePos x="0" y="0"/>
            <wp:positionH relativeFrom="page">
              <wp:posOffset>0</wp:posOffset>
            </wp:positionH>
            <wp:positionV relativeFrom="page">
              <wp:posOffset>2809875</wp:posOffset>
            </wp:positionV>
            <wp:extent cx="7613650" cy="6572250"/>
            <wp:effectExtent l="19050" t="0" r="6350" b="0"/>
            <wp:wrapNone/>
            <wp:docPr id="7" name="Picture 7" descr="WaterTank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Tank_Main.jpg"/>
                    <pic:cNvPicPr/>
                  </pic:nvPicPr>
                  <pic:blipFill>
                    <a:blip r:embed="rId8" cstate="print"/>
                    <a:stretch>
                      <a:fillRect/>
                    </a:stretch>
                  </pic:blipFill>
                  <pic:spPr>
                    <a:xfrm>
                      <a:off x="0" y="0"/>
                      <a:ext cx="7613650" cy="6572250"/>
                    </a:xfrm>
                    <a:prstGeom prst="rect">
                      <a:avLst/>
                    </a:prstGeom>
                  </pic:spPr>
                </pic:pic>
              </a:graphicData>
            </a:graphic>
          </wp:anchor>
        </w:drawing>
      </w:r>
      <w:r w:rsidR="00A10C49">
        <w:rPr>
          <w:noProof/>
          <w:lang w:eastAsia="en-AU"/>
        </w:rPr>
        <w:drawing>
          <wp:anchor distT="0" distB="0" distL="114300" distR="114300" simplePos="0" relativeHeight="251660288" behindDoc="1" locked="0" layoutInCell="1" allowOverlap="1">
            <wp:simplePos x="0" y="0"/>
            <wp:positionH relativeFrom="page">
              <wp:posOffset>0</wp:posOffset>
            </wp:positionH>
            <wp:positionV relativeFrom="page">
              <wp:posOffset>2857500</wp:posOffset>
            </wp:positionV>
            <wp:extent cx="7613650" cy="6568440"/>
            <wp:effectExtent l="19050" t="0" r="6350" b="0"/>
            <wp:wrapNone/>
            <wp:docPr id="18" name="Picture 18" descr="WaterTank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Tank_Main.jpg"/>
                    <pic:cNvPicPr/>
                  </pic:nvPicPr>
                  <pic:blipFill>
                    <a:blip r:embed="rId8" cstate="print"/>
                    <a:stretch>
                      <a:fillRect/>
                    </a:stretch>
                  </pic:blipFill>
                  <pic:spPr>
                    <a:xfrm>
                      <a:off x="0" y="0"/>
                      <a:ext cx="7613650" cy="6568440"/>
                    </a:xfrm>
                    <a:prstGeom prst="rect">
                      <a:avLst/>
                    </a:prstGeom>
                  </pic:spPr>
                </pic:pic>
              </a:graphicData>
            </a:graphic>
          </wp:anchor>
        </w:drawing>
      </w:r>
      <w:r w:rsidR="00A10C49">
        <w:rPr>
          <w:noProof/>
          <w:lang w:eastAsia="en-AU"/>
        </w:rPr>
        <w:drawing>
          <wp:anchor distT="0" distB="0" distL="114300" distR="114300" simplePos="0" relativeHeight="251661312" behindDoc="0" locked="0" layoutInCell="1" allowOverlap="1">
            <wp:simplePos x="0" y="0"/>
            <wp:positionH relativeFrom="page">
              <wp:posOffset>-47625</wp:posOffset>
            </wp:positionH>
            <wp:positionV relativeFrom="page">
              <wp:posOffset>0</wp:posOffset>
            </wp:positionV>
            <wp:extent cx="7664450" cy="2857500"/>
            <wp:effectExtent l="19050" t="0" r="0" b="0"/>
            <wp:wrapNone/>
            <wp:docPr id="4" name="Picture 4" descr="WaterDrops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Drops_Top.jpg"/>
                    <pic:cNvPicPr/>
                  </pic:nvPicPr>
                  <pic:blipFill>
                    <a:blip r:embed="rId9" cstate="print"/>
                    <a:stretch>
                      <a:fillRect/>
                    </a:stretch>
                  </pic:blipFill>
                  <pic:spPr>
                    <a:xfrm>
                      <a:off x="0" y="0"/>
                      <a:ext cx="7664450" cy="2857500"/>
                    </a:xfrm>
                    <a:prstGeom prst="rect">
                      <a:avLst/>
                    </a:prstGeom>
                  </pic:spPr>
                </pic:pic>
              </a:graphicData>
            </a:graphic>
          </wp:anchor>
        </w:drawing>
      </w:r>
      <w:r w:rsidR="00A10C49" w:rsidRPr="007972B0">
        <w:br w:type="page"/>
      </w:r>
    </w:p>
    <w:p w:rsidR="00A10C49" w:rsidRDefault="00A10C49" w:rsidP="00A10C49">
      <w:pPr>
        <w:spacing w:after="0" w:line="240" w:lineRule="auto"/>
        <w:rPr>
          <w:rFonts w:ascii="Corbel" w:hAnsi="Corbel" w:cs="Arial"/>
          <w:b/>
          <w:sz w:val="16"/>
          <w:szCs w:val="16"/>
        </w:rPr>
        <w:sectPr w:rsidR="00A10C49" w:rsidSect="000D4F20">
          <w:footerReference w:type="default" r:id="rId10"/>
          <w:pgSz w:w="11906" w:h="16838" w:code="9"/>
          <w:pgMar w:top="1701" w:right="1134" w:bottom="1021" w:left="2268" w:header="680" w:footer="113" w:gutter="0"/>
          <w:cols w:space="708"/>
          <w:docGrid w:linePitch="360"/>
        </w:sectPr>
      </w:pPr>
    </w:p>
    <w:p w:rsidR="00F80890" w:rsidRPr="005E3447" w:rsidRDefault="00F80890" w:rsidP="007972B0">
      <w:pPr>
        <w:spacing w:after="0" w:line="240" w:lineRule="auto"/>
        <w:rPr>
          <w:rFonts w:ascii="Corbel" w:hAnsi="Corbel" w:cs="Arial"/>
          <w:b/>
          <w:sz w:val="16"/>
          <w:szCs w:val="16"/>
        </w:rPr>
      </w:pPr>
      <w:r w:rsidRPr="005E3447">
        <w:rPr>
          <w:rFonts w:ascii="Corbel" w:hAnsi="Corbel" w:cs="Arial"/>
          <w:b/>
          <w:sz w:val="16"/>
          <w:szCs w:val="16"/>
        </w:rPr>
        <w:lastRenderedPageBreak/>
        <w:t>Marsden Jacob Associates</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Financial &amp; Economic Consultants</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ABN 66 663 324 657</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ACN 072 233 204</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sz w:val="16"/>
          <w:szCs w:val="16"/>
          <w:lang w:val="fr-FR"/>
        </w:rPr>
      </w:pPr>
      <w:r w:rsidRPr="005E3447">
        <w:rPr>
          <w:rFonts w:ascii="Corbel" w:hAnsi="Corbel"/>
          <w:sz w:val="16"/>
          <w:szCs w:val="16"/>
          <w:lang w:val="fr-FR"/>
        </w:rPr>
        <w:t>Internet: http://www.marsdenjacob.com.au</w:t>
      </w:r>
    </w:p>
    <w:p w:rsidR="00F80890" w:rsidRPr="005E3447" w:rsidRDefault="00F80890" w:rsidP="007972B0">
      <w:pPr>
        <w:spacing w:after="0" w:line="240" w:lineRule="auto"/>
        <w:rPr>
          <w:rFonts w:ascii="Corbel" w:hAnsi="Corbel"/>
          <w:sz w:val="16"/>
          <w:szCs w:val="16"/>
          <w:lang w:val="pt-BR"/>
        </w:rPr>
      </w:pPr>
      <w:r w:rsidRPr="005E3447">
        <w:rPr>
          <w:rFonts w:ascii="Corbel" w:hAnsi="Corbel"/>
          <w:sz w:val="16"/>
          <w:szCs w:val="16"/>
          <w:lang w:val="pt-BR"/>
        </w:rPr>
        <w:t xml:space="preserve">E-mail: economists@marsdenjacob.com.au </w:t>
      </w:r>
    </w:p>
    <w:p w:rsidR="00F80890" w:rsidRPr="005E3447" w:rsidRDefault="00F80890" w:rsidP="007972B0">
      <w:pPr>
        <w:spacing w:after="0" w:line="240" w:lineRule="auto"/>
        <w:rPr>
          <w:rFonts w:ascii="Corbel" w:hAnsi="Corbel" w:cs="Arial"/>
          <w:sz w:val="16"/>
          <w:szCs w:val="16"/>
          <w:lang w:val="pt-BR"/>
        </w:rPr>
      </w:pP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Melbourne office:</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Postal address: Level 3, 683 Burke Road, Camberwell</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Victoria 3124 AUSTRALIA</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Telephone: +61 3 9882 1600</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Facsimile: +61 3 9882 1300</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Brisbane office:</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Level </w:t>
      </w:r>
      <w:r>
        <w:rPr>
          <w:rFonts w:ascii="Corbel" w:hAnsi="Corbel" w:cs="Arial"/>
          <w:sz w:val="16"/>
          <w:szCs w:val="16"/>
        </w:rPr>
        <w:t>14</w:t>
      </w:r>
      <w:r w:rsidRPr="005E3447">
        <w:rPr>
          <w:rFonts w:ascii="Corbel" w:hAnsi="Corbel" w:cs="Arial"/>
          <w:sz w:val="16"/>
          <w:szCs w:val="16"/>
        </w:rPr>
        <w:t>, 1</w:t>
      </w:r>
      <w:r>
        <w:rPr>
          <w:rFonts w:ascii="Corbel" w:hAnsi="Corbel" w:cs="Arial"/>
          <w:sz w:val="16"/>
          <w:szCs w:val="16"/>
        </w:rPr>
        <w:t>27 Creek Street</w:t>
      </w:r>
      <w:r w:rsidRPr="005E3447">
        <w:rPr>
          <w:rFonts w:ascii="Corbel" w:hAnsi="Corbel" w:cs="Arial"/>
          <w:sz w:val="16"/>
          <w:szCs w:val="16"/>
        </w:rPr>
        <w:t>, Brisbane</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Queensland, 4000 AUSTRALIA</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Telephone: +61 7 3229 7701</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Facsimile: +61 7 3229 7944</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Perth office:</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Level </w:t>
      </w:r>
      <w:r>
        <w:rPr>
          <w:rFonts w:ascii="Corbel" w:hAnsi="Corbel" w:cs="Arial"/>
          <w:sz w:val="16"/>
          <w:szCs w:val="16"/>
        </w:rPr>
        <w:t>1</w:t>
      </w:r>
      <w:r w:rsidRPr="005E3447">
        <w:rPr>
          <w:rFonts w:ascii="Corbel" w:hAnsi="Corbel" w:cs="Arial"/>
          <w:sz w:val="16"/>
          <w:szCs w:val="16"/>
        </w:rPr>
        <w:t xml:space="preserve">, </w:t>
      </w:r>
      <w:r>
        <w:rPr>
          <w:rFonts w:ascii="Corbel" w:hAnsi="Corbel" w:cs="Arial"/>
          <w:sz w:val="16"/>
          <w:szCs w:val="16"/>
        </w:rPr>
        <w:t>220 St Georges Terrace</w:t>
      </w:r>
      <w:r w:rsidRPr="005E3447">
        <w:rPr>
          <w:rFonts w:ascii="Corbel" w:hAnsi="Corbel" w:cs="Arial"/>
          <w:sz w:val="16"/>
          <w:szCs w:val="16"/>
        </w:rPr>
        <w:t xml:space="preserve">, Perth </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Western Australia, 6000 AUSTRALIA</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Telephone: +61 8 9324 1785</w:t>
      </w:r>
    </w:p>
    <w:p w:rsidR="00F80890" w:rsidRDefault="00F80890" w:rsidP="007972B0">
      <w:pPr>
        <w:spacing w:after="0" w:line="240" w:lineRule="auto"/>
        <w:rPr>
          <w:rFonts w:ascii="Corbel" w:hAnsi="Corbel" w:cs="Arial"/>
          <w:sz w:val="16"/>
          <w:szCs w:val="16"/>
        </w:rPr>
      </w:pPr>
      <w:r w:rsidRPr="005E3447">
        <w:rPr>
          <w:rFonts w:ascii="Corbel" w:hAnsi="Corbel" w:cs="Arial"/>
          <w:sz w:val="16"/>
          <w:szCs w:val="16"/>
        </w:rPr>
        <w:t>Facsimile: +61 8 932</w:t>
      </w:r>
      <w:r>
        <w:rPr>
          <w:rFonts w:ascii="Corbel" w:hAnsi="Corbel" w:cs="Arial"/>
          <w:sz w:val="16"/>
          <w:szCs w:val="16"/>
        </w:rPr>
        <w:t>2</w:t>
      </w:r>
      <w:r w:rsidRPr="005E3447">
        <w:rPr>
          <w:rFonts w:ascii="Corbel" w:hAnsi="Corbel" w:cs="Arial"/>
          <w:sz w:val="16"/>
          <w:szCs w:val="16"/>
        </w:rPr>
        <w:t xml:space="preserve"> </w:t>
      </w:r>
      <w:r>
        <w:rPr>
          <w:rFonts w:ascii="Corbel" w:hAnsi="Corbel" w:cs="Arial"/>
          <w:sz w:val="16"/>
          <w:szCs w:val="16"/>
        </w:rPr>
        <w:t>7936</w:t>
      </w:r>
    </w:p>
    <w:p w:rsidR="00F80890" w:rsidRDefault="00F80890" w:rsidP="007972B0">
      <w:pPr>
        <w:spacing w:after="0" w:line="240" w:lineRule="auto"/>
        <w:rPr>
          <w:rFonts w:ascii="Corbel" w:hAnsi="Corbel" w:cs="Arial"/>
          <w:sz w:val="16"/>
          <w:szCs w:val="16"/>
        </w:rPr>
      </w:pPr>
    </w:p>
    <w:p w:rsidR="00F80890" w:rsidRDefault="00F80890" w:rsidP="007972B0">
      <w:pPr>
        <w:spacing w:after="0" w:line="240" w:lineRule="auto"/>
        <w:rPr>
          <w:rFonts w:ascii="Corbel" w:hAnsi="Corbel" w:cs="Arial"/>
          <w:sz w:val="16"/>
          <w:szCs w:val="16"/>
        </w:rPr>
      </w:pPr>
      <w:r>
        <w:rPr>
          <w:rFonts w:ascii="Corbel" w:hAnsi="Corbel" w:cs="Arial"/>
          <w:sz w:val="16"/>
          <w:szCs w:val="16"/>
        </w:rPr>
        <w:t>Sydney office:</w:t>
      </w:r>
    </w:p>
    <w:p w:rsidR="00F80890" w:rsidRDefault="00DD4D11" w:rsidP="007972B0">
      <w:pPr>
        <w:spacing w:after="0" w:line="240" w:lineRule="auto"/>
        <w:rPr>
          <w:rFonts w:ascii="Corbel" w:hAnsi="Corbel" w:cs="Arial"/>
          <w:sz w:val="16"/>
          <w:szCs w:val="16"/>
        </w:rPr>
      </w:pPr>
      <w:r>
        <w:rPr>
          <w:rFonts w:ascii="Corbel" w:hAnsi="Corbel" w:cs="Arial"/>
          <w:sz w:val="16"/>
          <w:szCs w:val="16"/>
        </w:rPr>
        <w:t xml:space="preserve">119 Willoughby Road, </w:t>
      </w:r>
      <w:proofErr w:type="spellStart"/>
      <w:r>
        <w:rPr>
          <w:rFonts w:ascii="Corbel" w:hAnsi="Corbel" w:cs="Arial"/>
          <w:sz w:val="16"/>
          <w:szCs w:val="16"/>
        </w:rPr>
        <w:t>Crows</w:t>
      </w:r>
      <w:proofErr w:type="spellEnd"/>
      <w:r>
        <w:rPr>
          <w:rFonts w:ascii="Corbel" w:hAnsi="Corbel" w:cs="Arial"/>
          <w:sz w:val="16"/>
          <w:szCs w:val="16"/>
        </w:rPr>
        <w:t xml:space="preserve"> Nest</w:t>
      </w:r>
    </w:p>
    <w:p w:rsidR="00DD4D11" w:rsidRDefault="00DD4D11" w:rsidP="007972B0">
      <w:pPr>
        <w:spacing w:after="0" w:line="240" w:lineRule="auto"/>
        <w:rPr>
          <w:rFonts w:ascii="Corbel" w:hAnsi="Corbel" w:cs="Arial"/>
          <w:sz w:val="16"/>
          <w:szCs w:val="16"/>
        </w:rPr>
      </w:pPr>
      <w:r>
        <w:rPr>
          <w:rFonts w:ascii="Corbel" w:hAnsi="Corbel" w:cs="Arial"/>
          <w:sz w:val="16"/>
          <w:szCs w:val="16"/>
        </w:rPr>
        <w:t>New South Wales, 2065</w:t>
      </w:r>
    </w:p>
    <w:p w:rsidR="00F80890" w:rsidRPr="005E3447" w:rsidRDefault="00F80890" w:rsidP="007972B0">
      <w:pPr>
        <w:spacing w:after="0" w:line="240" w:lineRule="auto"/>
        <w:rPr>
          <w:rFonts w:ascii="Corbel" w:hAnsi="Corbel" w:cs="Arial"/>
          <w:sz w:val="16"/>
          <w:szCs w:val="16"/>
        </w:rPr>
      </w:pPr>
      <w:r>
        <w:rPr>
          <w:rFonts w:ascii="Corbel" w:hAnsi="Corbel" w:cs="Arial"/>
          <w:sz w:val="16"/>
          <w:szCs w:val="16"/>
        </w:rPr>
        <w:t xml:space="preserve">Telephone: +61 418 </w:t>
      </w:r>
      <w:proofErr w:type="gramStart"/>
      <w:r>
        <w:rPr>
          <w:rFonts w:ascii="Corbel" w:hAnsi="Corbel" w:cs="Arial"/>
          <w:sz w:val="16"/>
          <w:szCs w:val="16"/>
        </w:rPr>
        <w:t>765  393</w:t>
      </w:r>
      <w:proofErr w:type="gramEnd"/>
      <w:r w:rsidR="00DD4D11">
        <w:rPr>
          <w:rFonts w:ascii="Corbel" w:hAnsi="Corbel" w:cs="Arial"/>
          <w:sz w:val="16"/>
          <w:szCs w:val="16"/>
        </w:rPr>
        <w:t xml:space="preserve"> / + 61 434 884 220</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C858F4" w:rsidRDefault="00F80890" w:rsidP="00692D34">
      <w:pPr>
        <w:spacing w:after="0" w:line="240" w:lineRule="auto"/>
        <w:rPr>
          <w:rFonts w:ascii="Corbel" w:hAnsi="Corbel" w:cs="Arial"/>
          <w:sz w:val="16"/>
          <w:szCs w:val="16"/>
        </w:rPr>
      </w:pPr>
      <w:r w:rsidRPr="005E3447">
        <w:rPr>
          <w:rFonts w:ascii="Corbel" w:hAnsi="Corbel" w:cs="Arial"/>
          <w:sz w:val="16"/>
          <w:szCs w:val="16"/>
        </w:rPr>
        <w:tab/>
      </w:r>
    </w:p>
    <w:p w:rsidR="00F80890" w:rsidRPr="005E3447" w:rsidRDefault="00C858F4" w:rsidP="007972B0">
      <w:pPr>
        <w:spacing w:after="0" w:line="240" w:lineRule="auto"/>
        <w:rPr>
          <w:rFonts w:ascii="Corbel" w:hAnsi="Corbel" w:cs="Arial"/>
          <w:sz w:val="16"/>
          <w:szCs w:val="16"/>
        </w:rPr>
      </w:pPr>
      <w:r>
        <w:rPr>
          <w:rFonts w:ascii="Corbel" w:hAnsi="Corbel" w:cs="Arial"/>
          <w:sz w:val="16"/>
          <w:szCs w:val="16"/>
        </w:rPr>
        <w:tab/>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ab/>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sz w:val="16"/>
          <w:szCs w:val="16"/>
        </w:rPr>
      </w:pPr>
    </w:p>
    <w:p w:rsidR="00F80890" w:rsidRPr="005E3447" w:rsidRDefault="00F80890" w:rsidP="007972B0">
      <w:pPr>
        <w:spacing w:after="0" w:line="240" w:lineRule="auto"/>
        <w:rPr>
          <w:rFonts w:ascii="Corbel" w:hAnsi="Corbel"/>
          <w:sz w:val="16"/>
          <w:szCs w:val="16"/>
        </w:rPr>
      </w:pPr>
    </w:p>
    <w:tbl>
      <w:tblPr>
        <w:tblW w:w="84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tblPr>
      <w:tblGrid>
        <w:gridCol w:w="8472"/>
      </w:tblGrid>
      <w:tr w:rsidR="00F80890" w:rsidRPr="005E3447" w:rsidTr="00854171">
        <w:tc>
          <w:tcPr>
            <w:tcW w:w="8472" w:type="dxa"/>
          </w:tcPr>
          <w:p w:rsidR="00F80890" w:rsidRPr="005E3447" w:rsidRDefault="00F80890" w:rsidP="007972B0">
            <w:pPr>
              <w:spacing w:after="0" w:line="240" w:lineRule="auto"/>
              <w:rPr>
                <w:rFonts w:ascii="Corbel" w:hAnsi="Corbel"/>
                <w:sz w:val="16"/>
                <w:szCs w:val="16"/>
              </w:rPr>
            </w:pPr>
            <w:r w:rsidRPr="00692D34">
              <w:rPr>
                <w:rFonts w:ascii="Corbel" w:hAnsi="Corbel" w:cs="Arial"/>
                <w:sz w:val="16"/>
                <w:szCs w:val="16"/>
              </w:rPr>
              <w:t>This report</w:t>
            </w:r>
            <w:r w:rsidRPr="005E3447">
              <w:rPr>
                <w:rFonts w:ascii="Corbel" w:hAnsi="Corbel" w:cs="Arial"/>
                <w:sz w:val="16"/>
                <w:szCs w:val="16"/>
              </w:rPr>
              <w:t xml:space="preserve"> has been prepared in accordance with the scope of services described in the contract or agreement between Marsden Jacob Associates Pty Ltd ACN 072 233 204 (MJA) and the Client. Any findings, conclusions or recommendations only apply to the aforementioned circumstances and no greater reliance should be assumed or drawn by the Client. Furthermore, the report has been prepared solely for use by the Client and Marsden Jacob Associates accepts no responsibility for its use by other parties.</w:t>
            </w:r>
          </w:p>
        </w:tc>
      </w:tr>
    </w:tbl>
    <w:p w:rsidR="00F80890" w:rsidRPr="009559F1" w:rsidRDefault="00F80890" w:rsidP="007972B0">
      <w:pPr>
        <w:spacing w:after="0" w:line="240" w:lineRule="auto"/>
        <w:rPr>
          <w:rFonts w:ascii="Constantia" w:hAnsi="Constantia"/>
          <w:sz w:val="20"/>
        </w:rPr>
      </w:pPr>
    </w:p>
    <w:p w:rsidR="00F80890" w:rsidRPr="005E3447" w:rsidRDefault="00F164FF" w:rsidP="00F164FF">
      <w:pPr>
        <w:spacing w:after="0" w:line="240" w:lineRule="auto"/>
        <w:rPr>
          <w:rFonts w:ascii="Corbel" w:hAnsi="Corbel" w:cs="Arial"/>
          <w:sz w:val="16"/>
          <w:szCs w:val="16"/>
        </w:rPr>
      </w:pPr>
      <w:r w:rsidRPr="00F164FF">
        <w:rPr>
          <w:rFonts w:ascii="Corbel" w:hAnsi="Corbel" w:cs="Arial"/>
          <w:sz w:val="16"/>
          <w:szCs w:val="16"/>
        </w:rPr>
        <w:t>C</w:t>
      </w:r>
      <w:r w:rsidR="00F80890" w:rsidRPr="005E3447">
        <w:rPr>
          <w:rFonts w:ascii="Corbel" w:hAnsi="Corbel" w:cs="Arial"/>
          <w:sz w:val="16"/>
          <w:szCs w:val="16"/>
        </w:rPr>
        <w:t>opyright © Marsden Jacob Associates Pty Ltd 201</w:t>
      </w:r>
      <w:r w:rsidR="00DD4D11">
        <w:rPr>
          <w:rFonts w:ascii="Corbel" w:hAnsi="Corbel" w:cs="Arial"/>
          <w:sz w:val="16"/>
          <w:szCs w:val="16"/>
        </w:rPr>
        <w:t>4</w:t>
      </w:r>
    </w:p>
    <w:p w:rsidR="000A56D6" w:rsidRDefault="000A56D6" w:rsidP="00F80890">
      <w:pPr>
        <w:rPr>
          <w:rFonts w:ascii="Calibri" w:hAnsi="Calibri" w:cs="Arial"/>
          <w:b/>
          <w:sz w:val="18"/>
        </w:rPr>
      </w:pPr>
    </w:p>
    <w:p w:rsidR="000A56D6" w:rsidRPr="000A56D6" w:rsidRDefault="000A56D6" w:rsidP="000A56D6">
      <w:pPr>
        <w:rPr>
          <w:rFonts w:ascii="Calibri" w:hAnsi="Calibri" w:cs="Arial"/>
          <w:sz w:val="18"/>
        </w:rPr>
      </w:pPr>
    </w:p>
    <w:p w:rsidR="000A56D6" w:rsidRPr="000A56D6" w:rsidRDefault="000A56D6" w:rsidP="000A56D6">
      <w:pPr>
        <w:rPr>
          <w:rFonts w:ascii="Calibri" w:hAnsi="Calibri" w:cs="Arial"/>
          <w:sz w:val="18"/>
        </w:rPr>
      </w:pPr>
    </w:p>
    <w:p w:rsidR="000A56D6" w:rsidRPr="000A56D6" w:rsidRDefault="000A56D6" w:rsidP="000A56D6">
      <w:pPr>
        <w:rPr>
          <w:rFonts w:ascii="Calibri" w:hAnsi="Calibri" w:cs="Arial"/>
          <w:sz w:val="18"/>
        </w:rPr>
      </w:pPr>
    </w:p>
    <w:p w:rsidR="000A56D6" w:rsidRPr="000A56D6" w:rsidRDefault="000A56D6" w:rsidP="000A56D6">
      <w:pPr>
        <w:rPr>
          <w:rFonts w:ascii="Calibri" w:hAnsi="Calibri" w:cs="Arial"/>
          <w:sz w:val="18"/>
        </w:rPr>
      </w:pPr>
    </w:p>
    <w:p w:rsidR="000A56D6" w:rsidRPr="000A56D6" w:rsidRDefault="000A56D6" w:rsidP="000A56D6">
      <w:pPr>
        <w:rPr>
          <w:rFonts w:ascii="Calibri" w:hAnsi="Calibri" w:cs="Arial"/>
          <w:sz w:val="18"/>
        </w:rPr>
      </w:pPr>
    </w:p>
    <w:p w:rsidR="000A56D6" w:rsidRPr="000A56D6" w:rsidRDefault="000A56D6" w:rsidP="000A56D6">
      <w:pPr>
        <w:tabs>
          <w:tab w:val="left" w:pos="1170"/>
        </w:tabs>
        <w:rPr>
          <w:rFonts w:ascii="Calibri" w:hAnsi="Calibri" w:cs="Arial"/>
          <w:sz w:val="18"/>
        </w:rPr>
      </w:pPr>
      <w:r>
        <w:rPr>
          <w:rFonts w:ascii="Calibri" w:hAnsi="Calibri" w:cs="Arial"/>
          <w:sz w:val="18"/>
        </w:rPr>
        <w:tab/>
      </w:r>
    </w:p>
    <w:p w:rsidR="000A56D6" w:rsidRDefault="000A56D6" w:rsidP="000A56D6">
      <w:pPr>
        <w:rPr>
          <w:rFonts w:ascii="Calibri" w:hAnsi="Calibri" w:cs="Arial"/>
          <w:sz w:val="18"/>
        </w:rPr>
      </w:pPr>
    </w:p>
    <w:p w:rsidR="007972B0" w:rsidRPr="000A56D6" w:rsidRDefault="007972B0" w:rsidP="000A56D6">
      <w:pPr>
        <w:rPr>
          <w:rFonts w:ascii="Calibri" w:hAnsi="Calibri" w:cs="Arial"/>
          <w:sz w:val="18"/>
        </w:rPr>
        <w:sectPr w:rsidR="007972B0" w:rsidRPr="000A56D6" w:rsidSect="0002454B">
          <w:pgSz w:w="11906" w:h="16838" w:code="9"/>
          <w:pgMar w:top="1701" w:right="1134" w:bottom="1021" w:left="2268" w:header="680" w:footer="113" w:gutter="0"/>
          <w:cols w:space="708"/>
          <w:docGrid w:linePitch="360"/>
        </w:sectPr>
      </w:pPr>
    </w:p>
    <w:p w:rsidR="00F80890" w:rsidRPr="00CD4E76" w:rsidRDefault="00F80890" w:rsidP="00426980">
      <w:pPr>
        <w:spacing w:after="120" w:line="240" w:lineRule="auto"/>
        <w:rPr>
          <w:rFonts w:ascii="Arial" w:hAnsi="Arial" w:cs="Arial"/>
          <w:b/>
          <w:smallCaps/>
          <w:sz w:val="18"/>
        </w:rPr>
      </w:pPr>
      <w:r w:rsidRPr="00CD4E76">
        <w:rPr>
          <w:rFonts w:ascii="Corbel" w:hAnsi="Corbel" w:cs="Arial"/>
          <w:b/>
          <w:smallCaps/>
          <w:color w:val="0093D0"/>
          <w:sz w:val="28"/>
          <w:szCs w:val="28"/>
        </w:rPr>
        <w:lastRenderedPageBreak/>
        <w:t>Table of Contents</w:t>
      </w:r>
    </w:p>
    <w:p w:rsidR="00F80890" w:rsidRPr="000E460E" w:rsidRDefault="00F80890" w:rsidP="00F80890">
      <w:pPr>
        <w:ind w:right="283"/>
        <w:jc w:val="right"/>
        <w:rPr>
          <w:rFonts w:ascii="Corbel" w:hAnsi="Corbel" w:cs="Arial"/>
          <w:sz w:val="18"/>
        </w:rPr>
      </w:pPr>
      <w:r w:rsidRPr="000E460E">
        <w:rPr>
          <w:rFonts w:ascii="Corbel" w:hAnsi="Corbel" w:cs="Arial"/>
          <w:sz w:val="18"/>
        </w:rPr>
        <w:t xml:space="preserve">Page </w:t>
      </w:r>
    </w:p>
    <w:p w:rsidR="006753A3" w:rsidRDefault="00732F35">
      <w:pPr>
        <w:pStyle w:val="TOC1"/>
        <w:rPr>
          <w:rFonts w:asciiTheme="minorHAnsi" w:eastAsiaTheme="minorEastAsia" w:hAnsiTheme="minorHAnsi" w:cstheme="minorBidi"/>
          <w:b w:val="0"/>
          <w:sz w:val="22"/>
          <w:szCs w:val="22"/>
          <w:lang w:eastAsia="en-AU"/>
        </w:rPr>
      </w:pPr>
      <w:r>
        <w:fldChar w:fldCharType="begin"/>
      </w:r>
      <w:r w:rsidR="00697E6F">
        <w:instrText xml:space="preserve"> TOC \h \z \t "MJA heading 1,1,MJA heading 2,2" </w:instrText>
      </w:r>
      <w:r>
        <w:fldChar w:fldCharType="separate"/>
      </w:r>
      <w:hyperlink w:anchor="_Toc391729943" w:history="1">
        <w:r w:rsidR="006753A3" w:rsidRPr="002D66BE">
          <w:rPr>
            <w:rStyle w:val="Hyperlink"/>
          </w:rPr>
          <w:t>Executive summary</w:t>
        </w:r>
        <w:r w:rsidR="006753A3">
          <w:rPr>
            <w:webHidden/>
          </w:rPr>
          <w:tab/>
        </w:r>
        <w:r>
          <w:rPr>
            <w:webHidden/>
          </w:rPr>
          <w:fldChar w:fldCharType="begin"/>
        </w:r>
        <w:r w:rsidR="006753A3">
          <w:rPr>
            <w:webHidden/>
          </w:rPr>
          <w:instrText xml:space="preserve"> PAGEREF _Toc391729943 \h </w:instrText>
        </w:r>
        <w:r>
          <w:rPr>
            <w:webHidden/>
          </w:rPr>
        </w:r>
        <w:r>
          <w:rPr>
            <w:webHidden/>
          </w:rPr>
          <w:fldChar w:fldCharType="separate"/>
        </w:r>
        <w:r w:rsidR="00554981">
          <w:rPr>
            <w:webHidden/>
          </w:rPr>
          <w:t>1</w:t>
        </w:r>
        <w:r>
          <w:rPr>
            <w:webHidden/>
          </w:rPr>
          <w:fldChar w:fldCharType="end"/>
        </w:r>
      </w:hyperlink>
    </w:p>
    <w:p w:rsidR="006753A3" w:rsidRDefault="00732F35">
      <w:pPr>
        <w:pStyle w:val="TOC1"/>
        <w:rPr>
          <w:rFonts w:asciiTheme="minorHAnsi" w:eastAsiaTheme="minorEastAsia" w:hAnsiTheme="minorHAnsi" w:cstheme="minorBidi"/>
          <w:b w:val="0"/>
          <w:sz w:val="22"/>
          <w:szCs w:val="22"/>
          <w:lang w:eastAsia="en-AU"/>
        </w:rPr>
      </w:pPr>
      <w:hyperlink w:anchor="_Toc391729944" w:history="1">
        <w:r w:rsidR="006753A3" w:rsidRPr="002D66BE">
          <w:rPr>
            <w:rStyle w:val="Hyperlink"/>
          </w:rPr>
          <w:t>1.</w:t>
        </w:r>
        <w:r w:rsidR="006753A3">
          <w:rPr>
            <w:rFonts w:asciiTheme="minorHAnsi" w:eastAsiaTheme="minorEastAsia" w:hAnsiTheme="minorHAnsi" w:cstheme="minorBidi"/>
            <w:b w:val="0"/>
            <w:sz w:val="22"/>
            <w:szCs w:val="22"/>
            <w:lang w:eastAsia="en-AU"/>
          </w:rPr>
          <w:tab/>
        </w:r>
        <w:r w:rsidR="006753A3" w:rsidRPr="002D66BE">
          <w:rPr>
            <w:rStyle w:val="Hyperlink"/>
          </w:rPr>
          <w:t>Introduction</w:t>
        </w:r>
        <w:r w:rsidR="006753A3">
          <w:rPr>
            <w:webHidden/>
          </w:rPr>
          <w:tab/>
        </w:r>
        <w:r>
          <w:rPr>
            <w:webHidden/>
          </w:rPr>
          <w:fldChar w:fldCharType="begin"/>
        </w:r>
        <w:r w:rsidR="006753A3">
          <w:rPr>
            <w:webHidden/>
          </w:rPr>
          <w:instrText xml:space="preserve"> PAGEREF _Toc391729944 \h </w:instrText>
        </w:r>
        <w:r>
          <w:rPr>
            <w:webHidden/>
          </w:rPr>
        </w:r>
        <w:r>
          <w:rPr>
            <w:webHidden/>
          </w:rPr>
          <w:fldChar w:fldCharType="separate"/>
        </w:r>
        <w:r w:rsidR="00554981">
          <w:rPr>
            <w:webHidden/>
          </w:rPr>
          <w:t>4</w:t>
        </w:r>
        <w:r>
          <w:rPr>
            <w:webHidden/>
          </w:rPr>
          <w:fldChar w:fldCharType="end"/>
        </w:r>
      </w:hyperlink>
    </w:p>
    <w:p w:rsidR="006753A3" w:rsidRDefault="00732F35">
      <w:pPr>
        <w:pStyle w:val="TOC2"/>
        <w:rPr>
          <w:rFonts w:asciiTheme="minorHAnsi" w:eastAsiaTheme="minorEastAsia" w:hAnsiTheme="minorHAnsi" w:cstheme="minorBidi"/>
          <w:sz w:val="22"/>
          <w:szCs w:val="22"/>
          <w:lang w:eastAsia="en-AU"/>
        </w:rPr>
      </w:pPr>
      <w:hyperlink w:anchor="_Toc391729945" w:history="1">
        <w:r w:rsidR="006753A3" w:rsidRPr="002D66BE">
          <w:rPr>
            <w:rStyle w:val="Hyperlink"/>
          </w:rPr>
          <w:t>1.1</w:t>
        </w:r>
        <w:r w:rsidR="006753A3">
          <w:rPr>
            <w:rFonts w:asciiTheme="minorHAnsi" w:eastAsiaTheme="minorEastAsia" w:hAnsiTheme="minorHAnsi" w:cstheme="minorBidi"/>
            <w:sz w:val="22"/>
            <w:szCs w:val="22"/>
            <w:lang w:eastAsia="en-AU"/>
          </w:rPr>
          <w:tab/>
        </w:r>
        <w:r w:rsidR="006753A3" w:rsidRPr="002D66BE">
          <w:rPr>
            <w:rStyle w:val="Hyperlink"/>
          </w:rPr>
          <w:t>Study purpose</w:t>
        </w:r>
        <w:r w:rsidR="006753A3">
          <w:rPr>
            <w:webHidden/>
          </w:rPr>
          <w:tab/>
        </w:r>
        <w:r>
          <w:rPr>
            <w:webHidden/>
          </w:rPr>
          <w:fldChar w:fldCharType="begin"/>
        </w:r>
        <w:r w:rsidR="006753A3">
          <w:rPr>
            <w:webHidden/>
          </w:rPr>
          <w:instrText xml:space="preserve"> PAGEREF _Toc391729945 \h </w:instrText>
        </w:r>
        <w:r>
          <w:rPr>
            <w:webHidden/>
          </w:rPr>
        </w:r>
        <w:r>
          <w:rPr>
            <w:webHidden/>
          </w:rPr>
          <w:fldChar w:fldCharType="separate"/>
        </w:r>
        <w:r w:rsidR="00554981">
          <w:rPr>
            <w:webHidden/>
          </w:rPr>
          <w:t>4</w:t>
        </w:r>
        <w:r>
          <w:rPr>
            <w:webHidden/>
          </w:rPr>
          <w:fldChar w:fldCharType="end"/>
        </w:r>
      </w:hyperlink>
    </w:p>
    <w:p w:rsidR="006753A3" w:rsidRDefault="00732F35">
      <w:pPr>
        <w:pStyle w:val="TOC2"/>
        <w:rPr>
          <w:rFonts w:asciiTheme="minorHAnsi" w:eastAsiaTheme="minorEastAsia" w:hAnsiTheme="minorHAnsi" w:cstheme="minorBidi"/>
          <w:sz w:val="22"/>
          <w:szCs w:val="22"/>
          <w:lang w:eastAsia="en-AU"/>
        </w:rPr>
      </w:pPr>
      <w:hyperlink w:anchor="_Toc391729946" w:history="1">
        <w:r w:rsidR="006753A3" w:rsidRPr="002D66BE">
          <w:rPr>
            <w:rStyle w:val="Hyperlink"/>
          </w:rPr>
          <w:t>1.2</w:t>
        </w:r>
        <w:r w:rsidR="006753A3">
          <w:rPr>
            <w:rFonts w:asciiTheme="minorHAnsi" w:eastAsiaTheme="minorEastAsia" w:hAnsiTheme="minorHAnsi" w:cstheme="minorBidi"/>
            <w:sz w:val="22"/>
            <w:szCs w:val="22"/>
            <w:lang w:eastAsia="en-AU"/>
          </w:rPr>
          <w:tab/>
        </w:r>
        <w:r w:rsidR="006753A3" w:rsidRPr="002D66BE">
          <w:rPr>
            <w:rStyle w:val="Hyperlink"/>
          </w:rPr>
          <w:t>Focus and scope of the analysis</w:t>
        </w:r>
        <w:r w:rsidR="006753A3">
          <w:rPr>
            <w:webHidden/>
          </w:rPr>
          <w:tab/>
        </w:r>
        <w:r>
          <w:rPr>
            <w:webHidden/>
          </w:rPr>
          <w:fldChar w:fldCharType="begin"/>
        </w:r>
        <w:r w:rsidR="006753A3">
          <w:rPr>
            <w:webHidden/>
          </w:rPr>
          <w:instrText xml:space="preserve"> PAGEREF _Toc391729946 \h </w:instrText>
        </w:r>
        <w:r>
          <w:rPr>
            <w:webHidden/>
          </w:rPr>
        </w:r>
        <w:r>
          <w:rPr>
            <w:webHidden/>
          </w:rPr>
          <w:fldChar w:fldCharType="separate"/>
        </w:r>
        <w:r w:rsidR="00554981">
          <w:rPr>
            <w:webHidden/>
          </w:rPr>
          <w:t>4</w:t>
        </w:r>
        <w:r>
          <w:rPr>
            <w:webHidden/>
          </w:rPr>
          <w:fldChar w:fldCharType="end"/>
        </w:r>
      </w:hyperlink>
    </w:p>
    <w:p w:rsidR="006753A3" w:rsidRDefault="00732F35">
      <w:pPr>
        <w:pStyle w:val="TOC2"/>
        <w:rPr>
          <w:rFonts w:asciiTheme="minorHAnsi" w:eastAsiaTheme="minorEastAsia" w:hAnsiTheme="minorHAnsi" w:cstheme="minorBidi"/>
          <w:sz w:val="22"/>
          <w:szCs w:val="22"/>
          <w:lang w:eastAsia="en-AU"/>
        </w:rPr>
      </w:pPr>
      <w:hyperlink w:anchor="_Toc391729947" w:history="1">
        <w:r w:rsidR="006753A3" w:rsidRPr="002D66BE">
          <w:rPr>
            <w:rStyle w:val="Hyperlink"/>
          </w:rPr>
          <w:t>1.3</w:t>
        </w:r>
        <w:r w:rsidR="006753A3">
          <w:rPr>
            <w:rFonts w:asciiTheme="minorHAnsi" w:eastAsiaTheme="minorEastAsia" w:hAnsiTheme="minorHAnsi" w:cstheme="minorBidi"/>
            <w:sz w:val="22"/>
            <w:szCs w:val="22"/>
            <w:lang w:eastAsia="en-AU"/>
          </w:rPr>
          <w:tab/>
        </w:r>
        <w:r w:rsidR="006753A3" w:rsidRPr="002D66BE">
          <w:rPr>
            <w:rStyle w:val="Hyperlink"/>
          </w:rPr>
          <w:t>Report structure</w:t>
        </w:r>
        <w:r w:rsidR="006753A3">
          <w:rPr>
            <w:webHidden/>
          </w:rPr>
          <w:tab/>
        </w:r>
        <w:r>
          <w:rPr>
            <w:webHidden/>
          </w:rPr>
          <w:fldChar w:fldCharType="begin"/>
        </w:r>
        <w:r w:rsidR="006753A3">
          <w:rPr>
            <w:webHidden/>
          </w:rPr>
          <w:instrText xml:space="preserve"> PAGEREF _Toc391729947 \h </w:instrText>
        </w:r>
        <w:r>
          <w:rPr>
            <w:webHidden/>
          </w:rPr>
        </w:r>
        <w:r>
          <w:rPr>
            <w:webHidden/>
          </w:rPr>
          <w:fldChar w:fldCharType="separate"/>
        </w:r>
        <w:r w:rsidR="00554981">
          <w:rPr>
            <w:webHidden/>
          </w:rPr>
          <w:t>6</w:t>
        </w:r>
        <w:r>
          <w:rPr>
            <w:webHidden/>
          </w:rPr>
          <w:fldChar w:fldCharType="end"/>
        </w:r>
      </w:hyperlink>
    </w:p>
    <w:p w:rsidR="006753A3" w:rsidRDefault="00732F35">
      <w:pPr>
        <w:pStyle w:val="TOC1"/>
        <w:rPr>
          <w:rFonts w:asciiTheme="minorHAnsi" w:eastAsiaTheme="minorEastAsia" w:hAnsiTheme="minorHAnsi" w:cstheme="minorBidi"/>
          <w:b w:val="0"/>
          <w:sz w:val="22"/>
          <w:szCs w:val="22"/>
          <w:lang w:eastAsia="en-AU"/>
        </w:rPr>
      </w:pPr>
      <w:hyperlink w:anchor="_Toc391729948" w:history="1">
        <w:r w:rsidR="006753A3" w:rsidRPr="002D66BE">
          <w:rPr>
            <w:rStyle w:val="Hyperlink"/>
          </w:rPr>
          <w:t>2.</w:t>
        </w:r>
        <w:r w:rsidR="006753A3">
          <w:rPr>
            <w:rFonts w:asciiTheme="minorHAnsi" w:eastAsiaTheme="minorEastAsia" w:hAnsiTheme="minorHAnsi" w:cstheme="minorBidi"/>
            <w:b w:val="0"/>
            <w:sz w:val="22"/>
            <w:szCs w:val="22"/>
            <w:lang w:eastAsia="en-AU"/>
          </w:rPr>
          <w:tab/>
        </w:r>
        <w:r w:rsidR="006753A3" w:rsidRPr="002D66BE">
          <w:rPr>
            <w:rStyle w:val="Hyperlink"/>
          </w:rPr>
          <w:t>Background</w:t>
        </w:r>
        <w:r w:rsidR="006753A3">
          <w:rPr>
            <w:webHidden/>
          </w:rPr>
          <w:tab/>
        </w:r>
        <w:r>
          <w:rPr>
            <w:webHidden/>
          </w:rPr>
          <w:fldChar w:fldCharType="begin"/>
        </w:r>
        <w:r w:rsidR="006753A3">
          <w:rPr>
            <w:webHidden/>
          </w:rPr>
          <w:instrText xml:space="preserve"> PAGEREF _Toc391729948 \h </w:instrText>
        </w:r>
        <w:r>
          <w:rPr>
            <w:webHidden/>
          </w:rPr>
        </w:r>
        <w:r>
          <w:rPr>
            <w:webHidden/>
          </w:rPr>
          <w:fldChar w:fldCharType="separate"/>
        </w:r>
        <w:r w:rsidR="00554981">
          <w:rPr>
            <w:webHidden/>
          </w:rPr>
          <w:t>7</w:t>
        </w:r>
        <w:r>
          <w:rPr>
            <w:webHidden/>
          </w:rPr>
          <w:fldChar w:fldCharType="end"/>
        </w:r>
      </w:hyperlink>
    </w:p>
    <w:p w:rsidR="006753A3" w:rsidRDefault="00732F35">
      <w:pPr>
        <w:pStyle w:val="TOC2"/>
        <w:rPr>
          <w:rFonts w:asciiTheme="minorHAnsi" w:eastAsiaTheme="minorEastAsia" w:hAnsiTheme="minorHAnsi" w:cstheme="minorBidi"/>
          <w:sz w:val="22"/>
          <w:szCs w:val="22"/>
          <w:lang w:eastAsia="en-AU"/>
        </w:rPr>
      </w:pPr>
      <w:hyperlink w:anchor="_Toc391729949" w:history="1">
        <w:r w:rsidR="006753A3" w:rsidRPr="002D66BE">
          <w:rPr>
            <w:rStyle w:val="Hyperlink"/>
          </w:rPr>
          <w:t>2.1</w:t>
        </w:r>
        <w:r w:rsidR="006753A3">
          <w:rPr>
            <w:rFonts w:asciiTheme="minorHAnsi" w:eastAsiaTheme="minorEastAsia" w:hAnsiTheme="minorHAnsi" w:cstheme="minorBidi"/>
            <w:sz w:val="22"/>
            <w:szCs w:val="22"/>
            <w:lang w:eastAsia="en-AU"/>
          </w:rPr>
          <w:tab/>
        </w:r>
        <w:r w:rsidR="006753A3" w:rsidRPr="002D66BE">
          <w:rPr>
            <w:rStyle w:val="Hyperlink"/>
          </w:rPr>
          <w:t>Hazardous waste in Australia</w:t>
        </w:r>
        <w:r w:rsidR="006753A3">
          <w:rPr>
            <w:webHidden/>
          </w:rPr>
          <w:tab/>
        </w:r>
        <w:r>
          <w:rPr>
            <w:webHidden/>
          </w:rPr>
          <w:fldChar w:fldCharType="begin"/>
        </w:r>
        <w:r w:rsidR="006753A3">
          <w:rPr>
            <w:webHidden/>
          </w:rPr>
          <w:instrText xml:space="preserve"> PAGEREF _Toc391729949 \h </w:instrText>
        </w:r>
        <w:r>
          <w:rPr>
            <w:webHidden/>
          </w:rPr>
        </w:r>
        <w:r>
          <w:rPr>
            <w:webHidden/>
          </w:rPr>
          <w:fldChar w:fldCharType="separate"/>
        </w:r>
        <w:r w:rsidR="00554981">
          <w:rPr>
            <w:webHidden/>
          </w:rPr>
          <w:t>7</w:t>
        </w:r>
        <w:r>
          <w:rPr>
            <w:webHidden/>
          </w:rPr>
          <w:fldChar w:fldCharType="end"/>
        </w:r>
      </w:hyperlink>
    </w:p>
    <w:p w:rsidR="006753A3" w:rsidRDefault="00732F35">
      <w:pPr>
        <w:pStyle w:val="TOC2"/>
        <w:rPr>
          <w:rFonts w:asciiTheme="minorHAnsi" w:eastAsiaTheme="minorEastAsia" w:hAnsiTheme="minorHAnsi" w:cstheme="minorBidi"/>
          <w:sz w:val="22"/>
          <w:szCs w:val="22"/>
          <w:lang w:eastAsia="en-AU"/>
        </w:rPr>
      </w:pPr>
      <w:hyperlink w:anchor="_Toc391729950" w:history="1">
        <w:r w:rsidR="006753A3" w:rsidRPr="002D66BE">
          <w:rPr>
            <w:rStyle w:val="Hyperlink"/>
          </w:rPr>
          <w:t>2.2</w:t>
        </w:r>
        <w:r w:rsidR="006753A3">
          <w:rPr>
            <w:rFonts w:asciiTheme="minorHAnsi" w:eastAsiaTheme="minorEastAsia" w:hAnsiTheme="minorHAnsi" w:cstheme="minorBidi"/>
            <w:sz w:val="22"/>
            <w:szCs w:val="22"/>
            <w:lang w:eastAsia="en-AU"/>
          </w:rPr>
          <w:tab/>
        </w:r>
        <w:r w:rsidR="006753A3" w:rsidRPr="002D66BE">
          <w:rPr>
            <w:rStyle w:val="Hyperlink"/>
          </w:rPr>
          <w:t>Regulation of hazardous waste</w:t>
        </w:r>
        <w:r w:rsidR="006753A3">
          <w:rPr>
            <w:webHidden/>
          </w:rPr>
          <w:tab/>
        </w:r>
        <w:r>
          <w:rPr>
            <w:webHidden/>
          </w:rPr>
          <w:fldChar w:fldCharType="begin"/>
        </w:r>
        <w:r w:rsidR="006753A3">
          <w:rPr>
            <w:webHidden/>
          </w:rPr>
          <w:instrText xml:space="preserve"> PAGEREF _Toc391729950 \h </w:instrText>
        </w:r>
        <w:r>
          <w:rPr>
            <w:webHidden/>
          </w:rPr>
        </w:r>
        <w:r>
          <w:rPr>
            <w:webHidden/>
          </w:rPr>
          <w:fldChar w:fldCharType="separate"/>
        </w:r>
        <w:r w:rsidR="00554981">
          <w:rPr>
            <w:webHidden/>
          </w:rPr>
          <w:t>8</w:t>
        </w:r>
        <w:r>
          <w:rPr>
            <w:webHidden/>
          </w:rPr>
          <w:fldChar w:fldCharType="end"/>
        </w:r>
      </w:hyperlink>
    </w:p>
    <w:p w:rsidR="006753A3" w:rsidRDefault="00732F35">
      <w:pPr>
        <w:pStyle w:val="TOC1"/>
        <w:rPr>
          <w:rFonts w:asciiTheme="minorHAnsi" w:eastAsiaTheme="minorEastAsia" w:hAnsiTheme="minorHAnsi" w:cstheme="minorBidi"/>
          <w:b w:val="0"/>
          <w:sz w:val="22"/>
          <w:szCs w:val="22"/>
          <w:lang w:eastAsia="en-AU"/>
        </w:rPr>
      </w:pPr>
      <w:hyperlink w:anchor="_Toc391729951" w:history="1">
        <w:r w:rsidR="006753A3" w:rsidRPr="002D66BE">
          <w:rPr>
            <w:rStyle w:val="Hyperlink"/>
          </w:rPr>
          <w:t>3.</w:t>
        </w:r>
        <w:r w:rsidR="006753A3">
          <w:rPr>
            <w:rFonts w:asciiTheme="minorHAnsi" w:eastAsiaTheme="minorEastAsia" w:hAnsiTheme="minorHAnsi" w:cstheme="minorBidi"/>
            <w:b w:val="0"/>
            <w:sz w:val="22"/>
            <w:szCs w:val="22"/>
            <w:lang w:eastAsia="en-AU"/>
          </w:rPr>
          <w:tab/>
        </w:r>
        <w:r w:rsidR="006753A3" w:rsidRPr="002D66BE">
          <w:rPr>
            <w:rStyle w:val="Hyperlink"/>
          </w:rPr>
          <w:t>Cost analysis</w:t>
        </w:r>
        <w:r w:rsidR="006753A3">
          <w:rPr>
            <w:webHidden/>
          </w:rPr>
          <w:tab/>
        </w:r>
        <w:r>
          <w:rPr>
            <w:webHidden/>
          </w:rPr>
          <w:fldChar w:fldCharType="begin"/>
        </w:r>
        <w:r w:rsidR="006753A3">
          <w:rPr>
            <w:webHidden/>
          </w:rPr>
          <w:instrText xml:space="preserve"> PAGEREF _Toc391729951 \h </w:instrText>
        </w:r>
        <w:r>
          <w:rPr>
            <w:webHidden/>
          </w:rPr>
        </w:r>
        <w:r>
          <w:rPr>
            <w:webHidden/>
          </w:rPr>
          <w:fldChar w:fldCharType="separate"/>
        </w:r>
        <w:r w:rsidR="00554981">
          <w:rPr>
            <w:webHidden/>
          </w:rPr>
          <w:t>10</w:t>
        </w:r>
        <w:r>
          <w:rPr>
            <w:webHidden/>
          </w:rPr>
          <w:fldChar w:fldCharType="end"/>
        </w:r>
      </w:hyperlink>
    </w:p>
    <w:p w:rsidR="006753A3" w:rsidRDefault="00732F35">
      <w:pPr>
        <w:pStyle w:val="TOC2"/>
        <w:rPr>
          <w:rFonts w:asciiTheme="minorHAnsi" w:eastAsiaTheme="minorEastAsia" w:hAnsiTheme="minorHAnsi" w:cstheme="minorBidi"/>
          <w:sz w:val="22"/>
          <w:szCs w:val="22"/>
          <w:lang w:eastAsia="en-AU"/>
        </w:rPr>
      </w:pPr>
      <w:hyperlink w:anchor="_Toc391729952" w:history="1">
        <w:r w:rsidR="006753A3" w:rsidRPr="002D66BE">
          <w:rPr>
            <w:rStyle w:val="Hyperlink"/>
          </w:rPr>
          <w:t>3.1</w:t>
        </w:r>
        <w:r w:rsidR="006753A3">
          <w:rPr>
            <w:rFonts w:asciiTheme="minorHAnsi" w:eastAsiaTheme="minorEastAsia" w:hAnsiTheme="minorHAnsi" w:cstheme="minorBidi"/>
            <w:sz w:val="22"/>
            <w:szCs w:val="22"/>
            <w:lang w:eastAsia="en-AU"/>
          </w:rPr>
          <w:tab/>
        </w:r>
        <w:r w:rsidR="006753A3" w:rsidRPr="002D66BE">
          <w:rPr>
            <w:rStyle w:val="Hyperlink"/>
          </w:rPr>
          <w:t>Base year costs</w:t>
        </w:r>
        <w:r w:rsidR="006753A3">
          <w:rPr>
            <w:webHidden/>
          </w:rPr>
          <w:tab/>
        </w:r>
        <w:r>
          <w:rPr>
            <w:webHidden/>
          </w:rPr>
          <w:fldChar w:fldCharType="begin"/>
        </w:r>
        <w:r w:rsidR="006753A3">
          <w:rPr>
            <w:webHidden/>
          </w:rPr>
          <w:instrText xml:space="preserve"> PAGEREF _Toc391729952 \h </w:instrText>
        </w:r>
        <w:r>
          <w:rPr>
            <w:webHidden/>
          </w:rPr>
        </w:r>
        <w:r>
          <w:rPr>
            <w:webHidden/>
          </w:rPr>
          <w:fldChar w:fldCharType="separate"/>
        </w:r>
        <w:r w:rsidR="00554981">
          <w:rPr>
            <w:webHidden/>
          </w:rPr>
          <w:t>10</w:t>
        </w:r>
        <w:r>
          <w:rPr>
            <w:webHidden/>
          </w:rPr>
          <w:fldChar w:fldCharType="end"/>
        </w:r>
      </w:hyperlink>
    </w:p>
    <w:p w:rsidR="006753A3" w:rsidRDefault="00732F35">
      <w:pPr>
        <w:pStyle w:val="TOC2"/>
        <w:rPr>
          <w:rFonts w:asciiTheme="minorHAnsi" w:eastAsiaTheme="minorEastAsia" w:hAnsiTheme="minorHAnsi" w:cstheme="minorBidi"/>
          <w:sz w:val="22"/>
          <w:szCs w:val="22"/>
          <w:lang w:eastAsia="en-AU"/>
        </w:rPr>
      </w:pPr>
      <w:hyperlink w:anchor="_Toc391729953" w:history="1">
        <w:r w:rsidR="006753A3" w:rsidRPr="002D66BE">
          <w:rPr>
            <w:rStyle w:val="Hyperlink"/>
          </w:rPr>
          <w:t>3.2</w:t>
        </w:r>
        <w:r w:rsidR="006753A3">
          <w:rPr>
            <w:rFonts w:asciiTheme="minorHAnsi" w:eastAsiaTheme="minorEastAsia" w:hAnsiTheme="minorHAnsi" w:cstheme="minorBidi"/>
            <w:sz w:val="22"/>
            <w:szCs w:val="22"/>
            <w:lang w:eastAsia="en-AU"/>
          </w:rPr>
          <w:tab/>
        </w:r>
        <w:r w:rsidR="006753A3" w:rsidRPr="002D66BE">
          <w:rPr>
            <w:rStyle w:val="Hyperlink"/>
          </w:rPr>
          <w:t>Distributional analysis</w:t>
        </w:r>
        <w:r w:rsidR="006753A3">
          <w:rPr>
            <w:webHidden/>
          </w:rPr>
          <w:tab/>
        </w:r>
        <w:r>
          <w:rPr>
            <w:webHidden/>
          </w:rPr>
          <w:fldChar w:fldCharType="begin"/>
        </w:r>
        <w:r w:rsidR="006753A3">
          <w:rPr>
            <w:webHidden/>
          </w:rPr>
          <w:instrText xml:space="preserve"> PAGEREF _Toc391729953 \h </w:instrText>
        </w:r>
        <w:r>
          <w:rPr>
            <w:webHidden/>
          </w:rPr>
        </w:r>
        <w:r>
          <w:rPr>
            <w:webHidden/>
          </w:rPr>
          <w:fldChar w:fldCharType="separate"/>
        </w:r>
        <w:r w:rsidR="00554981">
          <w:rPr>
            <w:webHidden/>
          </w:rPr>
          <w:t>14</w:t>
        </w:r>
        <w:r>
          <w:rPr>
            <w:webHidden/>
          </w:rPr>
          <w:fldChar w:fldCharType="end"/>
        </w:r>
      </w:hyperlink>
    </w:p>
    <w:p w:rsidR="006753A3" w:rsidRDefault="00732F35">
      <w:pPr>
        <w:pStyle w:val="TOC2"/>
        <w:rPr>
          <w:rFonts w:asciiTheme="minorHAnsi" w:eastAsiaTheme="minorEastAsia" w:hAnsiTheme="minorHAnsi" w:cstheme="minorBidi"/>
          <w:sz w:val="22"/>
          <w:szCs w:val="22"/>
          <w:lang w:eastAsia="en-AU"/>
        </w:rPr>
      </w:pPr>
      <w:hyperlink w:anchor="_Toc391729954" w:history="1">
        <w:r w:rsidR="006753A3" w:rsidRPr="002D66BE">
          <w:rPr>
            <w:rStyle w:val="Hyperlink"/>
          </w:rPr>
          <w:t>3.3</w:t>
        </w:r>
        <w:r w:rsidR="006753A3">
          <w:rPr>
            <w:rFonts w:asciiTheme="minorHAnsi" w:eastAsiaTheme="minorEastAsia" w:hAnsiTheme="minorHAnsi" w:cstheme="minorBidi"/>
            <w:sz w:val="22"/>
            <w:szCs w:val="22"/>
            <w:lang w:eastAsia="en-AU"/>
          </w:rPr>
          <w:tab/>
        </w:r>
        <w:r w:rsidR="006753A3" w:rsidRPr="002D66BE">
          <w:rPr>
            <w:rStyle w:val="Hyperlink"/>
          </w:rPr>
          <w:t>Cost projections</w:t>
        </w:r>
        <w:r w:rsidR="006753A3">
          <w:rPr>
            <w:webHidden/>
          </w:rPr>
          <w:tab/>
        </w:r>
        <w:r>
          <w:rPr>
            <w:webHidden/>
          </w:rPr>
          <w:fldChar w:fldCharType="begin"/>
        </w:r>
        <w:r w:rsidR="006753A3">
          <w:rPr>
            <w:webHidden/>
          </w:rPr>
          <w:instrText xml:space="preserve"> PAGEREF _Toc391729954 \h </w:instrText>
        </w:r>
        <w:r>
          <w:rPr>
            <w:webHidden/>
          </w:rPr>
        </w:r>
        <w:r>
          <w:rPr>
            <w:webHidden/>
          </w:rPr>
          <w:fldChar w:fldCharType="separate"/>
        </w:r>
        <w:r w:rsidR="00554981">
          <w:rPr>
            <w:webHidden/>
          </w:rPr>
          <w:t>17</w:t>
        </w:r>
        <w:r>
          <w:rPr>
            <w:webHidden/>
          </w:rPr>
          <w:fldChar w:fldCharType="end"/>
        </w:r>
      </w:hyperlink>
    </w:p>
    <w:p w:rsidR="006753A3" w:rsidRDefault="00732F35">
      <w:pPr>
        <w:pStyle w:val="TOC1"/>
        <w:rPr>
          <w:rFonts w:asciiTheme="minorHAnsi" w:eastAsiaTheme="minorEastAsia" w:hAnsiTheme="minorHAnsi" w:cstheme="minorBidi"/>
          <w:b w:val="0"/>
          <w:sz w:val="22"/>
          <w:szCs w:val="22"/>
          <w:lang w:eastAsia="en-AU"/>
        </w:rPr>
      </w:pPr>
      <w:hyperlink w:anchor="_Toc391729955" w:history="1">
        <w:r w:rsidR="006753A3" w:rsidRPr="002D66BE">
          <w:rPr>
            <w:rStyle w:val="Hyperlink"/>
          </w:rPr>
          <w:t>4.</w:t>
        </w:r>
        <w:r w:rsidR="006753A3">
          <w:rPr>
            <w:rFonts w:asciiTheme="minorHAnsi" w:eastAsiaTheme="minorEastAsia" w:hAnsiTheme="minorHAnsi" w:cstheme="minorBidi"/>
            <w:b w:val="0"/>
            <w:sz w:val="22"/>
            <w:szCs w:val="22"/>
            <w:lang w:eastAsia="en-AU"/>
          </w:rPr>
          <w:tab/>
        </w:r>
        <w:r w:rsidR="006753A3" w:rsidRPr="002D66BE">
          <w:rPr>
            <w:rStyle w:val="Hyperlink"/>
          </w:rPr>
          <w:t>Methods and data assumptions</w:t>
        </w:r>
        <w:r w:rsidR="006753A3">
          <w:rPr>
            <w:webHidden/>
          </w:rPr>
          <w:tab/>
        </w:r>
        <w:r>
          <w:rPr>
            <w:webHidden/>
          </w:rPr>
          <w:fldChar w:fldCharType="begin"/>
        </w:r>
        <w:r w:rsidR="006753A3">
          <w:rPr>
            <w:webHidden/>
          </w:rPr>
          <w:instrText xml:space="preserve"> PAGEREF _Toc391729955 \h </w:instrText>
        </w:r>
        <w:r>
          <w:rPr>
            <w:webHidden/>
          </w:rPr>
        </w:r>
        <w:r>
          <w:rPr>
            <w:webHidden/>
          </w:rPr>
          <w:fldChar w:fldCharType="separate"/>
        </w:r>
        <w:r w:rsidR="00554981">
          <w:rPr>
            <w:webHidden/>
          </w:rPr>
          <w:t>20</w:t>
        </w:r>
        <w:r>
          <w:rPr>
            <w:webHidden/>
          </w:rPr>
          <w:fldChar w:fldCharType="end"/>
        </w:r>
      </w:hyperlink>
    </w:p>
    <w:p w:rsidR="006753A3" w:rsidRDefault="00732F35">
      <w:pPr>
        <w:pStyle w:val="TOC2"/>
        <w:rPr>
          <w:rFonts w:asciiTheme="minorHAnsi" w:eastAsiaTheme="minorEastAsia" w:hAnsiTheme="minorHAnsi" w:cstheme="minorBidi"/>
          <w:sz w:val="22"/>
          <w:szCs w:val="22"/>
          <w:lang w:eastAsia="en-AU"/>
        </w:rPr>
      </w:pPr>
      <w:hyperlink w:anchor="_Toc391729956" w:history="1">
        <w:r w:rsidR="006753A3" w:rsidRPr="002D66BE">
          <w:rPr>
            <w:rStyle w:val="Hyperlink"/>
          </w:rPr>
          <w:t>4.1</w:t>
        </w:r>
        <w:r w:rsidR="006753A3">
          <w:rPr>
            <w:rFonts w:asciiTheme="minorHAnsi" w:eastAsiaTheme="minorEastAsia" w:hAnsiTheme="minorHAnsi" w:cstheme="minorBidi"/>
            <w:sz w:val="22"/>
            <w:szCs w:val="22"/>
            <w:lang w:eastAsia="en-AU"/>
          </w:rPr>
          <w:tab/>
        </w:r>
        <w:r w:rsidR="006753A3" w:rsidRPr="002D66BE">
          <w:rPr>
            <w:rStyle w:val="Hyperlink"/>
          </w:rPr>
          <w:t>Classification and quantification of waste</w:t>
        </w:r>
        <w:r w:rsidR="006753A3">
          <w:rPr>
            <w:webHidden/>
          </w:rPr>
          <w:tab/>
        </w:r>
        <w:r>
          <w:rPr>
            <w:webHidden/>
          </w:rPr>
          <w:fldChar w:fldCharType="begin"/>
        </w:r>
        <w:r w:rsidR="006753A3">
          <w:rPr>
            <w:webHidden/>
          </w:rPr>
          <w:instrText xml:space="preserve"> PAGEREF _Toc391729956 \h </w:instrText>
        </w:r>
        <w:r>
          <w:rPr>
            <w:webHidden/>
          </w:rPr>
        </w:r>
        <w:r>
          <w:rPr>
            <w:webHidden/>
          </w:rPr>
          <w:fldChar w:fldCharType="separate"/>
        </w:r>
        <w:r w:rsidR="00554981">
          <w:rPr>
            <w:webHidden/>
          </w:rPr>
          <w:t>20</w:t>
        </w:r>
        <w:r>
          <w:rPr>
            <w:webHidden/>
          </w:rPr>
          <w:fldChar w:fldCharType="end"/>
        </w:r>
      </w:hyperlink>
    </w:p>
    <w:p w:rsidR="006753A3" w:rsidRDefault="00732F35">
      <w:pPr>
        <w:pStyle w:val="TOC2"/>
        <w:rPr>
          <w:rFonts w:asciiTheme="minorHAnsi" w:eastAsiaTheme="minorEastAsia" w:hAnsiTheme="minorHAnsi" w:cstheme="minorBidi"/>
          <w:sz w:val="22"/>
          <w:szCs w:val="22"/>
          <w:lang w:eastAsia="en-AU"/>
        </w:rPr>
      </w:pPr>
      <w:hyperlink w:anchor="_Toc391729957" w:history="1">
        <w:r w:rsidR="006753A3" w:rsidRPr="002D66BE">
          <w:rPr>
            <w:rStyle w:val="Hyperlink"/>
          </w:rPr>
          <w:t>4.2</w:t>
        </w:r>
        <w:r w:rsidR="006753A3">
          <w:rPr>
            <w:rFonts w:asciiTheme="minorHAnsi" w:eastAsiaTheme="minorEastAsia" w:hAnsiTheme="minorHAnsi" w:cstheme="minorBidi"/>
            <w:sz w:val="22"/>
            <w:szCs w:val="22"/>
            <w:lang w:eastAsia="en-AU"/>
          </w:rPr>
          <w:tab/>
        </w:r>
        <w:r w:rsidR="006753A3" w:rsidRPr="002D66BE">
          <w:rPr>
            <w:rStyle w:val="Hyperlink"/>
          </w:rPr>
          <w:t>Estimates of direct market costs</w:t>
        </w:r>
        <w:r w:rsidR="006753A3">
          <w:rPr>
            <w:webHidden/>
          </w:rPr>
          <w:tab/>
        </w:r>
        <w:r>
          <w:rPr>
            <w:webHidden/>
          </w:rPr>
          <w:fldChar w:fldCharType="begin"/>
        </w:r>
        <w:r w:rsidR="006753A3">
          <w:rPr>
            <w:webHidden/>
          </w:rPr>
          <w:instrText xml:space="preserve"> PAGEREF _Toc391729957 \h </w:instrText>
        </w:r>
        <w:r>
          <w:rPr>
            <w:webHidden/>
          </w:rPr>
        </w:r>
        <w:r>
          <w:rPr>
            <w:webHidden/>
          </w:rPr>
          <w:fldChar w:fldCharType="separate"/>
        </w:r>
        <w:r w:rsidR="00554981">
          <w:rPr>
            <w:webHidden/>
          </w:rPr>
          <w:t>30</w:t>
        </w:r>
        <w:r>
          <w:rPr>
            <w:webHidden/>
          </w:rPr>
          <w:fldChar w:fldCharType="end"/>
        </w:r>
      </w:hyperlink>
    </w:p>
    <w:p w:rsidR="006753A3" w:rsidRDefault="00732F35">
      <w:pPr>
        <w:pStyle w:val="TOC2"/>
        <w:rPr>
          <w:rFonts w:asciiTheme="minorHAnsi" w:eastAsiaTheme="minorEastAsia" w:hAnsiTheme="minorHAnsi" w:cstheme="minorBidi"/>
          <w:sz w:val="22"/>
          <w:szCs w:val="22"/>
          <w:lang w:eastAsia="en-AU"/>
        </w:rPr>
      </w:pPr>
      <w:hyperlink w:anchor="_Toc391729958" w:history="1">
        <w:r w:rsidR="006753A3" w:rsidRPr="002D66BE">
          <w:rPr>
            <w:rStyle w:val="Hyperlink"/>
          </w:rPr>
          <w:t>4.3</w:t>
        </w:r>
        <w:r w:rsidR="006753A3">
          <w:rPr>
            <w:rFonts w:asciiTheme="minorHAnsi" w:eastAsiaTheme="minorEastAsia" w:hAnsiTheme="minorHAnsi" w:cstheme="minorBidi"/>
            <w:sz w:val="22"/>
            <w:szCs w:val="22"/>
            <w:lang w:eastAsia="en-AU"/>
          </w:rPr>
          <w:tab/>
        </w:r>
        <w:r w:rsidR="006753A3" w:rsidRPr="002D66BE">
          <w:rPr>
            <w:rStyle w:val="Hyperlink"/>
          </w:rPr>
          <w:t>Indirect and non-market costs</w:t>
        </w:r>
        <w:r w:rsidR="006753A3">
          <w:rPr>
            <w:webHidden/>
          </w:rPr>
          <w:tab/>
        </w:r>
        <w:r>
          <w:rPr>
            <w:webHidden/>
          </w:rPr>
          <w:fldChar w:fldCharType="begin"/>
        </w:r>
        <w:r w:rsidR="006753A3">
          <w:rPr>
            <w:webHidden/>
          </w:rPr>
          <w:instrText xml:space="preserve"> PAGEREF _Toc391729958 \h </w:instrText>
        </w:r>
        <w:r>
          <w:rPr>
            <w:webHidden/>
          </w:rPr>
        </w:r>
        <w:r>
          <w:rPr>
            <w:webHidden/>
          </w:rPr>
          <w:fldChar w:fldCharType="separate"/>
        </w:r>
        <w:r w:rsidR="00554981">
          <w:rPr>
            <w:webHidden/>
          </w:rPr>
          <w:t>34</w:t>
        </w:r>
        <w:r>
          <w:rPr>
            <w:webHidden/>
          </w:rPr>
          <w:fldChar w:fldCharType="end"/>
        </w:r>
      </w:hyperlink>
    </w:p>
    <w:p w:rsidR="006753A3" w:rsidRDefault="00732F35">
      <w:pPr>
        <w:pStyle w:val="TOC2"/>
        <w:rPr>
          <w:rFonts w:asciiTheme="minorHAnsi" w:eastAsiaTheme="minorEastAsia" w:hAnsiTheme="minorHAnsi" w:cstheme="minorBidi"/>
          <w:sz w:val="22"/>
          <w:szCs w:val="22"/>
          <w:lang w:eastAsia="en-AU"/>
        </w:rPr>
      </w:pPr>
      <w:hyperlink w:anchor="_Toc391729959" w:history="1">
        <w:r w:rsidR="006753A3" w:rsidRPr="002D66BE">
          <w:rPr>
            <w:rStyle w:val="Hyperlink"/>
            <w:rFonts w:ascii="Times New Roman" w:hAnsi="Times New Roman"/>
          </w:rPr>
          <w:t>4.4</w:t>
        </w:r>
        <w:r w:rsidR="006753A3">
          <w:rPr>
            <w:rFonts w:asciiTheme="minorHAnsi" w:eastAsiaTheme="minorEastAsia" w:hAnsiTheme="minorHAnsi" w:cstheme="minorBidi"/>
            <w:sz w:val="22"/>
            <w:szCs w:val="22"/>
            <w:lang w:eastAsia="en-AU"/>
          </w:rPr>
          <w:tab/>
        </w:r>
        <w:r w:rsidR="006753A3" w:rsidRPr="002D66BE">
          <w:rPr>
            <w:rStyle w:val="Hyperlink"/>
          </w:rPr>
          <w:t>Projections</w:t>
        </w:r>
        <w:r w:rsidR="006753A3">
          <w:rPr>
            <w:webHidden/>
          </w:rPr>
          <w:tab/>
        </w:r>
        <w:r>
          <w:rPr>
            <w:webHidden/>
          </w:rPr>
          <w:fldChar w:fldCharType="begin"/>
        </w:r>
        <w:r w:rsidR="006753A3">
          <w:rPr>
            <w:webHidden/>
          </w:rPr>
          <w:instrText xml:space="preserve"> PAGEREF _Toc391729959 \h </w:instrText>
        </w:r>
        <w:r>
          <w:rPr>
            <w:webHidden/>
          </w:rPr>
        </w:r>
        <w:r>
          <w:rPr>
            <w:webHidden/>
          </w:rPr>
          <w:fldChar w:fldCharType="separate"/>
        </w:r>
        <w:r w:rsidR="00554981">
          <w:rPr>
            <w:webHidden/>
          </w:rPr>
          <w:t>43</w:t>
        </w:r>
        <w:r>
          <w:rPr>
            <w:webHidden/>
          </w:rPr>
          <w:fldChar w:fldCharType="end"/>
        </w:r>
      </w:hyperlink>
    </w:p>
    <w:p w:rsidR="006753A3" w:rsidRDefault="00732F35">
      <w:pPr>
        <w:pStyle w:val="TOC1"/>
        <w:rPr>
          <w:rFonts w:asciiTheme="minorHAnsi" w:eastAsiaTheme="minorEastAsia" w:hAnsiTheme="minorHAnsi" w:cstheme="minorBidi"/>
          <w:b w:val="0"/>
          <w:sz w:val="22"/>
          <w:szCs w:val="22"/>
          <w:lang w:eastAsia="en-AU"/>
        </w:rPr>
      </w:pPr>
      <w:hyperlink w:anchor="_Toc391729960" w:history="1">
        <w:r w:rsidR="006753A3" w:rsidRPr="002D66BE">
          <w:rPr>
            <w:rStyle w:val="Hyperlink"/>
            <w:lang w:val="en-US" w:eastAsia="en-AU"/>
          </w:rPr>
          <w:t>Glossary</w:t>
        </w:r>
        <w:r w:rsidR="006753A3">
          <w:rPr>
            <w:webHidden/>
          </w:rPr>
          <w:tab/>
        </w:r>
        <w:r>
          <w:rPr>
            <w:webHidden/>
          </w:rPr>
          <w:fldChar w:fldCharType="begin"/>
        </w:r>
        <w:r w:rsidR="006753A3">
          <w:rPr>
            <w:webHidden/>
          </w:rPr>
          <w:instrText xml:space="preserve"> PAGEREF _Toc391729960 \h </w:instrText>
        </w:r>
        <w:r>
          <w:rPr>
            <w:webHidden/>
          </w:rPr>
        </w:r>
        <w:r>
          <w:rPr>
            <w:webHidden/>
          </w:rPr>
          <w:fldChar w:fldCharType="separate"/>
        </w:r>
        <w:r w:rsidR="00554981">
          <w:rPr>
            <w:webHidden/>
          </w:rPr>
          <w:t>46</w:t>
        </w:r>
        <w:r>
          <w:rPr>
            <w:webHidden/>
          </w:rPr>
          <w:fldChar w:fldCharType="end"/>
        </w:r>
      </w:hyperlink>
    </w:p>
    <w:p w:rsidR="006753A3" w:rsidRDefault="00732F35">
      <w:pPr>
        <w:pStyle w:val="TOC1"/>
        <w:rPr>
          <w:rFonts w:asciiTheme="minorHAnsi" w:eastAsiaTheme="minorEastAsia" w:hAnsiTheme="minorHAnsi" w:cstheme="minorBidi"/>
          <w:b w:val="0"/>
          <w:sz w:val="22"/>
          <w:szCs w:val="22"/>
          <w:lang w:eastAsia="en-AU"/>
        </w:rPr>
      </w:pPr>
      <w:hyperlink w:anchor="_Toc391729961" w:history="1">
        <w:r w:rsidR="006753A3" w:rsidRPr="002D66BE">
          <w:rPr>
            <w:rStyle w:val="Hyperlink"/>
          </w:rPr>
          <w:t>References</w:t>
        </w:r>
        <w:r w:rsidR="006753A3">
          <w:rPr>
            <w:webHidden/>
          </w:rPr>
          <w:tab/>
        </w:r>
        <w:r>
          <w:rPr>
            <w:webHidden/>
          </w:rPr>
          <w:fldChar w:fldCharType="begin"/>
        </w:r>
        <w:r w:rsidR="006753A3">
          <w:rPr>
            <w:webHidden/>
          </w:rPr>
          <w:instrText xml:space="preserve"> PAGEREF _Toc391729961 \h </w:instrText>
        </w:r>
        <w:r>
          <w:rPr>
            <w:webHidden/>
          </w:rPr>
        </w:r>
        <w:r>
          <w:rPr>
            <w:webHidden/>
          </w:rPr>
          <w:fldChar w:fldCharType="separate"/>
        </w:r>
        <w:r w:rsidR="00554981">
          <w:rPr>
            <w:webHidden/>
          </w:rPr>
          <w:t>50</w:t>
        </w:r>
        <w:r>
          <w:rPr>
            <w:webHidden/>
          </w:rPr>
          <w:fldChar w:fldCharType="end"/>
        </w:r>
      </w:hyperlink>
    </w:p>
    <w:p w:rsidR="00F80890" w:rsidRDefault="00732F35" w:rsidP="009C3271">
      <w:pPr>
        <w:pStyle w:val="TOC1"/>
      </w:pPr>
      <w:r>
        <w:fldChar w:fldCharType="end"/>
      </w:r>
    </w:p>
    <w:p w:rsidR="007972B0" w:rsidRDefault="007972B0" w:rsidP="00F80890">
      <w:pPr>
        <w:rPr>
          <w:rFonts w:ascii="Corbel" w:hAnsi="Corbel" w:cs="Arial"/>
          <w:b/>
          <w:smallCaps/>
          <w:color w:val="0093D0"/>
          <w:sz w:val="28"/>
          <w:szCs w:val="28"/>
        </w:rPr>
      </w:pPr>
    </w:p>
    <w:p w:rsidR="007972B0" w:rsidRDefault="007972B0" w:rsidP="00F80890">
      <w:pPr>
        <w:rPr>
          <w:rFonts w:ascii="Corbel" w:hAnsi="Corbel" w:cs="Arial"/>
          <w:b/>
          <w:smallCaps/>
          <w:color w:val="0093D0"/>
          <w:sz w:val="28"/>
          <w:szCs w:val="28"/>
        </w:rPr>
      </w:pPr>
    </w:p>
    <w:p w:rsidR="007972B0" w:rsidRDefault="007972B0" w:rsidP="00F80890">
      <w:pPr>
        <w:rPr>
          <w:rFonts w:ascii="Corbel" w:hAnsi="Corbel" w:cs="Arial"/>
          <w:b/>
          <w:smallCaps/>
          <w:color w:val="0093D0"/>
          <w:sz w:val="28"/>
          <w:szCs w:val="28"/>
        </w:rPr>
      </w:pPr>
    </w:p>
    <w:p w:rsidR="0002454B" w:rsidRDefault="0002454B" w:rsidP="00F80890"/>
    <w:p w:rsidR="000F4733" w:rsidRDefault="000F4733" w:rsidP="000D4F20">
      <w:pPr>
        <w:pStyle w:val="Heading1"/>
        <w:sectPr w:rsidR="000F4733" w:rsidSect="0002454B">
          <w:headerReference w:type="default" r:id="rId11"/>
          <w:footerReference w:type="default" r:id="rId12"/>
          <w:pgSz w:w="11906" w:h="16838" w:code="9"/>
          <w:pgMar w:top="1701" w:right="1134" w:bottom="1021" w:left="2268" w:header="680" w:footer="113" w:gutter="0"/>
          <w:cols w:space="708"/>
          <w:docGrid w:linePitch="360"/>
        </w:sectPr>
      </w:pPr>
    </w:p>
    <w:p w:rsidR="000F4733" w:rsidRDefault="000F4733" w:rsidP="0069400A">
      <w:pPr>
        <w:pStyle w:val="MJAheading1"/>
        <w:numPr>
          <w:ilvl w:val="0"/>
          <w:numId w:val="0"/>
        </w:numPr>
      </w:pPr>
      <w:bookmarkStart w:id="0" w:name="_Toc297718985"/>
      <w:bookmarkStart w:id="1" w:name="_Toc391729943"/>
      <w:r>
        <w:lastRenderedPageBreak/>
        <w:t xml:space="preserve">Executive </w:t>
      </w:r>
      <w:r w:rsidR="004063EC">
        <w:t>s</w:t>
      </w:r>
      <w:r>
        <w:t>ummary</w:t>
      </w:r>
      <w:bookmarkEnd w:id="0"/>
      <w:bookmarkEnd w:id="1"/>
    </w:p>
    <w:p w:rsidR="004063EC" w:rsidRPr="0069400A" w:rsidRDefault="0024365D" w:rsidP="0069400A">
      <w:pPr>
        <w:pStyle w:val="MJAESheading"/>
      </w:pPr>
      <w:r>
        <w:t>Introduction</w:t>
      </w:r>
      <w:r w:rsidR="004063EC" w:rsidRPr="0069400A">
        <w:t xml:space="preserve"> </w:t>
      </w:r>
      <w:r w:rsidR="00491A2C">
        <w:t>and background</w:t>
      </w:r>
    </w:p>
    <w:p w:rsidR="00810CA7" w:rsidRDefault="00514BB8" w:rsidP="00810CA7">
      <w:pPr>
        <w:pStyle w:val="MJAnormal"/>
      </w:pPr>
      <w:r w:rsidRPr="00810CA7">
        <w:t>The Environment Protection Branch of the Department of the Environment has engaged Marsden Jacob Associates (Marsden Jacob), Sustainable Resource Use (SRU) and Nolan Consulting to provide estimates of the current and potential future costs of managing and regulating hazardous waste in Australia.</w:t>
      </w:r>
      <w:r w:rsidR="00810CA7">
        <w:t xml:space="preserve"> </w:t>
      </w:r>
    </w:p>
    <w:p w:rsidR="00491A2C" w:rsidRDefault="00491A2C" w:rsidP="00491A2C">
      <w:pPr>
        <w:pStyle w:val="MJAnormal"/>
      </w:pPr>
      <w:r>
        <w:t xml:space="preserve">Hazardous waste, as defined in the </w:t>
      </w:r>
      <w:r w:rsidRPr="00712B5E">
        <w:rPr>
          <w:i/>
        </w:rPr>
        <w:t>Hazardous Waste (Regulation of Exports and Imports) Act 1989</w:t>
      </w:r>
      <w:r>
        <w:t xml:space="preserve">, comprises wastes listed in </w:t>
      </w:r>
      <w:r w:rsidRPr="00A5741E">
        <w:t xml:space="preserve">the </w:t>
      </w:r>
      <w:r w:rsidRPr="00A5741E">
        <w:rPr>
          <w:i/>
        </w:rPr>
        <w:t xml:space="preserve">Basel Convention </w:t>
      </w:r>
      <w:r>
        <w:t>including:</w:t>
      </w:r>
    </w:p>
    <w:p w:rsidR="00491A2C" w:rsidRPr="00A5741E" w:rsidRDefault="00491A2C" w:rsidP="00491A2C">
      <w:pPr>
        <w:pStyle w:val="MJAbulletnormal"/>
        <w:numPr>
          <w:ilvl w:val="0"/>
          <w:numId w:val="2"/>
        </w:numPr>
        <w:rPr>
          <w:szCs w:val="20"/>
        </w:rPr>
      </w:pPr>
      <w:r w:rsidRPr="00A5741E">
        <w:rPr>
          <w:szCs w:val="20"/>
        </w:rPr>
        <w:t>clinical wastes;</w:t>
      </w:r>
    </w:p>
    <w:p w:rsidR="00491A2C" w:rsidRPr="00A5741E" w:rsidRDefault="00491A2C" w:rsidP="00491A2C">
      <w:pPr>
        <w:pStyle w:val="MJAbulletnormal"/>
        <w:numPr>
          <w:ilvl w:val="0"/>
          <w:numId w:val="2"/>
        </w:numPr>
        <w:rPr>
          <w:szCs w:val="20"/>
        </w:rPr>
      </w:pPr>
      <w:r w:rsidRPr="00A5741E">
        <w:rPr>
          <w:szCs w:val="20"/>
        </w:rPr>
        <w:t>waste oils/water, hydrocarbons/water mixtures, emulsions;</w:t>
      </w:r>
    </w:p>
    <w:p w:rsidR="00491A2C" w:rsidRPr="00A5741E" w:rsidRDefault="00491A2C" w:rsidP="00491A2C">
      <w:pPr>
        <w:pStyle w:val="MJAbulletnormal"/>
        <w:numPr>
          <w:ilvl w:val="0"/>
          <w:numId w:val="2"/>
        </w:numPr>
        <w:rPr>
          <w:szCs w:val="20"/>
        </w:rPr>
      </w:pPr>
      <w:r w:rsidRPr="00A5741E">
        <w:rPr>
          <w:szCs w:val="20"/>
        </w:rPr>
        <w:t>wastes from the production, formulation and use of resins, latex, plasticizers, glues/adhesives;</w:t>
      </w:r>
    </w:p>
    <w:p w:rsidR="00491A2C" w:rsidRPr="00A5741E" w:rsidRDefault="00491A2C" w:rsidP="00491A2C">
      <w:pPr>
        <w:pStyle w:val="MJAbulletnormal"/>
        <w:numPr>
          <w:ilvl w:val="0"/>
          <w:numId w:val="2"/>
        </w:numPr>
        <w:rPr>
          <w:szCs w:val="20"/>
        </w:rPr>
      </w:pPr>
      <w:r w:rsidRPr="00A5741E">
        <w:rPr>
          <w:szCs w:val="20"/>
        </w:rPr>
        <w:t>wastes resulting from surface treatment of metals and plastics;</w:t>
      </w:r>
    </w:p>
    <w:p w:rsidR="00491A2C" w:rsidRPr="00491A2C" w:rsidRDefault="00491A2C" w:rsidP="00491A2C">
      <w:pPr>
        <w:pStyle w:val="MJAbulletnormal"/>
        <w:numPr>
          <w:ilvl w:val="0"/>
          <w:numId w:val="2"/>
        </w:numPr>
        <w:rPr>
          <w:szCs w:val="20"/>
        </w:rPr>
      </w:pPr>
      <w:r w:rsidRPr="00A5741E">
        <w:rPr>
          <w:szCs w:val="20"/>
        </w:rPr>
        <w:t>residues arising from industria</w:t>
      </w:r>
      <w:r>
        <w:rPr>
          <w:szCs w:val="20"/>
        </w:rPr>
        <w:t>l waste disposal operations;</w:t>
      </w:r>
    </w:p>
    <w:p w:rsidR="00491A2C" w:rsidRPr="00491A2C" w:rsidRDefault="00491A2C" w:rsidP="00491A2C">
      <w:pPr>
        <w:pStyle w:val="MJAbulletnormal"/>
        <w:numPr>
          <w:ilvl w:val="0"/>
          <w:numId w:val="2"/>
        </w:numPr>
        <w:rPr>
          <w:szCs w:val="20"/>
        </w:rPr>
      </w:pPr>
      <w:proofErr w:type="gramStart"/>
      <w:r w:rsidRPr="00491A2C">
        <w:rPr>
          <w:szCs w:val="20"/>
        </w:rPr>
        <w:t>wastes</w:t>
      </w:r>
      <w:proofErr w:type="gramEnd"/>
      <w:r w:rsidRPr="00491A2C">
        <w:rPr>
          <w:szCs w:val="20"/>
        </w:rPr>
        <w:t xml:space="preserve"> which contain certain compounds such as: copper, zinc, cadmium, mercury, lead and asbestos</w:t>
      </w:r>
      <w:r w:rsidR="00C776EC">
        <w:rPr>
          <w:szCs w:val="20"/>
        </w:rPr>
        <w:t>.</w:t>
      </w:r>
    </w:p>
    <w:p w:rsidR="00491A2C" w:rsidRDefault="00FA6B2E" w:rsidP="00491A2C">
      <w:pPr>
        <w:pStyle w:val="MJAnormal"/>
      </w:pPr>
      <w:r>
        <w:t>E</w:t>
      </w:r>
      <w:r w:rsidR="00491A2C">
        <w:t>conomic costs assessed</w:t>
      </w:r>
      <w:r w:rsidR="00615B76">
        <w:t xml:space="preserve"> include</w:t>
      </w:r>
      <w:r w:rsidR="00491A2C">
        <w:t>:</w:t>
      </w:r>
    </w:p>
    <w:p w:rsidR="00491A2C" w:rsidRPr="00EB79D6" w:rsidRDefault="00491A2C" w:rsidP="00491A2C">
      <w:pPr>
        <w:pStyle w:val="MJAbulletnormal"/>
        <w:numPr>
          <w:ilvl w:val="0"/>
          <w:numId w:val="2"/>
        </w:numPr>
        <w:rPr>
          <w:szCs w:val="20"/>
        </w:rPr>
      </w:pPr>
      <w:r w:rsidRPr="00EB79D6">
        <w:rPr>
          <w:szCs w:val="20"/>
        </w:rPr>
        <w:t xml:space="preserve">direct market costs </w:t>
      </w:r>
      <w:r w:rsidR="00615B76">
        <w:rPr>
          <w:szCs w:val="20"/>
        </w:rPr>
        <w:t>such as</w:t>
      </w:r>
      <w:r w:rsidRPr="00EB79D6">
        <w:rPr>
          <w:szCs w:val="20"/>
        </w:rPr>
        <w:t xml:space="preserve"> treatment, transport and disposal costs; and</w:t>
      </w:r>
    </w:p>
    <w:p w:rsidR="00491A2C" w:rsidRPr="00EB79D6" w:rsidRDefault="00491A2C" w:rsidP="00491A2C">
      <w:pPr>
        <w:pStyle w:val="MJAbulletnormal"/>
        <w:numPr>
          <w:ilvl w:val="0"/>
          <w:numId w:val="2"/>
        </w:numPr>
        <w:rPr>
          <w:szCs w:val="20"/>
        </w:rPr>
      </w:pPr>
      <w:proofErr w:type="gramStart"/>
      <w:r w:rsidRPr="00EB79D6">
        <w:rPr>
          <w:szCs w:val="20"/>
        </w:rPr>
        <w:t>indirec</w:t>
      </w:r>
      <w:r w:rsidR="00615B76">
        <w:rPr>
          <w:szCs w:val="20"/>
        </w:rPr>
        <w:t>t</w:t>
      </w:r>
      <w:proofErr w:type="gramEnd"/>
      <w:r w:rsidR="00615B76">
        <w:rPr>
          <w:szCs w:val="20"/>
        </w:rPr>
        <w:t xml:space="preserve"> and non-market costs such as</w:t>
      </w:r>
      <w:r w:rsidRPr="00EB79D6">
        <w:rPr>
          <w:szCs w:val="20"/>
        </w:rPr>
        <w:t xml:space="preserve"> government regulatory costs, workplace injury and illness and environmental and social costs associated with disposal of waste to landfill.</w:t>
      </w:r>
    </w:p>
    <w:p w:rsidR="00491A2C" w:rsidRPr="00491A2C" w:rsidRDefault="00491A2C" w:rsidP="00491A2C">
      <w:pPr>
        <w:pStyle w:val="MJAnormal"/>
      </w:pPr>
      <w:r>
        <w:t>The distributional impacts of levies and fees are also assessed.</w:t>
      </w:r>
    </w:p>
    <w:p w:rsidR="00EB79D6" w:rsidRDefault="00EB79D6" w:rsidP="00EB79D6">
      <w:pPr>
        <w:pStyle w:val="MJAESheading"/>
      </w:pPr>
      <w:r>
        <w:t>Cost analysis</w:t>
      </w:r>
    </w:p>
    <w:p w:rsidR="00EB79D6" w:rsidRPr="00147C7D" w:rsidRDefault="00C46D42" w:rsidP="00810CA7">
      <w:pPr>
        <w:pStyle w:val="MJAnormal"/>
      </w:pPr>
      <w:r>
        <w:t>A</w:t>
      </w:r>
      <w:r w:rsidR="00ED49B1">
        <w:t xml:space="preserve"> total of 6.6 million tonnes of tracked hazardous waste was generated in Australia</w:t>
      </w:r>
      <w:r>
        <w:t xml:space="preserve"> in 2012</w:t>
      </w:r>
      <w:r w:rsidR="00ED49B1">
        <w:t xml:space="preserve">. </w:t>
      </w:r>
      <w:r w:rsidR="00ED49B1" w:rsidRPr="00147C7D">
        <w:t xml:space="preserve">The total cost of regulating, transporting, treating and disposing of this waste </w:t>
      </w:r>
      <w:r w:rsidR="00147C7D" w:rsidRPr="00147C7D">
        <w:t>is estimated to have been $2,417</w:t>
      </w:r>
      <w:r w:rsidR="00ED49B1" w:rsidRPr="00147C7D">
        <w:t xml:space="preserve"> million (see Table ES.1)</w:t>
      </w:r>
      <w:r w:rsidR="00EB7EB3" w:rsidRPr="00147C7D">
        <w:t xml:space="preserve">. </w:t>
      </w:r>
    </w:p>
    <w:p w:rsidR="00491A2C" w:rsidRPr="00810CA7" w:rsidRDefault="00491A2C" w:rsidP="00491A2C">
      <w:pPr>
        <w:pStyle w:val="MJAnormal"/>
      </w:pPr>
      <w:r w:rsidRPr="0050347E">
        <w:t>Direct market costs are</w:t>
      </w:r>
      <w:r w:rsidR="00147C7D" w:rsidRPr="0050347E">
        <w:t xml:space="preserve"> estimated to have been $2,217</w:t>
      </w:r>
      <w:r w:rsidRPr="0050347E">
        <w:t xml:space="preserve"> million in 2012.  Cost of treatment is the single largest direct cost category, with treatment </w:t>
      </w:r>
      <w:r w:rsidR="00147C7D" w:rsidRPr="0050347E">
        <w:t xml:space="preserve">and subsequent disposal </w:t>
      </w:r>
      <w:r w:rsidRPr="0050347E">
        <w:t>c</w:t>
      </w:r>
      <w:r w:rsidR="00147C7D" w:rsidRPr="0050347E">
        <w:t>osts estimated to have been $945</w:t>
      </w:r>
      <w:r w:rsidRPr="0050347E">
        <w:t xml:space="preserve"> million.</w:t>
      </w:r>
      <w:r w:rsidR="00147C7D" w:rsidRPr="0050347E">
        <w:t xml:space="preserve"> </w:t>
      </w:r>
      <w:r w:rsidR="0050347E" w:rsidRPr="0050347E">
        <w:t>These costs were the result of 2.2 million tonnes of waste being treated and subsequently disposed to landfill.</w:t>
      </w:r>
      <w:r w:rsidR="00147C7D" w:rsidRPr="0050347E">
        <w:t xml:space="preserve"> </w:t>
      </w:r>
    </w:p>
    <w:p w:rsidR="00491A2C" w:rsidRDefault="00491A2C" w:rsidP="00491A2C">
      <w:pPr>
        <w:pStyle w:val="MJAnormal"/>
      </w:pPr>
      <w:r>
        <w:t>I</w:t>
      </w:r>
      <w:r w:rsidRPr="00980390">
        <w:t>ndirect and non-</w:t>
      </w:r>
      <w:r w:rsidR="00C46D42">
        <w:t>market costs of</w:t>
      </w:r>
      <w:r>
        <w:t xml:space="preserve"> hazardous wastes</w:t>
      </w:r>
      <w:r w:rsidR="008A77ED">
        <w:t xml:space="preserve"> are estimated to have been $207</w:t>
      </w:r>
      <w:r>
        <w:t xml:space="preserve"> million in 2012.  Workplace injury and illness represents the biggest s</w:t>
      </w:r>
      <w:r w:rsidR="007E7E2E">
        <w:t>hare of these costs at $110</w:t>
      </w:r>
      <w:r>
        <w:t xml:space="preserve"> million.</w:t>
      </w:r>
    </w:p>
    <w:p w:rsidR="00491A2C" w:rsidRDefault="00491A2C" w:rsidP="00810CA7">
      <w:pPr>
        <w:pStyle w:val="MJAnormal"/>
      </w:pPr>
    </w:p>
    <w:p w:rsidR="00C46D42" w:rsidRDefault="00C46D42" w:rsidP="00810CA7">
      <w:pPr>
        <w:pStyle w:val="MJAnormal"/>
      </w:pPr>
    </w:p>
    <w:p w:rsidR="00491A2C" w:rsidRDefault="00491A2C" w:rsidP="00810CA7">
      <w:pPr>
        <w:pStyle w:val="MJAnormal"/>
      </w:pPr>
    </w:p>
    <w:p w:rsidR="00491A2C" w:rsidRDefault="00491A2C" w:rsidP="00810CA7">
      <w:pPr>
        <w:pStyle w:val="MJAnormal"/>
      </w:pPr>
    </w:p>
    <w:p w:rsidR="00ED49B1" w:rsidRPr="00A15392" w:rsidRDefault="006A1888" w:rsidP="00ED49B1">
      <w:pPr>
        <w:keepNext/>
        <w:keepLines/>
        <w:spacing w:before="120" w:after="120" w:line="240" w:lineRule="auto"/>
        <w:rPr>
          <w:rFonts w:ascii="Calibri" w:eastAsia="Times New Roman" w:hAnsi="Calibri" w:cs="Calibri"/>
          <w:b/>
          <w:bCs/>
          <w:sz w:val="20"/>
          <w:szCs w:val="20"/>
          <w:lang w:eastAsia="en-AU"/>
        </w:rPr>
      </w:pPr>
      <w:r>
        <w:rPr>
          <w:rFonts w:ascii="Calibri" w:eastAsia="Times New Roman" w:hAnsi="Calibri" w:cs="Calibri"/>
          <w:b/>
          <w:bCs/>
          <w:sz w:val="20"/>
          <w:szCs w:val="20"/>
          <w:lang w:eastAsia="en-AU"/>
        </w:rPr>
        <w:lastRenderedPageBreak/>
        <w:t>Table ES.1: E</w:t>
      </w:r>
      <w:r w:rsidR="00ED49B1">
        <w:rPr>
          <w:rFonts w:ascii="Calibri" w:eastAsia="Times New Roman" w:hAnsi="Calibri" w:cs="Calibri"/>
          <w:b/>
          <w:bCs/>
          <w:sz w:val="20"/>
          <w:szCs w:val="20"/>
          <w:lang w:eastAsia="en-AU"/>
        </w:rPr>
        <w:t>conomic c</w:t>
      </w:r>
      <w:r w:rsidR="00ED49B1" w:rsidRPr="00F6696F">
        <w:rPr>
          <w:rFonts w:ascii="Calibri" w:eastAsia="Times New Roman" w:hAnsi="Calibri" w:cs="Calibri"/>
          <w:b/>
          <w:bCs/>
          <w:sz w:val="20"/>
          <w:szCs w:val="20"/>
          <w:lang w:eastAsia="en-AU"/>
        </w:rPr>
        <w:t xml:space="preserve">osts </w:t>
      </w:r>
      <w:r w:rsidR="00ED49B1">
        <w:rPr>
          <w:rFonts w:ascii="Calibri" w:eastAsia="Times New Roman" w:hAnsi="Calibri" w:cs="Calibri"/>
          <w:b/>
          <w:bCs/>
          <w:sz w:val="20"/>
          <w:szCs w:val="20"/>
          <w:lang w:eastAsia="en-AU"/>
        </w:rPr>
        <w:t>of hazardous wastes by category and jurisdiction ($ million, 2012)</w:t>
      </w:r>
    </w:p>
    <w:tbl>
      <w:tblPr>
        <w:tblW w:w="5000" w:type="pct"/>
        <w:tblLook w:val="04A0"/>
      </w:tblPr>
      <w:tblGrid>
        <w:gridCol w:w="2789"/>
        <w:gridCol w:w="1979"/>
        <w:gridCol w:w="1976"/>
        <w:gridCol w:w="1976"/>
      </w:tblGrid>
      <w:tr w:rsidR="00147C7D" w:rsidRPr="00147C7D" w:rsidTr="00147C7D">
        <w:trPr>
          <w:trHeight w:val="585"/>
        </w:trPr>
        <w:tc>
          <w:tcPr>
            <w:tcW w:w="1599" w:type="pct"/>
            <w:tcBorders>
              <w:top w:val="nil"/>
              <w:left w:val="nil"/>
              <w:bottom w:val="nil"/>
              <w:right w:val="nil"/>
            </w:tcBorders>
            <w:shd w:val="clear" w:color="000000" w:fill="0093D0"/>
            <w:noWrap/>
            <w:vAlign w:val="bottom"/>
            <w:hideMark/>
          </w:tcPr>
          <w:p w:rsidR="00147C7D" w:rsidRPr="00147C7D" w:rsidRDefault="00147C7D" w:rsidP="00AD4A87">
            <w:pPr>
              <w:spacing w:after="0" w:line="240" w:lineRule="auto"/>
              <w:rPr>
                <w:rFonts w:eastAsia="Times New Roman" w:cs="Times New Roman"/>
                <w:color w:val="FFFFFF"/>
                <w:sz w:val="20"/>
                <w:szCs w:val="20"/>
                <w:lang w:eastAsia="en-AU"/>
              </w:rPr>
            </w:pPr>
            <w:r w:rsidRPr="00147C7D">
              <w:rPr>
                <w:rFonts w:eastAsia="Times New Roman" w:cs="Times New Roman"/>
                <w:color w:val="FFFFFF"/>
                <w:sz w:val="20"/>
                <w:szCs w:val="20"/>
                <w:lang w:eastAsia="en-AU"/>
              </w:rPr>
              <w:t> </w:t>
            </w:r>
          </w:p>
        </w:tc>
        <w:tc>
          <w:tcPr>
            <w:tcW w:w="1135" w:type="pct"/>
            <w:tcBorders>
              <w:top w:val="nil"/>
              <w:left w:val="nil"/>
              <w:bottom w:val="nil"/>
              <w:right w:val="nil"/>
            </w:tcBorders>
            <w:shd w:val="clear" w:color="000000" w:fill="0093D0"/>
            <w:noWrap/>
            <w:vAlign w:val="bottom"/>
            <w:hideMark/>
          </w:tcPr>
          <w:p w:rsidR="00147C7D" w:rsidRPr="00147C7D" w:rsidRDefault="00147C7D" w:rsidP="00AD4A87">
            <w:pPr>
              <w:spacing w:after="0" w:line="240" w:lineRule="auto"/>
              <w:jc w:val="right"/>
              <w:rPr>
                <w:rFonts w:eastAsia="Times New Roman" w:cs="Times New Roman"/>
                <w:b/>
                <w:bCs/>
                <w:color w:val="FFFFFF"/>
                <w:sz w:val="20"/>
                <w:szCs w:val="20"/>
                <w:lang w:eastAsia="en-AU"/>
              </w:rPr>
            </w:pPr>
            <w:r w:rsidRPr="00147C7D">
              <w:rPr>
                <w:rFonts w:eastAsia="Times New Roman" w:cs="Times New Roman"/>
                <w:b/>
                <w:bCs/>
                <w:color w:val="FFFFFF"/>
                <w:sz w:val="20"/>
                <w:szCs w:val="20"/>
                <w:lang w:eastAsia="en-AU"/>
              </w:rPr>
              <w:t>Direct market</w:t>
            </w:r>
          </w:p>
        </w:tc>
        <w:tc>
          <w:tcPr>
            <w:tcW w:w="1133" w:type="pct"/>
            <w:tcBorders>
              <w:top w:val="nil"/>
              <w:left w:val="nil"/>
              <w:bottom w:val="nil"/>
              <w:right w:val="nil"/>
            </w:tcBorders>
            <w:shd w:val="clear" w:color="000000" w:fill="0093D0"/>
            <w:vAlign w:val="bottom"/>
            <w:hideMark/>
          </w:tcPr>
          <w:p w:rsidR="00147C7D" w:rsidRPr="00147C7D" w:rsidRDefault="00147C7D" w:rsidP="00AD4A87">
            <w:pPr>
              <w:spacing w:after="0" w:line="240" w:lineRule="auto"/>
              <w:jc w:val="right"/>
              <w:rPr>
                <w:rFonts w:eastAsia="Times New Roman" w:cs="Times New Roman"/>
                <w:b/>
                <w:bCs/>
                <w:color w:val="FFFFFF"/>
                <w:sz w:val="20"/>
                <w:szCs w:val="20"/>
                <w:lang w:eastAsia="en-AU"/>
              </w:rPr>
            </w:pPr>
            <w:r w:rsidRPr="00147C7D">
              <w:rPr>
                <w:rFonts w:eastAsia="Times New Roman" w:cs="Times New Roman"/>
                <w:b/>
                <w:bCs/>
                <w:color w:val="FFFFFF"/>
                <w:sz w:val="20"/>
                <w:szCs w:val="20"/>
                <w:lang w:eastAsia="en-AU"/>
              </w:rPr>
              <w:t>Indirect &amp; non-market</w:t>
            </w:r>
          </w:p>
        </w:tc>
        <w:tc>
          <w:tcPr>
            <w:tcW w:w="1133" w:type="pct"/>
            <w:tcBorders>
              <w:top w:val="nil"/>
              <w:left w:val="nil"/>
              <w:bottom w:val="nil"/>
              <w:right w:val="nil"/>
            </w:tcBorders>
            <w:shd w:val="clear" w:color="000000" w:fill="0093D0"/>
            <w:vAlign w:val="bottom"/>
            <w:hideMark/>
          </w:tcPr>
          <w:p w:rsidR="00147C7D" w:rsidRPr="00147C7D" w:rsidRDefault="00147C7D" w:rsidP="00AD4A87">
            <w:pPr>
              <w:spacing w:after="0" w:line="240" w:lineRule="auto"/>
              <w:jc w:val="right"/>
              <w:rPr>
                <w:rFonts w:eastAsia="Times New Roman" w:cs="Times New Roman"/>
                <w:b/>
                <w:bCs/>
                <w:color w:val="FFFFFF"/>
                <w:sz w:val="20"/>
                <w:szCs w:val="20"/>
                <w:lang w:eastAsia="en-AU"/>
              </w:rPr>
            </w:pPr>
            <w:r w:rsidRPr="00147C7D">
              <w:rPr>
                <w:rFonts w:eastAsia="Times New Roman" w:cs="Times New Roman"/>
                <w:b/>
                <w:bCs/>
                <w:color w:val="FFFFFF"/>
                <w:sz w:val="20"/>
                <w:szCs w:val="20"/>
                <w:lang w:eastAsia="en-AU"/>
              </w:rPr>
              <w:t>Total</w:t>
            </w:r>
          </w:p>
          <w:p w:rsidR="00147C7D" w:rsidRPr="00147C7D" w:rsidRDefault="00147C7D" w:rsidP="00AD4A87">
            <w:pPr>
              <w:spacing w:after="0" w:line="240" w:lineRule="auto"/>
              <w:jc w:val="right"/>
              <w:rPr>
                <w:rFonts w:eastAsia="Times New Roman" w:cs="Times New Roman"/>
                <w:b/>
                <w:bCs/>
                <w:color w:val="FFFFFF"/>
                <w:sz w:val="20"/>
                <w:szCs w:val="20"/>
                <w:lang w:eastAsia="en-AU"/>
              </w:rPr>
            </w:pPr>
          </w:p>
        </w:tc>
      </w:tr>
      <w:tr w:rsidR="00147C7D" w:rsidRPr="00147C7D" w:rsidTr="00147C7D">
        <w:trPr>
          <w:trHeight w:hRule="exact" w:val="510"/>
        </w:trPr>
        <w:tc>
          <w:tcPr>
            <w:tcW w:w="1599"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rPr>
                <w:rFonts w:eastAsia="Times New Roman" w:cs="Times New Roman"/>
                <w:b/>
                <w:bCs/>
                <w:color w:val="000000"/>
                <w:sz w:val="20"/>
                <w:szCs w:val="20"/>
                <w:lang w:eastAsia="en-AU"/>
              </w:rPr>
            </w:pPr>
            <w:r w:rsidRPr="00147C7D">
              <w:rPr>
                <w:rFonts w:eastAsia="Times New Roman" w:cs="Times New Roman"/>
                <w:b/>
                <w:bCs/>
                <w:color w:val="000000"/>
                <w:sz w:val="20"/>
                <w:szCs w:val="20"/>
                <w:lang w:eastAsia="en-AU"/>
              </w:rPr>
              <w:t>New South Wales</w:t>
            </w:r>
          </w:p>
        </w:tc>
        <w:tc>
          <w:tcPr>
            <w:tcW w:w="1135" w:type="pct"/>
            <w:tcBorders>
              <w:top w:val="nil"/>
              <w:left w:val="nil"/>
              <w:bottom w:val="single" w:sz="4" w:space="0" w:color="0093D0"/>
              <w:right w:val="nil"/>
            </w:tcBorders>
            <w:shd w:val="clear" w:color="auto" w:fill="auto"/>
            <w:noWrap/>
            <w:vAlign w:val="bottom"/>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 xml:space="preserve">           537.0 </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56.0</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b/>
                <w:color w:val="000000"/>
                <w:sz w:val="20"/>
                <w:szCs w:val="20"/>
                <w:lang w:eastAsia="en-AU"/>
              </w:rPr>
            </w:pPr>
            <w:r w:rsidRPr="00147C7D">
              <w:rPr>
                <w:rFonts w:eastAsia="Times New Roman" w:cs="Times New Roman"/>
                <w:b/>
                <w:color w:val="000000"/>
                <w:sz w:val="20"/>
                <w:szCs w:val="20"/>
                <w:lang w:eastAsia="en-AU"/>
              </w:rPr>
              <w:t xml:space="preserve">           593.0 </w:t>
            </w:r>
          </w:p>
        </w:tc>
      </w:tr>
      <w:tr w:rsidR="00147C7D" w:rsidRPr="00147C7D" w:rsidTr="00147C7D">
        <w:trPr>
          <w:trHeight w:hRule="exact" w:val="510"/>
        </w:trPr>
        <w:tc>
          <w:tcPr>
            <w:tcW w:w="1599"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rPr>
                <w:rFonts w:eastAsia="Times New Roman" w:cs="Times New Roman"/>
                <w:b/>
                <w:bCs/>
                <w:color w:val="000000"/>
                <w:sz w:val="20"/>
                <w:szCs w:val="20"/>
                <w:lang w:eastAsia="en-AU"/>
              </w:rPr>
            </w:pPr>
            <w:r w:rsidRPr="00147C7D">
              <w:rPr>
                <w:rFonts w:eastAsia="Times New Roman" w:cs="Times New Roman"/>
                <w:b/>
                <w:bCs/>
                <w:color w:val="000000"/>
                <w:sz w:val="20"/>
                <w:szCs w:val="20"/>
                <w:lang w:eastAsia="en-AU"/>
              </w:rPr>
              <w:t>Victoria</w:t>
            </w:r>
          </w:p>
        </w:tc>
        <w:tc>
          <w:tcPr>
            <w:tcW w:w="1135" w:type="pct"/>
            <w:tcBorders>
              <w:top w:val="nil"/>
              <w:left w:val="nil"/>
              <w:bottom w:val="single" w:sz="4" w:space="0" w:color="0093D0"/>
              <w:right w:val="nil"/>
            </w:tcBorders>
            <w:shd w:val="clear" w:color="auto" w:fill="auto"/>
            <w:noWrap/>
            <w:vAlign w:val="bottom"/>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 xml:space="preserve">           338.9 </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40.4</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b/>
                <w:color w:val="000000"/>
                <w:sz w:val="20"/>
                <w:szCs w:val="20"/>
                <w:lang w:eastAsia="en-AU"/>
              </w:rPr>
            </w:pPr>
            <w:r w:rsidRPr="00147C7D">
              <w:rPr>
                <w:rFonts w:eastAsia="Times New Roman" w:cs="Times New Roman"/>
                <w:b/>
                <w:color w:val="000000"/>
                <w:sz w:val="20"/>
                <w:szCs w:val="20"/>
                <w:lang w:eastAsia="en-AU"/>
              </w:rPr>
              <w:t xml:space="preserve">           379.2 </w:t>
            </w:r>
          </w:p>
        </w:tc>
      </w:tr>
      <w:tr w:rsidR="00147C7D" w:rsidRPr="00147C7D" w:rsidTr="00147C7D">
        <w:trPr>
          <w:trHeight w:hRule="exact" w:val="510"/>
        </w:trPr>
        <w:tc>
          <w:tcPr>
            <w:tcW w:w="1599"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rPr>
                <w:rFonts w:eastAsia="Times New Roman" w:cs="Times New Roman"/>
                <w:b/>
                <w:bCs/>
                <w:color w:val="000000"/>
                <w:sz w:val="20"/>
                <w:szCs w:val="20"/>
                <w:lang w:eastAsia="en-AU"/>
              </w:rPr>
            </w:pPr>
            <w:r w:rsidRPr="00147C7D">
              <w:rPr>
                <w:rFonts w:eastAsia="Times New Roman" w:cs="Times New Roman"/>
                <w:b/>
                <w:bCs/>
                <w:color w:val="000000"/>
                <w:sz w:val="20"/>
                <w:szCs w:val="20"/>
                <w:lang w:eastAsia="en-AU"/>
              </w:rPr>
              <w:t>Queensland</w:t>
            </w:r>
          </w:p>
        </w:tc>
        <w:tc>
          <w:tcPr>
            <w:tcW w:w="1135" w:type="pct"/>
            <w:tcBorders>
              <w:top w:val="nil"/>
              <w:left w:val="nil"/>
              <w:bottom w:val="single" w:sz="4" w:space="0" w:color="0093D0"/>
              <w:right w:val="nil"/>
            </w:tcBorders>
            <w:shd w:val="clear" w:color="auto" w:fill="auto"/>
            <w:noWrap/>
            <w:vAlign w:val="bottom"/>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 xml:space="preserve">           700.6 </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51.0</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b/>
                <w:color w:val="000000"/>
                <w:sz w:val="20"/>
                <w:szCs w:val="20"/>
                <w:lang w:eastAsia="en-AU"/>
              </w:rPr>
            </w:pPr>
            <w:r w:rsidRPr="00147C7D">
              <w:rPr>
                <w:rFonts w:eastAsia="Times New Roman" w:cs="Times New Roman"/>
                <w:b/>
                <w:color w:val="000000"/>
                <w:sz w:val="20"/>
                <w:szCs w:val="20"/>
                <w:lang w:eastAsia="en-AU"/>
              </w:rPr>
              <w:t xml:space="preserve">           751.6 </w:t>
            </w:r>
          </w:p>
        </w:tc>
      </w:tr>
      <w:tr w:rsidR="00147C7D" w:rsidRPr="00147C7D" w:rsidTr="00147C7D">
        <w:trPr>
          <w:trHeight w:hRule="exact" w:val="510"/>
        </w:trPr>
        <w:tc>
          <w:tcPr>
            <w:tcW w:w="1599"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rPr>
                <w:rFonts w:eastAsia="Times New Roman" w:cs="Times New Roman"/>
                <w:b/>
                <w:bCs/>
                <w:color w:val="000000"/>
                <w:sz w:val="20"/>
                <w:szCs w:val="20"/>
                <w:lang w:eastAsia="en-AU"/>
              </w:rPr>
            </w:pPr>
            <w:r w:rsidRPr="00147C7D">
              <w:rPr>
                <w:rFonts w:eastAsia="Times New Roman" w:cs="Times New Roman"/>
                <w:b/>
                <w:bCs/>
                <w:color w:val="000000"/>
                <w:sz w:val="20"/>
                <w:szCs w:val="20"/>
                <w:lang w:eastAsia="en-AU"/>
              </w:rPr>
              <w:t>South Australia</w:t>
            </w:r>
          </w:p>
        </w:tc>
        <w:tc>
          <w:tcPr>
            <w:tcW w:w="1135" w:type="pct"/>
            <w:tcBorders>
              <w:top w:val="nil"/>
              <w:left w:val="nil"/>
              <w:bottom w:val="single" w:sz="4" w:space="0" w:color="0093D0"/>
              <w:right w:val="nil"/>
            </w:tcBorders>
            <w:shd w:val="clear" w:color="auto" w:fill="auto"/>
            <w:noWrap/>
            <w:vAlign w:val="bottom"/>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 xml:space="preserve">           299.0 </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21.6</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b/>
                <w:color w:val="000000"/>
                <w:sz w:val="20"/>
                <w:szCs w:val="20"/>
                <w:lang w:eastAsia="en-AU"/>
              </w:rPr>
            </w:pPr>
            <w:r w:rsidRPr="00147C7D">
              <w:rPr>
                <w:rFonts w:eastAsia="Times New Roman" w:cs="Times New Roman"/>
                <w:b/>
                <w:color w:val="000000"/>
                <w:sz w:val="20"/>
                <w:szCs w:val="20"/>
                <w:lang w:eastAsia="en-AU"/>
              </w:rPr>
              <w:t xml:space="preserve">           320.5 </w:t>
            </w:r>
          </w:p>
        </w:tc>
      </w:tr>
      <w:tr w:rsidR="00147C7D" w:rsidRPr="00147C7D" w:rsidTr="00147C7D">
        <w:trPr>
          <w:trHeight w:hRule="exact" w:val="510"/>
        </w:trPr>
        <w:tc>
          <w:tcPr>
            <w:tcW w:w="1599"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rPr>
                <w:rFonts w:eastAsia="Times New Roman" w:cs="Times New Roman"/>
                <w:b/>
                <w:bCs/>
                <w:color w:val="000000"/>
                <w:sz w:val="20"/>
                <w:szCs w:val="20"/>
                <w:lang w:eastAsia="en-AU"/>
              </w:rPr>
            </w:pPr>
            <w:r w:rsidRPr="00147C7D">
              <w:rPr>
                <w:rFonts w:eastAsia="Times New Roman" w:cs="Times New Roman"/>
                <w:b/>
                <w:bCs/>
                <w:color w:val="000000"/>
                <w:sz w:val="20"/>
                <w:szCs w:val="20"/>
                <w:lang w:eastAsia="en-AU"/>
              </w:rPr>
              <w:t>Western Australia</w:t>
            </w:r>
          </w:p>
        </w:tc>
        <w:tc>
          <w:tcPr>
            <w:tcW w:w="1135" w:type="pct"/>
            <w:tcBorders>
              <w:top w:val="nil"/>
              <w:left w:val="nil"/>
              <w:bottom w:val="single" w:sz="4" w:space="0" w:color="0093D0"/>
              <w:right w:val="nil"/>
            </w:tcBorders>
            <w:shd w:val="clear" w:color="auto" w:fill="auto"/>
            <w:noWrap/>
            <w:vAlign w:val="bottom"/>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 xml:space="preserve">           248.3 </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20.2</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b/>
                <w:color w:val="000000"/>
                <w:sz w:val="20"/>
                <w:szCs w:val="20"/>
                <w:lang w:eastAsia="en-AU"/>
              </w:rPr>
            </w:pPr>
            <w:r w:rsidRPr="00147C7D">
              <w:rPr>
                <w:rFonts w:eastAsia="Times New Roman" w:cs="Times New Roman"/>
                <w:b/>
                <w:color w:val="000000"/>
                <w:sz w:val="20"/>
                <w:szCs w:val="20"/>
                <w:lang w:eastAsia="en-AU"/>
              </w:rPr>
              <w:t xml:space="preserve">           268.6 </w:t>
            </w:r>
          </w:p>
        </w:tc>
      </w:tr>
      <w:tr w:rsidR="00147C7D" w:rsidRPr="00147C7D" w:rsidTr="00147C7D">
        <w:trPr>
          <w:trHeight w:hRule="exact" w:val="510"/>
        </w:trPr>
        <w:tc>
          <w:tcPr>
            <w:tcW w:w="1599"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rPr>
                <w:rFonts w:eastAsia="Times New Roman" w:cs="Times New Roman"/>
                <w:b/>
                <w:bCs/>
                <w:color w:val="000000"/>
                <w:sz w:val="20"/>
                <w:szCs w:val="20"/>
                <w:lang w:eastAsia="en-AU"/>
              </w:rPr>
            </w:pPr>
            <w:r w:rsidRPr="00147C7D">
              <w:rPr>
                <w:rFonts w:eastAsia="Times New Roman" w:cs="Times New Roman"/>
                <w:b/>
                <w:bCs/>
                <w:color w:val="000000"/>
                <w:sz w:val="20"/>
                <w:szCs w:val="20"/>
                <w:lang w:eastAsia="en-AU"/>
              </w:rPr>
              <w:t>Tasmania</w:t>
            </w:r>
          </w:p>
        </w:tc>
        <w:tc>
          <w:tcPr>
            <w:tcW w:w="1135" w:type="pct"/>
            <w:tcBorders>
              <w:top w:val="nil"/>
              <w:left w:val="nil"/>
              <w:bottom w:val="single" w:sz="4" w:space="0" w:color="0093D0"/>
              <w:right w:val="nil"/>
            </w:tcBorders>
            <w:shd w:val="clear" w:color="auto" w:fill="auto"/>
            <w:noWrap/>
            <w:vAlign w:val="bottom"/>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 xml:space="preserve">              56.0 </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7.2</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b/>
                <w:color w:val="000000"/>
                <w:sz w:val="20"/>
                <w:szCs w:val="20"/>
                <w:lang w:eastAsia="en-AU"/>
              </w:rPr>
            </w:pPr>
            <w:r w:rsidRPr="00147C7D">
              <w:rPr>
                <w:rFonts w:eastAsia="Times New Roman" w:cs="Times New Roman"/>
                <w:b/>
                <w:color w:val="000000"/>
                <w:sz w:val="20"/>
                <w:szCs w:val="20"/>
                <w:lang w:eastAsia="en-AU"/>
              </w:rPr>
              <w:t xml:space="preserve">              63.2 </w:t>
            </w:r>
          </w:p>
        </w:tc>
      </w:tr>
      <w:tr w:rsidR="00147C7D" w:rsidRPr="00147C7D" w:rsidTr="00147C7D">
        <w:trPr>
          <w:trHeight w:hRule="exact" w:val="510"/>
        </w:trPr>
        <w:tc>
          <w:tcPr>
            <w:tcW w:w="1599"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rPr>
                <w:rFonts w:eastAsia="Times New Roman" w:cs="Times New Roman"/>
                <w:b/>
                <w:bCs/>
                <w:color w:val="000000"/>
                <w:sz w:val="20"/>
                <w:szCs w:val="20"/>
                <w:lang w:eastAsia="en-AU"/>
              </w:rPr>
            </w:pPr>
            <w:r w:rsidRPr="00147C7D">
              <w:rPr>
                <w:rFonts w:eastAsia="Times New Roman" w:cs="Times New Roman"/>
                <w:b/>
                <w:bCs/>
                <w:color w:val="000000"/>
                <w:sz w:val="20"/>
                <w:szCs w:val="20"/>
                <w:lang w:eastAsia="en-AU"/>
              </w:rPr>
              <w:t>Northern Territory</w:t>
            </w:r>
          </w:p>
        </w:tc>
        <w:tc>
          <w:tcPr>
            <w:tcW w:w="1135" w:type="pct"/>
            <w:tcBorders>
              <w:top w:val="nil"/>
              <w:left w:val="nil"/>
              <w:bottom w:val="single" w:sz="4" w:space="0" w:color="0093D0"/>
              <w:right w:val="nil"/>
            </w:tcBorders>
            <w:shd w:val="clear" w:color="auto" w:fill="auto"/>
            <w:noWrap/>
            <w:vAlign w:val="bottom"/>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 xml:space="preserve">                8.8 </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2.2</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b/>
                <w:color w:val="000000"/>
                <w:sz w:val="20"/>
                <w:szCs w:val="20"/>
                <w:lang w:eastAsia="en-AU"/>
              </w:rPr>
            </w:pPr>
            <w:r w:rsidRPr="00147C7D">
              <w:rPr>
                <w:rFonts w:eastAsia="Times New Roman" w:cs="Times New Roman"/>
                <w:b/>
                <w:color w:val="000000"/>
                <w:sz w:val="20"/>
                <w:szCs w:val="20"/>
                <w:lang w:eastAsia="en-AU"/>
              </w:rPr>
              <w:t xml:space="preserve">              11.0 </w:t>
            </w:r>
          </w:p>
        </w:tc>
      </w:tr>
      <w:tr w:rsidR="00147C7D" w:rsidRPr="00147C7D" w:rsidTr="00147C7D">
        <w:trPr>
          <w:trHeight w:hRule="exact" w:val="510"/>
        </w:trPr>
        <w:tc>
          <w:tcPr>
            <w:tcW w:w="1599"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rPr>
                <w:rFonts w:eastAsia="Times New Roman" w:cs="Times New Roman"/>
                <w:b/>
                <w:bCs/>
                <w:color w:val="000000"/>
                <w:sz w:val="20"/>
                <w:szCs w:val="20"/>
                <w:lang w:eastAsia="en-AU"/>
              </w:rPr>
            </w:pPr>
            <w:r w:rsidRPr="00147C7D">
              <w:rPr>
                <w:rFonts w:eastAsia="Times New Roman" w:cs="Times New Roman"/>
                <w:b/>
                <w:bCs/>
                <w:color w:val="000000"/>
                <w:sz w:val="20"/>
                <w:szCs w:val="20"/>
                <w:lang w:eastAsia="en-AU"/>
              </w:rPr>
              <w:t>ACT</w:t>
            </w:r>
          </w:p>
        </w:tc>
        <w:tc>
          <w:tcPr>
            <w:tcW w:w="1135" w:type="pct"/>
            <w:tcBorders>
              <w:top w:val="nil"/>
              <w:left w:val="nil"/>
              <w:bottom w:val="single" w:sz="4" w:space="0" w:color="0093D0"/>
              <w:right w:val="nil"/>
            </w:tcBorders>
            <w:shd w:val="clear" w:color="auto" w:fill="auto"/>
            <w:noWrap/>
            <w:vAlign w:val="bottom"/>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 xml:space="preserve">              27.9 </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2.2</w:t>
            </w:r>
          </w:p>
        </w:tc>
        <w:tc>
          <w:tcPr>
            <w:tcW w:w="1133" w:type="pct"/>
            <w:tcBorders>
              <w:top w:val="nil"/>
              <w:left w:val="nil"/>
              <w:bottom w:val="single" w:sz="4" w:space="0" w:color="0093D0"/>
              <w:right w:val="nil"/>
            </w:tcBorders>
            <w:shd w:val="clear" w:color="auto" w:fill="auto"/>
            <w:noWrap/>
            <w:vAlign w:val="bottom"/>
            <w:hideMark/>
          </w:tcPr>
          <w:p w:rsidR="00147C7D" w:rsidRPr="00147C7D" w:rsidRDefault="00147C7D" w:rsidP="00AD4A87">
            <w:pPr>
              <w:spacing w:after="0" w:line="240" w:lineRule="auto"/>
              <w:jc w:val="right"/>
              <w:rPr>
                <w:rFonts w:eastAsia="Times New Roman" w:cs="Times New Roman"/>
                <w:b/>
                <w:color w:val="000000"/>
                <w:sz w:val="20"/>
                <w:szCs w:val="20"/>
                <w:lang w:eastAsia="en-AU"/>
              </w:rPr>
            </w:pPr>
            <w:r w:rsidRPr="00147C7D">
              <w:rPr>
                <w:rFonts w:eastAsia="Times New Roman" w:cs="Times New Roman"/>
                <w:b/>
                <w:color w:val="000000"/>
                <w:sz w:val="20"/>
                <w:szCs w:val="20"/>
                <w:lang w:eastAsia="en-AU"/>
              </w:rPr>
              <w:t xml:space="preserve">              30.2 </w:t>
            </w:r>
          </w:p>
        </w:tc>
      </w:tr>
      <w:tr w:rsidR="00147C7D" w:rsidRPr="00147C7D" w:rsidTr="00147C7D">
        <w:trPr>
          <w:trHeight w:hRule="exact" w:val="510"/>
        </w:trPr>
        <w:tc>
          <w:tcPr>
            <w:tcW w:w="1599" w:type="pct"/>
            <w:tcBorders>
              <w:top w:val="nil"/>
              <w:left w:val="nil"/>
              <w:bottom w:val="single" w:sz="8" w:space="0" w:color="0093D0"/>
              <w:right w:val="nil"/>
            </w:tcBorders>
            <w:shd w:val="clear" w:color="auto" w:fill="DBE5F1" w:themeFill="accent1" w:themeFillTint="33"/>
            <w:noWrap/>
            <w:vAlign w:val="bottom"/>
            <w:hideMark/>
          </w:tcPr>
          <w:p w:rsidR="00147C7D" w:rsidRPr="00147C7D" w:rsidRDefault="00147C7D" w:rsidP="00AD4A87">
            <w:pPr>
              <w:spacing w:after="0" w:line="240" w:lineRule="auto"/>
              <w:rPr>
                <w:rFonts w:eastAsia="Times New Roman" w:cs="Times New Roman"/>
                <w:b/>
                <w:bCs/>
                <w:color w:val="000000"/>
                <w:sz w:val="20"/>
                <w:szCs w:val="20"/>
                <w:lang w:eastAsia="en-AU"/>
              </w:rPr>
            </w:pPr>
            <w:r w:rsidRPr="00147C7D">
              <w:rPr>
                <w:rFonts w:eastAsia="Times New Roman" w:cs="Times New Roman"/>
                <w:b/>
                <w:bCs/>
                <w:color w:val="000000"/>
                <w:sz w:val="20"/>
                <w:szCs w:val="20"/>
                <w:lang w:eastAsia="en-AU"/>
              </w:rPr>
              <w:t>Australia</w:t>
            </w:r>
          </w:p>
        </w:tc>
        <w:tc>
          <w:tcPr>
            <w:tcW w:w="1135" w:type="pct"/>
            <w:tcBorders>
              <w:top w:val="nil"/>
              <w:left w:val="nil"/>
              <w:bottom w:val="single" w:sz="8" w:space="0" w:color="0093D0"/>
              <w:right w:val="nil"/>
            </w:tcBorders>
            <w:shd w:val="clear" w:color="auto" w:fill="DBE5F1" w:themeFill="accent1" w:themeFillTint="33"/>
            <w:noWrap/>
            <w:vAlign w:val="bottom"/>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 xml:space="preserve">        2,216.5 </w:t>
            </w:r>
          </w:p>
        </w:tc>
        <w:tc>
          <w:tcPr>
            <w:tcW w:w="1133" w:type="pct"/>
            <w:tcBorders>
              <w:top w:val="nil"/>
              <w:left w:val="nil"/>
              <w:bottom w:val="single" w:sz="8" w:space="0" w:color="0093D0"/>
              <w:right w:val="nil"/>
            </w:tcBorders>
            <w:shd w:val="clear" w:color="auto" w:fill="DBE5F1" w:themeFill="accent1" w:themeFillTint="33"/>
            <w:noWrap/>
            <w:vAlign w:val="bottom"/>
            <w:hideMark/>
          </w:tcPr>
          <w:p w:rsidR="00147C7D" w:rsidRPr="00147C7D" w:rsidRDefault="00147C7D" w:rsidP="00AD4A87">
            <w:pPr>
              <w:spacing w:after="0" w:line="240" w:lineRule="auto"/>
              <w:jc w:val="right"/>
              <w:rPr>
                <w:rFonts w:eastAsia="Times New Roman" w:cs="Times New Roman"/>
                <w:color w:val="000000"/>
                <w:sz w:val="20"/>
                <w:szCs w:val="20"/>
                <w:lang w:eastAsia="en-AU"/>
              </w:rPr>
            </w:pPr>
            <w:r w:rsidRPr="00147C7D">
              <w:rPr>
                <w:rFonts w:eastAsia="Times New Roman" w:cs="Times New Roman"/>
                <w:color w:val="000000"/>
                <w:sz w:val="20"/>
                <w:szCs w:val="20"/>
                <w:lang w:eastAsia="en-AU"/>
              </w:rPr>
              <w:t xml:space="preserve">           200.7 </w:t>
            </w:r>
          </w:p>
        </w:tc>
        <w:tc>
          <w:tcPr>
            <w:tcW w:w="1133" w:type="pct"/>
            <w:tcBorders>
              <w:top w:val="nil"/>
              <w:left w:val="nil"/>
              <w:bottom w:val="single" w:sz="8" w:space="0" w:color="0093D0"/>
              <w:right w:val="nil"/>
            </w:tcBorders>
            <w:shd w:val="clear" w:color="auto" w:fill="DBE5F1" w:themeFill="accent1" w:themeFillTint="33"/>
            <w:noWrap/>
            <w:vAlign w:val="bottom"/>
            <w:hideMark/>
          </w:tcPr>
          <w:p w:rsidR="00147C7D" w:rsidRPr="00147C7D" w:rsidRDefault="00147C7D" w:rsidP="00AD4A87">
            <w:pPr>
              <w:spacing w:after="0" w:line="240" w:lineRule="auto"/>
              <w:jc w:val="right"/>
              <w:rPr>
                <w:rFonts w:eastAsia="Times New Roman" w:cs="Times New Roman"/>
                <w:b/>
                <w:color w:val="000000"/>
                <w:sz w:val="20"/>
                <w:szCs w:val="20"/>
                <w:lang w:eastAsia="en-AU"/>
              </w:rPr>
            </w:pPr>
            <w:r w:rsidRPr="00147C7D">
              <w:rPr>
                <w:rFonts w:eastAsia="Times New Roman" w:cs="Times New Roman"/>
                <w:b/>
                <w:color w:val="000000"/>
                <w:sz w:val="20"/>
                <w:szCs w:val="20"/>
                <w:lang w:eastAsia="en-AU"/>
              </w:rPr>
              <w:t xml:space="preserve">        2,417.3 </w:t>
            </w:r>
          </w:p>
        </w:tc>
      </w:tr>
    </w:tbl>
    <w:p w:rsidR="00147C7D" w:rsidRDefault="00147C7D" w:rsidP="003F64C9">
      <w:pPr>
        <w:pStyle w:val="MJAnormal"/>
        <w:rPr>
          <w:highlight w:val="yellow"/>
        </w:rPr>
      </w:pPr>
    </w:p>
    <w:p w:rsidR="00A4756A" w:rsidRPr="008A77ED" w:rsidRDefault="00A4756A" w:rsidP="003F64C9">
      <w:pPr>
        <w:pStyle w:val="MJAnormal"/>
      </w:pPr>
      <w:r w:rsidRPr="008A77ED">
        <w:t>A l</w:t>
      </w:r>
      <w:r w:rsidR="00E47F15">
        <w:t xml:space="preserve">arge proportion of </w:t>
      </w:r>
      <w:r w:rsidRPr="008A77ED">
        <w:t xml:space="preserve">hazardous waste </w:t>
      </w:r>
      <w:r w:rsidR="00E47F15">
        <w:t xml:space="preserve">costs </w:t>
      </w:r>
      <w:r w:rsidRPr="008A77ED">
        <w:t>reside with waste producing in</w:t>
      </w:r>
      <w:r w:rsidR="00E47F15">
        <w:t xml:space="preserve">dustries. It is likely </w:t>
      </w:r>
      <w:r w:rsidRPr="008A77ED">
        <w:t xml:space="preserve">that most </w:t>
      </w:r>
      <w:r w:rsidR="00B62FB6" w:rsidRPr="008A77ED">
        <w:t>of these costs are</w:t>
      </w:r>
      <w:r w:rsidRPr="008A77ED">
        <w:t xml:space="preserve"> passed on to consumers through price increases to products and services. Most industry costs</w:t>
      </w:r>
      <w:r w:rsidR="008A77ED" w:rsidRPr="008A77ED">
        <w:t xml:space="preserve"> are direct market costs ($2,217</w:t>
      </w:r>
      <w:r w:rsidRPr="008A77ED">
        <w:t xml:space="preserve"> million), but landfi</w:t>
      </w:r>
      <w:r w:rsidR="008A77ED" w:rsidRPr="008A77ED">
        <w:t>ll levies and license fees ($385</w:t>
      </w:r>
      <w:r w:rsidRPr="008A77ED">
        <w:t xml:space="preserve"> million) represent an additional financial cost to industry. </w:t>
      </w:r>
      <w:r w:rsidR="00B62FB6" w:rsidRPr="008A77ED">
        <w:t xml:space="preserve">Levies and fees </w:t>
      </w:r>
      <w:r w:rsidRPr="008A77ED">
        <w:t>are transfers from industry to government and, as such, are not economic costs.</w:t>
      </w:r>
    </w:p>
    <w:p w:rsidR="00491A2C" w:rsidRPr="008A77ED" w:rsidRDefault="00B62FB6" w:rsidP="00491A2C">
      <w:pPr>
        <w:pStyle w:val="MJAnormal"/>
      </w:pPr>
      <w:r w:rsidRPr="008A77ED">
        <w:t>S</w:t>
      </w:r>
      <w:r w:rsidR="00491A2C" w:rsidRPr="008A77ED">
        <w:t>crutiny of the waste categories and consideration of their likely so</w:t>
      </w:r>
      <w:r w:rsidRPr="008A77ED">
        <w:t xml:space="preserve">urces suggest that the </w:t>
      </w:r>
      <w:proofErr w:type="spellStart"/>
      <w:r w:rsidRPr="008A77ED">
        <w:t>industries</w:t>
      </w:r>
      <w:proofErr w:type="spellEnd"/>
      <w:r w:rsidR="00491A2C" w:rsidRPr="008A77ED">
        <w:t xml:space="preserve"> </w:t>
      </w:r>
      <w:r w:rsidRPr="008A77ED">
        <w:t xml:space="preserve">most likely to bear these costs </w:t>
      </w:r>
      <w:r w:rsidR="00491A2C" w:rsidRPr="008A77ED">
        <w:t>include:</w:t>
      </w:r>
    </w:p>
    <w:p w:rsidR="008A77ED" w:rsidRPr="008A77ED" w:rsidRDefault="008A77ED" w:rsidP="008A77ED">
      <w:pPr>
        <w:pStyle w:val="MJAbulletnormal"/>
        <w:numPr>
          <w:ilvl w:val="0"/>
          <w:numId w:val="2"/>
        </w:numPr>
        <w:rPr>
          <w:szCs w:val="20"/>
        </w:rPr>
      </w:pPr>
      <w:r w:rsidRPr="008A77ED">
        <w:rPr>
          <w:szCs w:val="20"/>
        </w:rPr>
        <w:t>Food product manufacturing (ANZSIC C11):</w:t>
      </w:r>
    </w:p>
    <w:p w:rsidR="008A77ED" w:rsidRPr="008A77ED" w:rsidRDefault="008A77ED" w:rsidP="008A77ED">
      <w:pPr>
        <w:pStyle w:val="MJAbulletnormal"/>
        <w:numPr>
          <w:ilvl w:val="0"/>
          <w:numId w:val="2"/>
        </w:numPr>
        <w:rPr>
          <w:szCs w:val="20"/>
        </w:rPr>
      </w:pPr>
      <w:r w:rsidRPr="008A77ED">
        <w:rPr>
          <w:szCs w:val="20"/>
        </w:rPr>
        <w:t>Petroleum product manufacturing (ANZSIC C17);</w:t>
      </w:r>
    </w:p>
    <w:p w:rsidR="008A77ED" w:rsidRPr="008A77ED" w:rsidRDefault="008A77ED" w:rsidP="008A77ED">
      <w:pPr>
        <w:pStyle w:val="MJAbulletnormal"/>
        <w:numPr>
          <w:ilvl w:val="0"/>
          <w:numId w:val="2"/>
        </w:numPr>
        <w:rPr>
          <w:szCs w:val="20"/>
        </w:rPr>
      </w:pPr>
      <w:r w:rsidRPr="008A77ED">
        <w:rPr>
          <w:szCs w:val="20"/>
        </w:rPr>
        <w:t>Basic chemical and chemical product manufacturing (ANZSIC C18);</w:t>
      </w:r>
    </w:p>
    <w:p w:rsidR="008A77ED" w:rsidRPr="008A77ED" w:rsidRDefault="008A77ED" w:rsidP="008A77ED">
      <w:pPr>
        <w:pStyle w:val="MJAbulletnormal"/>
        <w:numPr>
          <w:ilvl w:val="0"/>
          <w:numId w:val="2"/>
        </w:numPr>
        <w:rPr>
          <w:szCs w:val="20"/>
        </w:rPr>
      </w:pPr>
      <w:r w:rsidRPr="008A77ED">
        <w:rPr>
          <w:szCs w:val="20"/>
        </w:rPr>
        <w:t>Polymer product manufacturing (ANZSIC C19);</w:t>
      </w:r>
    </w:p>
    <w:p w:rsidR="008A77ED" w:rsidRPr="008A77ED" w:rsidRDefault="008A77ED" w:rsidP="008A77ED">
      <w:pPr>
        <w:pStyle w:val="MJAbulletnormal"/>
        <w:numPr>
          <w:ilvl w:val="0"/>
          <w:numId w:val="2"/>
        </w:numPr>
        <w:rPr>
          <w:szCs w:val="20"/>
        </w:rPr>
      </w:pPr>
      <w:r w:rsidRPr="008A77ED">
        <w:rPr>
          <w:szCs w:val="20"/>
        </w:rPr>
        <w:t>Non-metallic mineral product manufacturing (ANZSIC C20);</w:t>
      </w:r>
    </w:p>
    <w:p w:rsidR="008A77ED" w:rsidRPr="008A77ED" w:rsidRDefault="008A77ED" w:rsidP="008A77ED">
      <w:pPr>
        <w:pStyle w:val="MJAbulletnormal"/>
        <w:numPr>
          <w:ilvl w:val="0"/>
          <w:numId w:val="2"/>
        </w:numPr>
        <w:rPr>
          <w:szCs w:val="20"/>
        </w:rPr>
      </w:pPr>
      <w:r w:rsidRPr="008A77ED">
        <w:rPr>
          <w:szCs w:val="20"/>
        </w:rPr>
        <w:t xml:space="preserve">Primary metal and metal product manufacturing (ANZSIC C21); </w:t>
      </w:r>
    </w:p>
    <w:p w:rsidR="008A77ED" w:rsidRPr="008A77ED" w:rsidRDefault="008A77ED" w:rsidP="008A77ED">
      <w:pPr>
        <w:pStyle w:val="MJAbulletnormal"/>
        <w:numPr>
          <w:ilvl w:val="0"/>
          <w:numId w:val="2"/>
        </w:numPr>
        <w:rPr>
          <w:szCs w:val="20"/>
        </w:rPr>
      </w:pPr>
      <w:r w:rsidRPr="008A77ED">
        <w:rPr>
          <w:szCs w:val="20"/>
        </w:rPr>
        <w:t>Building and construction; (ANZSIC E); and</w:t>
      </w:r>
    </w:p>
    <w:p w:rsidR="00491A2C" w:rsidRPr="008A77ED" w:rsidRDefault="008A77ED" w:rsidP="008A77ED">
      <w:pPr>
        <w:pStyle w:val="MJAbulletnormal"/>
        <w:numPr>
          <w:ilvl w:val="0"/>
          <w:numId w:val="2"/>
        </w:numPr>
        <w:rPr>
          <w:szCs w:val="20"/>
        </w:rPr>
      </w:pPr>
      <w:r w:rsidRPr="008A77ED">
        <w:rPr>
          <w:szCs w:val="20"/>
        </w:rPr>
        <w:t xml:space="preserve">Motor vehicle servicing and parts, principally related to </w:t>
      </w:r>
      <w:r w:rsidR="00E47F15">
        <w:rPr>
          <w:szCs w:val="20"/>
        </w:rPr>
        <w:t xml:space="preserve">the </w:t>
      </w:r>
      <w:r w:rsidRPr="008A77ED">
        <w:rPr>
          <w:szCs w:val="20"/>
        </w:rPr>
        <w:t>disposal of tyres (ANZSIC G39).</w:t>
      </w:r>
    </w:p>
    <w:p w:rsidR="008705F7" w:rsidRDefault="008705F7" w:rsidP="008705F7">
      <w:pPr>
        <w:pStyle w:val="MJAnormal"/>
      </w:pPr>
      <w:r>
        <w:t>While a significant proportion of direct mark</w:t>
      </w:r>
      <w:r w:rsidR="00027FC1">
        <w:t>et costs are likely to be linked</w:t>
      </w:r>
      <w:r>
        <w:t xml:space="preserve"> to industry compliance with government regulations, it is not feasible to precisely quantify the proportion of the costs that are compliance related. All levies and fees are a compliance cost to industry.  Additionally, a significant proportion of the treatment, recycling and energy recovery costs are also likely to be compliance-related, linked to environmental, safety and dangerous goods regulations.  As well, there are administrative costs associated with the transport, storage and disposal to landfill of hazardous waste.  Preliminary analysis suggests that </w:t>
      </w:r>
      <w:r w:rsidRPr="008705F7">
        <w:t xml:space="preserve">total hazardous waste </w:t>
      </w:r>
      <w:r w:rsidRPr="008705F7">
        <w:lastRenderedPageBreak/>
        <w:t>compliance costs (including treatment, recycling, energy recovery, landfill levies, license fees and adm</w:t>
      </w:r>
      <w:r>
        <w:t xml:space="preserve">inistrative costs) are in the range of </w:t>
      </w:r>
      <w:r w:rsidRPr="008705F7">
        <w:t>0.01-0.2% of total revenue</w:t>
      </w:r>
      <w:r>
        <w:t xml:space="preserve"> for most industries.</w:t>
      </w:r>
    </w:p>
    <w:p w:rsidR="00A4756A" w:rsidRDefault="006A1888" w:rsidP="003F64C9">
      <w:pPr>
        <w:pStyle w:val="MJAnormal"/>
      </w:pPr>
      <w:r>
        <w:t>The costs of hazardous wastes in Australia are p</w:t>
      </w:r>
      <w:r w:rsidR="00A36ABC">
        <w:t>rojected to increase from $2,417 million in 2012 to $2,588</w:t>
      </w:r>
      <w:r>
        <w:t xml:space="preserve"> million in 20</w:t>
      </w:r>
      <w:r w:rsidR="00A36ABC">
        <w:t>24, a growth of approximately 7% in real terms or 0.5</w:t>
      </w:r>
      <w:r>
        <w:t xml:space="preserve">% per year.  </w:t>
      </w:r>
      <w:r w:rsidR="00794E1C" w:rsidRPr="00794E1C">
        <w:t>The greatest cost growth in absolute terms will be to direct market costs, with these costs being driven principally by expected growth in the volume of hazardous wastes from 6.6 million tonnes in 2012 to 7.0 million tonnes in 2024, a growth of 6%.</w:t>
      </w:r>
    </w:p>
    <w:p w:rsidR="00A36ABC" w:rsidRDefault="00A36ABC" w:rsidP="00A36ABC">
      <w:pPr>
        <w:pStyle w:val="MJAnormal"/>
      </w:pPr>
      <w:r>
        <w:t>The absence of reliable time series data for hazardous wastes means that projections are highly uncertain. Nevertheless, the projec</w:t>
      </w:r>
      <w:r w:rsidR="00C91A4C">
        <w:t xml:space="preserve">ted growth rate could well be </w:t>
      </w:r>
      <w:r>
        <w:t>conservati</w:t>
      </w:r>
      <w:r w:rsidR="00C91A4C">
        <w:t xml:space="preserve">ve </w:t>
      </w:r>
      <w:r>
        <w:t xml:space="preserve">since it does not take into account the potential for increased costs associated with tighter hazardous waste regulatory frameworks and a broader range of hazardous wastes. </w:t>
      </w:r>
    </w:p>
    <w:p w:rsidR="009D7EAA" w:rsidRDefault="00F64FD4" w:rsidP="003F64C9">
      <w:pPr>
        <w:pStyle w:val="MJAnormal"/>
      </w:pPr>
      <w:r w:rsidRPr="00054710">
        <w:t>T</w:t>
      </w:r>
      <w:r w:rsidR="009D7EAA" w:rsidRPr="00054710">
        <w:t xml:space="preserve">he present value of hazardous wastes costs </w:t>
      </w:r>
      <w:r w:rsidRPr="00054710">
        <w:t xml:space="preserve">over the years 2012 </w:t>
      </w:r>
      <w:r w:rsidR="009D7EAA" w:rsidRPr="00054710">
        <w:t>to 2020</w:t>
      </w:r>
      <w:r w:rsidRPr="00054710">
        <w:t xml:space="preserve"> (covered by the National Waste Po</w:t>
      </w:r>
      <w:r w:rsidR="00A36ABC">
        <w:t>licy) is estimated to be $17,194</w:t>
      </w:r>
      <w:r w:rsidRPr="00054710">
        <w:t xml:space="preserve"> million</w:t>
      </w:r>
      <w:r w:rsidR="009D7EAA" w:rsidRPr="00054710">
        <w:t>, a</w:t>
      </w:r>
      <w:r w:rsidRPr="00054710">
        <w:t>ssuming a discount rate of 7%.</w:t>
      </w:r>
    </w:p>
    <w:p w:rsidR="00A36ABC" w:rsidRPr="00A36ABC" w:rsidRDefault="00A36ABC" w:rsidP="00A36ABC">
      <w:pPr>
        <w:rPr>
          <w:rFonts w:ascii="Times New Roman" w:eastAsia="Times New Roman" w:hAnsi="Times New Roman" w:cs="Times New Roman"/>
        </w:rPr>
      </w:pPr>
      <w:r>
        <w:br w:type="page"/>
      </w:r>
    </w:p>
    <w:p w:rsidR="00105F72" w:rsidRDefault="00F80890" w:rsidP="009C3271">
      <w:pPr>
        <w:pStyle w:val="MJAheading1"/>
      </w:pPr>
      <w:r>
        <w:lastRenderedPageBreak/>
        <w:tab/>
      </w:r>
      <w:bookmarkStart w:id="2" w:name="_Toc391729944"/>
      <w:r w:rsidR="0002240A">
        <w:t>Introduction</w:t>
      </w:r>
      <w:bookmarkEnd w:id="2"/>
      <w:r w:rsidR="00105F72">
        <w:t xml:space="preserve"> </w:t>
      </w:r>
    </w:p>
    <w:p w:rsidR="00757C4E" w:rsidRDefault="006B36E5" w:rsidP="00A82A68">
      <w:pPr>
        <w:pStyle w:val="MJAheading2"/>
        <w:ind w:hanging="720"/>
      </w:pPr>
      <w:bookmarkStart w:id="3" w:name="_Toc391729945"/>
      <w:r>
        <w:t>Study p</w:t>
      </w:r>
      <w:r w:rsidR="00F51B77">
        <w:t>urpose</w:t>
      </w:r>
      <w:bookmarkEnd w:id="3"/>
    </w:p>
    <w:p w:rsidR="006B36E5" w:rsidRDefault="00F22D97" w:rsidP="00F850EA">
      <w:pPr>
        <w:pStyle w:val="MJAnormal"/>
      </w:pPr>
      <w:r>
        <w:t>The Environment Protection Branch of the Department of the Environment has engaged Marsden Jacob Associates</w:t>
      </w:r>
      <w:r w:rsidR="00A5472D">
        <w:t xml:space="preserve"> (Marsden Jacob)</w:t>
      </w:r>
      <w:r>
        <w:t xml:space="preserve">, Sustainable Resource Use </w:t>
      </w:r>
      <w:r w:rsidR="00A5472D">
        <w:t xml:space="preserve">(SRU) </w:t>
      </w:r>
      <w:r w:rsidR="005B14A9">
        <w:t xml:space="preserve">and </w:t>
      </w:r>
      <w:r>
        <w:t xml:space="preserve">Nolan Consulting to </w:t>
      </w:r>
      <w:r w:rsidR="006B36E5">
        <w:t xml:space="preserve">provide </w:t>
      </w:r>
      <w:r>
        <w:t>estimate</w:t>
      </w:r>
      <w:r w:rsidR="006B36E5">
        <w:t>s</w:t>
      </w:r>
      <w:r>
        <w:t xml:space="preserve"> </w:t>
      </w:r>
      <w:r w:rsidR="006B36E5">
        <w:t xml:space="preserve">of </w:t>
      </w:r>
      <w:r>
        <w:t xml:space="preserve">the current and potential future costs of managing and regulating hazardous waste in Australia.  </w:t>
      </w:r>
    </w:p>
    <w:p w:rsidR="001C672C" w:rsidRDefault="006B36E5" w:rsidP="00F850EA">
      <w:pPr>
        <w:pStyle w:val="MJAnormal"/>
      </w:pPr>
      <w:r>
        <w:t xml:space="preserve">Estimates of these costs were sought recognising that Australian governments have a limited understanding of the total </w:t>
      </w:r>
      <w:r w:rsidR="001C672C">
        <w:t xml:space="preserve">cost of </w:t>
      </w:r>
      <w:r>
        <w:t>hazardous waste to the Australian economy</w:t>
      </w:r>
      <w:r w:rsidR="001C672C">
        <w:t xml:space="preserve"> and the distribution of this cost across sectors and state and territories</w:t>
      </w:r>
      <w:r>
        <w:t xml:space="preserve">. </w:t>
      </w:r>
      <w:r w:rsidR="001C672C">
        <w:t>A base estimate</w:t>
      </w:r>
      <w:r>
        <w:t xml:space="preserve"> of </w:t>
      </w:r>
      <w:r w:rsidR="001C672C">
        <w:t xml:space="preserve">the cost of </w:t>
      </w:r>
      <w:r>
        <w:t xml:space="preserve">hazardous waste is important to </w:t>
      </w:r>
      <w:r w:rsidR="001C672C">
        <w:t xml:space="preserve">support possible future reforms of the management of </w:t>
      </w:r>
      <w:r>
        <w:t xml:space="preserve">wastes </w:t>
      </w:r>
      <w:r w:rsidR="001C672C">
        <w:t>and an Australian Govern</w:t>
      </w:r>
      <w:r>
        <w:t xml:space="preserve">ment </w:t>
      </w:r>
      <w:r w:rsidR="001C672C">
        <w:t>requirement that reforms should be subject to cost benefit analysis and regulation impact assessment.</w:t>
      </w:r>
    </w:p>
    <w:p w:rsidR="00F850EA" w:rsidRPr="00F850EA" w:rsidRDefault="001C672C" w:rsidP="00F850EA">
      <w:pPr>
        <w:pStyle w:val="MJAnormal"/>
      </w:pPr>
      <w:r>
        <w:t>This study builds on a previous study of the cost of non-hazardous commercial and industrial (C&amp;I) waste to the Australian economy (</w:t>
      </w:r>
      <w:proofErr w:type="spellStart"/>
      <w:r>
        <w:t>Encycle</w:t>
      </w:r>
      <w:proofErr w:type="spellEnd"/>
      <w:r>
        <w:t xml:space="preserve"> </w:t>
      </w:r>
      <w:r w:rsidR="00F6696F">
        <w:t xml:space="preserve">and SRU </w:t>
      </w:r>
      <w:r>
        <w:t>2013).  Th</w:t>
      </w:r>
      <w:r w:rsidR="00F6696F">
        <w:t>at study estimates</w:t>
      </w:r>
      <w:r w:rsidR="00A5472D">
        <w:t xml:space="preserve"> that the </w:t>
      </w:r>
      <w:r>
        <w:t xml:space="preserve">cost of </w:t>
      </w:r>
      <w:r w:rsidR="00A5472D">
        <w:t xml:space="preserve">managing </w:t>
      </w:r>
      <w:r>
        <w:t xml:space="preserve">C&amp;I </w:t>
      </w:r>
      <w:r w:rsidR="00A5472D">
        <w:t>waste in Australia is approximately $2.2 billion per year, of which $1.4 billion is spent on disposing waste to landfill.</w:t>
      </w:r>
    </w:p>
    <w:p w:rsidR="00105F72" w:rsidRDefault="00F37237" w:rsidP="00A82A68">
      <w:pPr>
        <w:pStyle w:val="MJAheading2"/>
        <w:ind w:hanging="720"/>
      </w:pPr>
      <w:bookmarkStart w:id="4" w:name="_Toc391729946"/>
      <w:r>
        <w:t>Focus</w:t>
      </w:r>
      <w:r w:rsidR="00F6696F">
        <w:t xml:space="preserve"> and s</w:t>
      </w:r>
      <w:r w:rsidR="00190809">
        <w:t xml:space="preserve">cope of </w:t>
      </w:r>
      <w:r>
        <w:t xml:space="preserve">the </w:t>
      </w:r>
      <w:r w:rsidR="00190809">
        <w:t>analysis</w:t>
      </w:r>
      <w:bookmarkEnd w:id="4"/>
    </w:p>
    <w:p w:rsidR="00274640" w:rsidRDefault="00F37237" w:rsidP="00A82A68">
      <w:pPr>
        <w:pStyle w:val="MJAheading3"/>
        <w:ind w:hanging="1080"/>
      </w:pPr>
      <w:r>
        <w:t>Focus</w:t>
      </w:r>
      <w:r w:rsidR="00F6696F">
        <w:t xml:space="preserve"> and scope </w:t>
      </w:r>
    </w:p>
    <w:p w:rsidR="003D73AE" w:rsidRDefault="00F37237" w:rsidP="00A5741E">
      <w:pPr>
        <w:pStyle w:val="MJAnormal"/>
      </w:pPr>
      <w:r>
        <w:t>The focus</w:t>
      </w:r>
      <w:r w:rsidR="00F6696F">
        <w:t xml:space="preserve"> of the cost </w:t>
      </w:r>
      <w:r>
        <w:t>analysis is on</w:t>
      </w:r>
      <w:r w:rsidR="00F6696F" w:rsidRPr="00F6696F">
        <w:t xml:space="preserve"> the economic </w:t>
      </w:r>
      <w:r w:rsidR="00F6696F">
        <w:t xml:space="preserve">and distributional </w:t>
      </w:r>
      <w:r w:rsidR="00F6696F" w:rsidRPr="00F6696F">
        <w:t xml:space="preserve">costs </w:t>
      </w:r>
      <w:r w:rsidR="00F6696F">
        <w:t>associated with</w:t>
      </w:r>
      <w:r w:rsidR="00F6696F" w:rsidRPr="00F6696F">
        <w:t xml:space="preserve"> </w:t>
      </w:r>
      <w:r w:rsidR="003D73AE">
        <w:t>hazardous waste</w:t>
      </w:r>
      <w:r w:rsidR="00A5741E">
        <w:t xml:space="preserve"> in Australia</w:t>
      </w:r>
      <w:r w:rsidR="00417375">
        <w:t xml:space="preserve"> as defined in </w:t>
      </w:r>
      <w:r w:rsidR="00417375" w:rsidRPr="00417375">
        <w:t xml:space="preserve">the </w:t>
      </w:r>
      <w:r w:rsidR="00417375" w:rsidRPr="00417375">
        <w:rPr>
          <w:i/>
        </w:rPr>
        <w:t>Hazardous Waste (Regulation of Exports and Imports) Act 1989</w:t>
      </w:r>
      <w:r w:rsidR="00417375">
        <w:t xml:space="preserve"> (see Section 2)</w:t>
      </w:r>
      <w:r w:rsidR="00F6696F" w:rsidRPr="00F6696F">
        <w:t xml:space="preserve">. </w:t>
      </w:r>
      <w:r w:rsidR="00A5741E">
        <w:t xml:space="preserve"> </w:t>
      </w:r>
    </w:p>
    <w:p w:rsidR="00062D22" w:rsidRDefault="00233219" w:rsidP="00193F76">
      <w:pPr>
        <w:pStyle w:val="MJAnormal"/>
      </w:pPr>
      <w:r>
        <w:t xml:space="preserve">Economic costs refer to costs to the Australian community </w:t>
      </w:r>
      <w:r w:rsidRPr="00233219">
        <w:t xml:space="preserve">of </w:t>
      </w:r>
      <w:r w:rsidR="00677494" w:rsidRPr="00677494">
        <w:t xml:space="preserve">regulating, transporting, treating and disposing </w:t>
      </w:r>
      <w:r w:rsidR="00677494">
        <w:t xml:space="preserve">of </w:t>
      </w:r>
      <w:r w:rsidRPr="00233219">
        <w:t xml:space="preserve">hazardous </w:t>
      </w:r>
      <w:r>
        <w:t xml:space="preserve">and include both direct market costs and indirect and non-market costs.  A </w:t>
      </w:r>
      <w:r w:rsidRPr="00CD2212">
        <w:t xml:space="preserve">list of </w:t>
      </w:r>
      <w:r w:rsidR="00CD2212" w:rsidRPr="00CD2212">
        <w:t xml:space="preserve">the </w:t>
      </w:r>
      <w:r w:rsidRPr="00CD2212">
        <w:t xml:space="preserve">costs covered in the analysis is </w:t>
      </w:r>
      <w:r w:rsidR="00CD2212" w:rsidRPr="00CD2212">
        <w:t xml:space="preserve">provided in </w:t>
      </w:r>
      <w:fldSimple w:instr=" REF _Ref391206848 \h  \* MERGEFORMAT ">
        <w:r w:rsidR="00D54C27" w:rsidRPr="00D54C27">
          <w:t>Table 1</w:t>
        </w:r>
      </w:fldSimple>
      <w:r w:rsidR="00CD2212" w:rsidRPr="00CD2212">
        <w:t xml:space="preserve">.  </w:t>
      </w:r>
      <w:r w:rsidR="00062D22">
        <w:t xml:space="preserve">Costs have been compiled for a base year (2012), with annual cost projections also provided to 2024. </w:t>
      </w:r>
    </w:p>
    <w:p w:rsidR="00CD2212" w:rsidRDefault="000C38CD" w:rsidP="00193F76">
      <w:pPr>
        <w:pStyle w:val="MJAnormal"/>
      </w:pPr>
      <w:r>
        <w:t>Direct market costs represent</w:t>
      </w:r>
      <w:r w:rsidR="00CD2212">
        <w:t xml:space="preserve"> the major component of</w:t>
      </w:r>
      <w:r>
        <w:t xml:space="preserve"> </w:t>
      </w:r>
      <w:r w:rsidR="00062D22">
        <w:t>the</w:t>
      </w:r>
      <w:r w:rsidR="00491A2C">
        <w:t>se costs.  They</w:t>
      </w:r>
      <w:r>
        <w:t xml:space="preserve"> have been assessed on a volumetric basis </w:t>
      </w:r>
      <w:r w:rsidR="00C36AF4">
        <w:t xml:space="preserve">drawing on </w:t>
      </w:r>
      <w:r w:rsidR="00062D22">
        <w:t>comprehensive</w:t>
      </w:r>
      <w:r>
        <w:t xml:space="preserve"> hazardous waste database</w:t>
      </w:r>
      <w:r w:rsidR="00202788">
        <w:t>s</w:t>
      </w:r>
      <w:r>
        <w:t xml:space="preserve"> compiled for the Department of the Environment (Blue Environment 2014</w:t>
      </w:r>
      <w:r w:rsidR="00202788">
        <w:t>, KMH 2013</w:t>
      </w:r>
      <w:r>
        <w:t>)</w:t>
      </w:r>
      <w:r w:rsidR="00062D22">
        <w:t>, with unit cost estimates ($/tonne) included</w:t>
      </w:r>
      <w:r>
        <w:t xml:space="preserve"> for each NEPM 75 waste category and cost type</w:t>
      </w:r>
      <w:r w:rsidR="00062D22">
        <w:t>.  The unit costs have been estimated drawing on information provided by</w:t>
      </w:r>
      <w:r>
        <w:t xml:space="preserve"> the waste management industry and jurisdictions.   </w:t>
      </w:r>
    </w:p>
    <w:p w:rsidR="00CD2212" w:rsidRDefault="00062D22" w:rsidP="00193F76">
      <w:pPr>
        <w:pStyle w:val="MJAnormal"/>
      </w:pPr>
      <w:r>
        <w:t>The di</w:t>
      </w:r>
      <w:r w:rsidR="003252D6">
        <w:t xml:space="preserve">rect market costs are </w:t>
      </w:r>
      <w:r>
        <w:t xml:space="preserve">aggregated with non-market costs in an </w:t>
      </w:r>
      <w:r w:rsidRPr="00062D22">
        <w:t xml:space="preserve">integrated financial and economic model, which </w:t>
      </w:r>
      <w:r>
        <w:t xml:space="preserve">enables </w:t>
      </w:r>
      <w:r w:rsidRPr="00062D22">
        <w:t xml:space="preserve">costs </w:t>
      </w:r>
      <w:r>
        <w:t xml:space="preserve">to be presented </w:t>
      </w:r>
      <w:r w:rsidRPr="00062D22">
        <w:t xml:space="preserve">by sectoral group and </w:t>
      </w:r>
      <w:r>
        <w:t xml:space="preserve">by </w:t>
      </w:r>
      <w:r w:rsidRPr="00062D22">
        <w:t>state and territory.</w:t>
      </w:r>
      <w:r>
        <w:t xml:space="preserve">  </w:t>
      </w:r>
      <w:r w:rsidR="003252D6" w:rsidRPr="003252D6">
        <w:t>License fees and (landfil</w:t>
      </w:r>
      <w:r w:rsidR="003252D6">
        <w:t>l) levies are also included in the assessment</w:t>
      </w:r>
      <w:r w:rsidR="003252D6" w:rsidRPr="003252D6">
        <w:t>.  The fees and levies represent a transfer from industry to government and, as such, are not an economic cost but</w:t>
      </w:r>
      <w:r w:rsidR="003252D6">
        <w:t xml:space="preserve"> they</w:t>
      </w:r>
      <w:r w:rsidR="003252D6" w:rsidRPr="003252D6">
        <w:t xml:space="preserve"> are a financial cost to industry</w:t>
      </w:r>
      <w:r w:rsidR="003252D6">
        <w:t xml:space="preserve"> and conversely, are a negative cost to government</w:t>
      </w:r>
      <w:r w:rsidR="003252D6" w:rsidRPr="003252D6">
        <w:t>.</w:t>
      </w:r>
    </w:p>
    <w:p w:rsidR="009305CF" w:rsidRDefault="00CD2212" w:rsidP="00F51B77">
      <w:pPr>
        <w:pStyle w:val="MJAnormal"/>
      </w:pPr>
      <w:r>
        <w:t xml:space="preserve">Details of </w:t>
      </w:r>
      <w:r w:rsidR="00062D22">
        <w:t>the methods and assumptions applied</w:t>
      </w:r>
      <w:r>
        <w:t xml:space="preserve"> to assess</w:t>
      </w:r>
      <w:r w:rsidR="00062D22">
        <w:t>ing</w:t>
      </w:r>
      <w:r>
        <w:t xml:space="preserve"> </w:t>
      </w:r>
      <w:r w:rsidR="003252D6">
        <w:t>all</w:t>
      </w:r>
      <w:r>
        <w:t xml:space="preserve"> of t</w:t>
      </w:r>
      <w:r w:rsidR="00062D22">
        <w:t>he</w:t>
      </w:r>
      <w:r w:rsidR="009305CF">
        <w:t xml:space="preserve"> costs are</w:t>
      </w:r>
      <w:r>
        <w:t xml:space="preserve"> provided</w:t>
      </w:r>
      <w:r w:rsidR="00062D22">
        <w:t xml:space="preserve"> in </w:t>
      </w:r>
      <w:r w:rsidR="00920E30">
        <w:t>Section</w:t>
      </w:r>
      <w:r>
        <w:t xml:space="preserve"> </w:t>
      </w:r>
      <w:r w:rsidR="009305CF">
        <w:t xml:space="preserve">4.  </w:t>
      </w:r>
    </w:p>
    <w:p w:rsidR="00810CA7" w:rsidRDefault="00810CA7" w:rsidP="00F51B77">
      <w:pPr>
        <w:pStyle w:val="MJAnormal"/>
      </w:pPr>
    </w:p>
    <w:p w:rsidR="00F6696F" w:rsidRPr="00F6696F" w:rsidRDefault="00F6696F" w:rsidP="00F6696F">
      <w:pPr>
        <w:keepNext/>
        <w:keepLines/>
        <w:spacing w:before="120" w:after="120" w:line="240" w:lineRule="auto"/>
        <w:rPr>
          <w:rFonts w:ascii="Calibri" w:eastAsia="Times New Roman" w:hAnsi="Calibri" w:cs="Calibri"/>
          <w:b/>
          <w:bCs/>
          <w:sz w:val="20"/>
          <w:szCs w:val="20"/>
          <w:lang w:eastAsia="en-AU"/>
        </w:rPr>
      </w:pPr>
      <w:bookmarkStart w:id="5" w:name="_Ref391206848"/>
      <w:r w:rsidRPr="00F6696F">
        <w:rPr>
          <w:rFonts w:ascii="Calibri" w:eastAsia="Times New Roman" w:hAnsi="Calibri" w:cs="Calibri"/>
          <w:b/>
          <w:bCs/>
          <w:sz w:val="20"/>
          <w:szCs w:val="20"/>
          <w:lang w:eastAsia="en-AU"/>
        </w:rPr>
        <w:lastRenderedPageBreak/>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1</w:t>
      </w:r>
      <w:r w:rsidR="00732F35" w:rsidRPr="00F6696F">
        <w:rPr>
          <w:rFonts w:ascii="Calibri" w:eastAsia="Times New Roman" w:hAnsi="Calibri" w:cs="Calibri"/>
          <w:b/>
          <w:bCs/>
          <w:sz w:val="20"/>
          <w:szCs w:val="20"/>
          <w:lang w:eastAsia="en-AU"/>
        </w:rPr>
        <w:fldChar w:fldCharType="end"/>
      </w:r>
      <w:bookmarkEnd w:id="5"/>
      <w:r w:rsidRPr="00F6696F">
        <w:rPr>
          <w:rFonts w:ascii="Calibri" w:eastAsia="Times New Roman" w:hAnsi="Calibri" w:cs="Calibri"/>
          <w:b/>
          <w:bCs/>
          <w:sz w:val="20"/>
          <w:szCs w:val="20"/>
          <w:lang w:eastAsia="en-AU"/>
        </w:rPr>
        <w:t xml:space="preserve">:  </w:t>
      </w:r>
      <w:r w:rsidR="009305CF">
        <w:rPr>
          <w:rFonts w:ascii="Calibri" w:eastAsia="Times New Roman" w:hAnsi="Calibri" w:cs="Calibri"/>
          <w:b/>
          <w:bCs/>
          <w:sz w:val="20"/>
          <w:szCs w:val="20"/>
          <w:lang w:eastAsia="en-AU"/>
        </w:rPr>
        <w:t>Economic c</w:t>
      </w:r>
      <w:r w:rsidRPr="00F6696F">
        <w:rPr>
          <w:rFonts w:ascii="Calibri" w:eastAsia="Times New Roman" w:hAnsi="Calibri" w:cs="Calibri"/>
          <w:b/>
          <w:bCs/>
          <w:sz w:val="20"/>
          <w:szCs w:val="20"/>
          <w:lang w:eastAsia="en-AU"/>
        </w:rPr>
        <w:t xml:space="preserve">osts </w:t>
      </w:r>
      <w:r>
        <w:rPr>
          <w:rFonts w:ascii="Calibri" w:eastAsia="Times New Roman" w:hAnsi="Calibri" w:cs="Calibri"/>
          <w:b/>
          <w:bCs/>
          <w:sz w:val="20"/>
          <w:szCs w:val="20"/>
          <w:lang w:eastAsia="en-AU"/>
        </w:rPr>
        <w:t>assessed by category and type</w:t>
      </w:r>
    </w:p>
    <w:tbl>
      <w:tblPr>
        <w:tblW w:w="5000" w:type="pct"/>
        <w:tblBorders>
          <w:bottom w:val="single" w:sz="12" w:space="0" w:color="0093D0"/>
        </w:tblBorders>
        <w:tblLook w:val="00A0"/>
      </w:tblPr>
      <w:tblGrid>
        <w:gridCol w:w="2803"/>
        <w:gridCol w:w="5917"/>
      </w:tblGrid>
      <w:tr w:rsidR="00F6696F" w:rsidRPr="00F6696F" w:rsidTr="00EF12D3">
        <w:trPr>
          <w:trHeight w:val="492"/>
        </w:trPr>
        <w:tc>
          <w:tcPr>
            <w:tcW w:w="1607" w:type="pct"/>
            <w:tcBorders>
              <w:bottom w:val="nil"/>
            </w:tcBorders>
            <w:shd w:val="clear" w:color="auto" w:fill="0093D0"/>
            <w:vAlign w:val="center"/>
          </w:tcPr>
          <w:p w:rsidR="00F6696F" w:rsidRDefault="00F6696F" w:rsidP="00F6696F">
            <w:pPr>
              <w:keepNext/>
              <w:spacing w:before="120" w:after="120" w:line="240" w:lineRule="auto"/>
              <w:rPr>
                <w:rFonts w:ascii="Calibri" w:eastAsia="Times New Roman" w:hAnsi="Calibri" w:cs="Calibri"/>
                <w:bCs/>
                <w:color w:val="FFFFFF"/>
                <w:sz w:val="20"/>
                <w:szCs w:val="20"/>
                <w:lang w:eastAsia="en-AU"/>
              </w:rPr>
            </w:pPr>
            <w:r>
              <w:rPr>
                <w:rFonts w:ascii="Calibri" w:eastAsia="Times New Roman" w:hAnsi="Calibri" w:cs="Calibri"/>
                <w:bCs/>
                <w:color w:val="FFFFFF"/>
                <w:sz w:val="20"/>
                <w:szCs w:val="20"/>
                <w:lang w:eastAsia="en-AU"/>
              </w:rPr>
              <w:t>Category</w:t>
            </w:r>
          </w:p>
        </w:tc>
        <w:tc>
          <w:tcPr>
            <w:tcW w:w="3393" w:type="pct"/>
            <w:tcBorders>
              <w:bottom w:val="nil"/>
            </w:tcBorders>
            <w:shd w:val="clear" w:color="auto" w:fill="0093D0"/>
            <w:vAlign w:val="center"/>
          </w:tcPr>
          <w:p w:rsidR="00F6696F" w:rsidRPr="00F6696F" w:rsidRDefault="00F6696F" w:rsidP="00F6696F">
            <w:pPr>
              <w:keepNext/>
              <w:spacing w:before="120" w:after="120" w:line="240" w:lineRule="auto"/>
              <w:rPr>
                <w:rFonts w:ascii="Calibri" w:eastAsia="Times New Roman" w:hAnsi="Calibri" w:cs="Calibri"/>
                <w:bCs/>
                <w:color w:val="FFFFFF"/>
                <w:sz w:val="20"/>
                <w:szCs w:val="20"/>
                <w:lang w:eastAsia="en-AU"/>
              </w:rPr>
            </w:pPr>
            <w:r>
              <w:rPr>
                <w:rFonts w:ascii="Calibri" w:eastAsia="Times New Roman" w:hAnsi="Calibri" w:cs="Calibri"/>
                <w:bCs/>
                <w:color w:val="FFFFFF"/>
                <w:sz w:val="20"/>
                <w:szCs w:val="20"/>
                <w:lang w:eastAsia="en-AU"/>
              </w:rPr>
              <w:t>Type</w:t>
            </w:r>
          </w:p>
        </w:tc>
      </w:tr>
      <w:tr w:rsidR="00F6696F" w:rsidRPr="00F6696F" w:rsidTr="00677804">
        <w:trPr>
          <w:trHeight w:val="2554"/>
        </w:trPr>
        <w:tc>
          <w:tcPr>
            <w:tcW w:w="1607" w:type="pct"/>
            <w:tcBorders>
              <w:bottom w:val="single" w:sz="4" w:space="0" w:color="007FD0"/>
            </w:tcBorders>
          </w:tcPr>
          <w:p w:rsidR="00F6696F" w:rsidRDefault="00F6696F" w:rsidP="00F6696F">
            <w:pPr>
              <w:keepNext/>
              <w:spacing w:before="60" w:after="60" w:line="240" w:lineRule="auto"/>
              <w:rPr>
                <w:rFonts w:ascii="Calibri" w:eastAsia="Times New Roman" w:hAnsi="Calibri" w:cs="Calibri"/>
                <w:b/>
                <w:bCs/>
                <w:sz w:val="20"/>
                <w:szCs w:val="20"/>
                <w:lang w:eastAsia="en-AU"/>
              </w:rPr>
            </w:pPr>
            <w:r>
              <w:rPr>
                <w:rFonts w:ascii="Calibri" w:eastAsia="Times New Roman" w:hAnsi="Calibri" w:cs="Calibri"/>
                <w:b/>
                <w:bCs/>
                <w:sz w:val="20"/>
                <w:szCs w:val="20"/>
                <w:lang w:eastAsia="en-AU"/>
              </w:rPr>
              <w:t>Direct market</w:t>
            </w:r>
          </w:p>
          <w:p w:rsidR="00ED34A7" w:rsidRDefault="00ED34A7" w:rsidP="00F6696F">
            <w:pPr>
              <w:keepNext/>
              <w:spacing w:before="60" w:after="60" w:line="240" w:lineRule="auto"/>
              <w:rPr>
                <w:rFonts w:ascii="Calibri" w:eastAsia="Times New Roman" w:hAnsi="Calibri" w:cs="Calibri"/>
                <w:b/>
                <w:bCs/>
                <w:sz w:val="20"/>
                <w:szCs w:val="20"/>
                <w:lang w:eastAsia="en-AU"/>
              </w:rPr>
            </w:pPr>
          </w:p>
          <w:p w:rsidR="00ED34A7" w:rsidRDefault="00ED34A7" w:rsidP="00F6696F">
            <w:pPr>
              <w:keepNext/>
              <w:spacing w:before="60" w:after="60" w:line="240" w:lineRule="auto"/>
              <w:rPr>
                <w:rFonts w:ascii="Calibri" w:eastAsia="Times New Roman" w:hAnsi="Calibri" w:cs="Calibri"/>
                <w:b/>
                <w:bCs/>
                <w:sz w:val="20"/>
                <w:szCs w:val="20"/>
                <w:lang w:eastAsia="en-AU"/>
              </w:rPr>
            </w:pPr>
          </w:p>
          <w:p w:rsidR="00ED34A7" w:rsidRDefault="00ED34A7" w:rsidP="00F6696F">
            <w:pPr>
              <w:keepNext/>
              <w:spacing w:before="60" w:after="60" w:line="240" w:lineRule="auto"/>
              <w:rPr>
                <w:rFonts w:ascii="Calibri" w:eastAsia="Times New Roman" w:hAnsi="Calibri" w:cs="Calibri"/>
                <w:b/>
                <w:bCs/>
                <w:sz w:val="20"/>
                <w:szCs w:val="20"/>
                <w:lang w:eastAsia="en-AU"/>
              </w:rPr>
            </w:pPr>
          </w:p>
          <w:p w:rsidR="00ED34A7" w:rsidRDefault="00ED34A7" w:rsidP="00F6696F">
            <w:pPr>
              <w:keepNext/>
              <w:spacing w:before="60" w:after="60" w:line="240" w:lineRule="auto"/>
              <w:rPr>
                <w:rFonts w:ascii="Calibri" w:eastAsia="Times New Roman" w:hAnsi="Calibri" w:cs="Calibri"/>
                <w:b/>
                <w:bCs/>
                <w:sz w:val="20"/>
                <w:szCs w:val="20"/>
                <w:lang w:eastAsia="en-AU"/>
              </w:rPr>
            </w:pPr>
          </w:p>
          <w:p w:rsidR="00ED34A7" w:rsidRDefault="00ED34A7" w:rsidP="00F6696F">
            <w:pPr>
              <w:keepNext/>
              <w:spacing w:before="60" w:after="60" w:line="240" w:lineRule="auto"/>
              <w:rPr>
                <w:rFonts w:ascii="Calibri" w:eastAsia="Times New Roman" w:hAnsi="Calibri" w:cs="Calibri"/>
                <w:b/>
                <w:bCs/>
                <w:sz w:val="20"/>
                <w:szCs w:val="20"/>
                <w:lang w:eastAsia="en-AU"/>
              </w:rPr>
            </w:pPr>
          </w:p>
          <w:p w:rsidR="00ED34A7" w:rsidRDefault="00ED34A7" w:rsidP="00F6696F">
            <w:pPr>
              <w:keepNext/>
              <w:spacing w:before="60" w:after="60" w:line="240" w:lineRule="auto"/>
              <w:rPr>
                <w:rFonts w:ascii="Calibri" w:eastAsia="Times New Roman" w:hAnsi="Calibri" w:cs="Calibri"/>
                <w:b/>
                <w:bCs/>
                <w:sz w:val="20"/>
                <w:szCs w:val="20"/>
                <w:lang w:eastAsia="en-AU"/>
              </w:rPr>
            </w:pPr>
          </w:p>
          <w:p w:rsidR="00ED34A7" w:rsidRPr="00F6696F" w:rsidRDefault="00ED34A7" w:rsidP="00F6696F">
            <w:pPr>
              <w:keepNext/>
              <w:spacing w:before="60" w:after="60" w:line="240" w:lineRule="auto"/>
              <w:rPr>
                <w:rFonts w:ascii="Calibri" w:eastAsia="Times New Roman" w:hAnsi="Calibri" w:cs="Calibri"/>
                <w:b/>
                <w:bCs/>
                <w:sz w:val="20"/>
                <w:szCs w:val="20"/>
                <w:lang w:eastAsia="en-AU"/>
              </w:rPr>
            </w:pPr>
          </w:p>
        </w:tc>
        <w:tc>
          <w:tcPr>
            <w:tcW w:w="3393" w:type="pct"/>
            <w:tcBorders>
              <w:bottom w:val="single" w:sz="4" w:space="0" w:color="007FD0"/>
            </w:tcBorders>
          </w:tcPr>
          <w:p w:rsidR="00F6696F" w:rsidRDefault="00AF4AEB" w:rsidP="00F6696F">
            <w:pPr>
              <w:keepNext/>
              <w:spacing w:before="60" w:after="60" w:line="240" w:lineRule="auto"/>
              <w:rPr>
                <w:rFonts w:ascii="Calibri" w:eastAsia="Times New Roman" w:hAnsi="Calibri" w:cs="Calibri"/>
                <w:b/>
                <w:bCs/>
                <w:sz w:val="20"/>
                <w:szCs w:val="20"/>
                <w:lang w:eastAsia="en-AU"/>
              </w:rPr>
            </w:pPr>
            <w:r>
              <w:rPr>
                <w:rFonts w:ascii="Calibri" w:eastAsia="Times New Roman" w:hAnsi="Calibri" w:cs="Calibri"/>
                <w:b/>
                <w:bCs/>
                <w:sz w:val="20"/>
                <w:szCs w:val="20"/>
                <w:lang w:eastAsia="en-AU"/>
              </w:rPr>
              <w:t>Treatment costs</w:t>
            </w:r>
          </w:p>
          <w:p w:rsidR="00D67FB6" w:rsidRPr="00F6696F" w:rsidRDefault="00D67FB6" w:rsidP="00F6696F">
            <w:pPr>
              <w:keepNext/>
              <w:spacing w:before="60" w:after="60" w:line="240" w:lineRule="auto"/>
              <w:rPr>
                <w:rFonts w:ascii="Calibri" w:eastAsia="Times New Roman" w:hAnsi="Calibri" w:cs="Calibri"/>
                <w:b/>
                <w:bCs/>
                <w:sz w:val="20"/>
                <w:szCs w:val="20"/>
                <w:lang w:eastAsia="en-AU"/>
              </w:rPr>
            </w:pPr>
            <w:r>
              <w:rPr>
                <w:rFonts w:ascii="Calibri" w:eastAsia="Times New Roman" w:hAnsi="Calibri" w:cs="Calibri"/>
                <w:b/>
                <w:bCs/>
                <w:sz w:val="20"/>
                <w:szCs w:val="20"/>
                <w:lang w:eastAsia="en-AU"/>
              </w:rPr>
              <w:t>Transport costs</w:t>
            </w:r>
          </w:p>
          <w:p w:rsidR="00D67FB6" w:rsidRPr="00D67FB6" w:rsidRDefault="00D67FB6" w:rsidP="00D67FB6">
            <w:pPr>
              <w:keepNext/>
              <w:spacing w:before="60" w:after="60" w:line="240" w:lineRule="auto"/>
              <w:rPr>
                <w:rFonts w:ascii="Calibri" w:eastAsia="Times New Roman" w:hAnsi="Calibri" w:cs="Calibri"/>
                <w:b/>
                <w:bCs/>
                <w:sz w:val="20"/>
                <w:szCs w:val="20"/>
                <w:lang w:eastAsia="en-AU"/>
              </w:rPr>
            </w:pPr>
            <w:r>
              <w:rPr>
                <w:rFonts w:ascii="Calibri" w:eastAsia="Times New Roman" w:hAnsi="Calibri" w:cs="Calibri"/>
                <w:b/>
                <w:bCs/>
                <w:sz w:val="20"/>
                <w:szCs w:val="20"/>
                <w:lang w:eastAsia="en-AU"/>
              </w:rPr>
              <w:t xml:space="preserve">Disposal </w:t>
            </w:r>
            <w:r w:rsidR="00AF4AEB">
              <w:rPr>
                <w:rFonts w:ascii="Calibri" w:eastAsia="Times New Roman" w:hAnsi="Calibri" w:cs="Calibri"/>
                <w:b/>
                <w:bCs/>
                <w:sz w:val="20"/>
                <w:szCs w:val="20"/>
                <w:lang w:eastAsia="en-AU"/>
              </w:rPr>
              <w:t>costs</w:t>
            </w:r>
          </w:p>
          <w:p w:rsidR="00F6696F" w:rsidRDefault="00AF4AEB" w:rsidP="00AF4AEB">
            <w:pPr>
              <w:keepNext/>
              <w:numPr>
                <w:ilvl w:val="0"/>
                <w:numId w:val="11"/>
              </w:numPr>
              <w:tabs>
                <w:tab w:val="left" w:pos="284"/>
              </w:tabs>
              <w:spacing w:before="60" w:after="60" w:line="240" w:lineRule="auto"/>
              <w:ind w:hanging="644"/>
              <w:rPr>
                <w:rFonts w:ascii="Calibri" w:eastAsia="Times New Roman" w:hAnsi="Calibri" w:cs="Calibri"/>
                <w:sz w:val="20"/>
                <w:szCs w:val="20"/>
                <w:lang w:eastAsia="en-AU"/>
              </w:rPr>
            </w:pPr>
            <w:r>
              <w:rPr>
                <w:rFonts w:ascii="Calibri" w:eastAsia="Times New Roman" w:hAnsi="Calibri" w:cs="Calibri"/>
                <w:sz w:val="20"/>
                <w:szCs w:val="20"/>
                <w:lang w:eastAsia="en-AU"/>
              </w:rPr>
              <w:t>Disposal to landfill</w:t>
            </w:r>
          </w:p>
          <w:p w:rsidR="00AF4AEB" w:rsidRDefault="00AF4AEB" w:rsidP="00AF4AEB">
            <w:pPr>
              <w:keepNext/>
              <w:numPr>
                <w:ilvl w:val="0"/>
                <w:numId w:val="11"/>
              </w:numPr>
              <w:tabs>
                <w:tab w:val="left" w:pos="284"/>
              </w:tabs>
              <w:spacing w:before="60" w:after="60" w:line="240" w:lineRule="auto"/>
              <w:ind w:hanging="644"/>
              <w:rPr>
                <w:rFonts w:ascii="Calibri" w:eastAsia="Times New Roman" w:hAnsi="Calibri" w:cs="Calibri"/>
                <w:sz w:val="20"/>
                <w:szCs w:val="20"/>
                <w:lang w:eastAsia="en-AU"/>
              </w:rPr>
            </w:pPr>
            <w:r>
              <w:rPr>
                <w:rFonts w:ascii="Calibri" w:eastAsia="Times New Roman" w:hAnsi="Calibri" w:cs="Calibri"/>
                <w:sz w:val="20"/>
                <w:szCs w:val="20"/>
                <w:lang w:eastAsia="en-AU"/>
              </w:rPr>
              <w:t>Recycle</w:t>
            </w:r>
          </w:p>
          <w:p w:rsidR="00AF4AEB" w:rsidRDefault="00AF4AEB" w:rsidP="00AF4AEB">
            <w:pPr>
              <w:keepNext/>
              <w:numPr>
                <w:ilvl w:val="0"/>
                <w:numId w:val="11"/>
              </w:numPr>
              <w:tabs>
                <w:tab w:val="left" w:pos="284"/>
              </w:tabs>
              <w:spacing w:before="60" w:after="60" w:line="240" w:lineRule="auto"/>
              <w:ind w:hanging="644"/>
              <w:rPr>
                <w:rFonts w:ascii="Calibri" w:eastAsia="Times New Roman" w:hAnsi="Calibri" w:cs="Calibri"/>
                <w:sz w:val="20"/>
                <w:szCs w:val="20"/>
                <w:lang w:eastAsia="en-AU"/>
              </w:rPr>
            </w:pPr>
            <w:r>
              <w:rPr>
                <w:rFonts w:ascii="Calibri" w:eastAsia="Times New Roman" w:hAnsi="Calibri" w:cs="Calibri"/>
                <w:sz w:val="20"/>
                <w:szCs w:val="20"/>
                <w:lang w:eastAsia="en-AU"/>
              </w:rPr>
              <w:t>Reuse</w:t>
            </w:r>
          </w:p>
          <w:p w:rsidR="00AF4AEB" w:rsidRDefault="00487083" w:rsidP="00AF4AEB">
            <w:pPr>
              <w:keepNext/>
              <w:numPr>
                <w:ilvl w:val="0"/>
                <w:numId w:val="11"/>
              </w:numPr>
              <w:tabs>
                <w:tab w:val="left" w:pos="284"/>
              </w:tabs>
              <w:spacing w:before="60" w:after="60" w:line="240" w:lineRule="auto"/>
              <w:ind w:hanging="644"/>
              <w:rPr>
                <w:rFonts w:ascii="Calibri" w:eastAsia="Times New Roman" w:hAnsi="Calibri" w:cs="Calibri"/>
                <w:sz w:val="20"/>
                <w:szCs w:val="20"/>
                <w:lang w:eastAsia="en-AU"/>
              </w:rPr>
            </w:pPr>
            <w:r>
              <w:rPr>
                <w:rFonts w:ascii="Calibri" w:eastAsia="Times New Roman" w:hAnsi="Calibri" w:cs="Calibri"/>
                <w:sz w:val="20"/>
                <w:szCs w:val="20"/>
                <w:lang w:eastAsia="en-AU"/>
              </w:rPr>
              <w:t>E</w:t>
            </w:r>
            <w:r w:rsidR="00AF4AEB">
              <w:rPr>
                <w:rFonts w:ascii="Calibri" w:eastAsia="Times New Roman" w:hAnsi="Calibri" w:cs="Calibri"/>
                <w:sz w:val="20"/>
                <w:szCs w:val="20"/>
                <w:lang w:eastAsia="en-AU"/>
              </w:rPr>
              <w:t>nergy recovery</w:t>
            </w:r>
          </w:p>
          <w:p w:rsidR="00ED34A7" w:rsidRPr="00677804" w:rsidRDefault="00AF4AEB" w:rsidP="00677804">
            <w:pPr>
              <w:keepNext/>
              <w:numPr>
                <w:ilvl w:val="0"/>
                <w:numId w:val="11"/>
              </w:numPr>
              <w:tabs>
                <w:tab w:val="left" w:pos="284"/>
              </w:tabs>
              <w:spacing w:before="60" w:after="60" w:line="240" w:lineRule="auto"/>
              <w:ind w:hanging="644"/>
              <w:rPr>
                <w:rFonts w:ascii="Calibri" w:eastAsia="Times New Roman" w:hAnsi="Calibri" w:cs="Calibri"/>
                <w:sz w:val="20"/>
                <w:szCs w:val="20"/>
                <w:lang w:eastAsia="en-AU"/>
              </w:rPr>
            </w:pPr>
            <w:r>
              <w:rPr>
                <w:rFonts w:ascii="Calibri" w:eastAsia="Times New Roman" w:hAnsi="Calibri" w:cs="Calibri"/>
                <w:sz w:val="20"/>
                <w:szCs w:val="20"/>
                <w:lang w:eastAsia="en-AU"/>
              </w:rPr>
              <w:t>Storage</w:t>
            </w:r>
          </w:p>
        </w:tc>
      </w:tr>
      <w:tr w:rsidR="00ED34A7" w:rsidRPr="00F6696F" w:rsidTr="00EF12D3">
        <w:trPr>
          <w:trHeight w:val="2554"/>
        </w:trPr>
        <w:tc>
          <w:tcPr>
            <w:tcW w:w="1607" w:type="pct"/>
            <w:tcBorders>
              <w:top w:val="single" w:sz="4" w:space="0" w:color="007FD0"/>
              <w:bottom w:val="single" w:sz="12" w:space="0" w:color="007FD0"/>
            </w:tcBorders>
          </w:tcPr>
          <w:p w:rsidR="00ED34A7" w:rsidRDefault="00ED34A7" w:rsidP="00F6696F">
            <w:pPr>
              <w:keepNext/>
              <w:spacing w:before="60" w:after="60" w:line="240" w:lineRule="auto"/>
              <w:rPr>
                <w:rFonts w:ascii="Calibri" w:eastAsia="Times New Roman" w:hAnsi="Calibri" w:cs="Calibri"/>
                <w:b/>
                <w:bCs/>
                <w:sz w:val="20"/>
                <w:szCs w:val="20"/>
                <w:lang w:eastAsia="en-AU"/>
              </w:rPr>
            </w:pPr>
            <w:r>
              <w:rPr>
                <w:rFonts w:ascii="Calibri" w:eastAsia="Times New Roman" w:hAnsi="Calibri" w:cs="Calibri"/>
                <w:b/>
                <w:bCs/>
                <w:sz w:val="20"/>
                <w:szCs w:val="20"/>
                <w:lang w:eastAsia="en-AU"/>
              </w:rPr>
              <w:t>Indirect and non-market</w:t>
            </w:r>
          </w:p>
        </w:tc>
        <w:tc>
          <w:tcPr>
            <w:tcW w:w="3393" w:type="pct"/>
            <w:tcBorders>
              <w:top w:val="single" w:sz="4" w:space="0" w:color="007FD0"/>
              <w:bottom w:val="single" w:sz="12" w:space="0" w:color="007FD0"/>
            </w:tcBorders>
          </w:tcPr>
          <w:p w:rsidR="00ED34A7" w:rsidRPr="00ED34A7" w:rsidRDefault="00ED34A7" w:rsidP="00ED34A7">
            <w:pPr>
              <w:keepNext/>
              <w:tabs>
                <w:tab w:val="left" w:pos="284"/>
              </w:tabs>
              <w:spacing w:before="60" w:after="60" w:line="240" w:lineRule="auto"/>
              <w:rPr>
                <w:rFonts w:ascii="Calibri" w:eastAsia="Times New Roman" w:hAnsi="Calibri" w:cs="Calibri"/>
                <w:b/>
                <w:sz w:val="20"/>
                <w:szCs w:val="20"/>
                <w:lang w:eastAsia="en-AU"/>
              </w:rPr>
            </w:pPr>
            <w:r>
              <w:rPr>
                <w:rFonts w:ascii="Calibri" w:eastAsia="Times New Roman" w:hAnsi="Calibri" w:cs="Calibri"/>
                <w:b/>
                <w:sz w:val="20"/>
                <w:szCs w:val="20"/>
                <w:lang w:eastAsia="en-AU"/>
              </w:rPr>
              <w:t>Government r</w:t>
            </w:r>
            <w:r w:rsidRPr="00ED34A7">
              <w:rPr>
                <w:rFonts w:ascii="Calibri" w:eastAsia="Times New Roman" w:hAnsi="Calibri" w:cs="Calibri"/>
                <w:b/>
                <w:sz w:val="20"/>
                <w:szCs w:val="20"/>
                <w:lang w:eastAsia="en-AU"/>
              </w:rPr>
              <w:t>egulatory costs</w:t>
            </w:r>
          </w:p>
          <w:p w:rsidR="00ED34A7" w:rsidRDefault="00ED34A7" w:rsidP="00ED34A7">
            <w:pPr>
              <w:keepNext/>
              <w:numPr>
                <w:ilvl w:val="0"/>
                <w:numId w:val="11"/>
              </w:numPr>
              <w:tabs>
                <w:tab w:val="left" w:pos="284"/>
              </w:tabs>
              <w:spacing w:before="60" w:after="60" w:line="240" w:lineRule="auto"/>
              <w:ind w:hanging="644"/>
              <w:rPr>
                <w:rFonts w:ascii="Calibri" w:eastAsia="Times New Roman" w:hAnsi="Calibri" w:cs="Calibri"/>
                <w:sz w:val="20"/>
                <w:szCs w:val="20"/>
                <w:lang w:eastAsia="en-AU"/>
              </w:rPr>
            </w:pPr>
            <w:r>
              <w:rPr>
                <w:rFonts w:ascii="Calibri" w:eastAsia="Times New Roman" w:hAnsi="Calibri" w:cs="Calibri"/>
                <w:sz w:val="20"/>
                <w:szCs w:val="20"/>
                <w:lang w:eastAsia="en-AU"/>
              </w:rPr>
              <w:t>Data monitoring and reporting</w:t>
            </w:r>
          </w:p>
          <w:p w:rsidR="00ED34A7" w:rsidRDefault="00ED34A7" w:rsidP="00ED34A7">
            <w:pPr>
              <w:keepNext/>
              <w:numPr>
                <w:ilvl w:val="0"/>
                <w:numId w:val="11"/>
              </w:numPr>
              <w:tabs>
                <w:tab w:val="left" w:pos="284"/>
              </w:tabs>
              <w:spacing w:before="60" w:after="60" w:line="240" w:lineRule="auto"/>
              <w:ind w:hanging="644"/>
              <w:rPr>
                <w:rFonts w:ascii="Calibri" w:eastAsia="Times New Roman" w:hAnsi="Calibri" w:cs="Calibri"/>
                <w:sz w:val="20"/>
                <w:szCs w:val="20"/>
                <w:lang w:eastAsia="en-AU"/>
              </w:rPr>
            </w:pPr>
            <w:r>
              <w:rPr>
                <w:rFonts w:ascii="Calibri" w:eastAsia="Times New Roman" w:hAnsi="Calibri" w:cs="Calibri"/>
                <w:sz w:val="20"/>
                <w:szCs w:val="20"/>
                <w:lang w:eastAsia="en-AU"/>
              </w:rPr>
              <w:t>Other regulatory including approvals, licensing, site inspection, audits etc.</w:t>
            </w:r>
          </w:p>
          <w:p w:rsidR="00ED34A7" w:rsidRPr="00ED34A7" w:rsidRDefault="00ED34A7" w:rsidP="00ED34A7">
            <w:pPr>
              <w:keepNext/>
              <w:tabs>
                <w:tab w:val="left" w:pos="284"/>
              </w:tabs>
              <w:spacing w:before="60" w:after="60" w:line="240" w:lineRule="auto"/>
              <w:rPr>
                <w:rFonts w:ascii="Calibri" w:eastAsia="Times New Roman" w:hAnsi="Calibri" w:cs="Calibri"/>
                <w:b/>
                <w:sz w:val="20"/>
                <w:szCs w:val="20"/>
                <w:lang w:eastAsia="en-AU"/>
              </w:rPr>
            </w:pPr>
            <w:r w:rsidRPr="00ED34A7">
              <w:rPr>
                <w:rFonts w:ascii="Calibri" w:eastAsia="Times New Roman" w:hAnsi="Calibri" w:cs="Calibri"/>
                <w:b/>
                <w:sz w:val="20"/>
                <w:szCs w:val="20"/>
                <w:lang w:eastAsia="en-AU"/>
              </w:rPr>
              <w:t xml:space="preserve">Workplace injury and illness </w:t>
            </w:r>
          </w:p>
          <w:p w:rsidR="00ED34A7" w:rsidRPr="00ED34A7" w:rsidRDefault="00ED34A7" w:rsidP="00ED34A7">
            <w:pPr>
              <w:keepNext/>
              <w:numPr>
                <w:ilvl w:val="0"/>
                <w:numId w:val="11"/>
              </w:numPr>
              <w:tabs>
                <w:tab w:val="left" w:pos="284"/>
              </w:tabs>
              <w:spacing w:before="60" w:after="60" w:line="240" w:lineRule="auto"/>
              <w:ind w:hanging="644"/>
              <w:rPr>
                <w:rFonts w:ascii="Calibri" w:eastAsia="Times New Roman" w:hAnsi="Calibri" w:cs="Calibri"/>
                <w:b/>
                <w:bCs/>
                <w:sz w:val="20"/>
                <w:szCs w:val="20"/>
                <w:lang w:eastAsia="en-AU"/>
              </w:rPr>
            </w:pPr>
            <w:r>
              <w:rPr>
                <w:rFonts w:ascii="Calibri" w:eastAsia="Times New Roman" w:hAnsi="Calibri" w:cs="Calibri"/>
                <w:sz w:val="20"/>
                <w:szCs w:val="20"/>
                <w:lang w:eastAsia="en-AU"/>
              </w:rPr>
              <w:t>Injury and illness associated with handling of hazardous wastes</w:t>
            </w:r>
          </w:p>
          <w:p w:rsidR="00ED34A7" w:rsidRDefault="00ED34A7" w:rsidP="00ED34A7">
            <w:pPr>
              <w:keepNext/>
              <w:tabs>
                <w:tab w:val="left" w:pos="284"/>
              </w:tabs>
              <w:spacing w:before="60" w:after="60" w:line="240" w:lineRule="auto"/>
              <w:rPr>
                <w:rFonts w:ascii="Calibri" w:eastAsia="Times New Roman" w:hAnsi="Calibri" w:cs="Calibri"/>
                <w:b/>
                <w:bCs/>
                <w:sz w:val="20"/>
                <w:szCs w:val="20"/>
                <w:lang w:eastAsia="en-AU"/>
              </w:rPr>
            </w:pPr>
            <w:r>
              <w:rPr>
                <w:rFonts w:ascii="Calibri" w:eastAsia="Times New Roman" w:hAnsi="Calibri" w:cs="Calibri"/>
                <w:b/>
                <w:bCs/>
                <w:sz w:val="20"/>
                <w:szCs w:val="20"/>
                <w:lang w:eastAsia="en-AU"/>
              </w:rPr>
              <w:t>Residual landfill costs</w:t>
            </w:r>
          </w:p>
          <w:p w:rsidR="00ED34A7" w:rsidRPr="00810CA7" w:rsidRDefault="00810CA7" w:rsidP="00ED34A7">
            <w:pPr>
              <w:keepNext/>
              <w:numPr>
                <w:ilvl w:val="0"/>
                <w:numId w:val="11"/>
              </w:numPr>
              <w:tabs>
                <w:tab w:val="left" w:pos="284"/>
              </w:tabs>
              <w:spacing w:before="60" w:after="60" w:line="240" w:lineRule="auto"/>
              <w:ind w:left="318" w:hanging="318"/>
              <w:rPr>
                <w:rFonts w:ascii="Calibri" w:eastAsia="Times New Roman" w:hAnsi="Calibri" w:cs="Calibri"/>
                <w:b/>
                <w:bCs/>
                <w:sz w:val="20"/>
                <w:szCs w:val="20"/>
                <w:lang w:eastAsia="en-AU"/>
              </w:rPr>
            </w:pPr>
            <w:r>
              <w:rPr>
                <w:rFonts w:ascii="Calibri" w:eastAsia="Times New Roman" w:hAnsi="Calibri" w:cs="Calibri"/>
                <w:bCs/>
                <w:sz w:val="20"/>
                <w:szCs w:val="20"/>
                <w:lang w:eastAsia="en-AU"/>
              </w:rPr>
              <w:t>Greenhouse gas emissions</w:t>
            </w:r>
          </w:p>
          <w:p w:rsidR="00810CA7" w:rsidRPr="00810CA7" w:rsidRDefault="00810CA7" w:rsidP="00ED34A7">
            <w:pPr>
              <w:keepNext/>
              <w:numPr>
                <w:ilvl w:val="0"/>
                <w:numId w:val="11"/>
              </w:numPr>
              <w:tabs>
                <w:tab w:val="left" w:pos="284"/>
              </w:tabs>
              <w:spacing w:before="60" w:after="60" w:line="240" w:lineRule="auto"/>
              <w:ind w:left="318" w:hanging="318"/>
              <w:rPr>
                <w:rFonts w:ascii="Calibri" w:eastAsia="Times New Roman" w:hAnsi="Calibri" w:cs="Calibri"/>
                <w:b/>
                <w:bCs/>
                <w:sz w:val="20"/>
                <w:szCs w:val="20"/>
                <w:lang w:eastAsia="en-AU"/>
              </w:rPr>
            </w:pPr>
            <w:r>
              <w:rPr>
                <w:rFonts w:ascii="Calibri" w:eastAsia="Times New Roman" w:hAnsi="Calibri" w:cs="Calibri"/>
                <w:bCs/>
                <w:sz w:val="20"/>
                <w:szCs w:val="20"/>
                <w:lang w:eastAsia="en-AU"/>
              </w:rPr>
              <w:t>Other air pollutants</w:t>
            </w:r>
          </w:p>
          <w:p w:rsidR="00810CA7" w:rsidRPr="00810CA7" w:rsidRDefault="00810CA7" w:rsidP="00ED34A7">
            <w:pPr>
              <w:keepNext/>
              <w:numPr>
                <w:ilvl w:val="0"/>
                <w:numId w:val="11"/>
              </w:numPr>
              <w:tabs>
                <w:tab w:val="left" w:pos="284"/>
              </w:tabs>
              <w:spacing w:before="60" w:after="60" w:line="240" w:lineRule="auto"/>
              <w:ind w:left="318" w:hanging="318"/>
              <w:rPr>
                <w:rFonts w:ascii="Calibri" w:eastAsia="Times New Roman" w:hAnsi="Calibri" w:cs="Calibri"/>
                <w:b/>
                <w:bCs/>
                <w:sz w:val="20"/>
                <w:szCs w:val="20"/>
                <w:lang w:eastAsia="en-AU"/>
              </w:rPr>
            </w:pPr>
            <w:r>
              <w:rPr>
                <w:rFonts w:ascii="Calibri" w:eastAsia="Times New Roman" w:hAnsi="Calibri" w:cs="Calibri"/>
                <w:bCs/>
                <w:sz w:val="20"/>
                <w:szCs w:val="20"/>
                <w:lang w:eastAsia="en-AU"/>
              </w:rPr>
              <w:t>Leachate</w:t>
            </w:r>
          </w:p>
          <w:p w:rsidR="00810CA7" w:rsidRPr="00ED34A7" w:rsidRDefault="00810CA7" w:rsidP="00ED34A7">
            <w:pPr>
              <w:keepNext/>
              <w:numPr>
                <w:ilvl w:val="0"/>
                <w:numId w:val="11"/>
              </w:numPr>
              <w:tabs>
                <w:tab w:val="left" w:pos="284"/>
              </w:tabs>
              <w:spacing w:before="60" w:after="60" w:line="240" w:lineRule="auto"/>
              <w:ind w:left="318" w:hanging="318"/>
              <w:rPr>
                <w:rFonts w:ascii="Calibri" w:eastAsia="Times New Roman" w:hAnsi="Calibri" w:cs="Calibri"/>
                <w:b/>
                <w:bCs/>
                <w:sz w:val="20"/>
                <w:szCs w:val="20"/>
                <w:lang w:eastAsia="en-AU"/>
              </w:rPr>
            </w:pPr>
            <w:proofErr w:type="spellStart"/>
            <w:r>
              <w:rPr>
                <w:rFonts w:ascii="Calibri" w:eastAsia="Times New Roman" w:hAnsi="Calibri" w:cs="Calibri"/>
                <w:bCs/>
                <w:sz w:val="20"/>
                <w:szCs w:val="20"/>
                <w:lang w:eastAsia="en-AU"/>
              </w:rPr>
              <w:t>Disamenity</w:t>
            </w:r>
            <w:proofErr w:type="spellEnd"/>
          </w:p>
        </w:tc>
      </w:tr>
    </w:tbl>
    <w:p w:rsidR="00F51B77" w:rsidRDefault="00F51B77" w:rsidP="00A82A68">
      <w:pPr>
        <w:pStyle w:val="MJAheading3"/>
        <w:ind w:hanging="1080"/>
      </w:pPr>
      <w:bookmarkStart w:id="6" w:name="_Ref391677109"/>
      <w:r>
        <w:t>Limitations</w:t>
      </w:r>
      <w:r w:rsidR="00F1071B">
        <w:t xml:space="preserve"> of analysis</w:t>
      </w:r>
      <w:bookmarkEnd w:id="6"/>
    </w:p>
    <w:p w:rsidR="00767BC4" w:rsidRPr="00767BC4" w:rsidRDefault="00767BC4" w:rsidP="00767BC4">
      <w:pPr>
        <w:pStyle w:val="MJAheading4"/>
      </w:pPr>
      <w:r>
        <w:t>Unquantified costs</w:t>
      </w:r>
    </w:p>
    <w:p w:rsidR="00947897" w:rsidRDefault="00486DA4" w:rsidP="00897CE5">
      <w:pPr>
        <w:pStyle w:val="MJAnormal"/>
      </w:pPr>
      <w:r>
        <w:t xml:space="preserve">The focus of the cost assessment is on hazardous wastes that are tracked by </w:t>
      </w:r>
      <w:r w:rsidR="004E4292">
        <w:t>te</w:t>
      </w:r>
      <w:r w:rsidR="0029340C">
        <w:t xml:space="preserve">rritory and state data systems </w:t>
      </w:r>
      <w:r w:rsidR="004E4292">
        <w:t>and limited to</w:t>
      </w:r>
      <w:r w:rsidR="00947897">
        <w:t xml:space="preserve"> extant hazardous waste data</w:t>
      </w:r>
      <w:r w:rsidR="007801F1">
        <w:t xml:space="preserve">.  </w:t>
      </w:r>
      <w:r w:rsidR="00077F6E">
        <w:t>While</w:t>
      </w:r>
      <w:r w:rsidR="00077F6E" w:rsidRPr="00077F6E">
        <w:t xml:space="preserve"> </w:t>
      </w:r>
      <w:r w:rsidR="00077F6E">
        <w:t>estimates of hazardous wastes and associated costs have been</w:t>
      </w:r>
      <w:r w:rsidR="00077F6E" w:rsidRPr="00077F6E">
        <w:t xml:space="preserve"> adjusted to account for </w:t>
      </w:r>
      <w:r w:rsidR="002F633A">
        <w:t xml:space="preserve">some </w:t>
      </w:r>
      <w:r w:rsidR="00077F6E" w:rsidRPr="00077F6E">
        <w:t xml:space="preserve">non-tracked wastes, </w:t>
      </w:r>
      <w:r w:rsidR="00AB1F8E">
        <w:t xml:space="preserve">costs associated with </w:t>
      </w:r>
      <w:r w:rsidR="00077F6E" w:rsidRPr="00077F6E">
        <w:t xml:space="preserve">material </w:t>
      </w:r>
      <w:r w:rsidR="00077F6E">
        <w:t xml:space="preserve">that is not tracked are not </w:t>
      </w:r>
      <w:r w:rsidR="00947897">
        <w:t xml:space="preserve">covered </w:t>
      </w:r>
      <w:r w:rsidR="00077F6E" w:rsidRPr="00077F6E">
        <w:t>in the estimate.</w:t>
      </w:r>
      <w:r w:rsidR="00077F6E">
        <w:t xml:space="preserve"> </w:t>
      </w:r>
      <w:r w:rsidR="002F633A">
        <w:t xml:space="preserve"> Excluded are some wastes that are small in volume, </w:t>
      </w:r>
      <w:r w:rsidR="00AB1F8E">
        <w:t>and unlikely to have significant costs:</w:t>
      </w:r>
    </w:p>
    <w:p w:rsidR="00077F6E" w:rsidRDefault="00077F6E" w:rsidP="00077F6E">
      <w:pPr>
        <w:pStyle w:val="MJAbulletnormal"/>
        <w:numPr>
          <w:ilvl w:val="0"/>
          <w:numId w:val="2"/>
        </w:numPr>
        <w:rPr>
          <w:szCs w:val="20"/>
        </w:rPr>
      </w:pPr>
      <w:r>
        <w:rPr>
          <w:szCs w:val="20"/>
        </w:rPr>
        <w:t xml:space="preserve">Costs of waste generated and disposed on-site, </w:t>
      </w:r>
      <w:r w:rsidRPr="00077F6E">
        <w:rPr>
          <w:szCs w:val="20"/>
        </w:rPr>
        <w:t xml:space="preserve">for example </w:t>
      </w:r>
      <w:r>
        <w:rPr>
          <w:szCs w:val="20"/>
        </w:rPr>
        <w:t>some hospital clinical waste.</w:t>
      </w:r>
    </w:p>
    <w:p w:rsidR="0049735A" w:rsidRPr="00077F6E" w:rsidRDefault="0049735A" w:rsidP="00920E30">
      <w:pPr>
        <w:pStyle w:val="MJAbulletnormal"/>
        <w:numPr>
          <w:ilvl w:val="0"/>
          <w:numId w:val="2"/>
        </w:numPr>
        <w:rPr>
          <w:szCs w:val="20"/>
        </w:rPr>
      </w:pPr>
      <w:r w:rsidRPr="00077F6E">
        <w:rPr>
          <w:szCs w:val="20"/>
        </w:rPr>
        <w:t xml:space="preserve">Costs of wastes that </w:t>
      </w:r>
      <w:r w:rsidR="00077F6E" w:rsidRPr="00077F6E">
        <w:rPr>
          <w:szCs w:val="20"/>
        </w:rPr>
        <w:t xml:space="preserve">have </w:t>
      </w:r>
      <w:r w:rsidRPr="00077F6E">
        <w:rPr>
          <w:szCs w:val="20"/>
        </w:rPr>
        <w:t xml:space="preserve">been illegally disposed.  </w:t>
      </w:r>
    </w:p>
    <w:p w:rsidR="007748C6" w:rsidRPr="00AB1F8E" w:rsidRDefault="0049735A" w:rsidP="00AB1F8E">
      <w:pPr>
        <w:pStyle w:val="MJAbulletnormal"/>
        <w:numPr>
          <w:ilvl w:val="0"/>
          <w:numId w:val="2"/>
        </w:numPr>
        <w:rPr>
          <w:szCs w:val="20"/>
        </w:rPr>
      </w:pPr>
      <w:r w:rsidRPr="00077F6E">
        <w:rPr>
          <w:szCs w:val="20"/>
        </w:rPr>
        <w:t>Costs of hazardous wastes disposed by households.</w:t>
      </w:r>
    </w:p>
    <w:p w:rsidR="00AB1F8E" w:rsidRDefault="00AB1F8E" w:rsidP="00AB1F8E">
      <w:pPr>
        <w:pStyle w:val="MJAnormal"/>
      </w:pPr>
      <w:r>
        <w:t>Other excluded wastes are likely to more substantial though, including:</w:t>
      </w:r>
    </w:p>
    <w:p w:rsidR="00AB1F8E" w:rsidRDefault="00AB1F8E" w:rsidP="00897CE5">
      <w:pPr>
        <w:pStyle w:val="MJAbulletnormal"/>
        <w:numPr>
          <w:ilvl w:val="0"/>
          <w:numId w:val="2"/>
        </w:numPr>
        <w:rPr>
          <w:szCs w:val="20"/>
        </w:rPr>
      </w:pPr>
      <w:r>
        <w:rPr>
          <w:szCs w:val="20"/>
        </w:rPr>
        <w:t>Some mineral processing and combustion residues, such as the bauxite refining residue ‘red mud’ and fly ash from power stations.</w:t>
      </w:r>
    </w:p>
    <w:p w:rsidR="00AB1F8E" w:rsidRDefault="00AB1F8E" w:rsidP="00AB1F8E">
      <w:pPr>
        <w:pStyle w:val="MJAbulletnormal"/>
        <w:numPr>
          <w:ilvl w:val="0"/>
          <w:numId w:val="2"/>
        </w:numPr>
        <w:rPr>
          <w:szCs w:val="20"/>
        </w:rPr>
      </w:pPr>
      <w:r w:rsidRPr="00077F6E">
        <w:rPr>
          <w:szCs w:val="20"/>
        </w:rPr>
        <w:t>Costs of hazardous wastes treated and retained on-site</w:t>
      </w:r>
      <w:r>
        <w:rPr>
          <w:szCs w:val="20"/>
        </w:rPr>
        <w:t xml:space="preserve">, for example </w:t>
      </w:r>
      <w:r w:rsidRPr="00077F6E">
        <w:rPr>
          <w:szCs w:val="20"/>
        </w:rPr>
        <w:t>soils</w:t>
      </w:r>
      <w:r>
        <w:rPr>
          <w:szCs w:val="20"/>
        </w:rPr>
        <w:t xml:space="preserve"> contaminated with hydrocarbons</w:t>
      </w:r>
      <w:r w:rsidRPr="00077F6E">
        <w:rPr>
          <w:szCs w:val="20"/>
        </w:rPr>
        <w:t xml:space="preserve">. </w:t>
      </w:r>
    </w:p>
    <w:p w:rsidR="00077F6E" w:rsidRPr="00AB1F8E" w:rsidRDefault="00AB1F8E" w:rsidP="00AB1F8E">
      <w:pPr>
        <w:pStyle w:val="MJAnormal"/>
      </w:pPr>
      <w:r>
        <w:t>The exclusion of these wastes means that base year costs and cost projections are likely to be understated.</w:t>
      </w:r>
    </w:p>
    <w:p w:rsidR="00767BC4" w:rsidRPr="00920E30" w:rsidRDefault="00767BC4" w:rsidP="00767BC4">
      <w:pPr>
        <w:pStyle w:val="MJAheading4"/>
      </w:pPr>
      <w:r>
        <w:lastRenderedPageBreak/>
        <w:t>Data uncertainties</w:t>
      </w:r>
    </w:p>
    <w:p w:rsidR="00CE232B" w:rsidRDefault="00767BC4" w:rsidP="00767BC4">
      <w:pPr>
        <w:pStyle w:val="MJAnormal"/>
      </w:pPr>
      <w:r>
        <w:t>Assessed costs are dependent on data assumptions that underpin the variables listed in Table 2. Although considerable background analysis has gone into assigning suitable values to the variab</w:t>
      </w:r>
      <w:r w:rsidR="00CE232B">
        <w:t>les (see Section 4</w:t>
      </w:r>
      <w:r>
        <w:t>), in practice there are still uncertain</w:t>
      </w:r>
      <w:r w:rsidR="00CE232B">
        <w:t>ties around the estimated costs. The indirect and non-market costs in particular are subject to uncertainties:</w:t>
      </w:r>
    </w:p>
    <w:p w:rsidR="00CE232B" w:rsidRPr="00CE232B" w:rsidRDefault="00CE232B" w:rsidP="00CE232B">
      <w:pPr>
        <w:pStyle w:val="MJAbulletnormal"/>
        <w:numPr>
          <w:ilvl w:val="0"/>
          <w:numId w:val="2"/>
        </w:numPr>
        <w:rPr>
          <w:szCs w:val="20"/>
        </w:rPr>
      </w:pPr>
      <w:r w:rsidRPr="00CE232B">
        <w:rPr>
          <w:szCs w:val="20"/>
        </w:rPr>
        <w:t>government regulatory and administration costs due to the way in which jurisdictions assign costs to their functions;</w:t>
      </w:r>
    </w:p>
    <w:p w:rsidR="00CE232B" w:rsidRPr="00CE232B" w:rsidRDefault="00CE232B" w:rsidP="00CE232B">
      <w:pPr>
        <w:pStyle w:val="MJAbulletnormal"/>
        <w:numPr>
          <w:ilvl w:val="0"/>
          <w:numId w:val="2"/>
        </w:numPr>
        <w:rPr>
          <w:szCs w:val="20"/>
        </w:rPr>
      </w:pPr>
      <w:r w:rsidRPr="00CE232B">
        <w:rPr>
          <w:szCs w:val="20"/>
        </w:rPr>
        <w:t>workplace injury and illness costs due to the way in which workplace injury and illness data is compiled;</w:t>
      </w:r>
    </w:p>
    <w:p w:rsidR="00CE232B" w:rsidRPr="00CE232B" w:rsidRDefault="00CE232B" w:rsidP="00CE232B">
      <w:pPr>
        <w:pStyle w:val="MJAbulletnormal"/>
        <w:numPr>
          <w:ilvl w:val="0"/>
          <w:numId w:val="2"/>
        </w:numPr>
        <w:rPr>
          <w:szCs w:val="20"/>
        </w:rPr>
      </w:pPr>
      <w:proofErr w:type="gramStart"/>
      <w:r w:rsidRPr="00CE232B">
        <w:rPr>
          <w:szCs w:val="20"/>
        </w:rPr>
        <w:t>residual</w:t>
      </w:r>
      <w:proofErr w:type="gramEnd"/>
      <w:r w:rsidRPr="00CE232B">
        <w:rPr>
          <w:szCs w:val="20"/>
        </w:rPr>
        <w:t xml:space="preserve"> landfill costs due to uncertainty about the emissions factors applying to different waste categories and differences in perspective on how emissions should be costed.</w:t>
      </w:r>
    </w:p>
    <w:p w:rsidR="00767BC4" w:rsidRDefault="00CE232B" w:rsidP="00767BC4">
      <w:pPr>
        <w:pStyle w:val="MJAnormal"/>
      </w:pPr>
      <w:r>
        <w:t xml:space="preserve">Even the direct </w:t>
      </w:r>
      <w:r w:rsidR="00767BC4">
        <w:t xml:space="preserve">market </w:t>
      </w:r>
      <w:r>
        <w:t xml:space="preserve">costs </w:t>
      </w:r>
      <w:r w:rsidR="00767BC4">
        <w:t>are subject to uncertainty due, for example, to fluctuations in market values over time and differences in market values from region to region.</w:t>
      </w:r>
    </w:p>
    <w:p w:rsidR="009C3271" w:rsidRDefault="00CE232B" w:rsidP="00767BC4">
      <w:pPr>
        <w:pStyle w:val="MJAnormal"/>
      </w:pPr>
      <w:r>
        <w:t xml:space="preserve">Reflecting these uncertainties we have sought to place low-high error bands against cost estimates presented in Section 3. </w:t>
      </w:r>
    </w:p>
    <w:p w:rsidR="001B0D96" w:rsidRPr="003F64C9" w:rsidRDefault="001B0D96" w:rsidP="00767BC4">
      <w:pPr>
        <w:pStyle w:val="MJAnormal"/>
      </w:pPr>
      <w:r>
        <w:t xml:space="preserve">Cost projections are also highly uncertain due to a lack of reliable time series waste data. </w:t>
      </w:r>
    </w:p>
    <w:p w:rsidR="00721A91" w:rsidRDefault="007B51B0" w:rsidP="007B51B0">
      <w:pPr>
        <w:pStyle w:val="MJAheading2"/>
        <w:ind w:hanging="720"/>
      </w:pPr>
      <w:bookmarkStart w:id="7" w:name="_Toc391729947"/>
      <w:r>
        <w:t>Report structure</w:t>
      </w:r>
      <w:bookmarkEnd w:id="7"/>
    </w:p>
    <w:p w:rsidR="007B51B0" w:rsidRDefault="007B51B0" w:rsidP="007B51B0">
      <w:pPr>
        <w:pStyle w:val="MJAnormal"/>
      </w:pPr>
      <w:r>
        <w:t>The rest of this report is presented in three major sections:</w:t>
      </w:r>
    </w:p>
    <w:p w:rsidR="007B51B0" w:rsidRPr="007B51B0" w:rsidRDefault="007B51B0" w:rsidP="007B51B0">
      <w:pPr>
        <w:pStyle w:val="MJAbulletnormal"/>
        <w:numPr>
          <w:ilvl w:val="0"/>
          <w:numId w:val="2"/>
        </w:numPr>
        <w:rPr>
          <w:szCs w:val="20"/>
        </w:rPr>
      </w:pPr>
      <w:r w:rsidRPr="007B51B0">
        <w:rPr>
          <w:szCs w:val="20"/>
        </w:rPr>
        <w:t>Section 2 provides background information on hazardous wastes including the regulatory framework governing management of hazardous wastes in Australia.</w:t>
      </w:r>
    </w:p>
    <w:p w:rsidR="007B51B0" w:rsidRPr="007B51B0" w:rsidRDefault="007B51B0" w:rsidP="007B51B0">
      <w:pPr>
        <w:pStyle w:val="MJAbulletnormal"/>
        <w:numPr>
          <w:ilvl w:val="0"/>
          <w:numId w:val="2"/>
        </w:numPr>
        <w:rPr>
          <w:szCs w:val="20"/>
        </w:rPr>
      </w:pPr>
      <w:r w:rsidRPr="007B51B0">
        <w:rPr>
          <w:szCs w:val="20"/>
        </w:rPr>
        <w:t>Section 3 presents results of the cost analysis.</w:t>
      </w:r>
    </w:p>
    <w:p w:rsidR="007B51B0" w:rsidRPr="007B51B0" w:rsidRDefault="007B51B0" w:rsidP="007B51B0">
      <w:pPr>
        <w:pStyle w:val="MJAbulletnormal"/>
        <w:numPr>
          <w:ilvl w:val="0"/>
          <w:numId w:val="2"/>
        </w:numPr>
        <w:rPr>
          <w:szCs w:val="20"/>
        </w:rPr>
      </w:pPr>
      <w:r w:rsidRPr="007B51B0">
        <w:rPr>
          <w:szCs w:val="20"/>
        </w:rPr>
        <w:t>Section 4 details the methods and assumptions applied to assessing the costs.</w:t>
      </w:r>
    </w:p>
    <w:p w:rsidR="00B2321C" w:rsidRDefault="00B2321C" w:rsidP="003F64C9">
      <w:pPr>
        <w:pStyle w:val="MJAnormal"/>
      </w:pPr>
    </w:p>
    <w:p w:rsidR="00426980" w:rsidRDefault="00426980" w:rsidP="00426980"/>
    <w:p w:rsidR="00190809" w:rsidRDefault="00190809">
      <w:r>
        <w:br w:type="page"/>
      </w:r>
    </w:p>
    <w:p w:rsidR="00F850EA" w:rsidRDefault="00F850EA" w:rsidP="00F850EA">
      <w:pPr>
        <w:pStyle w:val="MJAheading1"/>
      </w:pPr>
      <w:bookmarkStart w:id="8" w:name="_Toc391729948"/>
      <w:r>
        <w:lastRenderedPageBreak/>
        <w:t>Background</w:t>
      </w:r>
      <w:bookmarkEnd w:id="8"/>
    </w:p>
    <w:p w:rsidR="00417375" w:rsidRDefault="00417375" w:rsidP="0061188F">
      <w:pPr>
        <w:pStyle w:val="MJAheading2"/>
        <w:ind w:hanging="720"/>
      </w:pPr>
      <w:bookmarkStart w:id="9" w:name="_Toc391729949"/>
      <w:r>
        <w:t>Hazardous waste in Australia</w:t>
      </w:r>
      <w:bookmarkEnd w:id="9"/>
    </w:p>
    <w:p w:rsidR="00417375" w:rsidRDefault="00417375" w:rsidP="00417375">
      <w:pPr>
        <w:pStyle w:val="MJAnormal"/>
      </w:pPr>
      <w:r>
        <w:t xml:space="preserve">Hazardous waste, as defined in the </w:t>
      </w:r>
      <w:r w:rsidRPr="00712B5E">
        <w:rPr>
          <w:i/>
        </w:rPr>
        <w:t>Hazardous Waste (Regulation of Exports and Imports) Act 1989</w:t>
      </w:r>
      <w:r>
        <w:t xml:space="preserve">, comprises wastes listed in Annex I </w:t>
      </w:r>
      <w:r w:rsidRPr="00A5741E">
        <w:t xml:space="preserve">to the </w:t>
      </w:r>
      <w:r w:rsidRPr="00A5741E">
        <w:rPr>
          <w:i/>
        </w:rPr>
        <w:t xml:space="preserve">Basel Convention on the Control of </w:t>
      </w:r>
      <w:proofErr w:type="spellStart"/>
      <w:r w:rsidRPr="00A5741E">
        <w:rPr>
          <w:i/>
        </w:rPr>
        <w:t>Transboundary</w:t>
      </w:r>
      <w:proofErr w:type="spellEnd"/>
      <w:r w:rsidRPr="00A5741E">
        <w:rPr>
          <w:i/>
        </w:rPr>
        <w:t xml:space="preserve"> Movements of Hazardous Wastes and their Disposal</w:t>
      </w:r>
      <w:r>
        <w:t>, including:</w:t>
      </w:r>
    </w:p>
    <w:p w:rsidR="00417375" w:rsidRPr="00A5741E" w:rsidRDefault="00417375" w:rsidP="00417375">
      <w:pPr>
        <w:pStyle w:val="MJAbulletnormal"/>
        <w:numPr>
          <w:ilvl w:val="0"/>
          <w:numId w:val="2"/>
        </w:numPr>
        <w:rPr>
          <w:szCs w:val="20"/>
        </w:rPr>
      </w:pPr>
      <w:r w:rsidRPr="00A5741E">
        <w:rPr>
          <w:szCs w:val="20"/>
        </w:rPr>
        <w:t>clinical wastes;</w:t>
      </w:r>
    </w:p>
    <w:p w:rsidR="00417375" w:rsidRPr="00A5741E" w:rsidRDefault="00417375" w:rsidP="00417375">
      <w:pPr>
        <w:pStyle w:val="MJAbulletnormal"/>
        <w:numPr>
          <w:ilvl w:val="0"/>
          <w:numId w:val="2"/>
        </w:numPr>
        <w:rPr>
          <w:szCs w:val="20"/>
        </w:rPr>
      </w:pPr>
      <w:r w:rsidRPr="00A5741E">
        <w:rPr>
          <w:szCs w:val="20"/>
        </w:rPr>
        <w:t>waste oils/water, hydrocarbons/water mixtures, emulsions;</w:t>
      </w:r>
    </w:p>
    <w:p w:rsidR="00417375" w:rsidRPr="00A5741E" w:rsidRDefault="00417375" w:rsidP="00417375">
      <w:pPr>
        <w:pStyle w:val="MJAbulletnormal"/>
        <w:numPr>
          <w:ilvl w:val="0"/>
          <w:numId w:val="2"/>
        </w:numPr>
        <w:rPr>
          <w:szCs w:val="20"/>
        </w:rPr>
      </w:pPr>
      <w:r w:rsidRPr="00A5741E">
        <w:rPr>
          <w:szCs w:val="20"/>
        </w:rPr>
        <w:t>wastes from the production, formulation and use of resins, latex, plasticizers, glues/adhesives;</w:t>
      </w:r>
    </w:p>
    <w:p w:rsidR="00417375" w:rsidRPr="00A5741E" w:rsidRDefault="00417375" w:rsidP="00417375">
      <w:pPr>
        <w:pStyle w:val="MJAbulletnormal"/>
        <w:numPr>
          <w:ilvl w:val="0"/>
          <w:numId w:val="2"/>
        </w:numPr>
        <w:rPr>
          <w:szCs w:val="20"/>
        </w:rPr>
      </w:pPr>
      <w:r w:rsidRPr="00A5741E">
        <w:rPr>
          <w:szCs w:val="20"/>
        </w:rPr>
        <w:t>wastes resulting from surface treatment of metals and plastics;</w:t>
      </w:r>
    </w:p>
    <w:p w:rsidR="00417375" w:rsidRPr="00A5741E" w:rsidRDefault="00417375" w:rsidP="00417375">
      <w:pPr>
        <w:pStyle w:val="MJAbulletnormal"/>
        <w:numPr>
          <w:ilvl w:val="0"/>
          <w:numId w:val="2"/>
        </w:numPr>
        <w:rPr>
          <w:szCs w:val="20"/>
        </w:rPr>
      </w:pPr>
      <w:r w:rsidRPr="00A5741E">
        <w:rPr>
          <w:szCs w:val="20"/>
        </w:rPr>
        <w:t>residues arising from industria</w:t>
      </w:r>
      <w:r>
        <w:rPr>
          <w:szCs w:val="20"/>
        </w:rPr>
        <w:t>l waste disposal operations;</w:t>
      </w:r>
    </w:p>
    <w:p w:rsidR="00417375" w:rsidRPr="003D73AE" w:rsidRDefault="00417375" w:rsidP="00417375">
      <w:pPr>
        <w:pStyle w:val="MJAbulletnormal"/>
        <w:numPr>
          <w:ilvl w:val="0"/>
          <w:numId w:val="2"/>
        </w:numPr>
        <w:rPr>
          <w:szCs w:val="20"/>
        </w:rPr>
      </w:pPr>
      <w:r w:rsidRPr="00A5741E">
        <w:rPr>
          <w:szCs w:val="20"/>
        </w:rPr>
        <w:t>wastes which contain certain compounds such as: copper, zinc, cadm</w:t>
      </w:r>
      <w:r>
        <w:rPr>
          <w:szCs w:val="20"/>
        </w:rPr>
        <w:t>ium, mercury, lead and asbestos;</w:t>
      </w:r>
    </w:p>
    <w:p w:rsidR="00417375" w:rsidRDefault="00417375" w:rsidP="00417375">
      <w:pPr>
        <w:pStyle w:val="MJAnormal"/>
      </w:pPr>
      <w:proofErr w:type="gramStart"/>
      <w:r>
        <w:t>provided</w:t>
      </w:r>
      <w:proofErr w:type="gramEnd"/>
      <w:r>
        <w:t xml:space="preserve"> they have any of the characteristics mentioned in Annex III of the Convention such as:</w:t>
      </w:r>
    </w:p>
    <w:p w:rsidR="00417375" w:rsidRPr="003D73AE" w:rsidRDefault="00417375" w:rsidP="00417375">
      <w:pPr>
        <w:pStyle w:val="MJAbulletnormal"/>
        <w:numPr>
          <w:ilvl w:val="0"/>
          <w:numId w:val="2"/>
        </w:numPr>
        <w:rPr>
          <w:szCs w:val="20"/>
        </w:rPr>
      </w:pPr>
      <w:r>
        <w:rPr>
          <w:szCs w:val="20"/>
        </w:rPr>
        <w:t>e</w:t>
      </w:r>
      <w:r w:rsidRPr="003D73AE">
        <w:rPr>
          <w:szCs w:val="20"/>
        </w:rPr>
        <w:t>xplosive</w:t>
      </w:r>
      <w:r>
        <w:rPr>
          <w:szCs w:val="20"/>
        </w:rPr>
        <w:t>;</w:t>
      </w:r>
    </w:p>
    <w:p w:rsidR="00417375" w:rsidRPr="003D73AE" w:rsidRDefault="00417375" w:rsidP="00417375">
      <w:pPr>
        <w:pStyle w:val="MJAbulletnormal"/>
        <w:numPr>
          <w:ilvl w:val="0"/>
          <w:numId w:val="2"/>
        </w:numPr>
        <w:rPr>
          <w:szCs w:val="20"/>
        </w:rPr>
      </w:pPr>
      <w:r>
        <w:rPr>
          <w:szCs w:val="20"/>
        </w:rPr>
        <w:t>flammable;</w:t>
      </w:r>
    </w:p>
    <w:p w:rsidR="00417375" w:rsidRPr="003D73AE" w:rsidRDefault="00417375" w:rsidP="00417375">
      <w:pPr>
        <w:pStyle w:val="MJAbulletnormal"/>
        <w:numPr>
          <w:ilvl w:val="0"/>
          <w:numId w:val="2"/>
        </w:numPr>
        <w:rPr>
          <w:szCs w:val="20"/>
        </w:rPr>
      </w:pPr>
      <w:r>
        <w:rPr>
          <w:szCs w:val="20"/>
        </w:rPr>
        <w:t>p</w:t>
      </w:r>
      <w:r w:rsidRPr="003D73AE">
        <w:rPr>
          <w:szCs w:val="20"/>
        </w:rPr>
        <w:t>oisonous</w:t>
      </w:r>
      <w:r>
        <w:rPr>
          <w:szCs w:val="20"/>
        </w:rPr>
        <w:t>;</w:t>
      </w:r>
    </w:p>
    <w:p w:rsidR="00417375" w:rsidRPr="003D73AE" w:rsidRDefault="00417375" w:rsidP="00417375">
      <w:pPr>
        <w:pStyle w:val="MJAbulletnormal"/>
        <w:numPr>
          <w:ilvl w:val="0"/>
          <w:numId w:val="2"/>
        </w:numPr>
        <w:rPr>
          <w:szCs w:val="20"/>
        </w:rPr>
      </w:pPr>
      <w:r>
        <w:rPr>
          <w:szCs w:val="20"/>
        </w:rPr>
        <w:t>t</w:t>
      </w:r>
      <w:r w:rsidRPr="003D73AE">
        <w:rPr>
          <w:szCs w:val="20"/>
        </w:rPr>
        <w:t>oxic</w:t>
      </w:r>
      <w:r>
        <w:rPr>
          <w:szCs w:val="20"/>
        </w:rPr>
        <w:t>;</w:t>
      </w:r>
    </w:p>
    <w:p w:rsidR="00417375" w:rsidRPr="003D73AE" w:rsidRDefault="00417375" w:rsidP="00417375">
      <w:pPr>
        <w:pStyle w:val="MJAbulletnormal"/>
        <w:numPr>
          <w:ilvl w:val="0"/>
          <w:numId w:val="2"/>
        </w:numPr>
        <w:rPr>
          <w:szCs w:val="20"/>
        </w:rPr>
      </w:pPr>
      <w:proofErr w:type="spellStart"/>
      <w:r>
        <w:rPr>
          <w:szCs w:val="20"/>
        </w:rPr>
        <w:t>e</w:t>
      </w:r>
      <w:r w:rsidRPr="003D73AE">
        <w:rPr>
          <w:szCs w:val="20"/>
        </w:rPr>
        <w:t>cotoxic</w:t>
      </w:r>
      <w:proofErr w:type="spellEnd"/>
      <w:r>
        <w:rPr>
          <w:szCs w:val="20"/>
        </w:rPr>
        <w:t>; or</w:t>
      </w:r>
    </w:p>
    <w:p w:rsidR="00417375" w:rsidRPr="003D73AE" w:rsidRDefault="00417375" w:rsidP="00417375">
      <w:pPr>
        <w:pStyle w:val="MJAbulletnormal"/>
        <w:numPr>
          <w:ilvl w:val="0"/>
          <w:numId w:val="2"/>
        </w:numPr>
        <w:rPr>
          <w:szCs w:val="20"/>
        </w:rPr>
      </w:pPr>
      <w:proofErr w:type="gramStart"/>
      <w:r>
        <w:rPr>
          <w:szCs w:val="20"/>
        </w:rPr>
        <w:t>contain</w:t>
      </w:r>
      <w:proofErr w:type="gramEnd"/>
      <w:r>
        <w:rPr>
          <w:szCs w:val="20"/>
        </w:rPr>
        <w:t xml:space="preserve"> infectious s</w:t>
      </w:r>
      <w:r w:rsidRPr="003D73AE">
        <w:rPr>
          <w:szCs w:val="20"/>
        </w:rPr>
        <w:t>ubstances.</w:t>
      </w:r>
    </w:p>
    <w:p w:rsidR="00417375" w:rsidRDefault="00417375" w:rsidP="00417375">
      <w:pPr>
        <w:pStyle w:val="MJAbulletnormal"/>
        <w:rPr>
          <w:rStyle w:val="MJAnormalChar1"/>
        </w:rPr>
      </w:pPr>
      <w:r w:rsidRPr="008C4C48">
        <w:rPr>
          <w:i/>
        </w:rPr>
        <w:t>The National Environment Protection (Movement of Controlled Waste between States and Territories) Measure</w:t>
      </w:r>
      <w:r>
        <w:t xml:space="preserve"> (Controlled Waste NEPM) </w:t>
      </w:r>
      <w:r w:rsidR="00FB2A03" w:rsidRPr="00FB2A03">
        <w:t>categorises hazardous waste into 75 waste types according to the source, contaminant type or hazard of the waste</w:t>
      </w:r>
      <w:r w:rsidR="00FB2A03">
        <w:t xml:space="preserve"> (NEPM 75)</w:t>
      </w:r>
      <w:r w:rsidR="00FB2A03" w:rsidRPr="00FB2A03">
        <w:t>.</w:t>
      </w:r>
      <w:r w:rsidR="00FB2A03">
        <w:t xml:space="preserve"> </w:t>
      </w:r>
      <w:r w:rsidR="00FB2A03" w:rsidRPr="00FB2A03">
        <w:t>There is also a broader list of 15 categories which are used for s</w:t>
      </w:r>
      <w:r w:rsidR="00694AB9">
        <w:t>ummary and interstate reporting</w:t>
      </w:r>
      <w:r w:rsidR="00FB2A03">
        <w:t xml:space="preserve"> (NEPM </w:t>
      </w:r>
      <w:r>
        <w:t>15</w:t>
      </w:r>
      <w:r w:rsidR="00FB2A03">
        <w:t xml:space="preserve">). </w:t>
      </w:r>
      <w:r>
        <w:t xml:space="preserve">NEPM 15 categories are listed in </w:t>
      </w:r>
      <w:fldSimple w:instr=" REF _Ref366678530 \h  \* MERGEFORMAT ">
        <w:r w:rsidR="00D54C27" w:rsidRPr="00D54C27">
          <w:rPr>
            <w:rStyle w:val="MJAnormalChar1"/>
          </w:rPr>
          <w:t>Table 2</w:t>
        </w:r>
      </w:fldSimple>
      <w:r w:rsidRPr="00DE14FE">
        <w:rPr>
          <w:rStyle w:val="MJAnormalChar1"/>
        </w:rPr>
        <w:t xml:space="preserve"> below, with NEPM 75 categories and volumes </w:t>
      </w:r>
      <w:r>
        <w:rPr>
          <w:rStyle w:val="MJAnormalChar1"/>
        </w:rPr>
        <w:t xml:space="preserve">discussed in </w:t>
      </w:r>
      <w:r w:rsidRPr="00DE14FE">
        <w:rPr>
          <w:rStyle w:val="MJAnormalChar1"/>
        </w:rPr>
        <w:t>mo</w:t>
      </w:r>
      <w:r>
        <w:rPr>
          <w:rStyle w:val="MJAnormalChar1"/>
        </w:rPr>
        <w:t xml:space="preserve">re detail in Section </w:t>
      </w:r>
      <w:r w:rsidR="00732F35">
        <w:rPr>
          <w:rStyle w:val="MJAnormalChar1"/>
        </w:rPr>
        <w:fldChar w:fldCharType="begin"/>
      </w:r>
      <w:r>
        <w:rPr>
          <w:rStyle w:val="MJAnormalChar1"/>
        </w:rPr>
        <w:instrText xml:space="preserve"> REF _Ref391204092 \r \h </w:instrText>
      </w:r>
      <w:r w:rsidR="00732F35">
        <w:rPr>
          <w:rStyle w:val="MJAnormalChar1"/>
        </w:rPr>
      </w:r>
      <w:r w:rsidR="00732F35">
        <w:rPr>
          <w:rStyle w:val="MJAnormalChar1"/>
        </w:rPr>
        <w:fldChar w:fldCharType="separate"/>
      </w:r>
      <w:r w:rsidR="00D54C27">
        <w:rPr>
          <w:rStyle w:val="MJAnormalChar1"/>
        </w:rPr>
        <w:t>4</w:t>
      </w:r>
      <w:r w:rsidR="00732F35">
        <w:rPr>
          <w:rStyle w:val="MJAnormalChar1"/>
        </w:rPr>
        <w:fldChar w:fldCharType="end"/>
      </w:r>
      <w:r>
        <w:rPr>
          <w:rStyle w:val="MJAnormalChar1"/>
        </w:rPr>
        <w:t>.</w:t>
      </w:r>
      <w:r w:rsidRPr="00DE14FE">
        <w:rPr>
          <w:rStyle w:val="MJAnormalChar1"/>
        </w:rPr>
        <w:t xml:space="preserve"> </w:t>
      </w:r>
    </w:p>
    <w:p w:rsidR="000F355B" w:rsidRDefault="000F355B" w:rsidP="000F355B">
      <w:pPr>
        <w:pStyle w:val="MJAheading4"/>
        <w:rPr>
          <w:rStyle w:val="MJAnormalChar1"/>
        </w:rPr>
      </w:pPr>
    </w:p>
    <w:p w:rsidR="00FB2A03" w:rsidRDefault="00FB2A03" w:rsidP="000F355B">
      <w:pPr>
        <w:pStyle w:val="MJAnormal"/>
        <w:rPr>
          <w:rStyle w:val="MJAnormalChar1"/>
        </w:rPr>
      </w:pPr>
    </w:p>
    <w:p w:rsidR="000F355B" w:rsidRDefault="000F355B" w:rsidP="000F355B">
      <w:pPr>
        <w:pStyle w:val="MJAnormal"/>
        <w:rPr>
          <w:rStyle w:val="MJAnormalChar1"/>
        </w:rPr>
      </w:pPr>
    </w:p>
    <w:p w:rsidR="000F355B" w:rsidRDefault="000F355B" w:rsidP="000F355B">
      <w:pPr>
        <w:pStyle w:val="MJAnormal"/>
        <w:rPr>
          <w:rStyle w:val="MJAnormalChar1"/>
        </w:rPr>
      </w:pPr>
    </w:p>
    <w:p w:rsidR="000F355B" w:rsidRDefault="000F355B" w:rsidP="000F355B">
      <w:pPr>
        <w:pStyle w:val="MJAnormal"/>
        <w:rPr>
          <w:rStyle w:val="MJAnormalChar1"/>
        </w:rPr>
      </w:pPr>
    </w:p>
    <w:p w:rsidR="000F355B" w:rsidRDefault="000F355B" w:rsidP="000F355B">
      <w:pPr>
        <w:pStyle w:val="MJAnormal"/>
        <w:rPr>
          <w:rStyle w:val="MJAnormalChar1"/>
        </w:rPr>
      </w:pPr>
    </w:p>
    <w:p w:rsidR="000F355B" w:rsidRDefault="000F355B" w:rsidP="000F355B">
      <w:pPr>
        <w:pStyle w:val="MJAnormal"/>
        <w:rPr>
          <w:rStyle w:val="MJAnormalChar1"/>
        </w:rPr>
      </w:pPr>
    </w:p>
    <w:p w:rsidR="00FB2A03" w:rsidRPr="000F355B" w:rsidRDefault="00FB2A03" w:rsidP="00417375">
      <w:pPr>
        <w:pStyle w:val="MJAbulletnormal"/>
        <w:rPr>
          <w:rStyle w:val="MJAnormalChar1"/>
        </w:rPr>
      </w:pPr>
    </w:p>
    <w:p w:rsidR="00417375" w:rsidRPr="00F6696F" w:rsidRDefault="00417375" w:rsidP="00417375">
      <w:pPr>
        <w:keepNext/>
        <w:keepLines/>
        <w:spacing w:before="120" w:after="120" w:line="240" w:lineRule="auto"/>
        <w:rPr>
          <w:rFonts w:ascii="Calibri" w:eastAsia="Times New Roman" w:hAnsi="Calibri" w:cs="Calibri"/>
          <w:b/>
          <w:bCs/>
          <w:sz w:val="20"/>
          <w:szCs w:val="20"/>
          <w:lang w:eastAsia="en-AU"/>
        </w:rPr>
      </w:pPr>
      <w:bookmarkStart w:id="10" w:name="_Ref366678530"/>
      <w:r w:rsidRPr="00F6696F">
        <w:rPr>
          <w:rFonts w:ascii="Calibri" w:eastAsia="Times New Roman" w:hAnsi="Calibri" w:cs="Calibri"/>
          <w:b/>
          <w:bCs/>
          <w:sz w:val="20"/>
          <w:szCs w:val="20"/>
          <w:lang w:eastAsia="en-AU"/>
        </w:rPr>
        <w:lastRenderedPageBreak/>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2</w:t>
      </w:r>
      <w:r w:rsidR="00732F35" w:rsidRPr="00F6696F">
        <w:rPr>
          <w:rFonts w:ascii="Calibri" w:eastAsia="Times New Roman" w:hAnsi="Calibri" w:cs="Calibri"/>
          <w:b/>
          <w:bCs/>
          <w:sz w:val="20"/>
          <w:szCs w:val="20"/>
          <w:lang w:eastAsia="en-AU"/>
        </w:rPr>
        <w:fldChar w:fldCharType="end"/>
      </w:r>
      <w:bookmarkEnd w:id="10"/>
      <w:r w:rsidRPr="00F6696F">
        <w:rPr>
          <w:rFonts w:ascii="Calibri" w:eastAsia="Times New Roman" w:hAnsi="Calibri" w:cs="Calibri"/>
          <w:b/>
          <w:bCs/>
          <w:sz w:val="20"/>
          <w:szCs w:val="20"/>
          <w:lang w:eastAsia="en-AU"/>
        </w:rPr>
        <w:t xml:space="preserve">:  </w:t>
      </w:r>
      <w:r>
        <w:rPr>
          <w:rFonts w:ascii="Calibri" w:eastAsia="Times New Roman" w:hAnsi="Calibri" w:cs="Calibri"/>
          <w:b/>
          <w:bCs/>
          <w:sz w:val="20"/>
          <w:szCs w:val="20"/>
          <w:lang w:eastAsia="en-AU"/>
        </w:rPr>
        <w:t>Hazardous wastes, NEPM 15</w:t>
      </w:r>
    </w:p>
    <w:tbl>
      <w:tblPr>
        <w:tblStyle w:val="TableGrid"/>
        <w:tblW w:w="0" w:type="auto"/>
        <w:tblLook w:val="04A0"/>
      </w:tblPr>
      <w:tblGrid>
        <w:gridCol w:w="1526"/>
        <w:gridCol w:w="5528"/>
      </w:tblGrid>
      <w:tr w:rsidR="00417375" w:rsidRPr="0058624A" w:rsidTr="00417375">
        <w:trPr>
          <w:trHeight w:val="397"/>
        </w:trPr>
        <w:tc>
          <w:tcPr>
            <w:tcW w:w="1526" w:type="dxa"/>
            <w:tcBorders>
              <w:top w:val="single" w:sz="4" w:space="0" w:color="0093D0"/>
              <w:left w:val="nil"/>
              <w:bottom w:val="single" w:sz="4" w:space="0" w:color="0093D0"/>
              <w:right w:val="single" w:sz="4" w:space="0" w:color="0093D0"/>
            </w:tcBorders>
            <w:shd w:val="clear" w:color="auto" w:fill="0093D0"/>
            <w:vAlign w:val="center"/>
          </w:tcPr>
          <w:p w:rsidR="00417375" w:rsidRPr="0058624A" w:rsidRDefault="00417375" w:rsidP="00417375">
            <w:pPr>
              <w:spacing w:before="60" w:after="60"/>
              <w:rPr>
                <w:rFonts w:ascii="Calibri" w:hAnsi="Calibri"/>
                <w:b/>
                <w:color w:val="FFFFFF" w:themeColor="background1"/>
              </w:rPr>
            </w:pPr>
            <w:r w:rsidRPr="0058624A">
              <w:rPr>
                <w:rFonts w:ascii="Calibri" w:hAnsi="Calibri"/>
                <w:b/>
                <w:color w:val="FFFFFF" w:themeColor="background1"/>
              </w:rPr>
              <w:t>Waste Code</w:t>
            </w:r>
          </w:p>
        </w:tc>
        <w:tc>
          <w:tcPr>
            <w:tcW w:w="5528" w:type="dxa"/>
            <w:tcBorders>
              <w:top w:val="single" w:sz="4" w:space="0" w:color="0093D0"/>
              <w:left w:val="single" w:sz="4" w:space="0" w:color="0093D0"/>
              <w:bottom w:val="single" w:sz="4" w:space="0" w:color="0093D0"/>
              <w:right w:val="nil"/>
            </w:tcBorders>
            <w:shd w:val="clear" w:color="auto" w:fill="0093D0"/>
            <w:vAlign w:val="center"/>
          </w:tcPr>
          <w:p w:rsidR="00417375" w:rsidRPr="0058624A" w:rsidRDefault="00417375" w:rsidP="00417375">
            <w:pPr>
              <w:spacing w:before="60" w:after="60"/>
              <w:rPr>
                <w:rFonts w:ascii="Calibri" w:hAnsi="Calibri"/>
                <w:b/>
                <w:color w:val="FFFFFF" w:themeColor="background1"/>
              </w:rPr>
            </w:pPr>
            <w:r w:rsidRPr="0058624A">
              <w:rPr>
                <w:rFonts w:ascii="Calibri" w:hAnsi="Calibri"/>
                <w:b/>
                <w:color w:val="FFFFFF" w:themeColor="background1"/>
              </w:rPr>
              <w:t>Description</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A</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Cyanides</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B</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Acids</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C</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Alkaline wastes</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D</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Inorganic chemicals</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E</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Reactive chemicals</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F</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Paints, lacquers, varnish, resins, inks, dyes, pigments, adhesives</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G</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Organic solvents, solvent residues</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H</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Pesticides (includes herbicides and insecticides)</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J</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Oils, hydrocarbons, emulsions</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K</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Putrescible/organic wastes</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L</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Industrial wash waters</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M</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Organic chemicals</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N</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Solid/sludge wastes requiring special handling</w:t>
            </w:r>
          </w:p>
        </w:tc>
      </w:tr>
      <w:tr w:rsidR="00417375" w:rsidTr="00417375">
        <w:trPr>
          <w:trHeight w:val="397"/>
        </w:trPr>
        <w:tc>
          <w:tcPr>
            <w:tcW w:w="1526" w:type="dxa"/>
            <w:tcBorders>
              <w:top w:val="single" w:sz="4" w:space="0" w:color="0093D0"/>
              <w:left w:val="nil"/>
              <w:bottom w:val="single" w:sz="4"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R</w:t>
            </w:r>
          </w:p>
        </w:tc>
        <w:tc>
          <w:tcPr>
            <w:tcW w:w="5528" w:type="dxa"/>
            <w:tcBorders>
              <w:top w:val="single" w:sz="4" w:space="0" w:color="0093D0"/>
              <w:left w:val="single" w:sz="4" w:space="0" w:color="0093D0"/>
              <w:bottom w:val="single" w:sz="4"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Clinical and pharmaceutical wastes</w:t>
            </w:r>
          </w:p>
        </w:tc>
      </w:tr>
      <w:tr w:rsidR="00417375" w:rsidTr="00417375">
        <w:trPr>
          <w:trHeight w:val="397"/>
        </w:trPr>
        <w:tc>
          <w:tcPr>
            <w:tcW w:w="1526" w:type="dxa"/>
            <w:tcBorders>
              <w:top w:val="single" w:sz="4" w:space="0" w:color="0093D0"/>
              <w:left w:val="nil"/>
              <w:bottom w:val="single" w:sz="12" w:space="0" w:color="0093D0"/>
              <w:right w:val="single" w:sz="4" w:space="0" w:color="0093D0"/>
            </w:tcBorders>
            <w:vAlign w:val="center"/>
          </w:tcPr>
          <w:p w:rsidR="00417375" w:rsidRPr="005341E1" w:rsidRDefault="00417375" w:rsidP="00417375">
            <w:pPr>
              <w:pStyle w:val="MJAnormal"/>
              <w:spacing w:before="60" w:after="60" w:line="240" w:lineRule="auto"/>
              <w:jc w:val="center"/>
              <w:rPr>
                <w:rFonts w:asciiTheme="minorHAnsi" w:hAnsiTheme="minorHAnsi"/>
                <w:sz w:val="20"/>
                <w:szCs w:val="20"/>
              </w:rPr>
            </w:pPr>
            <w:r w:rsidRPr="005341E1">
              <w:rPr>
                <w:rFonts w:asciiTheme="minorHAnsi" w:hAnsiTheme="minorHAnsi" w:cs="Arial"/>
                <w:sz w:val="20"/>
                <w:szCs w:val="20"/>
              </w:rPr>
              <w:t>T</w:t>
            </w:r>
          </w:p>
        </w:tc>
        <w:tc>
          <w:tcPr>
            <w:tcW w:w="5528" w:type="dxa"/>
            <w:tcBorders>
              <w:top w:val="single" w:sz="4" w:space="0" w:color="0093D0"/>
              <w:left w:val="single" w:sz="4" w:space="0" w:color="0093D0"/>
              <w:bottom w:val="single" w:sz="12" w:space="0" w:color="0093D0"/>
              <w:right w:val="nil"/>
            </w:tcBorders>
            <w:vAlign w:val="center"/>
          </w:tcPr>
          <w:p w:rsidR="00417375" w:rsidRPr="005341E1" w:rsidRDefault="00417375" w:rsidP="00417375">
            <w:pPr>
              <w:pStyle w:val="MJAnormal"/>
              <w:spacing w:before="60" w:after="60" w:line="240" w:lineRule="auto"/>
              <w:rPr>
                <w:rFonts w:asciiTheme="minorHAnsi" w:hAnsiTheme="minorHAnsi"/>
                <w:sz w:val="20"/>
                <w:szCs w:val="20"/>
              </w:rPr>
            </w:pPr>
            <w:r w:rsidRPr="005341E1">
              <w:rPr>
                <w:rFonts w:asciiTheme="minorHAnsi" w:hAnsiTheme="minorHAnsi" w:cs="Arial"/>
                <w:sz w:val="20"/>
                <w:szCs w:val="20"/>
              </w:rPr>
              <w:t>Miscellaneous</w:t>
            </w:r>
          </w:p>
        </w:tc>
      </w:tr>
    </w:tbl>
    <w:p w:rsidR="00417375" w:rsidRPr="00417375" w:rsidRDefault="00417375" w:rsidP="00417375">
      <w:pPr>
        <w:pStyle w:val="MJAnormal"/>
      </w:pPr>
    </w:p>
    <w:p w:rsidR="0061188F" w:rsidRDefault="00417375" w:rsidP="0061188F">
      <w:pPr>
        <w:pStyle w:val="MJAheading2"/>
        <w:ind w:hanging="720"/>
      </w:pPr>
      <w:bookmarkStart w:id="11" w:name="_Ref391294759"/>
      <w:bookmarkStart w:id="12" w:name="_Toc391729950"/>
      <w:r>
        <w:t>Regulation of hazardous waste</w:t>
      </w:r>
      <w:bookmarkEnd w:id="11"/>
      <w:bookmarkEnd w:id="12"/>
    </w:p>
    <w:p w:rsidR="0061188F" w:rsidRDefault="0061188F" w:rsidP="0061188F">
      <w:pPr>
        <w:pStyle w:val="MJAnormal"/>
        <w:keepLines/>
      </w:pPr>
      <w:r>
        <w:t>Whilst eac</w:t>
      </w:r>
      <w:r w:rsidR="000A2364">
        <w:t>h jurisdiction is responsible for</w:t>
      </w:r>
      <w:r>
        <w:t xml:space="preserve"> managing hazardous waste within its boundaries, the Controlled Waste NEPM provides a national protocol for managing the movement of controlled waste both intrastate and interstate. </w:t>
      </w:r>
      <w:r w:rsidR="00FB2A03">
        <w:t>As previously noted, t</w:t>
      </w:r>
      <w:r>
        <w:t xml:space="preserve">he Controlled Waste NEPM categorises hazardous waste into 75 waste types according to the source, contaminant type or hazard of the waste. </w:t>
      </w:r>
    </w:p>
    <w:p w:rsidR="0061188F" w:rsidRDefault="0061188F" w:rsidP="0061188F">
      <w:pPr>
        <w:pStyle w:val="MJAnormal"/>
      </w:pPr>
      <w:r>
        <w:t xml:space="preserve">The </w:t>
      </w:r>
      <w:r w:rsidRPr="000A2364">
        <w:rPr>
          <w:i/>
        </w:rPr>
        <w:t>2013 Hazardous Waste Data Assessment</w:t>
      </w:r>
      <w:r w:rsidR="000A2364">
        <w:t xml:space="preserve"> </w:t>
      </w:r>
      <w:r>
        <w:t>(</w:t>
      </w:r>
      <w:r w:rsidR="000A2364">
        <w:t xml:space="preserve">KMH, </w:t>
      </w:r>
      <w:r>
        <w:t>Department of Sustainability, the Environment, Water, Population and Communities, 2013) summarise</w:t>
      </w:r>
      <w:r w:rsidR="00D066D1">
        <w:t>s</w:t>
      </w:r>
      <w:r>
        <w:t xml:space="preserve"> jurisdictional regulations of controlled waste as outlined in the </w:t>
      </w:r>
      <w:r w:rsidRPr="000A2364">
        <w:rPr>
          <w:i/>
        </w:rPr>
        <w:t>2009 Review of the Controlled Waste NEPM</w:t>
      </w:r>
      <w:r>
        <w:t xml:space="preserve"> </w:t>
      </w:r>
      <w:r w:rsidR="00FB2A03">
        <w:t>(NEPC, 2009)</w:t>
      </w:r>
      <w:r w:rsidR="00D066D1">
        <w:t>.</w:t>
      </w:r>
      <w:r w:rsidR="00FB2A03">
        <w:t xml:space="preserve"> </w:t>
      </w:r>
      <w:r w:rsidR="00D066D1">
        <w:t xml:space="preserve">This summary is </w:t>
      </w:r>
      <w:r w:rsidR="00FB2A03" w:rsidRPr="008E7FCE">
        <w:t xml:space="preserve">shown in </w:t>
      </w:r>
      <w:fldSimple w:instr=" REF _Ref391284438 \h  \* MERGEFORMAT ">
        <w:r w:rsidR="00D54C27" w:rsidRPr="00D54C27">
          <w:t>Table 3</w:t>
        </w:r>
      </w:fldSimple>
      <w:r w:rsidRPr="008E7FCE">
        <w:t>.</w:t>
      </w:r>
    </w:p>
    <w:p w:rsidR="00656038" w:rsidRDefault="00656038" w:rsidP="005B2F11">
      <w:pPr>
        <w:pStyle w:val="MJAnormal"/>
      </w:pPr>
    </w:p>
    <w:p w:rsidR="00C41BF3" w:rsidRDefault="00C41BF3" w:rsidP="005B2F11">
      <w:pPr>
        <w:pStyle w:val="MJAnormal"/>
      </w:pPr>
    </w:p>
    <w:p w:rsidR="00C41BF3" w:rsidRDefault="00C41BF3" w:rsidP="005B2F11">
      <w:pPr>
        <w:pStyle w:val="MJAnormal"/>
      </w:pPr>
    </w:p>
    <w:p w:rsidR="00C41BF3" w:rsidRDefault="00C41BF3" w:rsidP="005B2F11">
      <w:pPr>
        <w:pStyle w:val="MJAnormal"/>
      </w:pPr>
    </w:p>
    <w:p w:rsidR="00C41BF3" w:rsidRDefault="00C41BF3" w:rsidP="005B2F11">
      <w:pPr>
        <w:pStyle w:val="MJAnormal"/>
      </w:pPr>
    </w:p>
    <w:p w:rsidR="00C41BF3" w:rsidRPr="005B2F11" w:rsidRDefault="00C41BF3" w:rsidP="005B2F11">
      <w:pPr>
        <w:pStyle w:val="MJAnormal"/>
      </w:pPr>
    </w:p>
    <w:p w:rsidR="000A2364" w:rsidRDefault="000A2364" w:rsidP="000A2364">
      <w:pPr>
        <w:keepNext/>
        <w:keepLines/>
        <w:spacing w:before="120" w:after="120" w:line="240" w:lineRule="auto"/>
        <w:rPr>
          <w:rFonts w:ascii="Calibri" w:eastAsia="Times New Roman" w:hAnsi="Calibri" w:cs="Calibri"/>
          <w:b/>
          <w:bCs/>
          <w:sz w:val="20"/>
          <w:szCs w:val="20"/>
          <w:lang w:eastAsia="en-AU"/>
        </w:rPr>
      </w:pPr>
      <w:bookmarkStart w:id="13" w:name="_Ref391284438"/>
      <w:r w:rsidRPr="00F6696F">
        <w:rPr>
          <w:rFonts w:ascii="Calibri" w:eastAsia="Times New Roman" w:hAnsi="Calibri" w:cs="Calibri"/>
          <w:b/>
          <w:bCs/>
          <w:sz w:val="20"/>
          <w:szCs w:val="20"/>
          <w:lang w:eastAsia="en-AU"/>
        </w:rPr>
        <w:lastRenderedPageBreak/>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3</w:t>
      </w:r>
      <w:r w:rsidR="00732F35" w:rsidRPr="00F6696F">
        <w:rPr>
          <w:rFonts w:ascii="Calibri" w:eastAsia="Times New Roman" w:hAnsi="Calibri" w:cs="Calibri"/>
          <w:b/>
          <w:bCs/>
          <w:sz w:val="20"/>
          <w:szCs w:val="20"/>
          <w:lang w:eastAsia="en-AU"/>
        </w:rPr>
        <w:fldChar w:fldCharType="end"/>
      </w:r>
      <w:bookmarkEnd w:id="13"/>
      <w:r w:rsidRPr="00F6696F">
        <w:rPr>
          <w:rFonts w:ascii="Calibri" w:eastAsia="Times New Roman" w:hAnsi="Calibri" w:cs="Calibri"/>
          <w:b/>
          <w:bCs/>
          <w:sz w:val="20"/>
          <w:szCs w:val="20"/>
          <w:lang w:eastAsia="en-AU"/>
        </w:rPr>
        <w:t xml:space="preserve">:  </w:t>
      </w:r>
      <w:r w:rsidRPr="000A2364">
        <w:rPr>
          <w:rFonts w:ascii="Calibri" w:eastAsia="Times New Roman" w:hAnsi="Calibri" w:cs="Calibri"/>
          <w:b/>
          <w:bCs/>
          <w:sz w:val="20"/>
          <w:szCs w:val="20"/>
          <w:lang w:eastAsia="en-AU"/>
        </w:rPr>
        <w:t xml:space="preserve">Summary of jurisdictional NEPM implementation frameworks </w:t>
      </w:r>
    </w:p>
    <w:tbl>
      <w:tblPr>
        <w:tblStyle w:val="SRUTable"/>
        <w:tblW w:w="0" w:type="auto"/>
        <w:tblLook w:val="0480"/>
      </w:tblPr>
      <w:tblGrid>
        <w:gridCol w:w="1515"/>
        <w:gridCol w:w="6270"/>
      </w:tblGrid>
      <w:tr w:rsidR="000A2364" w:rsidRPr="000A2364" w:rsidTr="000E2192">
        <w:trPr>
          <w:trHeight w:val="406"/>
        </w:trPr>
        <w:tc>
          <w:tcPr>
            <w:tcW w:w="1385" w:type="dxa"/>
            <w:tcBorders>
              <w:top w:val="nil"/>
              <w:bottom w:val="nil"/>
            </w:tcBorders>
            <w:shd w:val="clear" w:color="auto" w:fill="0093D0"/>
          </w:tcPr>
          <w:p w:rsidR="000A2364" w:rsidRPr="000A2364" w:rsidRDefault="000A2364" w:rsidP="000A2364">
            <w:pPr>
              <w:rPr>
                <w:rFonts w:asciiTheme="minorHAnsi" w:hAnsiTheme="minorHAnsi"/>
                <w:color w:val="FFFFFF"/>
              </w:rPr>
            </w:pPr>
            <w:r w:rsidRPr="000A2364">
              <w:rPr>
                <w:rFonts w:asciiTheme="minorHAnsi" w:hAnsiTheme="minorHAnsi"/>
                <w:color w:val="FFFFFF"/>
              </w:rPr>
              <w:t>Jurisdiction</w:t>
            </w:r>
          </w:p>
        </w:tc>
        <w:tc>
          <w:tcPr>
            <w:tcW w:w="6270" w:type="dxa"/>
            <w:tcBorders>
              <w:top w:val="nil"/>
              <w:bottom w:val="nil"/>
            </w:tcBorders>
            <w:shd w:val="clear" w:color="auto" w:fill="0093D0"/>
          </w:tcPr>
          <w:p w:rsidR="000A2364" w:rsidRPr="000A2364" w:rsidRDefault="000A2364" w:rsidP="000A2364">
            <w:pPr>
              <w:rPr>
                <w:rFonts w:asciiTheme="minorHAnsi" w:hAnsiTheme="minorHAnsi"/>
                <w:color w:val="FFFFFF"/>
              </w:rPr>
            </w:pPr>
            <w:r w:rsidRPr="000A2364">
              <w:rPr>
                <w:rFonts w:asciiTheme="minorHAnsi" w:hAnsiTheme="minorHAnsi"/>
                <w:color w:val="FFFFFF"/>
              </w:rPr>
              <w:t>Waste regulations</w:t>
            </w:r>
          </w:p>
        </w:tc>
      </w:tr>
      <w:tr w:rsidR="000A2364" w:rsidRPr="000A2364" w:rsidTr="000A2364">
        <w:tc>
          <w:tcPr>
            <w:tcW w:w="1385" w:type="dxa"/>
            <w:tcBorders>
              <w:top w:val="nil"/>
              <w:bottom w:val="nil"/>
            </w:tcBorders>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Commonwealth</w:t>
            </w:r>
          </w:p>
        </w:tc>
        <w:tc>
          <w:tcPr>
            <w:tcW w:w="6270" w:type="dxa"/>
            <w:tcBorders>
              <w:top w:val="nil"/>
              <w:bottom w:val="nil"/>
            </w:tcBorders>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The NEPM is implemented administratively.</w:t>
            </w:r>
          </w:p>
        </w:tc>
      </w:tr>
      <w:tr w:rsidR="000A2364" w:rsidRPr="000A2364" w:rsidTr="00417375">
        <w:tc>
          <w:tcPr>
            <w:tcW w:w="1385" w:type="dxa"/>
            <w:tcBorders>
              <w:top w:val="nil"/>
            </w:tcBorders>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ACT</w:t>
            </w:r>
          </w:p>
        </w:tc>
        <w:tc>
          <w:tcPr>
            <w:tcW w:w="6270" w:type="dxa"/>
            <w:tcBorders>
              <w:top w:val="nil"/>
            </w:tcBorders>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The key legislative instruments are the Environment Protection Act 1997 and the Environment Protection Regulations 2005.</w:t>
            </w:r>
          </w:p>
        </w:tc>
      </w:tr>
      <w:tr w:rsidR="000A2364" w:rsidRPr="000A2364" w:rsidTr="00417375">
        <w:tc>
          <w:tcPr>
            <w:tcW w:w="1385" w:type="dxa"/>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New South Wales</w:t>
            </w:r>
          </w:p>
        </w:tc>
        <w:tc>
          <w:tcPr>
            <w:tcW w:w="6270" w:type="dxa"/>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The key legislative instruments are the Protection of the Environment Operations Act 1997 and the Protection of the Environment Operations (Waste) Regulation 2005</w:t>
            </w:r>
          </w:p>
        </w:tc>
      </w:tr>
      <w:tr w:rsidR="000A2364" w:rsidRPr="000A2364" w:rsidTr="00417375">
        <w:tc>
          <w:tcPr>
            <w:tcW w:w="1385" w:type="dxa"/>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Northern Territory</w:t>
            </w:r>
          </w:p>
        </w:tc>
        <w:tc>
          <w:tcPr>
            <w:tcW w:w="6270" w:type="dxa"/>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The key legislative instruments are the Waste Management and Pollution Control Act and the Dangerous Goods (Road and Rail Transport) Act.</w:t>
            </w:r>
          </w:p>
        </w:tc>
      </w:tr>
      <w:tr w:rsidR="000A2364" w:rsidRPr="000A2364" w:rsidTr="00417375">
        <w:tc>
          <w:tcPr>
            <w:tcW w:w="1385" w:type="dxa"/>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Queensland</w:t>
            </w:r>
          </w:p>
        </w:tc>
        <w:tc>
          <w:tcPr>
            <w:tcW w:w="6270" w:type="dxa"/>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The key legislative instruments are the Environmental Protection Act 1994 and the Environmental Protection (Waste Management) Regulation 2000.</w:t>
            </w:r>
          </w:p>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Requirements for the licensing of controlled waste transporters are included in the Environmental Protection Regulation 2008.</w:t>
            </w:r>
          </w:p>
        </w:tc>
      </w:tr>
      <w:tr w:rsidR="000A2364" w:rsidRPr="000A2364" w:rsidTr="00417375">
        <w:tc>
          <w:tcPr>
            <w:tcW w:w="1385" w:type="dxa"/>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South Australia</w:t>
            </w:r>
          </w:p>
        </w:tc>
        <w:tc>
          <w:tcPr>
            <w:tcW w:w="6270" w:type="dxa"/>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 xml:space="preserve">The NEPM operates as an Environment Protection Policy under the Environment Protection Act 1993 and is implemented through conditions of </w:t>
            </w:r>
            <w:proofErr w:type="spellStart"/>
            <w:r w:rsidRPr="000A2364">
              <w:rPr>
                <w:rFonts w:asciiTheme="minorHAnsi" w:hAnsiTheme="minorHAnsi" w:cstheme="minorHAnsi"/>
                <w:lang w:val="en-US"/>
              </w:rPr>
              <w:t>licences</w:t>
            </w:r>
            <w:proofErr w:type="spellEnd"/>
            <w:r w:rsidRPr="000A2364">
              <w:rPr>
                <w:rFonts w:asciiTheme="minorHAnsi" w:hAnsiTheme="minorHAnsi" w:cstheme="minorHAnsi"/>
                <w:lang w:val="en-US"/>
              </w:rPr>
              <w:t>.</w:t>
            </w:r>
          </w:p>
        </w:tc>
      </w:tr>
      <w:tr w:rsidR="000A2364" w:rsidRPr="000A2364" w:rsidTr="00417375">
        <w:tc>
          <w:tcPr>
            <w:tcW w:w="1385" w:type="dxa"/>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Tasmania</w:t>
            </w:r>
          </w:p>
        </w:tc>
        <w:tc>
          <w:tcPr>
            <w:tcW w:w="6270" w:type="dxa"/>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The NEPM is a state policy under the State Policies and Projects Act 1993.</w:t>
            </w:r>
          </w:p>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The NEPM is implemented under the Environmental Management and Pollution Control Act 1994.</w:t>
            </w:r>
          </w:p>
        </w:tc>
      </w:tr>
      <w:tr w:rsidR="000A2364" w:rsidRPr="000A2364" w:rsidTr="000A2364">
        <w:tc>
          <w:tcPr>
            <w:tcW w:w="1385" w:type="dxa"/>
            <w:tcBorders>
              <w:bottom w:val="nil"/>
            </w:tcBorders>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Victoria</w:t>
            </w:r>
          </w:p>
        </w:tc>
        <w:tc>
          <w:tcPr>
            <w:tcW w:w="6270" w:type="dxa"/>
            <w:tcBorders>
              <w:bottom w:val="nil"/>
            </w:tcBorders>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The key legislative instruments are the Environment Protection Act 1970, the Environment Protection (Industrial Wastes Resource) Regulations 2009, and the Industrial Waste Management Policy (Movement of Controlled Waste between States and Territories) 2001.</w:t>
            </w:r>
          </w:p>
        </w:tc>
      </w:tr>
      <w:tr w:rsidR="000A2364" w:rsidRPr="000A2364" w:rsidTr="000A2364">
        <w:tc>
          <w:tcPr>
            <w:tcW w:w="1385" w:type="dxa"/>
            <w:tcBorders>
              <w:top w:val="nil"/>
              <w:bottom w:val="single" w:sz="12" w:space="0" w:color="0093D0"/>
            </w:tcBorders>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WA</w:t>
            </w:r>
          </w:p>
        </w:tc>
        <w:tc>
          <w:tcPr>
            <w:tcW w:w="6270" w:type="dxa"/>
            <w:tcBorders>
              <w:top w:val="nil"/>
              <w:bottom w:val="single" w:sz="12" w:space="0" w:color="0093D0"/>
            </w:tcBorders>
          </w:tcPr>
          <w:p w:rsidR="000A2364" w:rsidRPr="000A2364" w:rsidRDefault="000A2364" w:rsidP="000A2364">
            <w:pPr>
              <w:spacing w:before="60" w:after="60"/>
              <w:rPr>
                <w:rFonts w:asciiTheme="minorHAnsi" w:hAnsiTheme="minorHAnsi" w:cstheme="minorHAnsi"/>
                <w:lang w:val="en-US"/>
              </w:rPr>
            </w:pPr>
            <w:r w:rsidRPr="000A2364">
              <w:rPr>
                <w:rFonts w:asciiTheme="minorHAnsi" w:hAnsiTheme="minorHAnsi" w:cstheme="minorHAnsi"/>
                <w:lang w:val="en-US"/>
              </w:rPr>
              <w:t>The primary legislative instruments are the Environmental Protection (Controlled Waste) Regulations 2004.</w:t>
            </w:r>
          </w:p>
        </w:tc>
      </w:tr>
    </w:tbl>
    <w:p w:rsidR="00C41BF3" w:rsidRPr="00656038" w:rsidRDefault="00C41BF3" w:rsidP="00C41BF3">
      <w:pPr>
        <w:pStyle w:val="MJAheading3"/>
        <w:ind w:hanging="1080"/>
        <w:rPr>
          <w:lang w:val="en-US" w:eastAsia="en-AU"/>
        </w:rPr>
      </w:pPr>
      <w:r w:rsidRPr="00656038">
        <w:rPr>
          <w:lang w:val="en-US" w:eastAsia="en-AU"/>
        </w:rPr>
        <w:t>Waste tracking</w:t>
      </w:r>
    </w:p>
    <w:p w:rsidR="00C41BF3" w:rsidRPr="005B2F11" w:rsidRDefault="00C41BF3" w:rsidP="00C41BF3">
      <w:pPr>
        <w:pStyle w:val="MJAnormal"/>
      </w:pPr>
      <w:r w:rsidRPr="005B2F11">
        <w:t>Much of the waste generation data used in this analysis is sourced, indirectly, from hazardous waste tracking data. Whilst all jurisdictions report on interstate hazardous waste movements and have done since 1998–99, only New South Wales, Queensland, South Australia, Victoria and Western Australia track intrastate movements. Each of these jurisdictions has its own waste tracking system and own set of waste codes. With the exception of Western Australia, these codes are similar to the NEPM set of 75 tracking codes.</w:t>
      </w:r>
    </w:p>
    <w:p w:rsidR="00C41BF3" w:rsidRPr="00656038" w:rsidRDefault="00C41BF3" w:rsidP="00C41BF3">
      <w:pPr>
        <w:pStyle w:val="MJAheading3"/>
        <w:ind w:hanging="1080"/>
        <w:rPr>
          <w:lang w:val="en-US" w:eastAsia="en-AU"/>
        </w:rPr>
      </w:pPr>
      <w:r w:rsidRPr="00656038">
        <w:rPr>
          <w:lang w:val="en-US" w:eastAsia="en-AU"/>
        </w:rPr>
        <w:t>Waste classification</w:t>
      </w:r>
    </w:p>
    <w:p w:rsidR="00C41BF3" w:rsidRDefault="00C41BF3" w:rsidP="00C41BF3">
      <w:pPr>
        <w:pStyle w:val="MJAnormal"/>
      </w:pPr>
      <w:r w:rsidRPr="005B2F11">
        <w:t>Each jurisdiction also has its own classification system for hazardous waste that informs regulations on its on transport and disposal. In each jurisdiction, highly hazardous waste cannot be disposed to any landfill without treatment to destroy or immobilise the hazardous contaminant. Whilst each jurisdiction has its own classification system, they follow the same principles of assessing waste to determine a hazard rating.</w:t>
      </w:r>
    </w:p>
    <w:p w:rsidR="00417375" w:rsidRPr="000A2364" w:rsidRDefault="00C41BF3" w:rsidP="00C41BF3">
      <w:pPr>
        <w:pStyle w:val="MJAnormal"/>
        <w:rPr>
          <w:rFonts w:ascii="Calibri" w:hAnsi="Calibri" w:cs="Calibri"/>
          <w:b/>
          <w:bCs/>
          <w:sz w:val="20"/>
          <w:szCs w:val="20"/>
          <w:lang w:eastAsia="en-AU"/>
        </w:rPr>
      </w:pPr>
      <w:r>
        <w:t>Further information on waste tracking and classification informing the assessment of costs is provided in Section 4.</w:t>
      </w:r>
      <w:r w:rsidR="00F850EA" w:rsidRPr="000A2364">
        <w:rPr>
          <w:rFonts w:ascii="Calibri" w:hAnsi="Calibri" w:cs="Calibri"/>
          <w:b/>
          <w:bCs/>
          <w:sz w:val="20"/>
          <w:szCs w:val="20"/>
          <w:lang w:eastAsia="en-AU"/>
        </w:rPr>
        <w:br w:type="page"/>
      </w:r>
    </w:p>
    <w:p w:rsidR="00190809" w:rsidRDefault="00757C4E" w:rsidP="00190809">
      <w:pPr>
        <w:pStyle w:val="MJAheading1"/>
      </w:pPr>
      <w:bookmarkStart w:id="14" w:name="_Toc391729951"/>
      <w:r>
        <w:lastRenderedPageBreak/>
        <w:t>Cost analysis</w:t>
      </w:r>
      <w:bookmarkEnd w:id="14"/>
    </w:p>
    <w:p w:rsidR="00757C4E" w:rsidRDefault="000F0B8D" w:rsidP="00A82A68">
      <w:pPr>
        <w:pStyle w:val="MJAheading2"/>
        <w:ind w:hanging="720"/>
      </w:pPr>
      <w:bookmarkStart w:id="15" w:name="_Toc391729952"/>
      <w:r>
        <w:t>Base year costs</w:t>
      </w:r>
      <w:bookmarkEnd w:id="15"/>
    </w:p>
    <w:p w:rsidR="00757C4E" w:rsidRDefault="000F0B8D" w:rsidP="00A82A68">
      <w:pPr>
        <w:pStyle w:val="MJAheading3"/>
        <w:ind w:hanging="1080"/>
      </w:pPr>
      <w:r>
        <w:t>Overview</w:t>
      </w:r>
    </w:p>
    <w:p w:rsidR="009174CB" w:rsidRDefault="00146039" w:rsidP="000F0B8D">
      <w:pPr>
        <w:pStyle w:val="MJAnormal"/>
      </w:pPr>
      <w:r>
        <w:t>A</w:t>
      </w:r>
      <w:r w:rsidR="00F36368">
        <w:t xml:space="preserve"> total of 6.6 million tonnes of </w:t>
      </w:r>
      <w:r w:rsidR="006C55F0">
        <w:t xml:space="preserve">tracked </w:t>
      </w:r>
      <w:r w:rsidR="00F36368">
        <w:t xml:space="preserve">hazardous waste </w:t>
      </w:r>
      <w:r w:rsidR="00FC4F19">
        <w:t xml:space="preserve">was </w:t>
      </w:r>
      <w:r w:rsidR="006C55F0">
        <w:t>generated in Australia</w:t>
      </w:r>
      <w:r>
        <w:t xml:space="preserve"> in 2012</w:t>
      </w:r>
      <w:r w:rsidR="006C55F0">
        <w:t xml:space="preserve">. </w:t>
      </w:r>
      <w:r w:rsidR="000F0B8D">
        <w:t>Th</w:t>
      </w:r>
      <w:r w:rsidR="006C55F0">
        <w:t xml:space="preserve">e total cost of regulating, transporting, treating and disposing of this waste </w:t>
      </w:r>
      <w:r w:rsidR="000F0B8D">
        <w:t xml:space="preserve">is estimated to </w:t>
      </w:r>
      <w:r w:rsidR="00332090">
        <w:t xml:space="preserve">have </w:t>
      </w:r>
      <w:r w:rsidR="000F0B8D">
        <w:t>be</w:t>
      </w:r>
      <w:r w:rsidR="00332090">
        <w:t>en</w:t>
      </w:r>
      <w:r w:rsidR="000F0B8D">
        <w:t xml:space="preserve"> </w:t>
      </w:r>
      <w:r w:rsidR="007A144B">
        <w:t>$2,417.3</w:t>
      </w:r>
      <w:r w:rsidR="00327760">
        <w:t xml:space="preserve"> m</w:t>
      </w:r>
      <w:r w:rsidR="00D333B4">
        <w:t xml:space="preserve">illion </w:t>
      </w:r>
      <w:r w:rsidR="00A15392" w:rsidRPr="00A15392">
        <w:t>(</w:t>
      </w:r>
      <w:r w:rsidR="009174CB">
        <w:t xml:space="preserve">central estimate - </w:t>
      </w:r>
      <w:fldSimple w:instr=" REF _Ref391222165 \h  \* MERGEFORMAT ">
        <w:r w:rsidR="00D54C27" w:rsidRPr="00D54C27">
          <w:t>Table 4</w:t>
        </w:r>
      </w:fldSimple>
      <w:r w:rsidR="00D333B4" w:rsidRPr="00A15392">
        <w:t>)</w:t>
      </w:r>
      <w:r w:rsidR="00C1329A">
        <w:t>, representi</w:t>
      </w:r>
      <w:r w:rsidR="0024334A">
        <w:t>ng an average cost of about $332</w:t>
      </w:r>
      <w:r w:rsidR="00C1329A">
        <w:t xml:space="preserve"> per</w:t>
      </w:r>
      <w:r w:rsidR="004F0DB8">
        <w:t xml:space="preserve"> tonne of waste</w:t>
      </w:r>
      <w:r w:rsidR="00332090">
        <w:t>. Direct market costs, including transport, treatment and disposal (gate fee</w:t>
      </w:r>
      <w:r w:rsidR="00C1329A">
        <w:t>s</w:t>
      </w:r>
      <w:r w:rsidR="00332090">
        <w:t xml:space="preserve">), </w:t>
      </w:r>
      <w:r w:rsidR="00C1329A">
        <w:t xml:space="preserve">comprise </w:t>
      </w:r>
      <w:r w:rsidR="00966182">
        <w:t>approximately 92</w:t>
      </w:r>
      <w:r w:rsidR="00332090">
        <w:t>% of these costs, wi</w:t>
      </w:r>
      <w:r w:rsidR="0024334A">
        <w:t xml:space="preserve">th the </w:t>
      </w:r>
      <w:r w:rsidR="00966182">
        <w:t>remaining 8</w:t>
      </w:r>
      <w:r w:rsidR="007973ED">
        <w:t>% being non-market and indirect costs</w:t>
      </w:r>
      <w:r w:rsidR="00D333B4" w:rsidRPr="00A15392">
        <w:t xml:space="preserve">. </w:t>
      </w:r>
    </w:p>
    <w:p w:rsidR="002B48CC" w:rsidRDefault="009174CB" w:rsidP="000F0B8D">
      <w:pPr>
        <w:pStyle w:val="MJAnormal"/>
      </w:pPr>
      <w:r>
        <w:t xml:space="preserve">Uncertainty with cost estimates </w:t>
      </w:r>
      <w:r w:rsidR="00D92BDB">
        <w:t xml:space="preserve">mean that the total cost of hazardous waste </w:t>
      </w:r>
      <w:r w:rsidR="00C1329A">
        <w:t>in Australia in 2012 could be</w:t>
      </w:r>
      <w:r w:rsidR="00D92BDB">
        <w:t xml:space="preserve"> as low as </w:t>
      </w:r>
      <w:r w:rsidR="00C1329A">
        <w:t>$</w:t>
      </w:r>
      <w:r w:rsidR="00966182">
        <w:t>1,758</w:t>
      </w:r>
      <w:r w:rsidR="00327760">
        <w:t xml:space="preserve"> m</w:t>
      </w:r>
      <w:r w:rsidR="00D92BDB">
        <w:t xml:space="preserve">illion or as high as </w:t>
      </w:r>
      <w:r w:rsidR="00C1329A">
        <w:t>$</w:t>
      </w:r>
      <w:r w:rsidR="00966182">
        <w:t>3,153</w:t>
      </w:r>
      <w:r w:rsidR="00327760">
        <w:t xml:space="preserve"> m</w:t>
      </w:r>
      <w:r w:rsidR="00D92BDB">
        <w:t xml:space="preserve">illion.  </w:t>
      </w:r>
      <w:r w:rsidR="002B48CC">
        <w:t>Levels of uncertainty include:</w:t>
      </w:r>
    </w:p>
    <w:p w:rsidR="002B48CC" w:rsidRPr="008E1546" w:rsidRDefault="002B48CC" w:rsidP="008E1546">
      <w:pPr>
        <w:pStyle w:val="MJAbulletnormal"/>
        <w:numPr>
          <w:ilvl w:val="0"/>
          <w:numId w:val="2"/>
        </w:numPr>
        <w:rPr>
          <w:szCs w:val="20"/>
        </w:rPr>
      </w:pPr>
      <w:r w:rsidRPr="008E1546">
        <w:rPr>
          <w:szCs w:val="20"/>
        </w:rPr>
        <w:t>± 25% for direct market costs linked to uncertainties with transport, treatment and disposal costs; and</w:t>
      </w:r>
    </w:p>
    <w:p w:rsidR="002B48CC" w:rsidRPr="008E1546" w:rsidRDefault="00986159" w:rsidP="008E1546">
      <w:pPr>
        <w:pStyle w:val="MJAbulletnormal"/>
        <w:numPr>
          <w:ilvl w:val="0"/>
          <w:numId w:val="2"/>
        </w:numPr>
        <w:rPr>
          <w:szCs w:val="20"/>
        </w:rPr>
      </w:pPr>
      <w:r>
        <w:rPr>
          <w:szCs w:val="20"/>
        </w:rPr>
        <w:t>-50% to</w:t>
      </w:r>
      <w:r w:rsidR="008E1546" w:rsidRPr="008E1546">
        <w:rPr>
          <w:szCs w:val="20"/>
        </w:rPr>
        <w:t xml:space="preserve"> +80% for indirect and non-market costs, linked to general data gaps and uncertainties, and differences in perspective on how non-market costs are valued (e.g. greenhouse gas emissions). </w:t>
      </w:r>
    </w:p>
    <w:p w:rsidR="000F0B8D" w:rsidRPr="00A15392" w:rsidRDefault="00A15392" w:rsidP="00A15392">
      <w:pPr>
        <w:keepNext/>
        <w:keepLines/>
        <w:spacing w:before="120" w:after="120" w:line="240" w:lineRule="auto"/>
        <w:rPr>
          <w:rFonts w:ascii="Calibri" w:eastAsia="Times New Roman" w:hAnsi="Calibri" w:cs="Calibri"/>
          <w:b/>
          <w:bCs/>
          <w:sz w:val="20"/>
          <w:szCs w:val="20"/>
          <w:lang w:eastAsia="en-AU"/>
        </w:rPr>
      </w:pPr>
      <w:bookmarkStart w:id="16" w:name="_Ref391222165"/>
      <w:r w:rsidRPr="00F6696F">
        <w:rPr>
          <w:rFonts w:ascii="Calibri" w:eastAsia="Times New Roman" w:hAnsi="Calibri" w:cs="Calibri"/>
          <w:b/>
          <w:bCs/>
          <w:sz w:val="20"/>
          <w:szCs w:val="20"/>
          <w:lang w:eastAsia="en-AU"/>
        </w:rPr>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4</w:t>
      </w:r>
      <w:r w:rsidR="00732F35" w:rsidRPr="00F6696F">
        <w:rPr>
          <w:rFonts w:ascii="Calibri" w:eastAsia="Times New Roman" w:hAnsi="Calibri" w:cs="Calibri"/>
          <w:b/>
          <w:bCs/>
          <w:sz w:val="20"/>
          <w:szCs w:val="20"/>
          <w:lang w:eastAsia="en-AU"/>
        </w:rPr>
        <w:fldChar w:fldCharType="end"/>
      </w:r>
      <w:bookmarkEnd w:id="16"/>
      <w:r w:rsidRPr="00F6696F">
        <w:rPr>
          <w:rFonts w:ascii="Calibri" w:eastAsia="Times New Roman" w:hAnsi="Calibri" w:cs="Calibri"/>
          <w:b/>
          <w:bCs/>
          <w:sz w:val="20"/>
          <w:szCs w:val="20"/>
          <w:lang w:eastAsia="en-AU"/>
        </w:rPr>
        <w:t xml:space="preserve">:  </w:t>
      </w:r>
      <w:r w:rsidR="00897522">
        <w:rPr>
          <w:rFonts w:ascii="Calibri" w:eastAsia="Times New Roman" w:hAnsi="Calibri" w:cs="Calibri"/>
          <w:b/>
          <w:bCs/>
          <w:sz w:val="20"/>
          <w:szCs w:val="20"/>
          <w:lang w:eastAsia="en-AU"/>
        </w:rPr>
        <w:t>Estimated economic</w:t>
      </w:r>
      <w:r>
        <w:rPr>
          <w:rFonts w:ascii="Calibri" w:eastAsia="Times New Roman" w:hAnsi="Calibri" w:cs="Calibri"/>
          <w:b/>
          <w:bCs/>
          <w:sz w:val="20"/>
          <w:szCs w:val="20"/>
          <w:lang w:eastAsia="en-AU"/>
        </w:rPr>
        <w:t xml:space="preserve"> c</w:t>
      </w:r>
      <w:r w:rsidRPr="00F6696F">
        <w:rPr>
          <w:rFonts w:ascii="Calibri" w:eastAsia="Times New Roman" w:hAnsi="Calibri" w:cs="Calibri"/>
          <w:b/>
          <w:bCs/>
          <w:sz w:val="20"/>
          <w:szCs w:val="20"/>
          <w:lang w:eastAsia="en-AU"/>
        </w:rPr>
        <w:t xml:space="preserve">osts </w:t>
      </w:r>
      <w:r>
        <w:rPr>
          <w:rFonts w:ascii="Calibri" w:eastAsia="Times New Roman" w:hAnsi="Calibri" w:cs="Calibri"/>
          <w:b/>
          <w:bCs/>
          <w:sz w:val="20"/>
          <w:szCs w:val="20"/>
          <w:lang w:eastAsia="en-AU"/>
        </w:rPr>
        <w:t>of hazardous wastes by category and jurisdiction</w:t>
      </w:r>
      <w:r w:rsidR="00F36368">
        <w:rPr>
          <w:rFonts w:ascii="Calibri" w:eastAsia="Times New Roman" w:hAnsi="Calibri" w:cs="Calibri"/>
          <w:b/>
          <w:bCs/>
          <w:sz w:val="20"/>
          <w:szCs w:val="20"/>
          <w:lang w:eastAsia="en-AU"/>
        </w:rPr>
        <w:t xml:space="preserve"> ($ million</w:t>
      </w:r>
      <w:r w:rsidR="00897522">
        <w:rPr>
          <w:rFonts w:ascii="Calibri" w:eastAsia="Times New Roman" w:hAnsi="Calibri" w:cs="Calibri"/>
          <w:b/>
          <w:bCs/>
          <w:sz w:val="20"/>
          <w:szCs w:val="20"/>
          <w:lang w:eastAsia="en-AU"/>
        </w:rPr>
        <w:t>, 2012</w:t>
      </w:r>
      <w:r w:rsidR="00F36368">
        <w:rPr>
          <w:rFonts w:ascii="Calibri" w:eastAsia="Times New Roman" w:hAnsi="Calibri" w:cs="Calibri"/>
          <w:b/>
          <w:bCs/>
          <w:sz w:val="20"/>
          <w:szCs w:val="20"/>
          <w:lang w:eastAsia="en-AU"/>
        </w:rPr>
        <w:t>)</w:t>
      </w:r>
    </w:p>
    <w:tbl>
      <w:tblPr>
        <w:tblW w:w="5000" w:type="pct"/>
        <w:tblLayout w:type="fixed"/>
        <w:tblLook w:val="04A0"/>
      </w:tblPr>
      <w:tblGrid>
        <w:gridCol w:w="1919"/>
        <w:gridCol w:w="1361"/>
        <w:gridCol w:w="1360"/>
        <w:gridCol w:w="1360"/>
        <w:gridCol w:w="1360"/>
        <w:gridCol w:w="1360"/>
      </w:tblGrid>
      <w:tr w:rsidR="009174CB" w:rsidRPr="002E0D08" w:rsidTr="009174CB">
        <w:trPr>
          <w:trHeight w:val="585"/>
        </w:trPr>
        <w:tc>
          <w:tcPr>
            <w:tcW w:w="1100" w:type="pct"/>
            <w:tcBorders>
              <w:top w:val="nil"/>
              <w:left w:val="nil"/>
              <w:bottom w:val="nil"/>
              <w:right w:val="nil"/>
            </w:tcBorders>
            <w:shd w:val="clear" w:color="000000" w:fill="0093D0"/>
            <w:noWrap/>
            <w:vAlign w:val="bottom"/>
            <w:hideMark/>
          </w:tcPr>
          <w:p w:rsidR="009174CB" w:rsidRPr="002E0D08" w:rsidRDefault="009174CB" w:rsidP="007973ED">
            <w:pPr>
              <w:spacing w:after="0" w:line="240" w:lineRule="auto"/>
              <w:rPr>
                <w:rFonts w:ascii="Calibri" w:eastAsia="Times New Roman" w:hAnsi="Calibri" w:cs="Times New Roman"/>
                <w:color w:val="FFFFFF"/>
                <w:sz w:val="20"/>
                <w:szCs w:val="20"/>
                <w:lang w:eastAsia="en-AU"/>
              </w:rPr>
            </w:pPr>
            <w:r w:rsidRPr="002E0D08">
              <w:rPr>
                <w:rFonts w:ascii="Calibri" w:eastAsia="Times New Roman" w:hAnsi="Calibri" w:cs="Times New Roman"/>
                <w:color w:val="FFFFFF"/>
                <w:sz w:val="20"/>
                <w:szCs w:val="20"/>
                <w:lang w:eastAsia="en-AU"/>
              </w:rPr>
              <w:t> </w:t>
            </w:r>
          </w:p>
        </w:tc>
        <w:tc>
          <w:tcPr>
            <w:tcW w:w="780" w:type="pct"/>
            <w:tcBorders>
              <w:top w:val="nil"/>
              <w:left w:val="nil"/>
              <w:bottom w:val="nil"/>
              <w:right w:val="nil"/>
            </w:tcBorders>
            <w:shd w:val="clear" w:color="000000" w:fill="0093D0"/>
            <w:noWrap/>
            <w:vAlign w:val="bottom"/>
            <w:hideMark/>
          </w:tcPr>
          <w:p w:rsidR="009174CB" w:rsidRPr="002E0D08" w:rsidRDefault="009174CB" w:rsidP="007973ED">
            <w:pPr>
              <w:spacing w:after="0" w:line="240" w:lineRule="auto"/>
              <w:jc w:val="right"/>
              <w:rPr>
                <w:rFonts w:ascii="Calibri" w:eastAsia="Times New Roman" w:hAnsi="Calibri" w:cs="Times New Roman"/>
                <w:b/>
                <w:bCs/>
                <w:color w:val="FFFFFF"/>
                <w:sz w:val="20"/>
                <w:szCs w:val="20"/>
                <w:lang w:eastAsia="en-AU"/>
              </w:rPr>
            </w:pPr>
            <w:r w:rsidRPr="002E0D08">
              <w:rPr>
                <w:rFonts w:ascii="Calibri" w:eastAsia="Times New Roman" w:hAnsi="Calibri" w:cs="Times New Roman"/>
                <w:b/>
                <w:bCs/>
                <w:color w:val="FFFFFF"/>
                <w:sz w:val="20"/>
                <w:szCs w:val="20"/>
                <w:lang w:eastAsia="en-AU"/>
              </w:rPr>
              <w:t>Direct market</w:t>
            </w:r>
          </w:p>
        </w:tc>
        <w:tc>
          <w:tcPr>
            <w:tcW w:w="780" w:type="pct"/>
            <w:tcBorders>
              <w:top w:val="nil"/>
              <w:left w:val="nil"/>
              <w:bottom w:val="nil"/>
              <w:right w:val="nil"/>
            </w:tcBorders>
            <w:shd w:val="clear" w:color="000000" w:fill="0093D0"/>
            <w:vAlign w:val="bottom"/>
            <w:hideMark/>
          </w:tcPr>
          <w:p w:rsidR="009174CB" w:rsidRPr="002E0D08" w:rsidRDefault="009174CB" w:rsidP="007973ED">
            <w:pPr>
              <w:spacing w:after="0" w:line="240" w:lineRule="auto"/>
              <w:jc w:val="right"/>
              <w:rPr>
                <w:rFonts w:ascii="Calibri" w:eastAsia="Times New Roman" w:hAnsi="Calibri" w:cs="Times New Roman"/>
                <w:b/>
                <w:bCs/>
                <w:color w:val="FFFFFF"/>
                <w:sz w:val="20"/>
                <w:szCs w:val="20"/>
                <w:lang w:eastAsia="en-AU"/>
              </w:rPr>
            </w:pPr>
            <w:r w:rsidRPr="002E0D08">
              <w:rPr>
                <w:rFonts w:ascii="Calibri" w:eastAsia="Times New Roman" w:hAnsi="Calibri" w:cs="Times New Roman"/>
                <w:b/>
                <w:bCs/>
                <w:color w:val="FFFFFF"/>
                <w:sz w:val="20"/>
                <w:szCs w:val="20"/>
                <w:lang w:eastAsia="en-AU"/>
              </w:rPr>
              <w:t>Indirect &amp; non-market</w:t>
            </w:r>
          </w:p>
        </w:tc>
        <w:tc>
          <w:tcPr>
            <w:tcW w:w="780" w:type="pct"/>
            <w:tcBorders>
              <w:top w:val="nil"/>
              <w:left w:val="nil"/>
              <w:bottom w:val="nil"/>
              <w:right w:val="nil"/>
            </w:tcBorders>
            <w:shd w:val="clear" w:color="000000" w:fill="0093D0"/>
            <w:vAlign w:val="bottom"/>
            <w:hideMark/>
          </w:tcPr>
          <w:p w:rsidR="009174CB" w:rsidRPr="002E0D08" w:rsidRDefault="009174CB" w:rsidP="007973ED">
            <w:pPr>
              <w:spacing w:after="0" w:line="240" w:lineRule="auto"/>
              <w:jc w:val="right"/>
              <w:rPr>
                <w:rFonts w:ascii="Calibri" w:eastAsia="Times New Roman" w:hAnsi="Calibri" w:cs="Times New Roman"/>
                <w:b/>
                <w:bCs/>
                <w:color w:val="FFFFFF"/>
                <w:sz w:val="20"/>
                <w:szCs w:val="20"/>
                <w:lang w:eastAsia="en-AU"/>
              </w:rPr>
            </w:pPr>
            <w:r w:rsidRPr="002E0D08">
              <w:rPr>
                <w:rFonts w:ascii="Calibri" w:eastAsia="Times New Roman" w:hAnsi="Calibri" w:cs="Times New Roman"/>
                <w:b/>
                <w:bCs/>
                <w:color w:val="FFFFFF"/>
                <w:sz w:val="20"/>
                <w:szCs w:val="20"/>
                <w:lang w:eastAsia="en-AU"/>
              </w:rPr>
              <w:t>Total</w:t>
            </w:r>
          </w:p>
          <w:p w:rsidR="009174CB" w:rsidRPr="002E0D08" w:rsidRDefault="009174CB" w:rsidP="007973ED">
            <w:pPr>
              <w:spacing w:after="0" w:line="240" w:lineRule="auto"/>
              <w:jc w:val="right"/>
              <w:rPr>
                <w:rFonts w:ascii="Calibri" w:eastAsia="Times New Roman" w:hAnsi="Calibri" w:cs="Times New Roman"/>
                <w:b/>
                <w:bCs/>
                <w:color w:val="FFFFFF"/>
                <w:sz w:val="20"/>
                <w:szCs w:val="20"/>
                <w:lang w:eastAsia="en-AU"/>
              </w:rPr>
            </w:pPr>
            <w:r w:rsidRPr="002E0D08">
              <w:rPr>
                <w:rFonts w:ascii="Calibri" w:eastAsia="Times New Roman" w:hAnsi="Calibri" w:cs="Times New Roman"/>
                <w:b/>
                <w:bCs/>
                <w:color w:val="FFFFFF"/>
                <w:sz w:val="20"/>
                <w:szCs w:val="20"/>
                <w:lang w:eastAsia="en-AU"/>
              </w:rPr>
              <w:t>(central)</w:t>
            </w:r>
          </w:p>
        </w:tc>
        <w:tc>
          <w:tcPr>
            <w:tcW w:w="780" w:type="pct"/>
            <w:tcBorders>
              <w:top w:val="nil"/>
              <w:left w:val="nil"/>
              <w:bottom w:val="nil"/>
              <w:right w:val="nil"/>
            </w:tcBorders>
            <w:shd w:val="clear" w:color="000000" w:fill="0093D0"/>
            <w:vAlign w:val="bottom"/>
          </w:tcPr>
          <w:p w:rsidR="009174CB" w:rsidRPr="002E0D08" w:rsidRDefault="009174CB" w:rsidP="009174CB">
            <w:pPr>
              <w:spacing w:after="0" w:line="240" w:lineRule="auto"/>
              <w:jc w:val="right"/>
              <w:rPr>
                <w:rFonts w:ascii="Calibri" w:eastAsia="Times New Roman" w:hAnsi="Calibri" w:cs="Times New Roman"/>
                <w:b/>
                <w:bCs/>
                <w:color w:val="FFFFFF"/>
                <w:sz w:val="20"/>
                <w:szCs w:val="20"/>
                <w:lang w:eastAsia="en-AU"/>
              </w:rPr>
            </w:pPr>
            <w:r w:rsidRPr="002E0D08">
              <w:rPr>
                <w:rFonts w:ascii="Calibri" w:eastAsia="Times New Roman" w:hAnsi="Calibri" w:cs="Times New Roman"/>
                <w:b/>
                <w:bCs/>
                <w:color w:val="FFFFFF"/>
                <w:sz w:val="20"/>
                <w:szCs w:val="20"/>
                <w:lang w:eastAsia="en-AU"/>
              </w:rPr>
              <w:t>Total</w:t>
            </w:r>
          </w:p>
          <w:p w:rsidR="009174CB" w:rsidRPr="002E0D08" w:rsidRDefault="009174CB" w:rsidP="009174CB">
            <w:pPr>
              <w:spacing w:after="0" w:line="240" w:lineRule="auto"/>
              <w:jc w:val="right"/>
              <w:rPr>
                <w:rFonts w:ascii="Calibri" w:eastAsia="Times New Roman" w:hAnsi="Calibri" w:cs="Times New Roman"/>
                <w:b/>
                <w:bCs/>
                <w:color w:val="FFFFFF"/>
                <w:sz w:val="20"/>
                <w:szCs w:val="20"/>
                <w:lang w:eastAsia="en-AU"/>
              </w:rPr>
            </w:pPr>
            <w:r w:rsidRPr="002E0D08">
              <w:rPr>
                <w:rFonts w:ascii="Calibri" w:eastAsia="Times New Roman" w:hAnsi="Calibri" w:cs="Times New Roman"/>
                <w:b/>
                <w:bCs/>
                <w:color w:val="FFFFFF"/>
                <w:sz w:val="20"/>
                <w:szCs w:val="20"/>
                <w:lang w:eastAsia="en-AU"/>
              </w:rPr>
              <w:t>(low)</w:t>
            </w:r>
          </w:p>
        </w:tc>
        <w:tc>
          <w:tcPr>
            <w:tcW w:w="780" w:type="pct"/>
            <w:tcBorders>
              <w:top w:val="nil"/>
              <w:left w:val="nil"/>
              <w:bottom w:val="nil"/>
              <w:right w:val="nil"/>
            </w:tcBorders>
            <w:shd w:val="clear" w:color="000000" w:fill="0093D0"/>
            <w:vAlign w:val="bottom"/>
          </w:tcPr>
          <w:p w:rsidR="009174CB" w:rsidRPr="002E0D08" w:rsidRDefault="009174CB" w:rsidP="009174CB">
            <w:pPr>
              <w:spacing w:after="0" w:line="240" w:lineRule="auto"/>
              <w:jc w:val="right"/>
              <w:rPr>
                <w:rFonts w:ascii="Calibri" w:eastAsia="Times New Roman" w:hAnsi="Calibri" w:cs="Times New Roman"/>
                <w:b/>
                <w:bCs/>
                <w:color w:val="FFFFFF"/>
                <w:sz w:val="20"/>
                <w:szCs w:val="20"/>
                <w:lang w:eastAsia="en-AU"/>
              </w:rPr>
            </w:pPr>
            <w:r w:rsidRPr="002E0D08">
              <w:rPr>
                <w:rFonts w:ascii="Calibri" w:eastAsia="Times New Roman" w:hAnsi="Calibri" w:cs="Times New Roman"/>
                <w:b/>
                <w:bCs/>
                <w:color w:val="FFFFFF"/>
                <w:sz w:val="20"/>
                <w:szCs w:val="20"/>
                <w:lang w:eastAsia="en-AU"/>
              </w:rPr>
              <w:t>Total</w:t>
            </w:r>
          </w:p>
          <w:p w:rsidR="009174CB" w:rsidRPr="002E0D08" w:rsidRDefault="009174CB" w:rsidP="009174CB">
            <w:pPr>
              <w:spacing w:after="0" w:line="240" w:lineRule="auto"/>
              <w:jc w:val="right"/>
              <w:rPr>
                <w:rFonts w:ascii="Calibri" w:eastAsia="Times New Roman" w:hAnsi="Calibri" w:cs="Times New Roman"/>
                <w:b/>
                <w:bCs/>
                <w:color w:val="FFFFFF"/>
                <w:sz w:val="20"/>
                <w:szCs w:val="20"/>
                <w:lang w:eastAsia="en-AU"/>
              </w:rPr>
            </w:pPr>
            <w:r w:rsidRPr="002E0D08">
              <w:rPr>
                <w:rFonts w:ascii="Calibri" w:eastAsia="Times New Roman" w:hAnsi="Calibri" w:cs="Times New Roman"/>
                <w:b/>
                <w:bCs/>
                <w:color w:val="FFFFFF"/>
                <w:sz w:val="20"/>
                <w:szCs w:val="20"/>
                <w:lang w:eastAsia="en-AU"/>
              </w:rPr>
              <w:t>(high)</w:t>
            </w:r>
          </w:p>
        </w:tc>
      </w:tr>
      <w:tr w:rsidR="007A144B" w:rsidRPr="002E0D08" w:rsidTr="00350226">
        <w:trPr>
          <w:trHeight w:hRule="exact" w:val="510"/>
        </w:trPr>
        <w:tc>
          <w:tcPr>
            <w:tcW w:w="1100" w:type="pct"/>
            <w:tcBorders>
              <w:top w:val="nil"/>
              <w:left w:val="nil"/>
              <w:bottom w:val="single" w:sz="4" w:space="0" w:color="0093D0"/>
              <w:right w:val="nil"/>
            </w:tcBorders>
            <w:shd w:val="clear" w:color="auto" w:fill="auto"/>
            <w:noWrap/>
            <w:vAlign w:val="bottom"/>
            <w:hideMark/>
          </w:tcPr>
          <w:p w:rsidR="007A144B" w:rsidRPr="002E0D08" w:rsidRDefault="007A144B" w:rsidP="00D92BDB">
            <w:pPr>
              <w:spacing w:after="0" w:line="240" w:lineRule="auto"/>
              <w:rPr>
                <w:rFonts w:ascii="Calibri" w:eastAsia="Times New Roman" w:hAnsi="Calibri" w:cs="Times New Roman"/>
                <w:b/>
                <w:bCs/>
                <w:color w:val="000000"/>
                <w:sz w:val="20"/>
                <w:szCs w:val="20"/>
                <w:lang w:eastAsia="en-AU"/>
              </w:rPr>
            </w:pPr>
            <w:r w:rsidRPr="002E0D08">
              <w:rPr>
                <w:rFonts w:ascii="Calibri" w:eastAsia="Times New Roman" w:hAnsi="Calibri" w:cs="Times New Roman"/>
                <w:b/>
                <w:bCs/>
                <w:color w:val="000000"/>
                <w:sz w:val="20"/>
                <w:szCs w:val="20"/>
                <w:lang w:eastAsia="en-AU"/>
              </w:rPr>
              <w:t>New South Wales</w:t>
            </w:r>
          </w:p>
        </w:tc>
        <w:tc>
          <w:tcPr>
            <w:tcW w:w="780" w:type="pct"/>
            <w:tcBorders>
              <w:top w:val="nil"/>
              <w:left w:val="nil"/>
              <w:bottom w:val="single" w:sz="4" w:space="0" w:color="0093D0"/>
              <w:right w:val="nil"/>
            </w:tcBorders>
            <w:shd w:val="clear" w:color="auto" w:fill="auto"/>
            <w:noWrap/>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537.0 </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56.0</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b/>
                <w:color w:val="000000"/>
                <w:sz w:val="20"/>
                <w:szCs w:val="20"/>
                <w:lang w:eastAsia="en-AU"/>
              </w:rPr>
            </w:pPr>
            <w:r w:rsidRPr="002E0D08">
              <w:rPr>
                <w:rFonts w:ascii="Calibri" w:eastAsia="Times New Roman" w:hAnsi="Calibri" w:cs="Times New Roman"/>
                <w:b/>
                <w:color w:val="000000"/>
                <w:sz w:val="20"/>
                <w:szCs w:val="20"/>
                <w:lang w:eastAsia="en-AU"/>
              </w:rPr>
              <w:t xml:space="preserve">           593.0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428.7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783.2 </w:t>
            </w:r>
          </w:p>
        </w:tc>
      </w:tr>
      <w:tr w:rsidR="007A144B" w:rsidRPr="002E0D08" w:rsidTr="00350226">
        <w:trPr>
          <w:trHeight w:hRule="exact" w:val="510"/>
        </w:trPr>
        <w:tc>
          <w:tcPr>
            <w:tcW w:w="1100" w:type="pct"/>
            <w:tcBorders>
              <w:top w:val="nil"/>
              <w:left w:val="nil"/>
              <w:bottom w:val="single" w:sz="4" w:space="0" w:color="0093D0"/>
              <w:right w:val="nil"/>
            </w:tcBorders>
            <w:shd w:val="clear" w:color="auto" w:fill="auto"/>
            <w:noWrap/>
            <w:vAlign w:val="bottom"/>
            <w:hideMark/>
          </w:tcPr>
          <w:p w:rsidR="007A144B" w:rsidRPr="002E0D08" w:rsidRDefault="007A144B" w:rsidP="00D92BDB">
            <w:pPr>
              <w:spacing w:after="0" w:line="240" w:lineRule="auto"/>
              <w:rPr>
                <w:rFonts w:ascii="Calibri" w:eastAsia="Times New Roman" w:hAnsi="Calibri" w:cs="Times New Roman"/>
                <w:b/>
                <w:bCs/>
                <w:color w:val="000000"/>
                <w:sz w:val="20"/>
                <w:szCs w:val="20"/>
                <w:lang w:eastAsia="en-AU"/>
              </w:rPr>
            </w:pPr>
            <w:r w:rsidRPr="002E0D08">
              <w:rPr>
                <w:rFonts w:ascii="Calibri" w:eastAsia="Times New Roman" w:hAnsi="Calibri" w:cs="Times New Roman"/>
                <w:b/>
                <w:bCs/>
                <w:color w:val="000000"/>
                <w:sz w:val="20"/>
                <w:szCs w:val="20"/>
                <w:lang w:eastAsia="en-AU"/>
              </w:rPr>
              <w:t>Victoria</w:t>
            </w:r>
          </w:p>
        </w:tc>
        <w:tc>
          <w:tcPr>
            <w:tcW w:w="780" w:type="pct"/>
            <w:tcBorders>
              <w:top w:val="nil"/>
              <w:left w:val="nil"/>
              <w:bottom w:val="single" w:sz="4" w:space="0" w:color="0093D0"/>
              <w:right w:val="nil"/>
            </w:tcBorders>
            <w:shd w:val="clear" w:color="auto" w:fill="auto"/>
            <w:noWrap/>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338.9 </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40.4</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b/>
                <w:color w:val="000000"/>
                <w:sz w:val="20"/>
                <w:szCs w:val="20"/>
                <w:lang w:eastAsia="en-AU"/>
              </w:rPr>
            </w:pPr>
            <w:r w:rsidRPr="002E0D08">
              <w:rPr>
                <w:rFonts w:ascii="Calibri" w:eastAsia="Times New Roman" w:hAnsi="Calibri" w:cs="Times New Roman"/>
                <w:b/>
                <w:color w:val="000000"/>
                <w:sz w:val="20"/>
                <w:szCs w:val="20"/>
                <w:lang w:eastAsia="en-AU"/>
              </w:rPr>
              <w:t xml:space="preserve">           379.2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273.4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500.2 </w:t>
            </w:r>
          </w:p>
        </w:tc>
      </w:tr>
      <w:tr w:rsidR="007A144B" w:rsidRPr="002E0D08" w:rsidTr="00350226">
        <w:trPr>
          <w:trHeight w:hRule="exact" w:val="510"/>
        </w:trPr>
        <w:tc>
          <w:tcPr>
            <w:tcW w:w="1100" w:type="pct"/>
            <w:tcBorders>
              <w:top w:val="nil"/>
              <w:left w:val="nil"/>
              <w:bottom w:val="single" w:sz="4" w:space="0" w:color="0093D0"/>
              <w:right w:val="nil"/>
            </w:tcBorders>
            <w:shd w:val="clear" w:color="auto" w:fill="auto"/>
            <w:noWrap/>
            <w:vAlign w:val="bottom"/>
            <w:hideMark/>
          </w:tcPr>
          <w:p w:rsidR="007A144B" w:rsidRPr="002E0D08" w:rsidRDefault="007A144B" w:rsidP="00D92BDB">
            <w:pPr>
              <w:spacing w:after="0" w:line="240" w:lineRule="auto"/>
              <w:rPr>
                <w:rFonts w:ascii="Calibri" w:eastAsia="Times New Roman" w:hAnsi="Calibri" w:cs="Times New Roman"/>
                <w:b/>
                <w:bCs/>
                <w:color w:val="000000"/>
                <w:sz w:val="20"/>
                <w:szCs w:val="20"/>
                <w:lang w:eastAsia="en-AU"/>
              </w:rPr>
            </w:pPr>
            <w:r w:rsidRPr="002E0D08">
              <w:rPr>
                <w:rFonts w:ascii="Calibri" w:eastAsia="Times New Roman" w:hAnsi="Calibri" w:cs="Times New Roman"/>
                <w:b/>
                <w:bCs/>
                <w:color w:val="000000"/>
                <w:sz w:val="20"/>
                <w:szCs w:val="20"/>
                <w:lang w:eastAsia="en-AU"/>
              </w:rPr>
              <w:t>Queensland</w:t>
            </w:r>
          </w:p>
        </w:tc>
        <w:tc>
          <w:tcPr>
            <w:tcW w:w="780" w:type="pct"/>
            <w:tcBorders>
              <w:top w:val="nil"/>
              <w:left w:val="nil"/>
              <w:bottom w:val="single" w:sz="4" w:space="0" w:color="0093D0"/>
              <w:right w:val="nil"/>
            </w:tcBorders>
            <w:shd w:val="clear" w:color="auto" w:fill="auto"/>
            <w:noWrap/>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700.6 </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51.0</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b/>
                <w:color w:val="000000"/>
                <w:sz w:val="20"/>
                <w:szCs w:val="20"/>
                <w:lang w:eastAsia="en-AU"/>
              </w:rPr>
            </w:pPr>
            <w:r w:rsidRPr="002E0D08">
              <w:rPr>
                <w:rFonts w:ascii="Calibri" w:eastAsia="Times New Roman" w:hAnsi="Calibri" w:cs="Times New Roman"/>
                <w:b/>
                <w:color w:val="000000"/>
                <w:sz w:val="20"/>
                <w:szCs w:val="20"/>
                <w:lang w:eastAsia="en-AU"/>
              </w:rPr>
              <w:t xml:space="preserve">           751.6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549.4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974.5 </w:t>
            </w:r>
          </w:p>
        </w:tc>
      </w:tr>
      <w:tr w:rsidR="007A144B" w:rsidRPr="002E0D08" w:rsidTr="00350226">
        <w:trPr>
          <w:trHeight w:hRule="exact" w:val="510"/>
        </w:trPr>
        <w:tc>
          <w:tcPr>
            <w:tcW w:w="1100" w:type="pct"/>
            <w:tcBorders>
              <w:top w:val="nil"/>
              <w:left w:val="nil"/>
              <w:bottom w:val="single" w:sz="4" w:space="0" w:color="0093D0"/>
              <w:right w:val="nil"/>
            </w:tcBorders>
            <w:shd w:val="clear" w:color="auto" w:fill="auto"/>
            <w:noWrap/>
            <w:vAlign w:val="bottom"/>
            <w:hideMark/>
          </w:tcPr>
          <w:p w:rsidR="007A144B" w:rsidRPr="002E0D08" w:rsidRDefault="007A144B" w:rsidP="00D92BDB">
            <w:pPr>
              <w:spacing w:after="0" w:line="240" w:lineRule="auto"/>
              <w:rPr>
                <w:rFonts w:ascii="Calibri" w:eastAsia="Times New Roman" w:hAnsi="Calibri" w:cs="Times New Roman"/>
                <w:b/>
                <w:bCs/>
                <w:color w:val="000000"/>
                <w:sz w:val="20"/>
                <w:szCs w:val="20"/>
                <w:lang w:eastAsia="en-AU"/>
              </w:rPr>
            </w:pPr>
            <w:r w:rsidRPr="002E0D08">
              <w:rPr>
                <w:rFonts w:ascii="Calibri" w:eastAsia="Times New Roman" w:hAnsi="Calibri" w:cs="Times New Roman"/>
                <w:b/>
                <w:bCs/>
                <w:color w:val="000000"/>
                <w:sz w:val="20"/>
                <w:szCs w:val="20"/>
                <w:lang w:eastAsia="en-AU"/>
              </w:rPr>
              <w:t>South Australia</w:t>
            </w:r>
          </w:p>
        </w:tc>
        <w:tc>
          <w:tcPr>
            <w:tcW w:w="780" w:type="pct"/>
            <w:tcBorders>
              <w:top w:val="nil"/>
              <w:left w:val="nil"/>
              <w:bottom w:val="single" w:sz="4" w:space="0" w:color="0093D0"/>
              <w:right w:val="nil"/>
            </w:tcBorders>
            <w:shd w:val="clear" w:color="auto" w:fill="auto"/>
            <w:noWrap/>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299.0 </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21.6</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b/>
                <w:color w:val="000000"/>
                <w:sz w:val="20"/>
                <w:szCs w:val="20"/>
                <w:lang w:eastAsia="en-AU"/>
              </w:rPr>
            </w:pPr>
            <w:r w:rsidRPr="002E0D08">
              <w:rPr>
                <w:rFonts w:ascii="Calibri" w:eastAsia="Times New Roman" w:hAnsi="Calibri" w:cs="Times New Roman"/>
                <w:b/>
                <w:color w:val="000000"/>
                <w:sz w:val="20"/>
                <w:szCs w:val="20"/>
                <w:lang w:eastAsia="en-AU"/>
              </w:rPr>
              <w:t xml:space="preserve">           320.5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234.9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411.0 </w:t>
            </w:r>
          </w:p>
        </w:tc>
      </w:tr>
      <w:tr w:rsidR="007A144B" w:rsidRPr="002E0D08" w:rsidTr="00350226">
        <w:trPr>
          <w:trHeight w:hRule="exact" w:val="510"/>
        </w:trPr>
        <w:tc>
          <w:tcPr>
            <w:tcW w:w="1100" w:type="pct"/>
            <w:tcBorders>
              <w:top w:val="nil"/>
              <w:left w:val="nil"/>
              <w:bottom w:val="single" w:sz="4" w:space="0" w:color="0093D0"/>
              <w:right w:val="nil"/>
            </w:tcBorders>
            <w:shd w:val="clear" w:color="auto" w:fill="auto"/>
            <w:noWrap/>
            <w:vAlign w:val="bottom"/>
            <w:hideMark/>
          </w:tcPr>
          <w:p w:rsidR="007A144B" w:rsidRPr="002E0D08" w:rsidRDefault="007A144B" w:rsidP="00D92BDB">
            <w:pPr>
              <w:spacing w:after="0" w:line="240" w:lineRule="auto"/>
              <w:rPr>
                <w:rFonts w:ascii="Calibri" w:eastAsia="Times New Roman" w:hAnsi="Calibri" w:cs="Times New Roman"/>
                <w:b/>
                <w:bCs/>
                <w:color w:val="000000"/>
                <w:sz w:val="20"/>
                <w:szCs w:val="20"/>
                <w:lang w:eastAsia="en-AU"/>
              </w:rPr>
            </w:pPr>
            <w:r w:rsidRPr="002E0D08">
              <w:rPr>
                <w:rFonts w:ascii="Calibri" w:eastAsia="Times New Roman" w:hAnsi="Calibri" w:cs="Times New Roman"/>
                <w:b/>
                <w:bCs/>
                <w:color w:val="000000"/>
                <w:sz w:val="20"/>
                <w:szCs w:val="20"/>
                <w:lang w:eastAsia="en-AU"/>
              </w:rPr>
              <w:t>Western Australia</w:t>
            </w:r>
          </w:p>
        </w:tc>
        <w:tc>
          <w:tcPr>
            <w:tcW w:w="780" w:type="pct"/>
            <w:tcBorders>
              <w:top w:val="nil"/>
              <w:left w:val="nil"/>
              <w:bottom w:val="single" w:sz="4" w:space="0" w:color="0093D0"/>
              <w:right w:val="nil"/>
            </w:tcBorders>
            <w:shd w:val="clear" w:color="auto" w:fill="auto"/>
            <w:noWrap/>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248.3 </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20.2</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b/>
                <w:color w:val="000000"/>
                <w:sz w:val="20"/>
                <w:szCs w:val="20"/>
                <w:lang w:eastAsia="en-AU"/>
              </w:rPr>
            </w:pPr>
            <w:r w:rsidRPr="002E0D08">
              <w:rPr>
                <w:rFonts w:ascii="Calibri" w:eastAsia="Times New Roman" w:hAnsi="Calibri" w:cs="Times New Roman"/>
                <w:b/>
                <w:color w:val="000000"/>
                <w:sz w:val="20"/>
                <w:szCs w:val="20"/>
                <w:lang w:eastAsia="en-AU"/>
              </w:rPr>
              <w:t xml:space="preserve">           268.6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196.1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347.9 </w:t>
            </w:r>
          </w:p>
        </w:tc>
      </w:tr>
      <w:tr w:rsidR="007A144B" w:rsidRPr="002E0D08" w:rsidTr="00350226">
        <w:trPr>
          <w:trHeight w:hRule="exact" w:val="510"/>
        </w:trPr>
        <w:tc>
          <w:tcPr>
            <w:tcW w:w="1100" w:type="pct"/>
            <w:tcBorders>
              <w:top w:val="nil"/>
              <w:left w:val="nil"/>
              <w:bottom w:val="single" w:sz="4" w:space="0" w:color="0093D0"/>
              <w:right w:val="nil"/>
            </w:tcBorders>
            <w:shd w:val="clear" w:color="auto" w:fill="auto"/>
            <w:noWrap/>
            <w:vAlign w:val="bottom"/>
            <w:hideMark/>
          </w:tcPr>
          <w:p w:rsidR="007A144B" w:rsidRPr="002E0D08" w:rsidRDefault="007A144B" w:rsidP="00D92BDB">
            <w:pPr>
              <w:spacing w:after="0" w:line="240" w:lineRule="auto"/>
              <w:rPr>
                <w:rFonts w:ascii="Calibri" w:eastAsia="Times New Roman" w:hAnsi="Calibri" w:cs="Times New Roman"/>
                <w:b/>
                <w:bCs/>
                <w:color w:val="000000"/>
                <w:sz w:val="20"/>
                <w:szCs w:val="20"/>
                <w:lang w:eastAsia="en-AU"/>
              </w:rPr>
            </w:pPr>
            <w:r w:rsidRPr="002E0D08">
              <w:rPr>
                <w:rFonts w:ascii="Calibri" w:eastAsia="Times New Roman" w:hAnsi="Calibri" w:cs="Times New Roman"/>
                <w:b/>
                <w:bCs/>
                <w:color w:val="000000"/>
                <w:sz w:val="20"/>
                <w:szCs w:val="20"/>
                <w:lang w:eastAsia="en-AU"/>
              </w:rPr>
              <w:t>Tasmania</w:t>
            </w:r>
          </w:p>
        </w:tc>
        <w:tc>
          <w:tcPr>
            <w:tcW w:w="780" w:type="pct"/>
            <w:tcBorders>
              <w:top w:val="nil"/>
              <w:left w:val="nil"/>
              <w:bottom w:val="single" w:sz="4" w:space="0" w:color="0093D0"/>
              <w:right w:val="nil"/>
            </w:tcBorders>
            <w:shd w:val="clear" w:color="auto" w:fill="auto"/>
            <w:noWrap/>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56.0 </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7.2</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b/>
                <w:color w:val="000000"/>
                <w:sz w:val="20"/>
                <w:szCs w:val="20"/>
                <w:lang w:eastAsia="en-AU"/>
              </w:rPr>
            </w:pPr>
            <w:r w:rsidRPr="002E0D08">
              <w:rPr>
                <w:rFonts w:ascii="Calibri" w:eastAsia="Times New Roman" w:hAnsi="Calibri" w:cs="Times New Roman"/>
                <w:b/>
                <w:color w:val="000000"/>
                <w:sz w:val="20"/>
                <w:szCs w:val="20"/>
                <w:lang w:eastAsia="en-AU"/>
              </w:rPr>
              <w:t xml:space="preserve">              63.2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45.7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82.2 </w:t>
            </w:r>
          </w:p>
        </w:tc>
      </w:tr>
      <w:tr w:rsidR="007A144B" w:rsidRPr="002E0D08" w:rsidTr="00350226">
        <w:trPr>
          <w:trHeight w:hRule="exact" w:val="510"/>
        </w:trPr>
        <w:tc>
          <w:tcPr>
            <w:tcW w:w="1100" w:type="pct"/>
            <w:tcBorders>
              <w:top w:val="nil"/>
              <w:left w:val="nil"/>
              <w:bottom w:val="single" w:sz="4" w:space="0" w:color="0093D0"/>
              <w:right w:val="nil"/>
            </w:tcBorders>
            <w:shd w:val="clear" w:color="auto" w:fill="auto"/>
            <w:noWrap/>
            <w:vAlign w:val="bottom"/>
            <w:hideMark/>
          </w:tcPr>
          <w:p w:rsidR="007A144B" w:rsidRPr="002E0D08" w:rsidRDefault="007A144B" w:rsidP="00D92BDB">
            <w:pPr>
              <w:spacing w:after="0" w:line="240" w:lineRule="auto"/>
              <w:rPr>
                <w:rFonts w:ascii="Calibri" w:eastAsia="Times New Roman" w:hAnsi="Calibri" w:cs="Times New Roman"/>
                <w:b/>
                <w:bCs/>
                <w:color w:val="000000"/>
                <w:sz w:val="20"/>
                <w:szCs w:val="20"/>
                <w:lang w:eastAsia="en-AU"/>
              </w:rPr>
            </w:pPr>
            <w:r w:rsidRPr="002E0D08">
              <w:rPr>
                <w:rFonts w:ascii="Calibri" w:eastAsia="Times New Roman" w:hAnsi="Calibri" w:cs="Times New Roman"/>
                <w:b/>
                <w:bCs/>
                <w:color w:val="000000"/>
                <w:sz w:val="20"/>
                <w:szCs w:val="20"/>
                <w:lang w:eastAsia="en-AU"/>
              </w:rPr>
              <w:t>Northern Territory</w:t>
            </w:r>
          </w:p>
        </w:tc>
        <w:tc>
          <w:tcPr>
            <w:tcW w:w="780" w:type="pct"/>
            <w:tcBorders>
              <w:top w:val="nil"/>
              <w:left w:val="nil"/>
              <w:bottom w:val="single" w:sz="4" w:space="0" w:color="0093D0"/>
              <w:right w:val="nil"/>
            </w:tcBorders>
            <w:shd w:val="clear" w:color="auto" w:fill="auto"/>
            <w:noWrap/>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8.8 </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2.2</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b/>
                <w:color w:val="000000"/>
                <w:sz w:val="20"/>
                <w:szCs w:val="20"/>
                <w:lang w:eastAsia="en-AU"/>
              </w:rPr>
            </w:pPr>
            <w:r w:rsidRPr="002E0D08">
              <w:rPr>
                <w:rFonts w:ascii="Calibri" w:eastAsia="Times New Roman" w:hAnsi="Calibri" w:cs="Times New Roman"/>
                <w:b/>
                <w:color w:val="000000"/>
                <w:sz w:val="20"/>
                <w:szCs w:val="20"/>
                <w:lang w:eastAsia="en-AU"/>
              </w:rPr>
              <w:t xml:space="preserve">              11.0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7.8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14.5 </w:t>
            </w:r>
          </w:p>
        </w:tc>
      </w:tr>
      <w:tr w:rsidR="007A144B" w:rsidRPr="002E0D08" w:rsidTr="00350226">
        <w:trPr>
          <w:trHeight w:hRule="exact" w:val="510"/>
        </w:trPr>
        <w:tc>
          <w:tcPr>
            <w:tcW w:w="1100" w:type="pct"/>
            <w:tcBorders>
              <w:top w:val="nil"/>
              <w:left w:val="nil"/>
              <w:bottom w:val="single" w:sz="4" w:space="0" w:color="0093D0"/>
              <w:right w:val="nil"/>
            </w:tcBorders>
            <w:shd w:val="clear" w:color="auto" w:fill="auto"/>
            <w:noWrap/>
            <w:vAlign w:val="bottom"/>
            <w:hideMark/>
          </w:tcPr>
          <w:p w:rsidR="007A144B" w:rsidRPr="002E0D08" w:rsidRDefault="007A144B" w:rsidP="00D92BDB">
            <w:pPr>
              <w:spacing w:after="0" w:line="240" w:lineRule="auto"/>
              <w:rPr>
                <w:rFonts w:ascii="Calibri" w:eastAsia="Times New Roman" w:hAnsi="Calibri" w:cs="Times New Roman"/>
                <w:b/>
                <w:bCs/>
                <w:color w:val="000000"/>
                <w:sz w:val="20"/>
                <w:szCs w:val="20"/>
                <w:lang w:eastAsia="en-AU"/>
              </w:rPr>
            </w:pPr>
            <w:r w:rsidRPr="002E0D08">
              <w:rPr>
                <w:rFonts w:ascii="Calibri" w:eastAsia="Times New Roman" w:hAnsi="Calibri" w:cs="Times New Roman"/>
                <w:b/>
                <w:bCs/>
                <w:color w:val="000000"/>
                <w:sz w:val="20"/>
                <w:szCs w:val="20"/>
                <w:lang w:eastAsia="en-AU"/>
              </w:rPr>
              <w:t>ACT</w:t>
            </w:r>
          </w:p>
        </w:tc>
        <w:tc>
          <w:tcPr>
            <w:tcW w:w="780" w:type="pct"/>
            <w:tcBorders>
              <w:top w:val="nil"/>
              <w:left w:val="nil"/>
              <w:bottom w:val="single" w:sz="4" w:space="0" w:color="0093D0"/>
              <w:right w:val="nil"/>
            </w:tcBorders>
            <w:shd w:val="clear" w:color="auto" w:fill="auto"/>
            <w:noWrap/>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27.9 </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2.2</w:t>
            </w:r>
          </w:p>
        </w:tc>
        <w:tc>
          <w:tcPr>
            <w:tcW w:w="780" w:type="pct"/>
            <w:tcBorders>
              <w:top w:val="nil"/>
              <w:left w:val="nil"/>
              <w:bottom w:val="single" w:sz="4" w:space="0" w:color="0093D0"/>
              <w:right w:val="nil"/>
            </w:tcBorders>
            <w:shd w:val="clear" w:color="auto" w:fill="auto"/>
            <w:noWrap/>
            <w:vAlign w:val="bottom"/>
            <w:hideMark/>
          </w:tcPr>
          <w:p w:rsidR="007A144B" w:rsidRPr="002E0D08" w:rsidRDefault="007A144B" w:rsidP="007A144B">
            <w:pPr>
              <w:spacing w:after="0" w:line="240" w:lineRule="auto"/>
              <w:jc w:val="right"/>
              <w:rPr>
                <w:rFonts w:ascii="Calibri" w:eastAsia="Times New Roman" w:hAnsi="Calibri" w:cs="Times New Roman"/>
                <w:b/>
                <w:color w:val="000000"/>
                <w:sz w:val="20"/>
                <w:szCs w:val="20"/>
                <w:lang w:eastAsia="en-AU"/>
              </w:rPr>
            </w:pPr>
            <w:r w:rsidRPr="002E0D08">
              <w:rPr>
                <w:rFonts w:ascii="Calibri" w:eastAsia="Times New Roman" w:hAnsi="Calibri" w:cs="Times New Roman"/>
                <w:b/>
                <w:color w:val="000000"/>
                <w:sz w:val="20"/>
                <w:szCs w:val="20"/>
                <w:lang w:eastAsia="en-AU"/>
              </w:rPr>
              <w:t xml:space="preserve">              30.2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22.0 </w:t>
            </w:r>
          </w:p>
        </w:tc>
        <w:tc>
          <w:tcPr>
            <w:tcW w:w="780" w:type="pct"/>
            <w:tcBorders>
              <w:top w:val="nil"/>
              <w:left w:val="nil"/>
              <w:bottom w:val="single" w:sz="4" w:space="0" w:color="0093D0"/>
              <w:right w:val="nil"/>
            </w:tcBorders>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39.7 </w:t>
            </w:r>
          </w:p>
        </w:tc>
      </w:tr>
      <w:tr w:rsidR="007A144B" w:rsidRPr="002E0D08" w:rsidTr="00350226">
        <w:trPr>
          <w:trHeight w:hRule="exact" w:val="510"/>
        </w:trPr>
        <w:tc>
          <w:tcPr>
            <w:tcW w:w="1100" w:type="pct"/>
            <w:tcBorders>
              <w:top w:val="nil"/>
              <w:left w:val="nil"/>
              <w:bottom w:val="single" w:sz="8" w:space="0" w:color="0093D0"/>
              <w:right w:val="nil"/>
            </w:tcBorders>
            <w:shd w:val="clear" w:color="auto" w:fill="DBE5F1" w:themeFill="accent1" w:themeFillTint="33"/>
            <w:noWrap/>
            <w:vAlign w:val="bottom"/>
            <w:hideMark/>
          </w:tcPr>
          <w:p w:rsidR="007A144B" w:rsidRPr="002E0D08" w:rsidRDefault="007A144B" w:rsidP="00D92BDB">
            <w:pPr>
              <w:spacing w:after="0" w:line="240" w:lineRule="auto"/>
              <w:rPr>
                <w:rFonts w:ascii="Calibri" w:eastAsia="Times New Roman" w:hAnsi="Calibri" w:cs="Times New Roman"/>
                <w:b/>
                <w:bCs/>
                <w:color w:val="000000"/>
                <w:sz w:val="20"/>
                <w:szCs w:val="20"/>
                <w:lang w:eastAsia="en-AU"/>
              </w:rPr>
            </w:pPr>
            <w:r w:rsidRPr="002E0D08">
              <w:rPr>
                <w:rFonts w:ascii="Calibri" w:eastAsia="Times New Roman" w:hAnsi="Calibri" w:cs="Times New Roman"/>
                <w:b/>
                <w:bCs/>
                <w:color w:val="000000"/>
                <w:sz w:val="20"/>
                <w:szCs w:val="20"/>
                <w:lang w:eastAsia="en-AU"/>
              </w:rPr>
              <w:t>Australia</w:t>
            </w:r>
          </w:p>
        </w:tc>
        <w:tc>
          <w:tcPr>
            <w:tcW w:w="780" w:type="pct"/>
            <w:tcBorders>
              <w:top w:val="nil"/>
              <w:left w:val="nil"/>
              <w:bottom w:val="single" w:sz="8" w:space="0" w:color="0093D0"/>
              <w:right w:val="nil"/>
            </w:tcBorders>
            <w:shd w:val="clear" w:color="auto" w:fill="DBE5F1" w:themeFill="accent1" w:themeFillTint="33"/>
            <w:noWrap/>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2,216.5 </w:t>
            </w:r>
          </w:p>
        </w:tc>
        <w:tc>
          <w:tcPr>
            <w:tcW w:w="780" w:type="pct"/>
            <w:tcBorders>
              <w:top w:val="nil"/>
              <w:left w:val="nil"/>
              <w:bottom w:val="single" w:sz="8" w:space="0" w:color="0093D0"/>
              <w:right w:val="nil"/>
            </w:tcBorders>
            <w:shd w:val="clear" w:color="auto" w:fill="DBE5F1" w:themeFill="accent1" w:themeFillTint="33"/>
            <w:noWrap/>
            <w:vAlign w:val="bottom"/>
            <w:hideMark/>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200.7 </w:t>
            </w:r>
          </w:p>
        </w:tc>
        <w:tc>
          <w:tcPr>
            <w:tcW w:w="780" w:type="pct"/>
            <w:tcBorders>
              <w:top w:val="nil"/>
              <w:left w:val="nil"/>
              <w:bottom w:val="single" w:sz="8" w:space="0" w:color="0093D0"/>
              <w:right w:val="nil"/>
            </w:tcBorders>
            <w:shd w:val="clear" w:color="auto" w:fill="DBE5F1" w:themeFill="accent1" w:themeFillTint="33"/>
            <w:noWrap/>
            <w:vAlign w:val="bottom"/>
            <w:hideMark/>
          </w:tcPr>
          <w:p w:rsidR="007A144B" w:rsidRPr="002E0D08" w:rsidRDefault="007A144B" w:rsidP="007A144B">
            <w:pPr>
              <w:spacing w:after="0" w:line="240" w:lineRule="auto"/>
              <w:jc w:val="right"/>
              <w:rPr>
                <w:rFonts w:ascii="Calibri" w:eastAsia="Times New Roman" w:hAnsi="Calibri" w:cs="Times New Roman"/>
                <w:b/>
                <w:color w:val="000000"/>
                <w:sz w:val="20"/>
                <w:szCs w:val="20"/>
                <w:lang w:eastAsia="en-AU"/>
              </w:rPr>
            </w:pPr>
            <w:r w:rsidRPr="002E0D08">
              <w:rPr>
                <w:rFonts w:ascii="Calibri" w:eastAsia="Times New Roman" w:hAnsi="Calibri" w:cs="Times New Roman"/>
                <w:b/>
                <w:color w:val="000000"/>
                <w:sz w:val="20"/>
                <w:szCs w:val="20"/>
                <w:lang w:eastAsia="en-AU"/>
              </w:rPr>
              <w:t xml:space="preserve">        2,417.3 </w:t>
            </w:r>
          </w:p>
        </w:tc>
        <w:tc>
          <w:tcPr>
            <w:tcW w:w="780" w:type="pct"/>
            <w:tcBorders>
              <w:top w:val="nil"/>
              <w:left w:val="nil"/>
              <w:bottom w:val="single" w:sz="8" w:space="0" w:color="0093D0"/>
              <w:right w:val="nil"/>
            </w:tcBorders>
            <w:shd w:val="clear" w:color="auto" w:fill="DBE5F1" w:themeFill="accent1" w:themeFillTint="33"/>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1,758.0 </w:t>
            </w:r>
          </w:p>
        </w:tc>
        <w:tc>
          <w:tcPr>
            <w:tcW w:w="780" w:type="pct"/>
            <w:tcBorders>
              <w:top w:val="nil"/>
              <w:left w:val="nil"/>
              <w:bottom w:val="single" w:sz="8" w:space="0" w:color="0093D0"/>
              <w:right w:val="nil"/>
            </w:tcBorders>
            <w:shd w:val="clear" w:color="auto" w:fill="DBE5F1" w:themeFill="accent1" w:themeFillTint="33"/>
            <w:vAlign w:val="bottom"/>
          </w:tcPr>
          <w:p w:rsidR="007A144B" w:rsidRPr="002E0D08" w:rsidRDefault="007A144B" w:rsidP="007A144B">
            <w:pPr>
              <w:spacing w:after="0" w:line="240" w:lineRule="auto"/>
              <w:jc w:val="right"/>
              <w:rPr>
                <w:rFonts w:ascii="Calibri" w:eastAsia="Times New Roman" w:hAnsi="Calibri" w:cs="Times New Roman"/>
                <w:color w:val="000000"/>
                <w:sz w:val="20"/>
                <w:szCs w:val="20"/>
                <w:lang w:eastAsia="en-AU"/>
              </w:rPr>
            </w:pPr>
            <w:r w:rsidRPr="002E0D08">
              <w:rPr>
                <w:rFonts w:ascii="Calibri" w:eastAsia="Times New Roman" w:hAnsi="Calibri" w:cs="Times New Roman"/>
                <w:color w:val="000000"/>
                <w:sz w:val="20"/>
                <w:szCs w:val="20"/>
                <w:lang w:eastAsia="en-AU"/>
              </w:rPr>
              <w:t xml:space="preserve">    3,153.1 </w:t>
            </w:r>
          </w:p>
        </w:tc>
      </w:tr>
    </w:tbl>
    <w:p w:rsidR="00301C33" w:rsidRDefault="00332090" w:rsidP="000F0B8D">
      <w:pPr>
        <w:pStyle w:val="MJAnormal"/>
      </w:pPr>
      <w:r>
        <w:t>The</w:t>
      </w:r>
      <w:r w:rsidR="00966182">
        <w:t>re is a significant</w:t>
      </w:r>
      <w:r w:rsidR="004F0DB8">
        <w:t xml:space="preserve"> but not perfect correlation between the volume of hazardous wastes generated in each state and territory and the </w:t>
      </w:r>
      <w:r w:rsidR="00764471">
        <w:t xml:space="preserve">total </w:t>
      </w:r>
      <w:r w:rsidR="004F0DB8">
        <w:t>costs of wastes</w:t>
      </w:r>
      <w:r w:rsidR="00F11A1A">
        <w:t xml:space="preserve"> in those </w:t>
      </w:r>
      <w:r w:rsidR="00F11A1A" w:rsidRPr="00F11A1A">
        <w:t>jurisdictions (</w:t>
      </w:r>
      <w:fldSimple w:instr=" REF _Ref342388409 \h  \* MERGEFORMAT ">
        <w:r w:rsidR="00D54C27" w:rsidRPr="00D54C27">
          <w:t>Figure 1</w:t>
        </w:r>
      </w:fldSimple>
      <w:r w:rsidR="00F11A1A" w:rsidRPr="00F11A1A">
        <w:t>)</w:t>
      </w:r>
      <w:r w:rsidR="004F0DB8" w:rsidRPr="00F11A1A">
        <w:t>.</w:t>
      </w:r>
      <w:r w:rsidR="004F0DB8">
        <w:t xml:space="preserve">  Other factors contributing to differences in costs between jurisdictions include</w:t>
      </w:r>
      <w:r w:rsidR="00301C33">
        <w:t>:</w:t>
      </w:r>
    </w:p>
    <w:p w:rsidR="00360F92" w:rsidRPr="00803749" w:rsidRDefault="00301C33" w:rsidP="00803749">
      <w:pPr>
        <w:pStyle w:val="MJAbulletnormal"/>
        <w:numPr>
          <w:ilvl w:val="0"/>
          <w:numId w:val="2"/>
        </w:numPr>
        <w:rPr>
          <w:szCs w:val="20"/>
        </w:rPr>
      </w:pPr>
      <w:r w:rsidRPr="00803749">
        <w:rPr>
          <w:szCs w:val="20"/>
        </w:rPr>
        <w:t xml:space="preserve">differences in the relative volumes of different waste categories between the jurisdictions and different unit costs of transporting, treating and/ or disposing of </w:t>
      </w:r>
      <w:r w:rsidR="00360F92" w:rsidRPr="00803749">
        <w:rPr>
          <w:szCs w:val="20"/>
        </w:rPr>
        <w:t xml:space="preserve">the </w:t>
      </w:r>
      <w:r w:rsidRPr="00803749">
        <w:rPr>
          <w:szCs w:val="20"/>
        </w:rPr>
        <w:t>different waste categories</w:t>
      </w:r>
      <w:r w:rsidR="00360F92" w:rsidRPr="00803749">
        <w:rPr>
          <w:szCs w:val="20"/>
        </w:rPr>
        <w:t>;</w:t>
      </w:r>
    </w:p>
    <w:p w:rsidR="00360F92" w:rsidRPr="00803749" w:rsidRDefault="00301C33" w:rsidP="00803749">
      <w:pPr>
        <w:pStyle w:val="MJAbulletnormal"/>
        <w:numPr>
          <w:ilvl w:val="0"/>
          <w:numId w:val="2"/>
        </w:numPr>
        <w:rPr>
          <w:szCs w:val="20"/>
        </w:rPr>
      </w:pPr>
      <w:r w:rsidRPr="00803749">
        <w:rPr>
          <w:szCs w:val="20"/>
        </w:rPr>
        <w:lastRenderedPageBreak/>
        <w:t>differences between jurisdictions in the incidence of workplace injuries and illnesses associated with hazardous wastes</w:t>
      </w:r>
      <w:r w:rsidR="00360F92" w:rsidRPr="00803749">
        <w:rPr>
          <w:szCs w:val="20"/>
        </w:rPr>
        <w:t>;</w:t>
      </w:r>
      <w:r w:rsidRPr="00803749">
        <w:rPr>
          <w:szCs w:val="20"/>
        </w:rPr>
        <w:t xml:space="preserve"> and </w:t>
      </w:r>
    </w:p>
    <w:p w:rsidR="004F0DB8" w:rsidRPr="00803749" w:rsidRDefault="00301C33" w:rsidP="00803749">
      <w:pPr>
        <w:pStyle w:val="MJAbulletnormal"/>
        <w:numPr>
          <w:ilvl w:val="0"/>
          <w:numId w:val="2"/>
        </w:numPr>
        <w:rPr>
          <w:szCs w:val="20"/>
        </w:rPr>
      </w:pPr>
      <w:proofErr w:type="gramStart"/>
      <w:r w:rsidRPr="00803749">
        <w:rPr>
          <w:szCs w:val="20"/>
        </w:rPr>
        <w:t>different</w:t>
      </w:r>
      <w:proofErr w:type="gramEnd"/>
      <w:r w:rsidRPr="00803749">
        <w:rPr>
          <w:szCs w:val="20"/>
        </w:rPr>
        <w:t xml:space="preserve"> </w:t>
      </w:r>
      <w:r w:rsidR="00360F92" w:rsidRPr="00803749">
        <w:rPr>
          <w:szCs w:val="20"/>
        </w:rPr>
        <w:t xml:space="preserve">hazardous waste </w:t>
      </w:r>
      <w:r w:rsidRPr="00803749">
        <w:rPr>
          <w:szCs w:val="20"/>
        </w:rPr>
        <w:t>regulatory regimes</w:t>
      </w:r>
      <w:r w:rsidR="008751B1">
        <w:rPr>
          <w:szCs w:val="20"/>
        </w:rPr>
        <w:t xml:space="preserve"> and associated costs across</w:t>
      </w:r>
      <w:r w:rsidR="00360F92" w:rsidRPr="00803749">
        <w:rPr>
          <w:szCs w:val="20"/>
        </w:rPr>
        <w:t xml:space="preserve"> the jurisdictions.</w:t>
      </w:r>
      <w:r w:rsidRPr="00803749">
        <w:rPr>
          <w:szCs w:val="20"/>
        </w:rPr>
        <w:t xml:space="preserve">  </w:t>
      </w:r>
    </w:p>
    <w:p w:rsidR="00634194" w:rsidRPr="004F0DB8" w:rsidRDefault="004F0DB8" w:rsidP="00360F92">
      <w:pPr>
        <w:keepNext/>
        <w:keepLines/>
        <w:spacing w:before="120" w:after="120" w:line="240" w:lineRule="auto"/>
        <w:rPr>
          <w:b/>
          <w:bCs/>
          <w:sz w:val="20"/>
          <w:szCs w:val="20"/>
        </w:rPr>
      </w:pPr>
      <w:bookmarkStart w:id="17" w:name="_Ref342388409"/>
      <w:bookmarkStart w:id="18" w:name="_Ref342658476"/>
      <w:r w:rsidRPr="00EA2A07">
        <w:rPr>
          <w:b/>
          <w:bCs/>
          <w:sz w:val="20"/>
          <w:szCs w:val="20"/>
        </w:rPr>
        <w:t xml:space="preserve">Figure </w:t>
      </w:r>
      <w:r w:rsidR="00732F35" w:rsidRPr="00EA2A07">
        <w:rPr>
          <w:b/>
          <w:bCs/>
          <w:sz w:val="20"/>
          <w:szCs w:val="20"/>
        </w:rPr>
        <w:fldChar w:fldCharType="begin"/>
      </w:r>
      <w:r w:rsidRPr="00EA2A07">
        <w:rPr>
          <w:b/>
          <w:bCs/>
          <w:sz w:val="20"/>
          <w:szCs w:val="20"/>
        </w:rPr>
        <w:instrText xml:space="preserve"> SEQ Figure \* ARABIC </w:instrText>
      </w:r>
      <w:r w:rsidR="00732F35" w:rsidRPr="00EA2A07">
        <w:rPr>
          <w:b/>
          <w:bCs/>
          <w:sz w:val="20"/>
          <w:szCs w:val="20"/>
        </w:rPr>
        <w:fldChar w:fldCharType="separate"/>
      </w:r>
      <w:r w:rsidR="00D54C27">
        <w:rPr>
          <w:b/>
          <w:bCs/>
          <w:noProof/>
          <w:sz w:val="20"/>
          <w:szCs w:val="20"/>
        </w:rPr>
        <w:t>1</w:t>
      </w:r>
      <w:r w:rsidR="00732F35" w:rsidRPr="00EA2A07">
        <w:rPr>
          <w:b/>
          <w:bCs/>
          <w:sz w:val="20"/>
          <w:szCs w:val="20"/>
        </w:rPr>
        <w:fldChar w:fldCharType="end"/>
      </w:r>
      <w:bookmarkEnd w:id="17"/>
      <w:bookmarkEnd w:id="18"/>
      <w:r>
        <w:rPr>
          <w:b/>
          <w:bCs/>
          <w:sz w:val="20"/>
          <w:szCs w:val="20"/>
        </w:rPr>
        <w:t>: Percentage breakdown of hazardous waste v</w:t>
      </w:r>
      <w:r w:rsidR="00F11A1A">
        <w:rPr>
          <w:b/>
          <w:bCs/>
          <w:sz w:val="20"/>
          <w:szCs w:val="20"/>
        </w:rPr>
        <w:t>olumes and costs by state and territory</w:t>
      </w:r>
    </w:p>
    <w:p w:rsidR="00D333B4" w:rsidRPr="000F0B8D" w:rsidRDefault="00966182" w:rsidP="000F0B8D">
      <w:pPr>
        <w:pStyle w:val="MJAnormal"/>
      </w:pPr>
      <w:r>
        <w:rPr>
          <w:noProof/>
          <w:lang w:eastAsia="en-AU"/>
        </w:rPr>
        <w:drawing>
          <wp:inline distT="0" distB="0" distL="0" distR="0">
            <wp:extent cx="5015552" cy="3432412"/>
            <wp:effectExtent l="0" t="0" r="1397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F0B8D" w:rsidRPr="00757C4E" w:rsidRDefault="000F0B8D" w:rsidP="000F0B8D">
      <w:pPr>
        <w:pStyle w:val="MJAheading3"/>
        <w:ind w:hanging="1080"/>
      </w:pPr>
      <w:r>
        <w:t>Direct market costs</w:t>
      </w:r>
    </w:p>
    <w:p w:rsidR="0061754E" w:rsidRDefault="00B84FE8" w:rsidP="005A135E">
      <w:pPr>
        <w:pStyle w:val="MJAnormal"/>
      </w:pPr>
      <w:r w:rsidRPr="000A44A7">
        <w:t>T</w:t>
      </w:r>
      <w:r w:rsidR="00155230" w:rsidRPr="000A44A7">
        <w:t xml:space="preserve">ransport, treatment and disposal </w:t>
      </w:r>
      <w:r w:rsidRPr="000A44A7">
        <w:t>of hazardous wastes are</w:t>
      </w:r>
      <w:r w:rsidR="00155230" w:rsidRPr="000A44A7">
        <w:t xml:space="preserve"> estimated </w:t>
      </w:r>
      <w:r w:rsidR="008751B1" w:rsidRPr="000A44A7">
        <w:t xml:space="preserve">to </w:t>
      </w:r>
      <w:r w:rsidRPr="000A44A7">
        <w:t xml:space="preserve">have cost </w:t>
      </w:r>
      <w:r w:rsidR="008751B1" w:rsidRPr="000A44A7">
        <w:t>just over $2</w:t>
      </w:r>
      <w:r w:rsidR="00B734A1">
        <w:t>,216</w:t>
      </w:r>
      <w:r w:rsidR="000A44A7" w:rsidRPr="000A44A7">
        <w:t xml:space="preserve"> m</w:t>
      </w:r>
      <w:r w:rsidR="008751B1" w:rsidRPr="000A44A7">
        <w:t xml:space="preserve">illion in 2012 </w:t>
      </w:r>
      <w:r w:rsidR="00B734A1">
        <w:t>(range $1,662 – $2,771</w:t>
      </w:r>
      <w:r w:rsidR="000A44A7" w:rsidRPr="000A44A7">
        <w:t xml:space="preserve"> million) </w:t>
      </w:r>
      <w:r w:rsidR="008751B1" w:rsidRPr="000A44A7">
        <w:t>(</w:t>
      </w:r>
      <w:fldSimple w:instr=" REF _Ref391222165 \h  \* MERGEFORMAT ">
        <w:r w:rsidR="00D54C27" w:rsidRPr="00D54C27">
          <w:t>Table 4</w:t>
        </w:r>
      </w:fldSimple>
      <w:r w:rsidR="008751B1" w:rsidRPr="000A44A7">
        <w:t>).</w:t>
      </w:r>
      <w:r w:rsidR="007E6CD1" w:rsidRPr="000A44A7">
        <w:t xml:space="preserve"> </w:t>
      </w:r>
      <w:r w:rsidRPr="000A44A7">
        <w:t xml:space="preserve"> A breakdown</w:t>
      </w:r>
      <w:r>
        <w:t xml:space="preserve"> of these costs </w:t>
      </w:r>
      <w:r w:rsidR="00D67FB6">
        <w:t>is presented</w:t>
      </w:r>
      <w:r w:rsidR="000A121E">
        <w:t xml:space="preserve"> </w:t>
      </w:r>
      <w:r w:rsidR="00D67FB6">
        <w:t xml:space="preserve">in </w:t>
      </w:r>
      <w:fldSimple w:instr=" REF _Ref391244125 \h  \* MERGEFORMAT ">
        <w:r w:rsidR="00D54C27" w:rsidRPr="00D54C27">
          <w:t>Table 5</w:t>
        </w:r>
      </w:fldSimple>
      <w:r w:rsidR="005A135E">
        <w:t>, showing</w:t>
      </w:r>
      <w:r w:rsidR="00D67FB6">
        <w:t xml:space="preserve"> costs </w:t>
      </w:r>
      <w:r w:rsidR="00D67FB6" w:rsidRPr="00D67FB6">
        <w:t xml:space="preserve">by </w:t>
      </w:r>
      <w:r w:rsidR="00487083">
        <w:t>waste category and destination</w:t>
      </w:r>
      <w:r w:rsidR="00D67FB6" w:rsidRPr="00D67FB6">
        <w:t>.</w:t>
      </w:r>
      <w:r w:rsidR="00327760">
        <w:t xml:space="preserve">  </w:t>
      </w:r>
      <w:r w:rsidR="00DA376F">
        <w:t xml:space="preserve">Cost of treatment </w:t>
      </w:r>
      <w:r w:rsidR="001E6719">
        <w:t>is the single largest cost category</w:t>
      </w:r>
      <w:r w:rsidR="00DA376F">
        <w:t xml:space="preserve">, </w:t>
      </w:r>
      <w:r w:rsidR="001E6719">
        <w:t>with treatment costs estimated to h</w:t>
      </w:r>
      <w:r w:rsidR="00165ACD">
        <w:t>ave been $945</w:t>
      </w:r>
      <w:r w:rsidR="009D7EAA">
        <w:t xml:space="preserve"> million in 2012. </w:t>
      </w:r>
      <w:r w:rsidR="00147C7D">
        <w:t>These costs were the result</w:t>
      </w:r>
      <w:r w:rsidR="00F46CA0">
        <w:t xml:space="preserve"> </w:t>
      </w:r>
      <w:r w:rsidR="00147C7D">
        <w:t xml:space="preserve">of </w:t>
      </w:r>
      <w:r w:rsidR="00F46CA0">
        <w:t>2.2 million tonnes of waste</w:t>
      </w:r>
      <w:r w:rsidR="00147C7D">
        <w:t xml:space="preserve"> being treated and subsequently disposed to landfill</w:t>
      </w:r>
      <w:r w:rsidR="00F46CA0">
        <w:t xml:space="preserve">. </w:t>
      </w:r>
      <w:r w:rsidR="00165ACD">
        <w:t>C</w:t>
      </w:r>
      <w:r w:rsidR="00DA376F">
        <w:t xml:space="preserve">osts </w:t>
      </w:r>
      <w:r w:rsidR="00F46CA0">
        <w:t xml:space="preserve">associated with </w:t>
      </w:r>
      <w:r w:rsidR="0025323F">
        <w:t xml:space="preserve">waste </w:t>
      </w:r>
      <w:r w:rsidR="00F46CA0">
        <w:t xml:space="preserve">recycling </w:t>
      </w:r>
      <w:r w:rsidR="0025323F">
        <w:t xml:space="preserve">and </w:t>
      </w:r>
      <w:proofErr w:type="gramStart"/>
      <w:r w:rsidR="0025323F">
        <w:t xml:space="preserve">reuse </w:t>
      </w:r>
      <w:r w:rsidR="00DA376F">
        <w:t>a</w:t>
      </w:r>
      <w:r w:rsidR="001E6719">
        <w:t>re</w:t>
      </w:r>
      <w:proofErr w:type="gramEnd"/>
      <w:r w:rsidR="001E6719">
        <w:t xml:space="preserve"> also substantial</w:t>
      </w:r>
      <w:r w:rsidR="00F46CA0">
        <w:t>, being</w:t>
      </w:r>
      <w:r w:rsidR="00165ACD">
        <w:t xml:space="preserve"> $583 million</w:t>
      </w:r>
      <w:r w:rsidR="00F46CA0">
        <w:t xml:space="preserve"> in 2012</w:t>
      </w:r>
      <w:r w:rsidR="001E6719">
        <w:t xml:space="preserve">. </w:t>
      </w:r>
      <w:r w:rsidR="00DA376F">
        <w:t xml:space="preserve"> </w:t>
      </w:r>
      <w:r w:rsidR="00C82888">
        <w:t>Alkaline wastes ($246</w:t>
      </w:r>
      <w:r w:rsidR="001E6719">
        <w:t xml:space="preserve"> millio</w:t>
      </w:r>
      <w:r w:rsidR="00C82888">
        <w:t>n) and solid/sludge wastes ($1,211 million) a</w:t>
      </w:r>
      <w:r w:rsidR="001E6719">
        <w:t>re the two most costly waste</w:t>
      </w:r>
      <w:r w:rsidR="00DA376F">
        <w:t xml:space="preserve"> types</w:t>
      </w:r>
      <w:r w:rsidR="001018FC">
        <w:t xml:space="preserve"> in absolute terms</w:t>
      </w:r>
      <w:r w:rsidR="00DA376F">
        <w:t>.</w:t>
      </w:r>
      <w:r w:rsidR="00C154E6">
        <w:t xml:space="preserve"> </w:t>
      </w:r>
      <w:r w:rsidR="00AC3DFA">
        <w:t>This seco</w:t>
      </w:r>
      <w:r w:rsidR="00F55F05">
        <w:t xml:space="preserve">nd category comprises asbestos </w:t>
      </w:r>
      <w:r w:rsidR="00947897">
        <w:t>and wastes with sign</w:t>
      </w:r>
      <w:r w:rsidR="00F55F05">
        <w:t>ificant organic content</w:t>
      </w:r>
      <w:r w:rsidR="00947897">
        <w:t xml:space="preserve">. </w:t>
      </w:r>
      <w:r w:rsidR="00F55F05" w:rsidRPr="00F55F05">
        <w:t xml:space="preserve">Of the solid/sludge waste, organics based materials (soils and </w:t>
      </w:r>
      <w:proofErr w:type="spellStart"/>
      <w:r w:rsidR="00F55F05" w:rsidRPr="00F55F05">
        <w:t>biosolids</w:t>
      </w:r>
      <w:proofErr w:type="spellEnd"/>
      <w:r w:rsidR="00F55F05" w:rsidRPr="00F55F05">
        <w:t>) make up approximately 80% of the management costs.</w:t>
      </w:r>
    </w:p>
    <w:p w:rsidR="00EA5097" w:rsidRDefault="00C154E6" w:rsidP="00897CE5">
      <w:pPr>
        <w:pStyle w:val="MJAnormal"/>
      </w:pPr>
      <w:r>
        <w:t xml:space="preserve">Figure 2 provides a breakdown of hazardous wastes costs and volumes by destination.  The figure highlights the high unit costs of waste treatment </w:t>
      </w:r>
      <w:r w:rsidR="001503C5">
        <w:t xml:space="preserve">relative to landfill </w:t>
      </w:r>
      <w:r>
        <w:t>dis</w:t>
      </w:r>
      <w:r w:rsidR="001503C5">
        <w:t>posal costs</w:t>
      </w:r>
      <w:r w:rsidR="00651BA0">
        <w:t>.</w:t>
      </w:r>
      <w:r w:rsidR="001503C5">
        <w:t xml:space="preserve"> </w:t>
      </w:r>
      <w:r w:rsidR="00651BA0">
        <w:t xml:space="preserve"> </w:t>
      </w:r>
      <w:r w:rsidR="00C82888">
        <w:t xml:space="preserve">It also highlights the high costs </w:t>
      </w:r>
      <w:r w:rsidR="00651BA0">
        <w:t xml:space="preserve">of </w:t>
      </w:r>
      <w:r w:rsidR="00C82888">
        <w:t xml:space="preserve">energy </w:t>
      </w:r>
      <w:r w:rsidR="00651BA0">
        <w:t xml:space="preserve">recovery </w:t>
      </w:r>
      <w:r w:rsidR="00C82888">
        <w:t>with the</w:t>
      </w:r>
      <w:r w:rsidR="00651BA0">
        <w:t>se</w:t>
      </w:r>
      <w:r w:rsidR="00C82888">
        <w:t xml:space="preserve"> </w:t>
      </w:r>
      <w:r w:rsidR="00651BA0">
        <w:t>costs being up to $5,000/</w:t>
      </w:r>
      <w:r w:rsidR="00651BA0" w:rsidRPr="00651BA0">
        <w:t xml:space="preserve">tonne </w:t>
      </w:r>
      <w:r w:rsidR="00C82888">
        <w:t>for some alkaline base</w:t>
      </w:r>
      <w:r w:rsidR="00651BA0">
        <w:t>d</w:t>
      </w:r>
      <w:r w:rsidR="00C82888">
        <w:t xml:space="preserve"> wastes (e.g. C100 </w:t>
      </w:r>
      <w:r w:rsidR="00EA5097">
        <w:t>b</w:t>
      </w:r>
      <w:r w:rsidR="00C82888">
        <w:t>asic solutions</w:t>
      </w:r>
      <w:r w:rsidR="00EA5097">
        <w:t xml:space="preserve">) (see Section </w:t>
      </w:r>
      <w:r w:rsidR="00732F35">
        <w:fldChar w:fldCharType="begin"/>
      </w:r>
      <w:r w:rsidR="00EA5097">
        <w:instrText xml:space="preserve"> REF _Ref391676150 \r \h </w:instrText>
      </w:r>
      <w:r w:rsidR="00732F35">
        <w:fldChar w:fldCharType="separate"/>
      </w:r>
      <w:r w:rsidR="00D54C27">
        <w:t>4.2</w:t>
      </w:r>
      <w:r w:rsidR="00732F35">
        <w:fldChar w:fldCharType="end"/>
      </w:r>
      <w:r w:rsidR="00EA5097">
        <w:t xml:space="preserve"> for further discussion of these costs). </w:t>
      </w:r>
    </w:p>
    <w:p w:rsidR="00C154E6" w:rsidRPr="00EA5097" w:rsidRDefault="005568C3" w:rsidP="00897CE5">
      <w:pPr>
        <w:pStyle w:val="MJAnormal"/>
      </w:pPr>
      <w:r>
        <w:t xml:space="preserve">As noted in section 1.2.2, </w:t>
      </w:r>
      <w:r w:rsidR="00D543CE">
        <w:t xml:space="preserve">there are a number of costs that </w:t>
      </w:r>
      <w:r>
        <w:t xml:space="preserve">are </w:t>
      </w:r>
      <w:r w:rsidR="00D543CE">
        <w:t xml:space="preserve">not included in the analysis. The costs detailed in </w:t>
      </w:r>
      <w:fldSimple w:instr=" REF _Ref391222165 \h  \* MERGEFORMAT ">
        <w:r w:rsidR="00D54C27" w:rsidRPr="00D54C27">
          <w:t>Table 4</w:t>
        </w:r>
      </w:fldSimple>
      <w:r w:rsidR="00D543CE" w:rsidRPr="00D543CE">
        <w:t xml:space="preserve"> and </w:t>
      </w:r>
      <w:fldSimple w:instr=" REF _Ref391244125 \h  \* MERGEFORMAT ">
        <w:r w:rsidR="00D54C27" w:rsidRPr="00D54C27">
          <w:t>Table 5</w:t>
        </w:r>
      </w:fldSimple>
      <w:r w:rsidR="00D543CE" w:rsidRPr="00D543CE">
        <w:t xml:space="preserve"> </w:t>
      </w:r>
      <w:r w:rsidR="00B81D3C">
        <w:t xml:space="preserve">therefore, </w:t>
      </w:r>
      <w:r w:rsidR="00D543CE">
        <w:t xml:space="preserve">are </w:t>
      </w:r>
      <w:r w:rsidR="00B81D3C">
        <w:t xml:space="preserve">likely </w:t>
      </w:r>
      <w:r>
        <w:t xml:space="preserve">to be understated.  A notable omission is the cost of treating contaminated soils that are retained onsite. </w:t>
      </w:r>
      <w:r>
        <w:rPr>
          <w:szCs w:val="20"/>
        </w:rPr>
        <w:t xml:space="preserve"> This </w:t>
      </w:r>
      <w:r w:rsidR="00D543CE">
        <w:rPr>
          <w:szCs w:val="20"/>
        </w:rPr>
        <w:t xml:space="preserve">is </w:t>
      </w:r>
      <w:r>
        <w:rPr>
          <w:szCs w:val="20"/>
        </w:rPr>
        <w:t xml:space="preserve">discussed further in Section </w:t>
      </w:r>
      <w:r w:rsidR="00732F35">
        <w:rPr>
          <w:szCs w:val="20"/>
        </w:rPr>
        <w:fldChar w:fldCharType="begin"/>
      </w:r>
      <w:r w:rsidR="00D543CE">
        <w:rPr>
          <w:szCs w:val="20"/>
        </w:rPr>
        <w:instrText xml:space="preserve"> REF _Ref391677715 \r \h </w:instrText>
      </w:r>
      <w:r w:rsidR="00732F35">
        <w:rPr>
          <w:szCs w:val="20"/>
        </w:rPr>
      </w:r>
      <w:r w:rsidR="00732F35">
        <w:rPr>
          <w:szCs w:val="20"/>
        </w:rPr>
        <w:fldChar w:fldCharType="separate"/>
      </w:r>
      <w:r w:rsidR="00D54C27">
        <w:rPr>
          <w:szCs w:val="20"/>
        </w:rPr>
        <w:t>4.2.4</w:t>
      </w:r>
      <w:r w:rsidR="00732F35">
        <w:rPr>
          <w:szCs w:val="20"/>
        </w:rPr>
        <w:fldChar w:fldCharType="end"/>
      </w:r>
      <w:r w:rsidR="00D543CE">
        <w:rPr>
          <w:szCs w:val="20"/>
        </w:rPr>
        <w:t>.</w:t>
      </w:r>
    </w:p>
    <w:p w:rsidR="00C154E6" w:rsidRPr="00A17C40" w:rsidRDefault="00C154E6" w:rsidP="00897CE5">
      <w:pPr>
        <w:pStyle w:val="MJAnormal"/>
        <w:sectPr w:rsidR="00C154E6" w:rsidRPr="00A17C40" w:rsidSect="00F80890">
          <w:headerReference w:type="default" r:id="rId14"/>
          <w:footerReference w:type="default" r:id="rId15"/>
          <w:pgSz w:w="11906" w:h="16838" w:code="9"/>
          <w:pgMar w:top="1701" w:right="1134" w:bottom="1021" w:left="2268" w:header="680" w:footer="113" w:gutter="0"/>
          <w:pgNumType w:start="1"/>
          <w:cols w:space="708"/>
          <w:docGrid w:linePitch="360"/>
        </w:sectPr>
      </w:pPr>
      <w:r>
        <w:rPr>
          <w:szCs w:val="20"/>
        </w:rPr>
        <w:t>While there is uncertainty associated with the direct market cost estimates, the level of uncertainty is less marked than for indirect and non-market costs.</w:t>
      </w:r>
    </w:p>
    <w:p w:rsidR="00EB41EE" w:rsidRPr="00A15392" w:rsidRDefault="00EB41EE" w:rsidP="00EB41EE">
      <w:pPr>
        <w:keepNext/>
        <w:keepLines/>
        <w:spacing w:before="120" w:after="120" w:line="240" w:lineRule="auto"/>
        <w:rPr>
          <w:rFonts w:ascii="Calibri" w:eastAsia="Times New Roman" w:hAnsi="Calibri" w:cs="Calibri"/>
          <w:b/>
          <w:bCs/>
          <w:sz w:val="20"/>
          <w:szCs w:val="20"/>
          <w:lang w:eastAsia="en-AU"/>
        </w:rPr>
      </w:pPr>
      <w:bookmarkStart w:id="19" w:name="_Ref391244125"/>
      <w:r w:rsidRPr="00F6696F">
        <w:rPr>
          <w:rFonts w:ascii="Calibri" w:eastAsia="Times New Roman" w:hAnsi="Calibri" w:cs="Calibri"/>
          <w:b/>
          <w:bCs/>
          <w:sz w:val="20"/>
          <w:szCs w:val="20"/>
          <w:lang w:eastAsia="en-AU"/>
        </w:rPr>
        <w:lastRenderedPageBreak/>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5</w:t>
      </w:r>
      <w:r w:rsidR="00732F35" w:rsidRPr="00F6696F">
        <w:rPr>
          <w:rFonts w:ascii="Calibri" w:eastAsia="Times New Roman" w:hAnsi="Calibri" w:cs="Calibri"/>
          <w:b/>
          <w:bCs/>
          <w:sz w:val="20"/>
          <w:szCs w:val="20"/>
          <w:lang w:eastAsia="en-AU"/>
        </w:rPr>
        <w:fldChar w:fldCharType="end"/>
      </w:r>
      <w:bookmarkEnd w:id="19"/>
      <w:r w:rsidRPr="00F6696F">
        <w:rPr>
          <w:rFonts w:ascii="Calibri" w:eastAsia="Times New Roman" w:hAnsi="Calibri" w:cs="Calibri"/>
          <w:b/>
          <w:bCs/>
          <w:sz w:val="20"/>
          <w:szCs w:val="20"/>
          <w:lang w:eastAsia="en-AU"/>
        </w:rPr>
        <w:t xml:space="preserve">:  </w:t>
      </w:r>
      <w:r>
        <w:rPr>
          <w:rFonts w:ascii="Calibri" w:eastAsia="Times New Roman" w:hAnsi="Calibri" w:cs="Calibri"/>
          <w:b/>
          <w:bCs/>
          <w:sz w:val="20"/>
          <w:szCs w:val="20"/>
          <w:lang w:eastAsia="en-AU"/>
        </w:rPr>
        <w:t>Direct cost of hazardous wastes by waste category and destination ($ million, 2012)</w:t>
      </w:r>
    </w:p>
    <w:tbl>
      <w:tblPr>
        <w:tblW w:w="5000" w:type="pct"/>
        <w:tblLook w:val="04A0"/>
      </w:tblPr>
      <w:tblGrid>
        <w:gridCol w:w="1162"/>
        <w:gridCol w:w="3463"/>
        <w:gridCol w:w="1316"/>
        <w:gridCol w:w="1467"/>
        <w:gridCol w:w="1316"/>
        <w:gridCol w:w="1553"/>
        <w:gridCol w:w="1317"/>
        <w:gridCol w:w="1317"/>
        <w:gridCol w:w="1308"/>
      </w:tblGrid>
      <w:tr w:rsidR="00EB41EE" w:rsidRPr="00EB41EE" w:rsidTr="00B734A1">
        <w:trPr>
          <w:trHeight w:val="660"/>
        </w:trPr>
        <w:tc>
          <w:tcPr>
            <w:tcW w:w="409" w:type="pct"/>
            <w:tcBorders>
              <w:top w:val="nil"/>
              <w:left w:val="nil"/>
              <w:right w:val="nil"/>
            </w:tcBorders>
            <w:shd w:val="clear" w:color="000000" w:fill="0093D0"/>
            <w:vAlign w:val="center"/>
            <w:hideMark/>
          </w:tcPr>
          <w:p w:rsidR="00EB41EE" w:rsidRPr="00EB41EE" w:rsidRDefault="00EB41EE" w:rsidP="00EB41EE">
            <w:pPr>
              <w:spacing w:after="0" w:line="240" w:lineRule="auto"/>
              <w:rPr>
                <w:rFonts w:ascii="Calibri" w:eastAsia="Times New Roman" w:hAnsi="Calibri" w:cs="Times New Roman"/>
                <w:color w:val="FFFFFF"/>
                <w:lang w:eastAsia="en-AU"/>
              </w:rPr>
            </w:pPr>
            <w:r w:rsidRPr="00EB41EE">
              <w:rPr>
                <w:rFonts w:ascii="Calibri" w:eastAsia="Times New Roman" w:hAnsi="Calibri" w:cs="Times New Roman"/>
                <w:color w:val="FFFFFF"/>
                <w:lang w:eastAsia="en-AU"/>
              </w:rPr>
              <w:t>NEPM 15 category</w:t>
            </w:r>
          </w:p>
        </w:tc>
        <w:tc>
          <w:tcPr>
            <w:tcW w:w="1218" w:type="pct"/>
            <w:tcBorders>
              <w:top w:val="nil"/>
              <w:left w:val="nil"/>
              <w:right w:val="nil"/>
            </w:tcBorders>
            <w:shd w:val="clear" w:color="000000" w:fill="0093D0"/>
            <w:noWrap/>
            <w:vAlign w:val="center"/>
            <w:hideMark/>
          </w:tcPr>
          <w:p w:rsidR="00EB41EE" w:rsidRPr="00EB41EE" w:rsidRDefault="00EB41EE" w:rsidP="00EB41EE">
            <w:pPr>
              <w:spacing w:after="0" w:line="240" w:lineRule="auto"/>
              <w:rPr>
                <w:rFonts w:ascii="Calibri" w:eastAsia="Times New Roman" w:hAnsi="Calibri" w:cs="Times New Roman"/>
                <w:color w:val="FFFFFF"/>
                <w:lang w:eastAsia="en-AU"/>
              </w:rPr>
            </w:pPr>
            <w:r w:rsidRPr="00EB41EE">
              <w:rPr>
                <w:rFonts w:ascii="Calibri" w:eastAsia="Times New Roman" w:hAnsi="Calibri" w:cs="Times New Roman"/>
                <w:color w:val="FFFFFF"/>
                <w:lang w:eastAsia="en-AU"/>
              </w:rPr>
              <w:t>Description</w:t>
            </w:r>
          </w:p>
        </w:tc>
        <w:tc>
          <w:tcPr>
            <w:tcW w:w="463" w:type="pct"/>
            <w:tcBorders>
              <w:top w:val="nil"/>
              <w:left w:val="nil"/>
              <w:right w:val="nil"/>
            </w:tcBorders>
            <w:shd w:val="clear" w:color="000000" w:fill="0093D0"/>
            <w:vAlign w:val="center"/>
            <w:hideMark/>
          </w:tcPr>
          <w:p w:rsidR="00EB41EE" w:rsidRPr="00EB41EE" w:rsidRDefault="00EB41EE" w:rsidP="00EB41EE">
            <w:pPr>
              <w:spacing w:after="0" w:line="240" w:lineRule="auto"/>
              <w:jc w:val="center"/>
              <w:rPr>
                <w:rFonts w:ascii="Calibri" w:eastAsia="Times New Roman" w:hAnsi="Calibri" w:cs="Times New Roman"/>
                <w:color w:val="FFFFFF"/>
                <w:lang w:eastAsia="en-AU"/>
              </w:rPr>
            </w:pPr>
            <w:r w:rsidRPr="00EB41EE">
              <w:rPr>
                <w:rFonts w:ascii="Calibri" w:eastAsia="Times New Roman" w:hAnsi="Calibri" w:cs="Times New Roman"/>
                <w:color w:val="FFFFFF"/>
                <w:lang w:eastAsia="en-AU"/>
              </w:rPr>
              <w:t xml:space="preserve">Disposed </w:t>
            </w:r>
            <w:r w:rsidR="00B734A1">
              <w:rPr>
                <w:rFonts w:ascii="Calibri" w:eastAsia="Times New Roman" w:hAnsi="Calibri" w:cs="Times New Roman"/>
                <w:color w:val="FFFFFF"/>
                <w:lang w:eastAsia="en-AU"/>
              </w:rPr>
              <w:t xml:space="preserve">directly </w:t>
            </w:r>
            <w:r w:rsidRPr="00EB41EE">
              <w:rPr>
                <w:rFonts w:ascii="Calibri" w:eastAsia="Times New Roman" w:hAnsi="Calibri" w:cs="Times New Roman"/>
                <w:color w:val="FFFFFF"/>
                <w:lang w:eastAsia="en-AU"/>
              </w:rPr>
              <w:t>to landfill</w:t>
            </w:r>
          </w:p>
        </w:tc>
        <w:tc>
          <w:tcPr>
            <w:tcW w:w="515" w:type="pct"/>
            <w:tcBorders>
              <w:top w:val="nil"/>
              <w:left w:val="nil"/>
              <w:right w:val="nil"/>
            </w:tcBorders>
            <w:shd w:val="clear" w:color="000000" w:fill="0093D0"/>
            <w:noWrap/>
            <w:vAlign w:val="center"/>
            <w:hideMark/>
          </w:tcPr>
          <w:p w:rsidR="00EB41EE" w:rsidRDefault="00EB41EE" w:rsidP="00EB41EE">
            <w:pPr>
              <w:spacing w:after="0" w:line="240" w:lineRule="auto"/>
              <w:jc w:val="center"/>
              <w:rPr>
                <w:rFonts w:ascii="Calibri" w:eastAsia="Times New Roman" w:hAnsi="Calibri" w:cs="Times New Roman"/>
                <w:color w:val="FFFFFF"/>
                <w:lang w:eastAsia="en-AU"/>
              </w:rPr>
            </w:pPr>
            <w:r w:rsidRPr="00EB41EE">
              <w:rPr>
                <w:rFonts w:ascii="Calibri" w:eastAsia="Times New Roman" w:hAnsi="Calibri" w:cs="Times New Roman"/>
                <w:color w:val="FFFFFF"/>
                <w:lang w:eastAsia="en-AU"/>
              </w:rPr>
              <w:t>Treated</w:t>
            </w:r>
            <w:r w:rsidR="00B734A1">
              <w:rPr>
                <w:rFonts w:ascii="Calibri" w:eastAsia="Times New Roman" w:hAnsi="Calibri" w:cs="Times New Roman"/>
                <w:color w:val="FFFFFF"/>
                <w:lang w:eastAsia="en-AU"/>
              </w:rPr>
              <w:t xml:space="preserve"> then</w:t>
            </w:r>
          </w:p>
          <w:p w:rsidR="00B734A1" w:rsidRDefault="00B734A1" w:rsidP="00EB41EE">
            <w:pPr>
              <w:spacing w:after="0" w:line="240" w:lineRule="auto"/>
              <w:jc w:val="center"/>
              <w:rPr>
                <w:rFonts w:ascii="Calibri" w:eastAsia="Times New Roman" w:hAnsi="Calibri" w:cs="Times New Roman"/>
                <w:color w:val="FFFFFF"/>
                <w:lang w:eastAsia="en-AU"/>
              </w:rPr>
            </w:pPr>
            <w:r>
              <w:rPr>
                <w:rFonts w:ascii="Calibri" w:eastAsia="Times New Roman" w:hAnsi="Calibri" w:cs="Times New Roman"/>
                <w:color w:val="FFFFFF"/>
                <w:lang w:eastAsia="en-AU"/>
              </w:rPr>
              <w:t>disposed to</w:t>
            </w:r>
          </w:p>
          <w:p w:rsidR="00B734A1" w:rsidRPr="00EB41EE" w:rsidRDefault="00B734A1" w:rsidP="00EB41EE">
            <w:pPr>
              <w:spacing w:after="0" w:line="240" w:lineRule="auto"/>
              <w:jc w:val="center"/>
              <w:rPr>
                <w:rFonts w:ascii="Calibri" w:eastAsia="Times New Roman" w:hAnsi="Calibri" w:cs="Times New Roman"/>
                <w:color w:val="FFFFFF"/>
                <w:lang w:eastAsia="en-AU"/>
              </w:rPr>
            </w:pPr>
            <w:r>
              <w:rPr>
                <w:rFonts w:ascii="Calibri" w:eastAsia="Times New Roman" w:hAnsi="Calibri" w:cs="Times New Roman"/>
                <w:color w:val="FFFFFF"/>
                <w:lang w:eastAsia="en-AU"/>
              </w:rPr>
              <w:t>landfill</w:t>
            </w:r>
          </w:p>
        </w:tc>
        <w:tc>
          <w:tcPr>
            <w:tcW w:w="463" w:type="pct"/>
            <w:tcBorders>
              <w:top w:val="nil"/>
              <w:left w:val="nil"/>
              <w:right w:val="nil"/>
            </w:tcBorders>
            <w:shd w:val="clear" w:color="000000" w:fill="0093D0"/>
            <w:vAlign w:val="center"/>
            <w:hideMark/>
          </w:tcPr>
          <w:p w:rsidR="00EB41EE" w:rsidRPr="00EB41EE" w:rsidRDefault="00EB41EE" w:rsidP="00EB41EE">
            <w:pPr>
              <w:spacing w:after="0" w:line="240" w:lineRule="auto"/>
              <w:jc w:val="center"/>
              <w:rPr>
                <w:rFonts w:ascii="Calibri" w:eastAsia="Times New Roman" w:hAnsi="Calibri" w:cs="Times New Roman"/>
                <w:color w:val="FFFFFF"/>
                <w:lang w:eastAsia="en-AU"/>
              </w:rPr>
            </w:pPr>
            <w:r w:rsidRPr="00EB41EE">
              <w:rPr>
                <w:rFonts w:ascii="Calibri" w:eastAsia="Times New Roman" w:hAnsi="Calibri" w:cs="Times New Roman"/>
                <w:color w:val="FFFFFF"/>
                <w:lang w:eastAsia="en-AU"/>
              </w:rPr>
              <w:t>Energy recovery</w:t>
            </w:r>
          </w:p>
        </w:tc>
        <w:tc>
          <w:tcPr>
            <w:tcW w:w="546" w:type="pct"/>
            <w:tcBorders>
              <w:top w:val="nil"/>
              <w:left w:val="nil"/>
              <w:right w:val="nil"/>
            </w:tcBorders>
            <w:shd w:val="clear" w:color="000000" w:fill="0093D0"/>
            <w:noWrap/>
            <w:vAlign w:val="center"/>
            <w:hideMark/>
          </w:tcPr>
          <w:p w:rsidR="00EB41EE" w:rsidRPr="00EB41EE" w:rsidRDefault="00EB41EE" w:rsidP="00EB41EE">
            <w:pPr>
              <w:spacing w:after="0" w:line="240" w:lineRule="auto"/>
              <w:jc w:val="center"/>
              <w:rPr>
                <w:rFonts w:ascii="Calibri" w:eastAsia="Times New Roman" w:hAnsi="Calibri" w:cs="Times New Roman"/>
                <w:color w:val="FFFFFF"/>
                <w:lang w:eastAsia="en-AU"/>
              </w:rPr>
            </w:pPr>
            <w:r w:rsidRPr="00EB41EE">
              <w:rPr>
                <w:rFonts w:ascii="Calibri" w:eastAsia="Times New Roman" w:hAnsi="Calibri" w:cs="Times New Roman"/>
                <w:color w:val="FFFFFF"/>
                <w:lang w:eastAsia="en-AU"/>
              </w:rPr>
              <w:t>Storage</w:t>
            </w:r>
          </w:p>
        </w:tc>
        <w:tc>
          <w:tcPr>
            <w:tcW w:w="463" w:type="pct"/>
            <w:tcBorders>
              <w:top w:val="nil"/>
              <w:left w:val="nil"/>
              <w:right w:val="nil"/>
            </w:tcBorders>
            <w:shd w:val="clear" w:color="000000" w:fill="0093D0"/>
            <w:vAlign w:val="center"/>
            <w:hideMark/>
          </w:tcPr>
          <w:p w:rsidR="00EB41EE" w:rsidRPr="00EB41EE" w:rsidRDefault="00EB41EE" w:rsidP="00EB41EE">
            <w:pPr>
              <w:spacing w:after="0" w:line="240" w:lineRule="auto"/>
              <w:jc w:val="center"/>
              <w:rPr>
                <w:rFonts w:ascii="Calibri" w:eastAsia="Times New Roman" w:hAnsi="Calibri" w:cs="Times New Roman"/>
                <w:color w:val="FFFFFF"/>
                <w:lang w:eastAsia="en-AU"/>
              </w:rPr>
            </w:pPr>
            <w:r w:rsidRPr="00EB41EE">
              <w:rPr>
                <w:rFonts w:ascii="Calibri" w:eastAsia="Times New Roman" w:hAnsi="Calibri" w:cs="Times New Roman"/>
                <w:color w:val="FFFFFF"/>
                <w:lang w:eastAsia="en-AU"/>
              </w:rPr>
              <w:t>Recycled or reused</w:t>
            </w:r>
          </w:p>
        </w:tc>
        <w:tc>
          <w:tcPr>
            <w:tcW w:w="463" w:type="pct"/>
            <w:tcBorders>
              <w:top w:val="nil"/>
              <w:left w:val="nil"/>
              <w:right w:val="nil"/>
            </w:tcBorders>
            <w:shd w:val="clear" w:color="000000" w:fill="0093D0"/>
            <w:noWrap/>
            <w:vAlign w:val="center"/>
            <w:hideMark/>
          </w:tcPr>
          <w:p w:rsidR="00EB41EE" w:rsidRPr="00EB41EE" w:rsidRDefault="00EB41EE" w:rsidP="00EB41EE">
            <w:pPr>
              <w:spacing w:after="0" w:line="240" w:lineRule="auto"/>
              <w:jc w:val="center"/>
              <w:rPr>
                <w:rFonts w:ascii="Calibri" w:eastAsia="Times New Roman" w:hAnsi="Calibri" w:cs="Times New Roman"/>
                <w:color w:val="FFFFFF"/>
                <w:lang w:eastAsia="en-AU"/>
              </w:rPr>
            </w:pPr>
            <w:r w:rsidRPr="00EB41EE">
              <w:rPr>
                <w:rFonts w:ascii="Calibri" w:eastAsia="Times New Roman" w:hAnsi="Calibri" w:cs="Times New Roman"/>
                <w:color w:val="FFFFFF"/>
                <w:lang w:eastAsia="en-AU"/>
              </w:rPr>
              <w:t>Other</w:t>
            </w:r>
          </w:p>
        </w:tc>
        <w:tc>
          <w:tcPr>
            <w:tcW w:w="460" w:type="pct"/>
            <w:tcBorders>
              <w:top w:val="nil"/>
              <w:left w:val="nil"/>
              <w:right w:val="nil"/>
            </w:tcBorders>
            <w:shd w:val="clear" w:color="000000" w:fill="0093D0"/>
            <w:noWrap/>
            <w:vAlign w:val="center"/>
            <w:hideMark/>
          </w:tcPr>
          <w:p w:rsidR="00EB41EE" w:rsidRPr="00EB41EE" w:rsidRDefault="00EB41EE" w:rsidP="00EB41EE">
            <w:pPr>
              <w:spacing w:after="0" w:line="240" w:lineRule="auto"/>
              <w:jc w:val="center"/>
              <w:rPr>
                <w:rFonts w:ascii="Calibri" w:eastAsia="Times New Roman" w:hAnsi="Calibri" w:cs="Times New Roman"/>
                <w:color w:val="FFFFFF"/>
                <w:lang w:eastAsia="en-AU"/>
              </w:rPr>
            </w:pPr>
            <w:r w:rsidRPr="00EB41EE">
              <w:rPr>
                <w:rFonts w:ascii="Calibri" w:eastAsia="Times New Roman" w:hAnsi="Calibri" w:cs="Times New Roman"/>
                <w:color w:val="FFFFFF"/>
                <w:lang w:eastAsia="en-AU"/>
              </w:rPr>
              <w:t>Total</w:t>
            </w:r>
          </w:p>
        </w:tc>
      </w:tr>
      <w:tr w:rsidR="00B734A1" w:rsidRPr="00EB41EE" w:rsidTr="00B734A1">
        <w:trPr>
          <w:trHeight w:val="397"/>
        </w:trPr>
        <w:tc>
          <w:tcPr>
            <w:tcW w:w="409" w:type="pct"/>
            <w:tcBorders>
              <w:top w:val="nil"/>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A</w:t>
            </w:r>
          </w:p>
        </w:tc>
        <w:tc>
          <w:tcPr>
            <w:tcW w:w="1218" w:type="pct"/>
            <w:tcBorders>
              <w:top w:val="nil"/>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Cyanides</w:t>
            </w:r>
          </w:p>
        </w:tc>
        <w:tc>
          <w:tcPr>
            <w:tcW w:w="463" w:type="pct"/>
            <w:tcBorders>
              <w:top w:val="nil"/>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   </w:t>
            </w:r>
          </w:p>
        </w:tc>
        <w:tc>
          <w:tcPr>
            <w:tcW w:w="515" w:type="pct"/>
            <w:tcBorders>
              <w:top w:val="nil"/>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1.5 </w:t>
            </w:r>
          </w:p>
        </w:tc>
        <w:tc>
          <w:tcPr>
            <w:tcW w:w="463" w:type="pct"/>
            <w:tcBorders>
              <w:top w:val="nil"/>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1.8 </w:t>
            </w:r>
          </w:p>
        </w:tc>
        <w:tc>
          <w:tcPr>
            <w:tcW w:w="546" w:type="pct"/>
            <w:tcBorders>
              <w:top w:val="nil"/>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0.0 </w:t>
            </w:r>
          </w:p>
        </w:tc>
        <w:tc>
          <w:tcPr>
            <w:tcW w:w="463" w:type="pct"/>
            <w:tcBorders>
              <w:top w:val="nil"/>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0.5 </w:t>
            </w:r>
          </w:p>
        </w:tc>
        <w:tc>
          <w:tcPr>
            <w:tcW w:w="463" w:type="pct"/>
            <w:tcBorders>
              <w:top w:val="nil"/>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0.2 </w:t>
            </w:r>
          </w:p>
        </w:tc>
        <w:tc>
          <w:tcPr>
            <w:tcW w:w="460" w:type="pct"/>
            <w:tcBorders>
              <w:top w:val="nil"/>
              <w:left w:val="nil"/>
              <w:bottom w:val="dotted" w:sz="4" w:space="0" w:color="0093D0"/>
              <w:right w:val="nil"/>
            </w:tcBorders>
            <w:shd w:val="clear" w:color="auto" w:fill="auto"/>
            <w:noWrap/>
            <w:vAlign w:val="bottom"/>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3.9 </w:t>
            </w:r>
          </w:p>
        </w:tc>
      </w:tr>
      <w:tr w:rsidR="00B734A1" w:rsidRPr="00EB41EE" w:rsidTr="00B734A1">
        <w:trPr>
          <w:trHeight w:val="397"/>
        </w:trPr>
        <w:tc>
          <w:tcPr>
            <w:tcW w:w="409"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B</w:t>
            </w:r>
          </w:p>
        </w:tc>
        <w:tc>
          <w:tcPr>
            <w:tcW w:w="1218"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Acids</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   </w:t>
            </w:r>
          </w:p>
        </w:tc>
        <w:tc>
          <w:tcPr>
            <w:tcW w:w="515"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28.0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1.6 </w:t>
            </w:r>
          </w:p>
        </w:tc>
        <w:tc>
          <w:tcPr>
            <w:tcW w:w="546"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0.1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2.5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0.6 </w:t>
            </w:r>
          </w:p>
        </w:tc>
        <w:tc>
          <w:tcPr>
            <w:tcW w:w="460"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32.7 </w:t>
            </w:r>
          </w:p>
        </w:tc>
      </w:tr>
      <w:tr w:rsidR="00B734A1" w:rsidRPr="00EB41EE" w:rsidTr="00B734A1">
        <w:trPr>
          <w:trHeight w:val="397"/>
        </w:trPr>
        <w:tc>
          <w:tcPr>
            <w:tcW w:w="409"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C</w:t>
            </w:r>
          </w:p>
        </w:tc>
        <w:tc>
          <w:tcPr>
            <w:tcW w:w="1218"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Alkaline wastes</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0.1 </w:t>
            </w:r>
          </w:p>
        </w:tc>
        <w:tc>
          <w:tcPr>
            <w:tcW w:w="515"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81.8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107.3 </w:t>
            </w:r>
          </w:p>
        </w:tc>
        <w:tc>
          <w:tcPr>
            <w:tcW w:w="546"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0.3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45.1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11.7 </w:t>
            </w:r>
          </w:p>
        </w:tc>
        <w:tc>
          <w:tcPr>
            <w:tcW w:w="460"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246.3 </w:t>
            </w:r>
          </w:p>
        </w:tc>
      </w:tr>
      <w:tr w:rsidR="00B734A1" w:rsidRPr="00EB41EE" w:rsidTr="00B734A1">
        <w:trPr>
          <w:trHeight w:val="397"/>
        </w:trPr>
        <w:tc>
          <w:tcPr>
            <w:tcW w:w="409"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D</w:t>
            </w:r>
          </w:p>
        </w:tc>
        <w:tc>
          <w:tcPr>
            <w:tcW w:w="1218"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Inorganic chemicals</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0.0 </w:t>
            </w:r>
          </w:p>
        </w:tc>
        <w:tc>
          <w:tcPr>
            <w:tcW w:w="515"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73.3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2.6 </w:t>
            </w:r>
          </w:p>
        </w:tc>
        <w:tc>
          <w:tcPr>
            <w:tcW w:w="546"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4.9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13.7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9.5 </w:t>
            </w:r>
          </w:p>
        </w:tc>
        <w:tc>
          <w:tcPr>
            <w:tcW w:w="460"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104.0 </w:t>
            </w:r>
          </w:p>
        </w:tc>
      </w:tr>
      <w:tr w:rsidR="00B734A1" w:rsidRPr="00EB41EE" w:rsidTr="00B734A1">
        <w:trPr>
          <w:trHeight w:val="397"/>
        </w:trPr>
        <w:tc>
          <w:tcPr>
            <w:tcW w:w="409"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E</w:t>
            </w:r>
          </w:p>
        </w:tc>
        <w:tc>
          <w:tcPr>
            <w:tcW w:w="1218"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Reactive chemicals</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   </w:t>
            </w:r>
          </w:p>
        </w:tc>
        <w:tc>
          <w:tcPr>
            <w:tcW w:w="515"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0.0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   </w:t>
            </w:r>
          </w:p>
        </w:tc>
        <w:tc>
          <w:tcPr>
            <w:tcW w:w="546"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0.0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0.0 </w:t>
            </w:r>
          </w:p>
        </w:tc>
        <w:tc>
          <w:tcPr>
            <w:tcW w:w="460"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0.0 </w:t>
            </w:r>
          </w:p>
        </w:tc>
      </w:tr>
      <w:tr w:rsidR="00B734A1" w:rsidRPr="00EB41EE" w:rsidTr="00B734A1">
        <w:trPr>
          <w:trHeight w:val="630"/>
        </w:trPr>
        <w:tc>
          <w:tcPr>
            <w:tcW w:w="409"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F</w:t>
            </w:r>
          </w:p>
        </w:tc>
        <w:tc>
          <w:tcPr>
            <w:tcW w:w="1218" w:type="pct"/>
            <w:tcBorders>
              <w:top w:val="dotted" w:sz="4" w:space="0" w:color="0093D0"/>
              <w:left w:val="nil"/>
              <w:bottom w:val="dotted" w:sz="4" w:space="0" w:color="0093D0"/>
              <w:right w:val="nil"/>
            </w:tcBorders>
            <w:shd w:val="clear" w:color="auto" w:fill="auto"/>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Paints, lacquers, varnish, resins, inks, dyes, pigments, adhesives</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0.0 </w:t>
            </w:r>
          </w:p>
        </w:tc>
        <w:tc>
          <w:tcPr>
            <w:tcW w:w="515"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4.9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0.1 </w:t>
            </w:r>
          </w:p>
        </w:tc>
        <w:tc>
          <w:tcPr>
            <w:tcW w:w="546"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1.5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4.9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1.0 </w:t>
            </w:r>
          </w:p>
        </w:tc>
        <w:tc>
          <w:tcPr>
            <w:tcW w:w="460"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12.4 </w:t>
            </w:r>
          </w:p>
        </w:tc>
      </w:tr>
      <w:tr w:rsidR="00B734A1" w:rsidRPr="00EB41EE" w:rsidTr="00B734A1">
        <w:trPr>
          <w:trHeight w:val="465"/>
        </w:trPr>
        <w:tc>
          <w:tcPr>
            <w:tcW w:w="409"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G</w:t>
            </w:r>
          </w:p>
        </w:tc>
        <w:tc>
          <w:tcPr>
            <w:tcW w:w="1218" w:type="pct"/>
            <w:tcBorders>
              <w:top w:val="dotted" w:sz="4" w:space="0" w:color="0093D0"/>
              <w:left w:val="nil"/>
              <w:bottom w:val="dotted" w:sz="4" w:space="0" w:color="0093D0"/>
              <w:right w:val="nil"/>
            </w:tcBorders>
            <w:shd w:val="clear" w:color="auto" w:fill="auto"/>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Organic solvents, solvent residues</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   </w:t>
            </w:r>
          </w:p>
        </w:tc>
        <w:tc>
          <w:tcPr>
            <w:tcW w:w="515"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0.8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0.1 </w:t>
            </w:r>
          </w:p>
        </w:tc>
        <w:tc>
          <w:tcPr>
            <w:tcW w:w="546"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1.2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5.3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0.2 </w:t>
            </w:r>
          </w:p>
        </w:tc>
        <w:tc>
          <w:tcPr>
            <w:tcW w:w="460"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7.6 </w:t>
            </w:r>
          </w:p>
        </w:tc>
      </w:tr>
      <w:tr w:rsidR="00B734A1" w:rsidRPr="00EB41EE" w:rsidTr="00B734A1">
        <w:trPr>
          <w:trHeight w:val="585"/>
        </w:trPr>
        <w:tc>
          <w:tcPr>
            <w:tcW w:w="409"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H</w:t>
            </w:r>
          </w:p>
        </w:tc>
        <w:tc>
          <w:tcPr>
            <w:tcW w:w="1218" w:type="pct"/>
            <w:tcBorders>
              <w:top w:val="dotted" w:sz="4" w:space="0" w:color="0093D0"/>
              <w:left w:val="nil"/>
              <w:bottom w:val="dotted" w:sz="4" w:space="0" w:color="0093D0"/>
              <w:right w:val="nil"/>
            </w:tcBorders>
            <w:shd w:val="clear" w:color="auto" w:fill="auto"/>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Pesticides (includes herbicides and insecticides)</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0.0 </w:t>
            </w:r>
          </w:p>
        </w:tc>
        <w:tc>
          <w:tcPr>
            <w:tcW w:w="515"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0.3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9.3 </w:t>
            </w:r>
          </w:p>
        </w:tc>
        <w:tc>
          <w:tcPr>
            <w:tcW w:w="546"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0.1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0.4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0.1 </w:t>
            </w:r>
          </w:p>
        </w:tc>
        <w:tc>
          <w:tcPr>
            <w:tcW w:w="460"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10.0 </w:t>
            </w:r>
          </w:p>
        </w:tc>
      </w:tr>
      <w:tr w:rsidR="00B734A1" w:rsidRPr="00EB41EE" w:rsidTr="00B734A1">
        <w:trPr>
          <w:trHeight w:val="397"/>
        </w:trPr>
        <w:tc>
          <w:tcPr>
            <w:tcW w:w="409"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J</w:t>
            </w:r>
          </w:p>
        </w:tc>
        <w:tc>
          <w:tcPr>
            <w:tcW w:w="1218"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Oils, hydrocarbons, emulsions</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0.0 </w:t>
            </w:r>
          </w:p>
        </w:tc>
        <w:tc>
          <w:tcPr>
            <w:tcW w:w="515"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98.6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11.0 </w:t>
            </w:r>
          </w:p>
        </w:tc>
        <w:tc>
          <w:tcPr>
            <w:tcW w:w="546"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22.5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57.9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0.9 </w:t>
            </w:r>
          </w:p>
        </w:tc>
        <w:tc>
          <w:tcPr>
            <w:tcW w:w="460"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191.0 </w:t>
            </w:r>
          </w:p>
        </w:tc>
      </w:tr>
      <w:tr w:rsidR="00B734A1" w:rsidRPr="00EB41EE" w:rsidTr="00B734A1">
        <w:trPr>
          <w:trHeight w:val="397"/>
        </w:trPr>
        <w:tc>
          <w:tcPr>
            <w:tcW w:w="409"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K</w:t>
            </w:r>
          </w:p>
        </w:tc>
        <w:tc>
          <w:tcPr>
            <w:tcW w:w="1218"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Putrescible/organic wastes</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10.5 </w:t>
            </w:r>
          </w:p>
        </w:tc>
        <w:tc>
          <w:tcPr>
            <w:tcW w:w="515"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33.9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32.9 </w:t>
            </w:r>
          </w:p>
        </w:tc>
        <w:tc>
          <w:tcPr>
            <w:tcW w:w="546"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7.8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68.9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0.7 </w:t>
            </w:r>
          </w:p>
        </w:tc>
        <w:tc>
          <w:tcPr>
            <w:tcW w:w="460"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154.5 </w:t>
            </w:r>
          </w:p>
        </w:tc>
      </w:tr>
      <w:tr w:rsidR="00B734A1" w:rsidRPr="00EB41EE" w:rsidTr="00B734A1">
        <w:trPr>
          <w:trHeight w:val="397"/>
        </w:trPr>
        <w:tc>
          <w:tcPr>
            <w:tcW w:w="409"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L</w:t>
            </w:r>
          </w:p>
        </w:tc>
        <w:tc>
          <w:tcPr>
            <w:tcW w:w="1218"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B734A1">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 xml:space="preserve">Industrial </w:t>
            </w:r>
            <w:proofErr w:type="spellStart"/>
            <w:r w:rsidRPr="00EB41EE">
              <w:rPr>
                <w:rFonts w:ascii="Calibri" w:eastAsia="Times New Roman" w:hAnsi="Calibri" w:cs="Times New Roman"/>
                <w:color w:val="000000"/>
                <w:lang w:eastAsia="en-AU"/>
              </w:rPr>
              <w:t>washwaters</w:t>
            </w:r>
            <w:proofErr w:type="spellEnd"/>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0</w:t>
            </w:r>
          </w:p>
        </w:tc>
        <w:tc>
          <w:tcPr>
            <w:tcW w:w="515"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0</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0</w:t>
            </w:r>
          </w:p>
        </w:tc>
        <w:tc>
          <w:tcPr>
            <w:tcW w:w="546"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0</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0</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0</w:t>
            </w:r>
          </w:p>
        </w:tc>
        <w:tc>
          <w:tcPr>
            <w:tcW w:w="460"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0</w:t>
            </w:r>
          </w:p>
        </w:tc>
      </w:tr>
      <w:tr w:rsidR="00B734A1" w:rsidRPr="00EB41EE" w:rsidTr="00B734A1">
        <w:trPr>
          <w:trHeight w:val="397"/>
        </w:trPr>
        <w:tc>
          <w:tcPr>
            <w:tcW w:w="409"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M</w:t>
            </w:r>
          </w:p>
        </w:tc>
        <w:tc>
          <w:tcPr>
            <w:tcW w:w="1218"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Organic chemicals</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0.0 </w:t>
            </w:r>
          </w:p>
        </w:tc>
        <w:tc>
          <w:tcPr>
            <w:tcW w:w="515"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19.2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1.1 </w:t>
            </w:r>
          </w:p>
        </w:tc>
        <w:tc>
          <w:tcPr>
            <w:tcW w:w="546"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0.8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0.2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0.2 </w:t>
            </w:r>
          </w:p>
        </w:tc>
        <w:tc>
          <w:tcPr>
            <w:tcW w:w="460"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21.4 </w:t>
            </w:r>
          </w:p>
        </w:tc>
      </w:tr>
      <w:tr w:rsidR="00B734A1" w:rsidRPr="00EB41EE" w:rsidTr="00B734A1">
        <w:trPr>
          <w:trHeight w:val="585"/>
        </w:trPr>
        <w:tc>
          <w:tcPr>
            <w:tcW w:w="409"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N</w:t>
            </w:r>
          </w:p>
        </w:tc>
        <w:tc>
          <w:tcPr>
            <w:tcW w:w="1218" w:type="pct"/>
            <w:tcBorders>
              <w:top w:val="dotted" w:sz="4" w:space="0" w:color="0093D0"/>
              <w:left w:val="nil"/>
              <w:bottom w:val="dotted" w:sz="4" w:space="0" w:color="0093D0"/>
              <w:right w:val="nil"/>
            </w:tcBorders>
            <w:shd w:val="clear" w:color="auto" w:fill="auto"/>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Solid/sludge wastes requiring special handling</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172.4 </w:t>
            </w:r>
          </w:p>
        </w:tc>
        <w:tc>
          <w:tcPr>
            <w:tcW w:w="515"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528.7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78.3 </w:t>
            </w:r>
          </w:p>
        </w:tc>
        <w:tc>
          <w:tcPr>
            <w:tcW w:w="546"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54.2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353.6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23.8 </w:t>
            </w:r>
          </w:p>
        </w:tc>
        <w:tc>
          <w:tcPr>
            <w:tcW w:w="460"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1,211.1 </w:t>
            </w:r>
          </w:p>
        </w:tc>
      </w:tr>
      <w:tr w:rsidR="00B734A1" w:rsidRPr="00EB41EE" w:rsidTr="00B734A1">
        <w:trPr>
          <w:trHeight w:val="397"/>
        </w:trPr>
        <w:tc>
          <w:tcPr>
            <w:tcW w:w="409" w:type="pct"/>
            <w:tcBorders>
              <w:top w:val="dotted" w:sz="4" w:space="0" w:color="0093D0"/>
              <w:left w:val="nil"/>
              <w:bottom w:val="dotted" w:sz="4"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R</w:t>
            </w:r>
          </w:p>
        </w:tc>
        <w:tc>
          <w:tcPr>
            <w:tcW w:w="1218" w:type="pct"/>
            <w:tcBorders>
              <w:top w:val="dotted" w:sz="4" w:space="0" w:color="0093D0"/>
              <w:left w:val="nil"/>
              <w:bottom w:val="dotted" w:sz="4" w:space="0" w:color="0093D0"/>
              <w:right w:val="nil"/>
            </w:tcBorders>
            <w:shd w:val="clear" w:color="auto" w:fill="auto"/>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Clinical and pharmaceutical wastes</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   </w:t>
            </w:r>
          </w:p>
        </w:tc>
        <w:tc>
          <w:tcPr>
            <w:tcW w:w="515"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8.9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   </w:t>
            </w:r>
          </w:p>
        </w:tc>
        <w:tc>
          <w:tcPr>
            <w:tcW w:w="546"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6.4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0.2 </w:t>
            </w:r>
          </w:p>
        </w:tc>
        <w:tc>
          <w:tcPr>
            <w:tcW w:w="463"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24.5 </w:t>
            </w:r>
          </w:p>
        </w:tc>
        <w:tc>
          <w:tcPr>
            <w:tcW w:w="460" w:type="pct"/>
            <w:tcBorders>
              <w:top w:val="dotted" w:sz="4" w:space="0" w:color="0093D0"/>
              <w:left w:val="nil"/>
              <w:bottom w:val="dotted" w:sz="4"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39.9 </w:t>
            </w:r>
          </w:p>
        </w:tc>
      </w:tr>
      <w:tr w:rsidR="00B734A1" w:rsidRPr="00EB41EE" w:rsidTr="00B734A1">
        <w:trPr>
          <w:trHeight w:val="397"/>
        </w:trPr>
        <w:tc>
          <w:tcPr>
            <w:tcW w:w="409" w:type="pct"/>
            <w:tcBorders>
              <w:top w:val="dotted" w:sz="4" w:space="0" w:color="0093D0"/>
              <w:left w:val="nil"/>
              <w:bottom w:val="single" w:sz="8"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T</w:t>
            </w:r>
          </w:p>
        </w:tc>
        <w:tc>
          <w:tcPr>
            <w:tcW w:w="1218" w:type="pct"/>
            <w:tcBorders>
              <w:top w:val="dotted" w:sz="4" w:space="0" w:color="0093D0"/>
              <w:left w:val="nil"/>
              <w:bottom w:val="single" w:sz="8" w:space="0" w:color="0093D0"/>
              <w:right w:val="nil"/>
            </w:tcBorders>
            <w:shd w:val="clear" w:color="auto" w:fill="auto"/>
            <w:noWrap/>
            <w:vAlign w:val="bottom"/>
            <w:hideMark/>
          </w:tcPr>
          <w:p w:rsidR="00B734A1" w:rsidRPr="00EB41EE" w:rsidRDefault="00B734A1" w:rsidP="00EB41EE">
            <w:pPr>
              <w:spacing w:after="0" w:line="240" w:lineRule="auto"/>
              <w:rPr>
                <w:rFonts w:ascii="Calibri" w:eastAsia="Times New Roman" w:hAnsi="Calibri" w:cs="Times New Roman"/>
                <w:color w:val="000000"/>
                <w:lang w:eastAsia="en-AU"/>
              </w:rPr>
            </w:pPr>
            <w:r w:rsidRPr="00EB41EE">
              <w:rPr>
                <w:rFonts w:ascii="Calibri" w:eastAsia="Times New Roman" w:hAnsi="Calibri" w:cs="Times New Roman"/>
                <w:color w:val="000000"/>
                <w:lang w:eastAsia="en-AU"/>
              </w:rPr>
              <w:t>Miscellaneous</w:t>
            </w:r>
          </w:p>
        </w:tc>
        <w:tc>
          <w:tcPr>
            <w:tcW w:w="463" w:type="pct"/>
            <w:tcBorders>
              <w:top w:val="dotted" w:sz="4" w:space="0" w:color="0093D0"/>
              <w:left w:val="nil"/>
              <w:bottom w:val="single" w:sz="8"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   </w:t>
            </w:r>
          </w:p>
        </w:tc>
        <w:tc>
          <w:tcPr>
            <w:tcW w:w="515" w:type="pct"/>
            <w:tcBorders>
              <w:top w:val="dotted" w:sz="4" w:space="0" w:color="0093D0"/>
              <w:left w:val="nil"/>
              <w:bottom w:val="single" w:sz="8"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65.4 </w:t>
            </w:r>
          </w:p>
        </w:tc>
        <w:tc>
          <w:tcPr>
            <w:tcW w:w="463" w:type="pct"/>
            <w:tcBorders>
              <w:top w:val="dotted" w:sz="4" w:space="0" w:color="0093D0"/>
              <w:left w:val="nil"/>
              <w:bottom w:val="single" w:sz="8"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23.1 </w:t>
            </w:r>
          </w:p>
        </w:tc>
        <w:tc>
          <w:tcPr>
            <w:tcW w:w="546" w:type="pct"/>
            <w:tcBorders>
              <w:top w:val="dotted" w:sz="4" w:space="0" w:color="0093D0"/>
              <w:left w:val="nil"/>
              <w:bottom w:val="single" w:sz="8"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7.9 </w:t>
            </w:r>
          </w:p>
        </w:tc>
        <w:tc>
          <w:tcPr>
            <w:tcW w:w="463" w:type="pct"/>
            <w:tcBorders>
              <w:top w:val="dotted" w:sz="4" w:space="0" w:color="0093D0"/>
              <w:left w:val="nil"/>
              <w:bottom w:val="single" w:sz="8"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29.8 </w:t>
            </w:r>
          </w:p>
        </w:tc>
        <w:tc>
          <w:tcPr>
            <w:tcW w:w="463" w:type="pct"/>
            <w:tcBorders>
              <w:top w:val="dotted" w:sz="4" w:space="0" w:color="0093D0"/>
              <w:left w:val="nil"/>
              <w:bottom w:val="single" w:sz="8"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color w:val="000000"/>
                <w:lang w:eastAsia="en-AU"/>
              </w:rPr>
            </w:pPr>
            <w:r w:rsidRPr="00B734A1">
              <w:rPr>
                <w:rFonts w:ascii="Calibri" w:eastAsia="Times New Roman" w:hAnsi="Calibri" w:cs="Times New Roman"/>
                <w:color w:val="000000"/>
                <w:lang w:eastAsia="en-AU"/>
              </w:rPr>
              <w:t xml:space="preserve">              55.4 </w:t>
            </w:r>
          </w:p>
        </w:tc>
        <w:tc>
          <w:tcPr>
            <w:tcW w:w="460" w:type="pct"/>
            <w:tcBorders>
              <w:top w:val="dotted" w:sz="4" w:space="0" w:color="0093D0"/>
              <w:left w:val="nil"/>
              <w:bottom w:val="single" w:sz="8" w:space="0" w:color="0093D0"/>
              <w:right w:val="nil"/>
            </w:tcBorders>
            <w:shd w:val="clear" w:color="auto" w:fill="auto"/>
            <w:noWrap/>
            <w:vAlign w:val="bottom"/>
            <w:hideMark/>
          </w:tcPr>
          <w:p w:rsidR="00B734A1" w:rsidRPr="00B734A1" w:rsidRDefault="00B734A1" w:rsidP="00B734A1">
            <w:pPr>
              <w:spacing w:after="0" w:line="240" w:lineRule="auto"/>
              <w:jc w:val="right"/>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181.6 </w:t>
            </w:r>
          </w:p>
        </w:tc>
      </w:tr>
      <w:tr w:rsidR="00B734A1" w:rsidRPr="0036491B" w:rsidTr="00B734A1">
        <w:trPr>
          <w:trHeight w:val="499"/>
        </w:trPr>
        <w:tc>
          <w:tcPr>
            <w:tcW w:w="1627" w:type="pct"/>
            <w:gridSpan w:val="2"/>
            <w:tcBorders>
              <w:top w:val="single" w:sz="8" w:space="0" w:color="0093D0"/>
              <w:left w:val="nil"/>
              <w:bottom w:val="single" w:sz="12" w:space="0" w:color="0093D0"/>
              <w:right w:val="nil"/>
            </w:tcBorders>
            <w:shd w:val="clear" w:color="auto" w:fill="auto"/>
            <w:vAlign w:val="bottom"/>
            <w:hideMark/>
          </w:tcPr>
          <w:p w:rsidR="00B734A1" w:rsidRPr="0036491B" w:rsidRDefault="00B734A1" w:rsidP="00EB41EE">
            <w:pPr>
              <w:spacing w:after="0" w:line="240" w:lineRule="auto"/>
              <w:rPr>
                <w:rFonts w:ascii="Calibri" w:eastAsia="Times New Roman" w:hAnsi="Calibri" w:cs="Times New Roman"/>
                <w:b/>
                <w:color w:val="000000"/>
                <w:lang w:eastAsia="en-AU"/>
              </w:rPr>
            </w:pPr>
            <w:r w:rsidRPr="0036491B">
              <w:rPr>
                <w:rFonts w:ascii="Calibri" w:eastAsia="Times New Roman" w:hAnsi="Calibri" w:cs="Times New Roman"/>
                <w:b/>
                <w:color w:val="000000"/>
                <w:lang w:eastAsia="en-AU"/>
              </w:rPr>
              <w:t>Total</w:t>
            </w:r>
          </w:p>
        </w:tc>
        <w:tc>
          <w:tcPr>
            <w:tcW w:w="463" w:type="pct"/>
            <w:tcBorders>
              <w:top w:val="single" w:sz="8" w:space="0" w:color="0093D0"/>
              <w:left w:val="nil"/>
              <w:bottom w:val="single" w:sz="12"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183.1 </w:t>
            </w:r>
          </w:p>
        </w:tc>
        <w:tc>
          <w:tcPr>
            <w:tcW w:w="515" w:type="pct"/>
            <w:tcBorders>
              <w:top w:val="single" w:sz="8" w:space="0" w:color="0093D0"/>
              <w:left w:val="nil"/>
              <w:bottom w:val="single" w:sz="12"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945.3 </w:t>
            </w:r>
          </w:p>
        </w:tc>
        <w:tc>
          <w:tcPr>
            <w:tcW w:w="463" w:type="pct"/>
            <w:tcBorders>
              <w:top w:val="single" w:sz="8" w:space="0" w:color="0093D0"/>
              <w:left w:val="nil"/>
              <w:bottom w:val="single" w:sz="12"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269.1 </w:t>
            </w:r>
          </w:p>
        </w:tc>
        <w:tc>
          <w:tcPr>
            <w:tcW w:w="546" w:type="pct"/>
            <w:tcBorders>
              <w:top w:val="single" w:sz="8" w:space="0" w:color="0093D0"/>
              <w:left w:val="nil"/>
              <w:bottom w:val="single" w:sz="12"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107.7 </w:t>
            </w:r>
          </w:p>
        </w:tc>
        <w:tc>
          <w:tcPr>
            <w:tcW w:w="463" w:type="pct"/>
            <w:tcBorders>
              <w:top w:val="single" w:sz="8" w:space="0" w:color="0093D0"/>
              <w:left w:val="nil"/>
              <w:bottom w:val="single" w:sz="12"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582.8 </w:t>
            </w:r>
          </w:p>
        </w:tc>
        <w:tc>
          <w:tcPr>
            <w:tcW w:w="463" w:type="pct"/>
            <w:tcBorders>
              <w:top w:val="single" w:sz="8" w:space="0" w:color="0093D0"/>
              <w:left w:val="nil"/>
              <w:bottom w:val="single" w:sz="12"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128.6 </w:t>
            </w:r>
          </w:p>
        </w:tc>
        <w:tc>
          <w:tcPr>
            <w:tcW w:w="460" w:type="pct"/>
            <w:tcBorders>
              <w:top w:val="single" w:sz="8" w:space="0" w:color="0093D0"/>
              <w:left w:val="nil"/>
              <w:bottom w:val="single" w:sz="12" w:space="0" w:color="0093D0"/>
              <w:right w:val="nil"/>
            </w:tcBorders>
            <w:shd w:val="clear" w:color="auto" w:fill="auto"/>
            <w:noWrap/>
            <w:vAlign w:val="bottom"/>
            <w:hideMark/>
          </w:tcPr>
          <w:p w:rsidR="00B734A1" w:rsidRPr="00B734A1" w:rsidRDefault="00B734A1" w:rsidP="00B734A1">
            <w:pPr>
              <w:spacing w:after="0" w:line="240" w:lineRule="auto"/>
              <w:rPr>
                <w:rFonts w:ascii="Calibri" w:eastAsia="Times New Roman" w:hAnsi="Calibri" w:cs="Times New Roman"/>
                <w:b/>
                <w:color w:val="000000"/>
                <w:lang w:eastAsia="en-AU"/>
              </w:rPr>
            </w:pPr>
            <w:r w:rsidRPr="00B734A1">
              <w:rPr>
                <w:rFonts w:ascii="Calibri" w:eastAsia="Times New Roman" w:hAnsi="Calibri" w:cs="Times New Roman"/>
                <w:b/>
                <w:color w:val="000000"/>
                <w:lang w:eastAsia="en-AU"/>
              </w:rPr>
              <w:t xml:space="preserve">        2,216.5 </w:t>
            </w:r>
          </w:p>
        </w:tc>
      </w:tr>
    </w:tbl>
    <w:p w:rsidR="00EB41EE" w:rsidRDefault="00EB41EE" w:rsidP="000F0B8D">
      <w:pPr>
        <w:pStyle w:val="MJAnormal"/>
      </w:pPr>
    </w:p>
    <w:p w:rsidR="00EB41EE" w:rsidRDefault="00EB41EE" w:rsidP="000F0B8D">
      <w:pPr>
        <w:pStyle w:val="MJAnormal"/>
        <w:sectPr w:rsidR="00EB41EE" w:rsidSect="00EB41EE">
          <w:headerReference w:type="default" r:id="rId16"/>
          <w:footerReference w:type="default" r:id="rId17"/>
          <w:pgSz w:w="16838" w:h="11906" w:orient="landscape" w:code="9"/>
          <w:pgMar w:top="1701" w:right="1134" w:bottom="1134" w:left="1701" w:header="680" w:footer="113" w:gutter="0"/>
          <w:cols w:space="708"/>
          <w:docGrid w:linePitch="360"/>
        </w:sectPr>
      </w:pPr>
    </w:p>
    <w:p w:rsidR="00A761C7" w:rsidRPr="00C154E6" w:rsidRDefault="00A761C7" w:rsidP="00C154E6">
      <w:pPr>
        <w:pStyle w:val="MJAnormal"/>
      </w:pPr>
      <w:r w:rsidRPr="00EA2A07">
        <w:rPr>
          <w:b/>
          <w:bCs/>
          <w:sz w:val="20"/>
          <w:szCs w:val="20"/>
        </w:rPr>
        <w:lastRenderedPageBreak/>
        <w:t xml:space="preserve">Figure </w:t>
      </w:r>
      <w:r w:rsidR="00732F35" w:rsidRPr="00EA2A07">
        <w:rPr>
          <w:b/>
          <w:bCs/>
          <w:sz w:val="20"/>
          <w:szCs w:val="20"/>
        </w:rPr>
        <w:fldChar w:fldCharType="begin"/>
      </w:r>
      <w:r w:rsidRPr="00EA2A07">
        <w:rPr>
          <w:b/>
          <w:bCs/>
          <w:sz w:val="20"/>
          <w:szCs w:val="20"/>
        </w:rPr>
        <w:instrText xml:space="preserve"> SEQ Figure \* ARABIC </w:instrText>
      </w:r>
      <w:r w:rsidR="00732F35" w:rsidRPr="00EA2A07">
        <w:rPr>
          <w:b/>
          <w:bCs/>
          <w:sz w:val="20"/>
          <w:szCs w:val="20"/>
        </w:rPr>
        <w:fldChar w:fldCharType="separate"/>
      </w:r>
      <w:r w:rsidR="00D54C27">
        <w:rPr>
          <w:b/>
          <w:bCs/>
          <w:noProof/>
          <w:sz w:val="20"/>
          <w:szCs w:val="20"/>
        </w:rPr>
        <w:t>2</w:t>
      </w:r>
      <w:r w:rsidR="00732F35" w:rsidRPr="00EA2A07">
        <w:rPr>
          <w:b/>
          <w:bCs/>
          <w:sz w:val="20"/>
          <w:szCs w:val="20"/>
        </w:rPr>
        <w:fldChar w:fldCharType="end"/>
      </w:r>
      <w:r>
        <w:rPr>
          <w:b/>
          <w:bCs/>
          <w:sz w:val="20"/>
          <w:szCs w:val="20"/>
        </w:rPr>
        <w:t>: Percentage breakdown of hazardous waste volumes and costs by destination</w:t>
      </w:r>
    </w:p>
    <w:p w:rsidR="00A761C7" w:rsidRDefault="00C82888" w:rsidP="00A761C7">
      <w:pPr>
        <w:pStyle w:val="MJAnormal"/>
      </w:pPr>
      <w:r>
        <w:rPr>
          <w:noProof/>
          <w:lang w:eastAsia="en-AU"/>
        </w:rPr>
        <w:drawing>
          <wp:inline distT="0" distB="0" distL="0" distR="0">
            <wp:extent cx="5363570" cy="3780429"/>
            <wp:effectExtent l="0" t="0" r="27940" b="107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81D3C" w:rsidRDefault="00B81D3C" w:rsidP="00A761C7">
      <w:pPr>
        <w:pStyle w:val="MJAnormal"/>
      </w:pPr>
    </w:p>
    <w:p w:rsidR="00A761C7" w:rsidRPr="008C2A7A" w:rsidRDefault="00A761C7" w:rsidP="00A761C7">
      <w:pPr>
        <w:pStyle w:val="MJAnormal"/>
      </w:pPr>
      <w:r>
        <w:t>I</w:t>
      </w:r>
      <w:r w:rsidRPr="00076511">
        <w:t xml:space="preserve">t is important to note that while the costs </w:t>
      </w:r>
      <w:r w:rsidRPr="001410F2">
        <w:t>to industry of hazardous waste transport, treatment and disposal represent a cost to the Australian economy, the costs accrued in managing hazardous wastes</w:t>
      </w:r>
      <w:r>
        <w:t xml:space="preserve">, driven by established regulatory frameworks, </w:t>
      </w:r>
      <w:r w:rsidRPr="001410F2">
        <w:t>reduce the negative externalities (social and environmental costs) that would otherwise have occurred in the absence of hazardous waste regulatory requirements.</w:t>
      </w:r>
      <w:r>
        <w:t xml:space="preserve">  Estimation of these benefits is outside the scope of this study, but a Regulatory Impact Statement (RIS) undertaken into Victorian hazardous industrial waste regulations (EPA Victoria 2009) estimates that in the absence of a strong regulatory framework in Victoria it would be expected that 40% of hazardous wastes would be disposed of incorrectly. </w:t>
      </w:r>
    </w:p>
    <w:p w:rsidR="00A761C7" w:rsidRDefault="00A761C7" w:rsidP="00A761C7">
      <w:pPr>
        <w:pStyle w:val="MJAnormal"/>
      </w:pPr>
      <w:r>
        <w:t>More detailed explanation of the direct market cost components, and how they were assessed, is provided in Section 4.</w:t>
      </w:r>
    </w:p>
    <w:p w:rsidR="000F0B8D" w:rsidRDefault="000F0B8D" w:rsidP="000F0B8D">
      <w:pPr>
        <w:pStyle w:val="MJAheading3"/>
        <w:ind w:hanging="1080"/>
      </w:pPr>
      <w:r>
        <w:t>Indirect and non-market costs</w:t>
      </w:r>
    </w:p>
    <w:p w:rsidR="008751B1" w:rsidRDefault="003F4B57" w:rsidP="008751B1">
      <w:pPr>
        <w:pStyle w:val="MJAnormal"/>
      </w:pPr>
      <w:r>
        <w:t>Indirect and non-mar</w:t>
      </w:r>
      <w:r w:rsidR="00327760">
        <w:t xml:space="preserve">ket costs assessed in this analysis </w:t>
      </w:r>
      <w:r w:rsidR="00BA5DEF">
        <w:t>include:</w:t>
      </w:r>
    </w:p>
    <w:p w:rsidR="0082496B" w:rsidRPr="008B1003" w:rsidRDefault="0082496B" w:rsidP="0082496B">
      <w:pPr>
        <w:pStyle w:val="MJAbulletnormal"/>
        <w:numPr>
          <w:ilvl w:val="0"/>
          <w:numId w:val="2"/>
        </w:numPr>
        <w:rPr>
          <w:szCs w:val="20"/>
        </w:rPr>
      </w:pPr>
      <w:r>
        <w:rPr>
          <w:szCs w:val="20"/>
        </w:rPr>
        <w:t>g</w:t>
      </w:r>
      <w:r w:rsidRPr="008B1003">
        <w:rPr>
          <w:szCs w:val="20"/>
        </w:rPr>
        <w:t>overnment costs associated with regulating and administering hazardous wastes;</w:t>
      </w:r>
    </w:p>
    <w:p w:rsidR="0082496B" w:rsidRPr="008B1003" w:rsidRDefault="0082496B" w:rsidP="0082496B">
      <w:pPr>
        <w:pStyle w:val="MJAbulletnormal"/>
        <w:numPr>
          <w:ilvl w:val="0"/>
          <w:numId w:val="2"/>
        </w:numPr>
        <w:rPr>
          <w:szCs w:val="20"/>
        </w:rPr>
      </w:pPr>
      <w:r>
        <w:rPr>
          <w:szCs w:val="20"/>
        </w:rPr>
        <w:t>costs of</w:t>
      </w:r>
      <w:r w:rsidRPr="008B1003">
        <w:rPr>
          <w:szCs w:val="20"/>
        </w:rPr>
        <w:t xml:space="preserve"> injuries and illnesses to workers who handle hazardous wastes; and</w:t>
      </w:r>
    </w:p>
    <w:p w:rsidR="000F0B8D" w:rsidRPr="00BA5DEF" w:rsidRDefault="0082496B" w:rsidP="0082496B">
      <w:pPr>
        <w:pStyle w:val="MJAbulletnormal"/>
        <w:numPr>
          <w:ilvl w:val="0"/>
          <w:numId w:val="2"/>
        </w:numPr>
        <w:rPr>
          <w:szCs w:val="20"/>
        </w:rPr>
      </w:pPr>
      <w:proofErr w:type="gramStart"/>
      <w:r>
        <w:rPr>
          <w:szCs w:val="20"/>
        </w:rPr>
        <w:t>residual</w:t>
      </w:r>
      <w:proofErr w:type="gramEnd"/>
      <w:r>
        <w:rPr>
          <w:szCs w:val="20"/>
        </w:rPr>
        <w:t xml:space="preserve"> e</w:t>
      </w:r>
      <w:r w:rsidRPr="008B1003">
        <w:rPr>
          <w:szCs w:val="20"/>
        </w:rPr>
        <w:t>nvironmental and social externalities associated with hazard</w:t>
      </w:r>
      <w:r w:rsidR="00446698">
        <w:rPr>
          <w:szCs w:val="20"/>
        </w:rPr>
        <w:t>ous wastes disposed to landfill</w:t>
      </w:r>
      <w:r w:rsidR="00D23E04">
        <w:rPr>
          <w:szCs w:val="20"/>
        </w:rPr>
        <w:t>.</w:t>
      </w:r>
    </w:p>
    <w:p w:rsidR="009214E6" w:rsidRDefault="00732F35" w:rsidP="00757C4E">
      <w:pPr>
        <w:pStyle w:val="MJAnormal"/>
      </w:pPr>
      <w:fldSimple w:instr=" REF _Ref391334033 \h  \* MERGEFORMAT ">
        <w:r w:rsidR="00D54C27" w:rsidRPr="00D54C27">
          <w:t>Table 6</w:t>
        </w:r>
      </w:fldSimple>
      <w:r w:rsidR="00980390" w:rsidRPr="00980390">
        <w:t xml:space="preserve"> </w:t>
      </w:r>
      <w:r w:rsidR="0082496B" w:rsidRPr="00980390">
        <w:t>provides an overview of these costs.  In 2012, indirect and non-market costs associated</w:t>
      </w:r>
      <w:r w:rsidR="0082496B">
        <w:t xml:space="preserve"> with hazardous wastes are estimated to have been </w:t>
      </w:r>
      <w:r w:rsidR="00BC5EA3">
        <w:t>$207</w:t>
      </w:r>
      <w:r w:rsidR="00446698">
        <w:t xml:space="preserve"> million.  Workplace injury </w:t>
      </w:r>
      <w:r w:rsidR="009214E6">
        <w:t xml:space="preserve">and illness </w:t>
      </w:r>
      <w:r w:rsidR="00446698">
        <w:t xml:space="preserve">represents the biggest share </w:t>
      </w:r>
      <w:r w:rsidR="00C2625B">
        <w:t>of these costs at $110</w:t>
      </w:r>
      <w:r w:rsidR="009214E6">
        <w:t xml:space="preserve"> million.  These consist of workers compensation (for death or injury) and associated administration costs, hospitalisation and other </w:t>
      </w:r>
      <w:r w:rsidR="009214E6">
        <w:lastRenderedPageBreak/>
        <w:t>medical costs and lost production and productivity (short term and long term).  Government regulatory costs ($56 million) include costs associated with licensing, approvals and site audits and inspections as well as data monitoring and reporting cos</w:t>
      </w:r>
      <w:r w:rsidR="00C2625B">
        <w:t>ts. Resid</w:t>
      </w:r>
      <w:r w:rsidR="00BC5EA3">
        <w:t>ual landfill costs ($35</w:t>
      </w:r>
      <w:r w:rsidR="009214E6">
        <w:t xml:space="preserve"> million</w:t>
      </w:r>
      <w:r w:rsidR="00D23E04">
        <w:t>)</w:t>
      </w:r>
      <w:r w:rsidR="009214E6">
        <w:t xml:space="preserve"> include</w:t>
      </w:r>
      <w:r w:rsidR="00D23E04">
        <w:t xml:space="preserve"> </w:t>
      </w:r>
      <w:r w:rsidR="00D23E04">
        <w:rPr>
          <w:szCs w:val="20"/>
        </w:rPr>
        <w:t xml:space="preserve">including greenhouse gas emissions, other air pollutants, leachate and noise and amenity impacts.  </w:t>
      </w:r>
    </w:p>
    <w:p w:rsidR="009A0001" w:rsidRDefault="00D23E04" w:rsidP="00757C4E">
      <w:pPr>
        <w:pStyle w:val="MJAnormal"/>
      </w:pPr>
      <w:r>
        <w:t xml:space="preserve">There is considerable uncertainty </w:t>
      </w:r>
      <w:r w:rsidR="00A7703A">
        <w:t>attached to the estimates of indirect and non-market costs</w:t>
      </w:r>
      <w:r w:rsidR="00332E5B">
        <w:t>,</w:t>
      </w:r>
      <w:r w:rsidR="00A7703A">
        <w:t xml:space="preserve"> with the lower and upper bounds f</w:t>
      </w:r>
      <w:r w:rsidR="00BC5EA3">
        <w:t>or these costs ranging from $96 million to $382</w:t>
      </w:r>
      <w:r w:rsidR="00A7703A">
        <w:t xml:space="preserve"> million</w:t>
      </w:r>
      <w:r w:rsidR="00332E5B">
        <w:t xml:space="preserve"> respectively</w:t>
      </w:r>
      <w:r w:rsidR="00A7703A">
        <w:t xml:space="preserve">.  Residual landfill </w:t>
      </w:r>
      <w:r w:rsidR="00BE4819">
        <w:t>costs are especially</w:t>
      </w:r>
      <w:r w:rsidR="00A7703A">
        <w:t xml:space="preserve"> uncertain (range </w:t>
      </w:r>
      <w:r w:rsidR="00332E5B">
        <w:t xml:space="preserve">of </w:t>
      </w:r>
      <w:r w:rsidR="00BC5EA3">
        <w:t>$7 million to $139</w:t>
      </w:r>
      <w:r w:rsidR="00BE4819">
        <w:t xml:space="preserve"> million) </w:t>
      </w:r>
      <w:r w:rsidR="00A7703A">
        <w:t xml:space="preserve">stemming </w:t>
      </w:r>
      <w:r w:rsidR="00BE4819">
        <w:t xml:space="preserve">in particular </w:t>
      </w:r>
      <w:r w:rsidR="00A7703A">
        <w:t xml:space="preserve">from </w:t>
      </w:r>
      <w:r w:rsidR="00BE4819">
        <w:t xml:space="preserve">uncertainty over greenhouse gas </w:t>
      </w:r>
      <w:r w:rsidR="00A7703A">
        <w:t xml:space="preserve">emissions factors and differences in perspective on whether </w:t>
      </w:r>
      <w:r w:rsidR="005475AE">
        <w:t>abatement</w:t>
      </w:r>
      <w:r w:rsidR="00332E5B">
        <w:t xml:space="preserve"> cost or social</w:t>
      </w:r>
      <w:r w:rsidR="00BE4819">
        <w:t xml:space="preserve"> cost estimates should apply to </w:t>
      </w:r>
      <w:r w:rsidR="00332E5B">
        <w:t xml:space="preserve">these </w:t>
      </w:r>
      <w:r w:rsidR="00BE4819">
        <w:t>emissions.</w:t>
      </w:r>
      <w:r w:rsidR="005475AE">
        <w:t xml:space="preserve">  These issues are discussed further in Section 4.</w:t>
      </w:r>
    </w:p>
    <w:p w:rsidR="00980390" w:rsidRPr="00980390" w:rsidRDefault="00980390" w:rsidP="00980390">
      <w:pPr>
        <w:keepNext/>
        <w:keepLines/>
        <w:spacing w:before="120" w:after="120" w:line="240" w:lineRule="auto"/>
        <w:rPr>
          <w:rFonts w:ascii="Calibri" w:eastAsia="Times New Roman" w:hAnsi="Calibri" w:cs="Calibri"/>
          <w:b/>
          <w:bCs/>
          <w:sz w:val="20"/>
          <w:szCs w:val="20"/>
          <w:lang w:eastAsia="en-AU"/>
        </w:rPr>
      </w:pPr>
      <w:bookmarkStart w:id="20" w:name="_Ref391334033"/>
      <w:r w:rsidRPr="00F6696F">
        <w:rPr>
          <w:rFonts w:ascii="Calibri" w:eastAsia="Times New Roman" w:hAnsi="Calibri" w:cs="Calibri"/>
          <w:b/>
          <w:bCs/>
          <w:sz w:val="20"/>
          <w:szCs w:val="20"/>
          <w:lang w:eastAsia="en-AU"/>
        </w:rPr>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6</w:t>
      </w:r>
      <w:r w:rsidR="00732F35" w:rsidRPr="00F6696F">
        <w:rPr>
          <w:rFonts w:ascii="Calibri" w:eastAsia="Times New Roman" w:hAnsi="Calibri" w:cs="Calibri"/>
          <w:b/>
          <w:bCs/>
          <w:sz w:val="20"/>
          <w:szCs w:val="20"/>
          <w:lang w:eastAsia="en-AU"/>
        </w:rPr>
        <w:fldChar w:fldCharType="end"/>
      </w:r>
      <w:bookmarkEnd w:id="20"/>
      <w:r w:rsidRPr="00F6696F">
        <w:rPr>
          <w:rFonts w:ascii="Calibri" w:eastAsia="Times New Roman" w:hAnsi="Calibri" w:cs="Calibri"/>
          <w:b/>
          <w:bCs/>
          <w:sz w:val="20"/>
          <w:szCs w:val="20"/>
          <w:lang w:eastAsia="en-AU"/>
        </w:rPr>
        <w:t xml:space="preserve">:  </w:t>
      </w:r>
      <w:r>
        <w:rPr>
          <w:rFonts w:ascii="Calibri" w:eastAsia="Times New Roman" w:hAnsi="Calibri" w:cs="Calibri"/>
          <w:b/>
          <w:bCs/>
          <w:sz w:val="20"/>
          <w:szCs w:val="20"/>
          <w:lang w:eastAsia="en-AU"/>
        </w:rPr>
        <w:t>Indirect and non-market costs of hazardous wastes ($ million, 2012)</w:t>
      </w:r>
    </w:p>
    <w:tbl>
      <w:tblPr>
        <w:tblW w:w="5000" w:type="pct"/>
        <w:tblLook w:val="04A0"/>
      </w:tblPr>
      <w:tblGrid>
        <w:gridCol w:w="2165"/>
        <w:gridCol w:w="1638"/>
        <w:gridCol w:w="1639"/>
        <w:gridCol w:w="1639"/>
        <w:gridCol w:w="1639"/>
      </w:tblGrid>
      <w:tr w:rsidR="00446698" w:rsidRPr="00446698" w:rsidTr="00446698">
        <w:trPr>
          <w:trHeight w:val="934"/>
        </w:trPr>
        <w:tc>
          <w:tcPr>
            <w:tcW w:w="1241" w:type="pct"/>
            <w:tcBorders>
              <w:top w:val="nil"/>
              <w:left w:val="nil"/>
              <w:bottom w:val="nil"/>
              <w:right w:val="nil"/>
            </w:tcBorders>
            <w:shd w:val="clear" w:color="000000" w:fill="0093D0"/>
            <w:noWrap/>
            <w:vAlign w:val="bottom"/>
            <w:hideMark/>
          </w:tcPr>
          <w:p w:rsidR="00446698" w:rsidRPr="00446698" w:rsidRDefault="00446698" w:rsidP="00446698">
            <w:pPr>
              <w:spacing w:after="0" w:line="240" w:lineRule="auto"/>
              <w:rPr>
                <w:rFonts w:ascii="Calibri" w:eastAsia="Times New Roman" w:hAnsi="Calibri" w:cs="Times New Roman"/>
                <w:color w:val="FFFFFF"/>
                <w:lang w:eastAsia="en-AU"/>
              </w:rPr>
            </w:pPr>
            <w:r w:rsidRPr="00446698">
              <w:rPr>
                <w:rFonts w:ascii="Calibri" w:eastAsia="Times New Roman" w:hAnsi="Calibri" w:cs="Times New Roman"/>
                <w:color w:val="FFFFFF"/>
                <w:lang w:eastAsia="en-AU"/>
              </w:rPr>
              <w:t> </w:t>
            </w:r>
          </w:p>
        </w:tc>
        <w:tc>
          <w:tcPr>
            <w:tcW w:w="939" w:type="pct"/>
            <w:tcBorders>
              <w:top w:val="nil"/>
              <w:left w:val="nil"/>
              <w:bottom w:val="nil"/>
              <w:right w:val="nil"/>
            </w:tcBorders>
            <w:shd w:val="clear" w:color="000000" w:fill="0093D0"/>
            <w:vAlign w:val="center"/>
            <w:hideMark/>
          </w:tcPr>
          <w:p w:rsidR="00446698" w:rsidRPr="00446698" w:rsidRDefault="00446698" w:rsidP="00446698">
            <w:pPr>
              <w:spacing w:after="0" w:line="240" w:lineRule="auto"/>
              <w:jc w:val="right"/>
              <w:rPr>
                <w:rFonts w:ascii="Calibri" w:eastAsia="Times New Roman" w:hAnsi="Calibri" w:cs="Times New Roman"/>
                <w:b/>
                <w:bCs/>
                <w:color w:val="FFFFFF"/>
                <w:lang w:eastAsia="en-AU"/>
              </w:rPr>
            </w:pPr>
            <w:r w:rsidRPr="00446698">
              <w:rPr>
                <w:rFonts w:ascii="Calibri" w:eastAsia="Times New Roman" w:hAnsi="Calibri" w:cs="Times New Roman"/>
                <w:b/>
                <w:bCs/>
                <w:color w:val="FFFFFF"/>
                <w:lang w:eastAsia="en-AU"/>
              </w:rPr>
              <w:t xml:space="preserve">Government regulatory </w:t>
            </w:r>
          </w:p>
        </w:tc>
        <w:tc>
          <w:tcPr>
            <w:tcW w:w="940" w:type="pct"/>
            <w:tcBorders>
              <w:top w:val="nil"/>
              <w:left w:val="nil"/>
              <w:bottom w:val="nil"/>
              <w:right w:val="nil"/>
            </w:tcBorders>
            <w:shd w:val="clear" w:color="000000" w:fill="0093D0"/>
            <w:vAlign w:val="center"/>
            <w:hideMark/>
          </w:tcPr>
          <w:p w:rsidR="00446698" w:rsidRPr="00446698" w:rsidRDefault="00446698" w:rsidP="00446698">
            <w:pPr>
              <w:spacing w:after="0" w:line="240" w:lineRule="auto"/>
              <w:jc w:val="right"/>
              <w:rPr>
                <w:rFonts w:ascii="Calibri" w:eastAsia="Times New Roman" w:hAnsi="Calibri" w:cs="Times New Roman"/>
                <w:b/>
                <w:bCs/>
                <w:color w:val="FFFFFF"/>
                <w:lang w:eastAsia="en-AU"/>
              </w:rPr>
            </w:pPr>
            <w:r w:rsidRPr="00446698">
              <w:rPr>
                <w:rFonts w:ascii="Calibri" w:eastAsia="Times New Roman" w:hAnsi="Calibri" w:cs="Times New Roman"/>
                <w:b/>
                <w:bCs/>
                <w:color w:val="FFFFFF"/>
                <w:lang w:eastAsia="en-AU"/>
              </w:rPr>
              <w:t>Workplace illness and injury</w:t>
            </w:r>
          </w:p>
        </w:tc>
        <w:tc>
          <w:tcPr>
            <w:tcW w:w="940" w:type="pct"/>
            <w:tcBorders>
              <w:top w:val="nil"/>
              <w:left w:val="nil"/>
              <w:bottom w:val="nil"/>
              <w:right w:val="nil"/>
            </w:tcBorders>
            <w:shd w:val="clear" w:color="000000" w:fill="0093D0"/>
            <w:vAlign w:val="center"/>
            <w:hideMark/>
          </w:tcPr>
          <w:p w:rsidR="00446698" w:rsidRPr="00446698" w:rsidRDefault="00446698" w:rsidP="00446698">
            <w:pPr>
              <w:spacing w:after="0" w:line="240" w:lineRule="auto"/>
              <w:jc w:val="right"/>
              <w:rPr>
                <w:rFonts w:ascii="Calibri" w:eastAsia="Times New Roman" w:hAnsi="Calibri" w:cs="Times New Roman"/>
                <w:b/>
                <w:bCs/>
                <w:color w:val="FFFFFF"/>
                <w:lang w:eastAsia="en-AU"/>
              </w:rPr>
            </w:pPr>
            <w:r w:rsidRPr="00446698">
              <w:rPr>
                <w:rFonts w:ascii="Calibri" w:eastAsia="Times New Roman" w:hAnsi="Calibri" w:cs="Times New Roman"/>
                <w:b/>
                <w:bCs/>
                <w:color w:val="FFFFFF"/>
                <w:lang w:eastAsia="en-AU"/>
              </w:rPr>
              <w:t>Residual landfill</w:t>
            </w:r>
          </w:p>
        </w:tc>
        <w:tc>
          <w:tcPr>
            <w:tcW w:w="940" w:type="pct"/>
            <w:tcBorders>
              <w:top w:val="nil"/>
              <w:left w:val="nil"/>
              <w:bottom w:val="nil"/>
              <w:right w:val="nil"/>
            </w:tcBorders>
            <w:shd w:val="clear" w:color="000000" w:fill="0093D0"/>
            <w:vAlign w:val="center"/>
            <w:hideMark/>
          </w:tcPr>
          <w:p w:rsidR="00446698" w:rsidRPr="00446698" w:rsidRDefault="00446698" w:rsidP="00446698">
            <w:pPr>
              <w:spacing w:after="0" w:line="240" w:lineRule="auto"/>
              <w:jc w:val="right"/>
              <w:rPr>
                <w:rFonts w:ascii="Calibri" w:eastAsia="Times New Roman" w:hAnsi="Calibri" w:cs="Times New Roman"/>
                <w:b/>
                <w:bCs/>
                <w:color w:val="FFFFFF"/>
                <w:lang w:eastAsia="en-AU"/>
              </w:rPr>
            </w:pPr>
            <w:r w:rsidRPr="00446698">
              <w:rPr>
                <w:rFonts w:ascii="Calibri" w:eastAsia="Times New Roman" w:hAnsi="Calibri" w:cs="Times New Roman"/>
                <w:b/>
                <w:bCs/>
                <w:color w:val="FFFFFF"/>
                <w:lang w:eastAsia="en-AU"/>
              </w:rPr>
              <w:t>Indirect and non-market total</w:t>
            </w:r>
          </w:p>
        </w:tc>
      </w:tr>
      <w:tr w:rsidR="00BC5EA3" w:rsidRPr="00446698" w:rsidTr="00446698">
        <w:trPr>
          <w:trHeight w:val="397"/>
        </w:trPr>
        <w:tc>
          <w:tcPr>
            <w:tcW w:w="1241" w:type="pct"/>
            <w:tcBorders>
              <w:top w:val="nil"/>
              <w:left w:val="nil"/>
              <w:bottom w:val="nil"/>
              <w:right w:val="nil"/>
            </w:tcBorders>
            <w:shd w:val="clear" w:color="auto" w:fill="auto"/>
            <w:noWrap/>
            <w:vAlign w:val="bottom"/>
            <w:hideMark/>
          </w:tcPr>
          <w:p w:rsidR="00BC5EA3" w:rsidRPr="00446698" w:rsidRDefault="00BC5EA3" w:rsidP="00446698">
            <w:pPr>
              <w:spacing w:after="0" w:line="240" w:lineRule="auto"/>
              <w:rPr>
                <w:rFonts w:ascii="Calibri" w:eastAsia="Times New Roman" w:hAnsi="Calibri" w:cs="Times New Roman"/>
                <w:b/>
                <w:bCs/>
                <w:color w:val="000000"/>
                <w:lang w:eastAsia="en-AU"/>
              </w:rPr>
            </w:pPr>
            <w:r w:rsidRPr="00446698">
              <w:rPr>
                <w:rFonts w:ascii="Calibri" w:eastAsia="Times New Roman" w:hAnsi="Calibri" w:cs="Times New Roman"/>
                <w:b/>
                <w:bCs/>
                <w:color w:val="000000"/>
                <w:lang w:eastAsia="en-AU"/>
              </w:rPr>
              <w:t>New South Wales</w:t>
            </w:r>
          </w:p>
        </w:tc>
        <w:tc>
          <w:tcPr>
            <w:tcW w:w="939"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14.3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30.0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11.7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56.0 </w:t>
            </w:r>
          </w:p>
        </w:tc>
      </w:tr>
      <w:tr w:rsidR="00BC5EA3" w:rsidRPr="00446698" w:rsidTr="00446698">
        <w:trPr>
          <w:trHeight w:val="397"/>
        </w:trPr>
        <w:tc>
          <w:tcPr>
            <w:tcW w:w="1241" w:type="pct"/>
            <w:tcBorders>
              <w:top w:val="nil"/>
              <w:left w:val="nil"/>
              <w:bottom w:val="nil"/>
              <w:right w:val="nil"/>
            </w:tcBorders>
            <w:shd w:val="clear" w:color="auto" w:fill="auto"/>
            <w:noWrap/>
            <w:vAlign w:val="bottom"/>
            <w:hideMark/>
          </w:tcPr>
          <w:p w:rsidR="00BC5EA3" w:rsidRPr="00446698" w:rsidRDefault="00BC5EA3" w:rsidP="00446698">
            <w:pPr>
              <w:spacing w:after="0" w:line="240" w:lineRule="auto"/>
              <w:rPr>
                <w:rFonts w:ascii="Calibri" w:eastAsia="Times New Roman" w:hAnsi="Calibri" w:cs="Times New Roman"/>
                <w:b/>
                <w:bCs/>
                <w:color w:val="000000"/>
                <w:lang w:eastAsia="en-AU"/>
              </w:rPr>
            </w:pPr>
            <w:r w:rsidRPr="00446698">
              <w:rPr>
                <w:rFonts w:ascii="Calibri" w:eastAsia="Times New Roman" w:hAnsi="Calibri" w:cs="Times New Roman"/>
                <w:b/>
                <w:bCs/>
                <w:color w:val="000000"/>
                <w:lang w:eastAsia="en-AU"/>
              </w:rPr>
              <w:t>Victoria</w:t>
            </w:r>
          </w:p>
        </w:tc>
        <w:tc>
          <w:tcPr>
            <w:tcW w:w="939"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11.0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22.5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6.9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40.4 </w:t>
            </w:r>
          </w:p>
        </w:tc>
      </w:tr>
      <w:tr w:rsidR="00BC5EA3" w:rsidRPr="00446698" w:rsidTr="00446698">
        <w:trPr>
          <w:trHeight w:val="397"/>
        </w:trPr>
        <w:tc>
          <w:tcPr>
            <w:tcW w:w="1241" w:type="pct"/>
            <w:tcBorders>
              <w:top w:val="nil"/>
              <w:left w:val="nil"/>
              <w:bottom w:val="nil"/>
              <w:right w:val="nil"/>
            </w:tcBorders>
            <w:shd w:val="clear" w:color="auto" w:fill="auto"/>
            <w:noWrap/>
            <w:vAlign w:val="bottom"/>
            <w:hideMark/>
          </w:tcPr>
          <w:p w:rsidR="00BC5EA3" w:rsidRPr="00446698" w:rsidRDefault="00BC5EA3" w:rsidP="00446698">
            <w:pPr>
              <w:spacing w:after="0" w:line="240" w:lineRule="auto"/>
              <w:rPr>
                <w:rFonts w:ascii="Calibri" w:eastAsia="Times New Roman" w:hAnsi="Calibri" w:cs="Times New Roman"/>
                <w:b/>
                <w:bCs/>
                <w:color w:val="000000"/>
                <w:lang w:eastAsia="en-AU"/>
              </w:rPr>
            </w:pPr>
            <w:r w:rsidRPr="00446698">
              <w:rPr>
                <w:rFonts w:ascii="Calibri" w:eastAsia="Times New Roman" w:hAnsi="Calibri" w:cs="Times New Roman"/>
                <w:b/>
                <w:bCs/>
                <w:color w:val="000000"/>
                <w:lang w:eastAsia="en-AU"/>
              </w:rPr>
              <w:t>Queensland</w:t>
            </w:r>
          </w:p>
        </w:tc>
        <w:tc>
          <w:tcPr>
            <w:tcW w:w="939"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12.8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28.7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9.4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51.0 </w:t>
            </w:r>
          </w:p>
        </w:tc>
      </w:tr>
      <w:tr w:rsidR="00BC5EA3" w:rsidRPr="00446698" w:rsidTr="00446698">
        <w:trPr>
          <w:trHeight w:val="397"/>
        </w:trPr>
        <w:tc>
          <w:tcPr>
            <w:tcW w:w="1241" w:type="pct"/>
            <w:tcBorders>
              <w:top w:val="nil"/>
              <w:left w:val="nil"/>
              <w:bottom w:val="nil"/>
              <w:right w:val="nil"/>
            </w:tcBorders>
            <w:shd w:val="clear" w:color="auto" w:fill="auto"/>
            <w:noWrap/>
            <w:vAlign w:val="bottom"/>
            <w:hideMark/>
          </w:tcPr>
          <w:p w:rsidR="00BC5EA3" w:rsidRPr="00446698" w:rsidRDefault="00BC5EA3" w:rsidP="00446698">
            <w:pPr>
              <w:spacing w:after="0" w:line="240" w:lineRule="auto"/>
              <w:rPr>
                <w:rFonts w:ascii="Calibri" w:eastAsia="Times New Roman" w:hAnsi="Calibri" w:cs="Times New Roman"/>
                <w:b/>
                <w:bCs/>
                <w:color w:val="000000"/>
                <w:lang w:eastAsia="en-AU"/>
              </w:rPr>
            </w:pPr>
            <w:r w:rsidRPr="00446698">
              <w:rPr>
                <w:rFonts w:ascii="Calibri" w:eastAsia="Times New Roman" w:hAnsi="Calibri" w:cs="Times New Roman"/>
                <w:b/>
                <w:bCs/>
                <w:color w:val="000000"/>
                <w:lang w:eastAsia="en-AU"/>
              </w:rPr>
              <w:t>South Australia</w:t>
            </w:r>
          </w:p>
        </w:tc>
        <w:tc>
          <w:tcPr>
            <w:tcW w:w="939"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4.8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14.6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2.2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21.6 </w:t>
            </w:r>
          </w:p>
        </w:tc>
      </w:tr>
      <w:tr w:rsidR="00BC5EA3" w:rsidRPr="00446698" w:rsidTr="00446698">
        <w:trPr>
          <w:trHeight w:val="397"/>
        </w:trPr>
        <w:tc>
          <w:tcPr>
            <w:tcW w:w="1241" w:type="pct"/>
            <w:tcBorders>
              <w:top w:val="nil"/>
              <w:left w:val="nil"/>
              <w:bottom w:val="nil"/>
              <w:right w:val="nil"/>
            </w:tcBorders>
            <w:shd w:val="clear" w:color="auto" w:fill="auto"/>
            <w:noWrap/>
            <w:vAlign w:val="bottom"/>
            <w:hideMark/>
          </w:tcPr>
          <w:p w:rsidR="00BC5EA3" w:rsidRPr="00446698" w:rsidRDefault="00BC5EA3" w:rsidP="00446698">
            <w:pPr>
              <w:spacing w:after="0" w:line="240" w:lineRule="auto"/>
              <w:rPr>
                <w:rFonts w:ascii="Calibri" w:eastAsia="Times New Roman" w:hAnsi="Calibri" w:cs="Times New Roman"/>
                <w:b/>
                <w:bCs/>
                <w:color w:val="000000"/>
                <w:lang w:eastAsia="en-AU"/>
              </w:rPr>
            </w:pPr>
            <w:r w:rsidRPr="00446698">
              <w:rPr>
                <w:rFonts w:ascii="Calibri" w:eastAsia="Times New Roman" w:hAnsi="Calibri" w:cs="Times New Roman"/>
                <w:b/>
                <w:bCs/>
                <w:color w:val="000000"/>
                <w:lang w:eastAsia="en-AU"/>
              </w:rPr>
              <w:t>Western Australia</w:t>
            </w:r>
          </w:p>
        </w:tc>
        <w:tc>
          <w:tcPr>
            <w:tcW w:w="939"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7.0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10.0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3.1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20.2 </w:t>
            </w:r>
          </w:p>
        </w:tc>
      </w:tr>
      <w:tr w:rsidR="00BC5EA3" w:rsidRPr="00446698" w:rsidTr="00446698">
        <w:trPr>
          <w:trHeight w:val="397"/>
        </w:trPr>
        <w:tc>
          <w:tcPr>
            <w:tcW w:w="1241" w:type="pct"/>
            <w:tcBorders>
              <w:top w:val="nil"/>
              <w:left w:val="nil"/>
              <w:bottom w:val="nil"/>
              <w:right w:val="nil"/>
            </w:tcBorders>
            <w:shd w:val="clear" w:color="auto" w:fill="auto"/>
            <w:noWrap/>
            <w:vAlign w:val="bottom"/>
            <w:hideMark/>
          </w:tcPr>
          <w:p w:rsidR="00BC5EA3" w:rsidRPr="00446698" w:rsidRDefault="00BC5EA3" w:rsidP="00446698">
            <w:pPr>
              <w:spacing w:after="0" w:line="240" w:lineRule="auto"/>
              <w:rPr>
                <w:rFonts w:ascii="Calibri" w:eastAsia="Times New Roman" w:hAnsi="Calibri" w:cs="Times New Roman"/>
                <w:b/>
                <w:bCs/>
                <w:color w:val="000000"/>
                <w:lang w:eastAsia="en-AU"/>
              </w:rPr>
            </w:pPr>
            <w:r w:rsidRPr="00446698">
              <w:rPr>
                <w:rFonts w:ascii="Calibri" w:eastAsia="Times New Roman" w:hAnsi="Calibri" w:cs="Times New Roman"/>
                <w:b/>
                <w:bCs/>
                <w:color w:val="000000"/>
                <w:lang w:eastAsia="en-AU"/>
              </w:rPr>
              <w:t>Tasmania</w:t>
            </w:r>
          </w:p>
        </w:tc>
        <w:tc>
          <w:tcPr>
            <w:tcW w:w="939"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3.6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2.9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0.7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7.2 </w:t>
            </w:r>
          </w:p>
        </w:tc>
      </w:tr>
      <w:tr w:rsidR="00BC5EA3" w:rsidRPr="00446698" w:rsidTr="00446698">
        <w:trPr>
          <w:trHeight w:val="397"/>
        </w:trPr>
        <w:tc>
          <w:tcPr>
            <w:tcW w:w="1241" w:type="pct"/>
            <w:tcBorders>
              <w:top w:val="nil"/>
              <w:left w:val="nil"/>
              <w:bottom w:val="nil"/>
              <w:right w:val="nil"/>
            </w:tcBorders>
            <w:shd w:val="clear" w:color="auto" w:fill="auto"/>
            <w:noWrap/>
            <w:vAlign w:val="bottom"/>
            <w:hideMark/>
          </w:tcPr>
          <w:p w:rsidR="00BC5EA3" w:rsidRPr="00446698" w:rsidRDefault="00BC5EA3" w:rsidP="00446698">
            <w:pPr>
              <w:spacing w:after="0" w:line="240" w:lineRule="auto"/>
              <w:rPr>
                <w:rFonts w:ascii="Calibri" w:eastAsia="Times New Roman" w:hAnsi="Calibri" w:cs="Times New Roman"/>
                <w:b/>
                <w:bCs/>
                <w:color w:val="000000"/>
                <w:lang w:eastAsia="en-AU"/>
              </w:rPr>
            </w:pPr>
            <w:r w:rsidRPr="00446698">
              <w:rPr>
                <w:rFonts w:ascii="Calibri" w:eastAsia="Times New Roman" w:hAnsi="Calibri" w:cs="Times New Roman"/>
                <w:b/>
                <w:bCs/>
                <w:color w:val="000000"/>
                <w:lang w:eastAsia="en-AU"/>
              </w:rPr>
              <w:t>Northern Territory</w:t>
            </w:r>
          </w:p>
        </w:tc>
        <w:tc>
          <w:tcPr>
            <w:tcW w:w="939"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1.7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0.4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0.1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2.2 </w:t>
            </w:r>
          </w:p>
        </w:tc>
      </w:tr>
      <w:tr w:rsidR="00BC5EA3" w:rsidRPr="00446698" w:rsidTr="00446698">
        <w:trPr>
          <w:trHeight w:val="397"/>
        </w:trPr>
        <w:tc>
          <w:tcPr>
            <w:tcW w:w="1241" w:type="pct"/>
            <w:tcBorders>
              <w:top w:val="nil"/>
              <w:left w:val="nil"/>
              <w:bottom w:val="nil"/>
              <w:right w:val="nil"/>
            </w:tcBorders>
            <w:shd w:val="clear" w:color="auto" w:fill="auto"/>
            <w:noWrap/>
            <w:vAlign w:val="bottom"/>
            <w:hideMark/>
          </w:tcPr>
          <w:p w:rsidR="00BC5EA3" w:rsidRPr="00446698" w:rsidRDefault="00BC5EA3" w:rsidP="00446698">
            <w:pPr>
              <w:spacing w:after="0" w:line="240" w:lineRule="auto"/>
              <w:rPr>
                <w:rFonts w:ascii="Calibri" w:eastAsia="Times New Roman" w:hAnsi="Calibri" w:cs="Times New Roman"/>
                <w:b/>
                <w:bCs/>
                <w:color w:val="000000"/>
                <w:lang w:eastAsia="en-AU"/>
              </w:rPr>
            </w:pPr>
            <w:r w:rsidRPr="00446698">
              <w:rPr>
                <w:rFonts w:ascii="Calibri" w:eastAsia="Times New Roman" w:hAnsi="Calibri" w:cs="Times New Roman"/>
                <w:b/>
                <w:bCs/>
                <w:color w:val="000000"/>
                <w:lang w:eastAsia="en-AU"/>
              </w:rPr>
              <w:t>ACT</w:t>
            </w:r>
          </w:p>
        </w:tc>
        <w:tc>
          <w:tcPr>
            <w:tcW w:w="939"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1.1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0.5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0.6 </w:t>
            </w:r>
          </w:p>
        </w:tc>
        <w:tc>
          <w:tcPr>
            <w:tcW w:w="940" w:type="pct"/>
            <w:tcBorders>
              <w:top w:val="nil"/>
              <w:left w:val="nil"/>
              <w:bottom w:val="nil"/>
              <w:right w:val="nil"/>
            </w:tcBorders>
            <w:shd w:val="clear" w:color="auto" w:fill="auto"/>
            <w:noWrap/>
            <w:vAlign w:val="bottom"/>
            <w:hideMark/>
          </w:tcPr>
          <w:p w:rsidR="00BC5EA3" w:rsidRPr="00BC5EA3" w:rsidRDefault="00BC5EA3" w:rsidP="00BC5EA3">
            <w:pPr>
              <w:spacing w:after="0"/>
              <w:jc w:val="right"/>
              <w:rPr>
                <w:rFonts w:ascii="Calibri" w:hAnsi="Calibri"/>
                <w:bCs/>
                <w:color w:val="000000"/>
              </w:rPr>
            </w:pPr>
            <w:r w:rsidRPr="00BC5EA3">
              <w:rPr>
                <w:rFonts w:ascii="Calibri" w:hAnsi="Calibri"/>
                <w:bCs/>
                <w:color w:val="000000"/>
              </w:rPr>
              <w:t xml:space="preserve">                     2.2 </w:t>
            </w:r>
          </w:p>
        </w:tc>
      </w:tr>
      <w:tr w:rsidR="00BC5EA3" w:rsidRPr="00446698" w:rsidTr="00446698">
        <w:trPr>
          <w:trHeight w:val="437"/>
        </w:trPr>
        <w:tc>
          <w:tcPr>
            <w:tcW w:w="1241" w:type="pct"/>
            <w:tcBorders>
              <w:top w:val="single" w:sz="4" w:space="0" w:color="0093D0"/>
              <w:left w:val="nil"/>
              <w:bottom w:val="single" w:sz="8" w:space="0" w:color="0093D0"/>
              <w:right w:val="nil"/>
            </w:tcBorders>
            <w:shd w:val="clear" w:color="000000" w:fill="DDEBF7"/>
            <w:noWrap/>
            <w:vAlign w:val="bottom"/>
            <w:hideMark/>
          </w:tcPr>
          <w:p w:rsidR="00BC5EA3" w:rsidRPr="00446698" w:rsidRDefault="00BC5EA3" w:rsidP="00446698">
            <w:pPr>
              <w:spacing w:after="0" w:line="240" w:lineRule="auto"/>
              <w:rPr>
                <w:rFonts w:ascii="Calibri" w:eastAsia="Times New Roman" w:hAnsi="Calibri" w:cs="Times New Roman"/>
                <w:b/>
                <w:bCs/>
                <w:color w:val="000000"/>
                <w:lang w:eastAsia="en-AU"/>
              </w:rPr>
            </w:pPr>
            <w:r w:rsidRPr="00446698">
              <w:rPr>
                <w:rFonts w:ascii="Calibri" w:eastAsia="Times New Roman" w:hAnsi="Calibri" w:cs="Times New Roman"/>
                <w:b/>
                <w:bCs/>
                <w:color w:val="000000"/>
                <w:lang w:eastAsia="en-AU"/>
              </w:rPr>
              <w:t>Australia</w:t>
            </w:r>
          </w:p>
        </w:tc>
        <w:tc>
          <w:tcPr>
            <w:tcW w:w="939" w:type="pct"/>
            <w:tcBorders>
              <w:top w:val="single" w:sz="4" w:space="0" w:color="0093D0"/>
              <w:left w:val="nil"/>
              <w:bottom w:val="single" w:sz="8" w:space="0" w:color="0093D0"/>
              <w:right w:val="nil"/>
            </w:tcBorders>
            <w:shd w:val="clear" w:color="000000" w:fill="DDEBF7"/>
            <w:noWrap/>
            <w:vAlign w:val="bottom"/>
            <w:hideMark/>
          </w:tcPr>
          <w:p w:rsidR="00BC5EA3" w:rsidRPr="00BC5EA3" w:rsidRDefault="00BC5EA3" w:rsidP="00BC5EA3">
            <w:pPr>
              <w:spacing w:after="0"/>
              <w:jc w:val="right"/>
              <w:rPr>
                <w:rFonts w:ascii="Calibri" w:hAnsi="Calibri"/>
                <w:b/>
                <w:bCs/>
                <w:color w:val="000000"/>
              </w:rPr>
            </w:pPr>
            <w:r w:rsidRPr="00BC5EA3">
              <w:rPr>
                <w:rFonts w:ascii="Calibri" w:hAnsi="Calibri"/>
                <w:b/>
                <w:bCs/>
                <w:color w:val="000000"/>
              </w:rPr>
              <w:t xml:space="preserve">              56.3 </w:t>
            </w:r>
          </w:p>
        </w:tc>
        <w:tc>
          <w:tcPr>
            <w:tcW w:w="940" w:type="pct"/>
            <w:tcBorders>
              <w:top w:val="single" w:sz="4" w:space="0" w:color="0093D0"/>
              <w:left w:val="nil"/>
              <w:bottom w:val="single" w:sz="8" w:space="0" w:color="0093D0"/>
              <w:right w:val="nil"/>
            </w:tcBorders>
            <w:shd w:val="clear" w:color="000000" w:fill="DDEBF7"/>
            <w:noWrap/>
            <w:vAlign w:val="bottom"/>
            <w:hideMark/>
          </w:tcPr>
          <w:p w:rsidR="00BC5EA3" w:rsidRPr="00BC5EA3" w:rsidRDefault="00BC5EA3" w:rsidP="00BC5EA3">
            <w:pPr>
              <w:spacing w:after="0"/>
              <w:jc w:val="right"/>
              <w:rPr>
                <w:rFonts w:ascii="Calibri" w:hAnsi="Calibri"/>
                <w:b/>
                <w:bCs/>
                <w:color w:val="000000"/>
              </w:rPr>
            </w:pPr>
            <w:r w:rsidRPr="00BC5EA3">
              <w:rPr>
                <w:rFonts w:ascii="Calibri" w:hAnsi="Calibri"/>
                <w:b/>
                <w:bCs/>
                <w:color w:val="000000"/>
              </w:rPr>
              <w:t xml:space="preserve">               109.6 </w:t>
            </w:r>
          </w:p>
        </w:tc>
        <w:tc>
          <w:tcPr>
            <w:tcW w:w="940" w:type="pct"/>
            <w:tcBorders>
              <w:top w:val="single" w:sz="4" w:space="0" w:color="0093D0"/>
              <w:left w:val="nil"/>
              <w:bottom w:val="single" w:sz="8" w:space="0" w:color="0093D0"/>
              <w:right w:val="nil"/>
            </w:tcBorders>
            <w:shd w:val="clear" w:color="000000" w:fill="DDEBF7"/>
            <w:noWrap/>
            <w:vAlign w:val="bottom"/>
            <w:hideMark/>
          </w:tcPr>
          <w:p w:rsidR="00BC5EA3" w:rsidRPr="00BC5EA3" w:rsidRDefault="00BC5EA3" w:rsidP="00BC5EA3">
            <w:pPr>
              <w:spacing w:after="0"/>
              <w:jc w:val="right"/>
              <w:rPr>
                <w:rFonts w:ascii="Calibri" w:hAnsi="Calibri"/>
                <w:b/>
                <w:bCs/>
                <w:color w:val="000000"/>
              </w:rPr>
            </w:pPr>
            <w:r w:rsidRPr="00BC5EA3">
              <w:rPr>
                <w:rFonts w:ascii="Calibri" w:hAnsi="Calibri"/>
                <w:b/>
                <w:bCs/>
                <w:color w:val="000000"/>
              </w:rPr>
              <w:t xml:space="preserve">              34.8 </w:t>
            </w:r>
          </w:p>
        </w:tc>
        <w:tc>
          <w:tcPr>
            <w:tcW w:w="940" w:type="pct"/>
            <w:tcBorders>
              <w:top w:val="single" w:sz="4" w:space="0" w:color="0093D0"/>
              <w:left w:val="nil"/>
              <w:bottom w:val="single" w:sz="8" w:space="0" w:color="0093D0"/>
              <w:right w:val="nil"/>
            </w:tcBorders>
            <w:shd w:val="clear" w:color="000000" w:fill="DDEBF7"/>
            <w:noWrap/>
            <w:vAlign w:val="bottom"/>
            <w:hideMark/>
          </w:tcPr>
          <w:p w:rsidR="00BC5EA3" w:rsidRPr="00BC5EA3" w:rsidRDefault="00BC5EA3" w:rsidP="00BC5EA3">
            <w:pPr>
              <w:spacing w:after="0"/>
              <w:jc w:val="right"/>
              <w:rPr>
                <w:rFonts w:ascii="Calibri" w:hAnsi="Calibri"/>
                <w:b/>
                <w:bCs/>
                <w:color w:val="000000"/>
              </w:rPr>
            </w:pPr>
            <w:r w:rsidRPr="00BC5EA3">
              <w:rPr>
                <w:rFonts w:ascii="Calibri" w:hAnsi="Calibri"/>
                <w:b/>
                <w:bCs/>
                <w:color w:val="000000"/>
              </w:rPr>
              <w:t xml:space="preserve">                200.7 </w:t>
            </w:r>
          </w:p>
        </w:tc>
      </w:tr>
    </w:tbl>
    <w:p w:rsidR="008B697A" w:rsidRDefault="008B697A" w:rsidP="008B697A">
      <w:pPr>
        <w:pStyle w:val="MJAheading2"/>
        <w:ind w:hanging="720"/>
      </w:pPr>
      <w:bookmarkStart w:id="21" w:name="_Toc391729953"/>
      <w:r>
        <w:t>Distributional analysis</w:t>
      </w:r>
      <w:bookmarkEnd w:id="21"/>
    </w:p>
    <w:p w:rsidR="008B697A" w:rsidRDefault="001F681E" w:rsidP="00EA69BA">
      <w:pPr>
        <w:pStyle w:val="MJAnormal"/>
      </w:pPr>
      <w:r>
        <w:t>Costs of hazardous wastes fall on different sectors or groups at different levels.  Distribution</w:t>
      </w:r>
      <w:r w:rsidR="00A4756A">
        <w:t>al analysis identifies where tho</w:t>
      </w:r>
      <w:r>
        <w:t>se costs fall.</w:t>
      </w:r>
      <w:r w:rsidR="00D82538">
        <w:t xml:space="preserve">  </w:t>
      </w:r>
    </w:p>
    <w:p w:rsidR="00F9693A" w:rsidRDefault="00F9693A" w:rsidP="00F9693A">
      <w:pPr>
        <w:pStyle w:val="MJAheading4"/>
      </w:pPr>
      <w:r>
        <w:t>Industry costs</w:t>
      </w:r>
    </w:p>
    <w:p w:rsidR="00407226" w:rsidRDefault="004E47D9" w:rsidP="00E2669E">
      <w:pPr>
        <w:pStyle w:val="MJAnormal"/>
        <w:keepLines/>
      </w:pPr>
      <w:r>
        <w:t xml:space="preserve">Figure 3 and Table 7 </w:t>
      </w:r>
      <w:r w:rsidR="00151A29" w:rsidRPr="00E2669E">
        <w:t xml:space="preserve">reveal </w:t>
      </w:r>
      <w:r w:rsidR="00A4756A" w:rsidRPr="00E2669E">
        <w:t xml:space="preserve">that a substantial proportion </w:t>
      </w:r>
      <w:r w:rsidR="001B66C0" w:rsidRPr="00E2669E">
        <w:t>of the costs of hazardous waste</w:t>
      </w:r>
      <w:r w:rsidR="00A4756A" w:rsidRPr="00E2669E">
        <w:t xml:space="preserve">s </w:t>
      </w:r>
      <w:r w:rsidR="00EB0F05">
        <w:t xml:space="preserve">are borne by </w:t>
      </w:r>
      <w:r w:rsidR="00184DA6">
        <w:t>waste producing industries</w:t>
      </w:r>
      <w:r w:rsidR="00A4756A">
        <w:t>. I</w:t>
      </w:r>
      <w:r w:rsidR="00151A29">
        <w:t xml:space="preserve">t is likely </w:t>
      </w:r>
      <w:r w:rsidR="00A4756A">
        <w:t xml:space="preserve">however, </w:t>
      </w:r>
      <w:r w:rsidR="00151A29">
        <w:t>that most if not all of the</w:t>
      </w:r>
      <w:r w:rsidR="00A4756A">
        <w:t>se</w:t>
      </w:r>
      <w:r w:rsidR="00332E5B">
        <w:t xml:space="preserve"> costs are</w:t>
      </w:r>
      <w:r w:rsidR="00151A29">
        <w:t xml:space="preserve"> passed on to consumers through price increases to products and services.</w:t>
      </w:r>
      <w:r w:rsidR="001B66C0">
        <w:t xml:space="preserve">  In 2012 the cost to industry of hazard</w:t>
      </w:r>
      <w:r w:rsidR="001D7617">
        <w:t>ous wastes was over $2,6</w:t>
      </w:r>
      <w:r w:rsidR="001B66C0">
        <w:t xml:space="preserve">00 million.  </w:t>
      </w:r>
      <w:r w:rsidR="00407226">
        <w:t xml:space="preserve">Lack of access to ANZSIC coded industry </w:t>
      </w:r>
      <w:r w:rsidR="006D5BCB">
        <w:t xml:space="preserve">source data in the waste tracking system means that it is not possible to </w:t>
      </w:r>
      <w:r w:rsidR="00184DA6">
        <w:t xml:space="preserve">accurately </w:t>
      </w:r>
      <w:r w:rsidR="00A4756A">
        <w:t>attribute industry</w:t>
      </w:r>
      <w:r w:rsidR="006D5BCB">
        <w:t xml:space="preserve"> costs to specific </w:t>
      </w:r>
      <w:r w:rsidR="00A4756A">
        <w:t xml:space="preserve">sectors and </w:t>
      </w:r>
      <w:r w:rsidR="006D5BCB">
        <w:t xml:space="preserve">industries. </w:t>
      </w:r>
      <w:r w:rsidR="00332E5B">
        <w:t xml:space="preserve"> </w:t>
      </w:r>
    </w:p>
    <w:p w:rsidR="00184DA6" w:rsidRDefault="00332E5B" w:rsidP="00E2669E">
      <w:pPr>
        <w:pStyle w:val="MJAnormal"/>
        <w:keepLines/>
      </w:pPr>
      <w:r>
        <w:t xml:space="preserve">However, scrutiny of </w:t>
      </w:r>
      <w:r w:rsidR="00184DA6">
        <w:t>waste categories and consideration of their likely sources</w:t>
      </w:r>
      <w:r>
        <w:t>,</w:t>
      </w:r>
      <w:r w:rsidR="00184DA6">
        <w:t xml:space="preserve"> suggest</w:t>
      </w:r>
      <w:r>
        <w:t>s</w:t>
      </w:r>
      <w:r w:rsidR="00184DA6">
        <w:t xml:space="preserve"> that </w:t>
      </w:r>
      <w:r>
        <w:t xml:space="preserve">the </w:t>
      </w:r>
      <w:r w:rsidR="00184DA6">
        <w:t xml:space="preserve">industries </w:t>
      </w:r>
      <w:r>
        <w:t xml:space="preserve">that bear many of the costs are likely to </w:t>
      </w:r>
      <w:r w:rsidR="00184DA6">
        <w:t>include:</w:t>
      </w:r>
    </w:p>
    <w:p w:rsidR="00044642" w:rsidRDefault="00044642" w:rsidP="00376A64">
      <w:pPr>
        <w:pStyle w:val="MJAbulletnormal"/>
        <w:numPr>
          <w:ilvl w:val="0"/>
          <w:numId w:val="2"/>
        </w:numPr>
        <w:rPr>
          <w:szCs w:val="20"/>
        </w:rPr>
      </w:pPr>
      <w:r>
        <w:rPr>
          <w:szCs w:val="20"/>
        </w:rPr>
        <w:t>Food product manufacturing (ANZSIC C11):</w:t>
      </w:r>
    </w:p>
    <w:p w:rsidR="0068465F" w:rsidRPr="00376A64" w:rsidRDefault="0068465F" w:rsidP="00376A64">
      <w:pPr>
        <w:pStyle w:val="MJAbulletnormal"/>
        <w:numPr>
          <w:ilvl w:val="0"/>
          <w:numId w:val="2"/>
        </w:numPr>
        <w:rPr>
          <w:szCs w:val="20"/>
        </w:rPr>
      </w:pPr>
      <w:r w:rsidRPr="00376A64">
        <w:rPr>
          <w:szCs w:val="20"/>
        </w:rPr>
        <w:t>Petroleum product manufacturing (ANZSIC C17)</w:t>
      </w:r>
      <w:r w:rsidR="00376A64">
        <w:rPr>
          <w:szCs w:val="20"/>
        </w:rPr>
        <w:t>;</w:t>
      </w:r>
    </w:p>
    <w:p w:rsidR="0068465F" w:rsidRPr="00376A64" w:rsidRDefault="0068465F" w:rsidP="00376A64">
      <w:pPr>
        <w:pStyle w:val="MJAbulletnormal"/>
        <w:numPr>
          <w:ilvl w:val="0"/>
          <w:numId w:val="2"/>
        </w:numPr>
        <w:rPr>
          <w:szCs w:val="20"/>
        </w:rPr>
      </w:pPr>
      <w:r w:rsidRPr="00376A64">
        <w:rPr>
          <w:szCs w:val="20"/>
        </w:rPr>
        <w:lastRenderedPageBreak/>
        <w:t>Basic chemical and chemical product manufacturing (ANZSIC C18);</w:t>
      </w:r>
    </w:p>
    <w:p w:rsidR="0068465F" w:rsidRPr="00376A64" w:rsidRDefault="0068465F" w:rsidP="00376A64">
      <w:pPr>
        <w:pStyle w:val="MJAbulletnormal"/>
        <w:numPr>
          <w:ilvl w:val="0"/>
          <w:numId w:val="2"/>
        </w:numPr>
        <w:rPr>
          <w:szCs w:val="20"/>
        </w:rPr>
      </w:pPr>
      <w:r w:rsidRPr="00376A64">
        <w:rPr>
          <w:szCs w:val="20"/>
        </w:rPr>
        <w:t>Polymer product manufacturing (ANZSIC C19)</w:t>
      </w:r>
      <w:r w:rsidR="00376A64">
        <w:rPr>
          <w:szCs w:val="20"/>
        </w:rPr>
        <w:t>;</w:t>
      </w:r>
    </w:p>
    <w:p w:rsidR="0068465F" w:rsidRPr="00376A64" w:rsidRDefault="0068465F" w:rsidP="00376A64">
      <w:pPr>
        <w:pStyle w:val="MJAbulletnormal"/>
        <w:numPr>
          <w:ilvl w:val="0"/>
          <w:numId w:val="2"/>
        </w:numPr>
        <w:rPr>
          <w:szCs w:val="20"/>
        </w:rPr>
      </w:pPr>
      <w:r w:rsidRPr="00376A64">
        <w:rPr>
          <w:szCs w:val="20"/>
        </w:rPr>
        <w:t>Non-metallic mineral product manufacturing (ANZSIC C20)</w:t>
      </w:r>
      <w:r w:rsidR="00376A64">
        <w:rPr>
          <w:szCs w:val="20"/>
        </w:rPr>
        <w:t>;</w:t>
      </w:r>
    </w:p>
    <w:p w:rsidR="00044642" w:rsidRDefault="0068465F" w:rsidP="00376A64">
      <w:pPr>
        <w:pStyle w:val="MJAbulletnormal"/>
        <w:numPr>
          <w:ilvl w:val="0"/>
          <w:numId w:val="2"/>
        </w:numPr>
        <w:rPr>
          <w:szCs w:val="20"/>
        </w:rPr>
      </w:pPr>
      <w:r w:rsidRPr="00376A64">
        <w:rPr>
          <w:szCs w:val="20"/>
        </w:rPr>
        <w:t>Primary metal and metal product manufacturing (ANZSIC C21)</w:t>
      </w:r>
      <w:r w:rsidR="00376A64">
        <w:rPr>
          <w:szCs w:val="20"/>
        </w:rPr>
        <w:t xml:space="preserve">; </w:t>
      </w:r>
    </w:p>
    <w:p w:rsidR="0068465F" w:rsidRPr="00376A64" w:rsidRDefault="00044642" w:rsidP="00376A64">
      <w:pPr>
        <w:pStyle w:val="MJAbulletnormal"/>
        <w:numPr>
          <w:ilvl w:val="0"/>
          <w:numId w:val="2"/>
        </w:numPr>
        <w:rPr>
          <w:szCs w:val="20"/>
        </w:rPr>
      </w:pPr>
      <w:r>
        <w:rPr>
          <w:szCs w:val="20"/>
        </w:rPr>
        <w:t xml:space="preserve">Building and construction; (ANZSIC E); </w:t>
      </w:r>
      <w:r w:rsidR="00376A64">
        <w:rPr>
          <w:szCs w:val="20"/>
        </w:rPr>
        <w:t>and</w:t>
      </w:r>
    </w:p>
    <w:p w:rsidR="0068465F" w:rsidRPr="00376A64" w:rsidRDefault="0068465F" w:rsidP="00376A64">
      <w:pPr>
        <w:pStyle w:val="MJAbulletnormal"/>
        <w:numPr>
          <w:ilvl w:val="0"/>
          <w:numId w:val="2"/>
        </w:numPr>
        <w:rPr>
          <w:szCs w:val="20"/>
        </w:rPr>
      </w:pPr>
      <w:r w:rsidRPr="00376A64">
        <w:rPr>
          <w:szCs w:val="20"/>
        </w:rPr>
        <w:t xml:space="preserve">Motor vehicle </w:t>
      </w:r>
      <w:r w:rsidR="00376A64" w:rsidRPr="00376A64">
        <w:rPr>
          <w:szCs w:val="20"/>
        </w:rPr>
        <w:t>servicing and parts</w:t>
      </w:r>
      <w:r w:rsidR="00044642">
        <w:rPr>
          <w:szCs w:val="20"/>
        </w:rPr>
        <w:t>, principally related to disposal of tyres</w:t>
      </w:r>
      <w:r w:rsidR="00376A64" w:rsidRPr="00376A64">
        <w:rPr>
          <w:szCs w:val="20"/>
        </w:rPr>
        <w:t xml:space="preserve"> </w:t>
      </w:r>
      <w:r w:rsidRPr="00376A64">
        <w:rPr>
          <w:szCs w:val="20"/>
        </w:rPr>
        <w:t>(</w:t>
      </w:r>
      <w:r w:rsidR="00376A64" w:rsidRPr="00376A64">
        <w:rPr>
          <w:szCs w:val="20"/>
        </w:rPr>
        <w:t>ANZSIC G39)</w:t>
      </w:r>
      <w:r w:rsidR="00376A64">
        <w:rPr>
          <w:szCs w:val="20"/>
        </w:rPr>
        <w:t>.</w:t>
      </w:r>
    </w:p>
    <w:p w:rsidR="0028705C" w:rsidRDefault="00A4756A" w:rsidP="00897CE5">
      <w:pPr>
        <w:pStyle w:val="MJAnormal"/>
        <w:keepLines/>
      </w:pPr>
      <w:r>
        <w:t>Most</w:t>
      </w:r>
      <w:r w:rsidR="006D5BCB">
        <w:t xml:space="preserve"> industry</w:t>
      </w:r>
      <w:r w:rsidR="00376A64">
        <w:t xml:space="preserve"> costs a</w:t>
      </w:r>
      <w:r w:rsidR="001B66C0">
        <w:t>re direct mark</w:t>
      </w:r>
      <w:r w:rsidR="00044642">
        <w:t>et costs ($2,217</w:t>
      </w:r>
      <w:r>
        <w:t xml:space="preserve"> million), but </w:t>
      </w:r>
      <w:r w:rsidRPr="00A4756A">
        <w:t xml:space="preserve">landfill levies and license fees </w:t>
      </w:r>
      <w:r>
        <w:t>represent an additional financial cost to industry</w:t>
      </w:r>
      <w:r w:rsidR="00332E5B">
        <w:t>.  Levies and fees</w:t>
      </w:r>
      <w:r>
        <w:t xml:space="preserve"> are </w:t>
      </w:r>
      <w:r w:rsidR="00376A64">
        <w:t>estimated to be</w:t>
      </w:r>
      <w:r w:rsidR="001B66C0">
        <w:t xml:space="preserve"> approximately </w:t>
      </w:r>
      <w:r w:rsidR="00044642">
        <w:t>$385</w:t>
      </w:r>
      <w:r w:rsidR="00643FEB">
        <w:t xml:space="preserve"> million in </w:t>
      </w:r>
      <w:r w:rsidR="00643FEB" w:rsidRPr="00643FEB">
        <w:t xml:space="preserve">2012 </w:t>
      </w:r>
      <w:r w:rsidR="00643FEB" w:rsidRPr="00833C8B">
        <w:t>(see</w:t>
      </w:r>
      <w:r w:rsidR="00833C8B">
        <w:t xml:space="preserve"> Table 8</w:t>
      </w:r>
      <w:r w:rsidR="00643FEB" w:rsidRPr="00833C8B">
        <w:t>).</w:t>
      </w:r>
      <w:r w:rsidR="00332E5B" w:rsidRPr="00833C8B">
        <w:t xml:space="preserve"> </w:t>
      </w:r>
      <w:r w:rsidR="00332E5B">
        <w:t xml:space="preserve"> These</w:t>
      </w:r>
      <w:r w:rsidR="0028705C">
        <w:t xml:space="preserve"> are transfers from industry to government and, as such, </w:t>
      </w:r>
      <w:r w:rsidR="006D0592">
        <w:t xml:space="preserve">are not included in the </w:t>
      </w:r>
      <w:r w:rsidR="0028705C">
        <w:t>economic cost</w:t>
      </w:r>
      <w:r w:rsidR="006D0592">
        <w:t xml:space="preserve"> estimates</w:t>
      </w:r>
      <w:r w:rsidR="0028705C">
        <w:t xml:space="preserve">, but they are a financial cost to industry. </w:t>
      </w:r>
    </w:p>
    <w:p w:rsidR="009341B3" w:rsidRPr="009341B3" w:rsidRDefault="00D82538" w:rsidP="009341B3">
      <w:pPr>
        <w:keepNext/>
        <w:keepLines/>
        <w:spacing w:before="120" w:after="0" w:line="240" w:lineRule="auto"/>
        <w:rPr>
          <w:rFonts w:ascii="Calibri" w:eastAsia="Times New Roman" w:hAnsi="Calibri" w:cs="Calibri"/>
          <w:b/>
          <w:bCs/>
          <w:sz w:val="20"/>
          <w:szCs w:val="20"/>
          <w:lang w:eastAsia="en-AU"/>
        </w:rPr>
      </w:pPr>
      <w:bookmarkStart w:id="22" w:name="_Ref391335805"/>
      <w:r w:rsidRPr="00EA2A07">
        <w:rPr>
          <w:b/>
          <w:bCs/>
          <w:sz w:val="20"/>
          <w:szCs w:val="20"/>
        </w:rPr>
        <w:t xml:space="preserve">Figure </w:t>
      </w:r>
      <w:r w:rsidR="00732F35" w:rsidRPr="00EA2A07">
        <w:rPr>
          <w:b/>
          <w:bCs/>
          <w:sz w:val="20"/>
          <w:szCs w:val="20"/>
        </w:rPr>
        <w:fldChar w:fldCharType="begin"/>
      </w:r>
      <w:r w:rsidRPr="00EA2A07">
        <w:rPr>
          <w:b/>
          <w:bCs/>
          <w:sz w:val="20"/>
          <w:szCs w:val="20"/>
        </w:rPr>
        <w:instrText xml:space="preserve"> SEQ Figure \* ARABIC </w:instrText>
      </w:r>
      <w:r w:rsidR="00732F35" w:rsidRPr="00EA2A07">
        <w:rPr>
          <w:b/>
          <w:bCs/>
          <w:sz w:val="20"/>
          <w:szCs w:val="20"/>
        </w:rPr>
        <w:fldChar w:fldCharType="separate"/>
      </w:r>
      <w:r w:rsidR="00D54C27">
        <w:rPr>
          <w:b/>
          <w:bCs/>
          <w:noProof/>
          <w:sz w:val="20"/>
          <w:szCs w:val="20"/>
        </w:rPr>
        <w:t>3</w:t>
      </w:r>
      <w:r w:rsidR="00732F35" w:rsidRPr="00EA2A07">
        <w:rPr>
          <w:b/>
          <w:bCs/>
          <w:sz w:val="20"/>
          <w:szCs w:val="20"/>
        </w:rPr>
        <w:fldChar w:fldCharType="end"/>
      </w:r>
      <w:bookmarkEnd w:id="22"/>
      <w:r>
        <w:rPr>
          <w:b/>
          <w:bCs/>
          <w:sz w:val="20"/>
          <w:szCs w:val="20"/>
        </w:rPr>
        <w:t xml:space="preserve">: </w:t>
      </w:r>
      <w:r>
        <w:rPr>
          <w:rFonts w:ascii="Calibri" w:eastAsia="Times New Roman" w:hAnsi="Calibri" w:cs="Calibri"/>
          <w:b/>
          <w:bCs/>
          <w:sz w:val="20"/>
          <w:szCs w:val="20"/>
          <w:lang w:eastAsia="en-AU"/>
        </w:rPr>
        <w:t>Costs of hazar</w:t>
      </w:r>
      <w:r w:rsidR="004C7D68">
        <w:rPr>
          <w:rFonts w:ascii="Calibri" w:eastAsia="Times New Roman" w:hAnsi="Calibri" w:cs="Calibri"/>
          <w:b/>
          <w:bCs/>
          <w:sz w:val="20"/>
          <w:szCs w:val="20"/>
          <w:lang w:eastAsia="en-AU"/>
        </w:rPr>
        <w:t>dous wastes on different groups</w:t>
      </w:r>
      <w:r>
        <w:rPr>
          <w:rFonts w:ascii="Calibri" w:eastAsia="Times New Roman" w:hAnsi="Calibri" w:cs="Calibri"/>
          <w:b/>
          <w:bCs/>
          <w:sz w:val="20"/>
          <w:szCs w:val="20"/>
          <w:lang w:eastAsia="en-AU"/>
        </w:rPr>
        <w:t>, Australia ($ million, 2012)</w:t>
      </w:r>
    </w:p>
    <w:p w:rsidR="009341B3" w:rsidRPr="00022FDB" w:rsidRDefault="00CD7DC9" w:rsidP="00022FDB">
      <w:pPr>
        <w:pStyle w:val="MJAnormal"/>
      </w:pPr>
      <w:bookmarkStart w:id="23" w:name="_Ref391335775"/>
      <w:r>
        <w:rPr>
          <w:noProof/>
          <w:lang w:eastAsia="en-AU"/>
        </w:rPr>
        <w:drawing>
          <wp:inline distT="0" distB="0" distL="0" distR="0">
            <wp:extent cx="5001904" cy="2831911"/>
            <wp:effectExtent l="0" t="0" r="27305" b="260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07226" w:rsidRDefault="00407226" w:rsidP="00D82538">
      <w:pPr>
        <w:keepNext/>
        <w:keepLines/>
        <w:spacing w:before="120" w:after="120" w:line="240" w:lineRule="auto"/>
        <w:rPr>
          <w:rFonts w:ascii="Calibri" w:eastAsia="Times New Roman" w:hAnsi="Calibri" w:cs="Calibri"/>
          <w:b/>
          <w:bCs/>
          <w:sz w:val="20"/>
          <w:szCs w:val="20"/>
          <w:lang w:eastAsia="en-AU"/>
        </w:rPr>
      </w:pPr>
    </w:p>
    <w:p w:rsidR="00D82538" w:rsidRPr="00980390" w:rsidRDefault="00D82538" w:rsidP="00D82538">
      <w:pPr>
        <w:keepNext/>
        <w:keepLines/>
        <w:spacing w:before="120" w:after="120" w:line="240" w:lineRule="auto"/>
        <w:rPr>
          <w:rFonts w:ascii="Calibri" w:eastAsia="Times New Roman" w:hAnsi="Calibri" w:cs="Calibri"/>
          <w:b/>
          <w:bCs/>
          <w:sz w:val="20"/>
          <w:szCs w:val="20"/>
          <w:lang w:eastAsia="en-AU"/>
        </w:rPr>
      </w:pPr>
      <w:r w:rsidRPr="00F6696F">
        <w:rPr>
          <w:rFonts w:ascii="Calibri" w:eastAsia="Times New Roman" w:hAnsi="Calibri" w:cs="Calibri"/>
          <w:b/>
          <w:bCs/>
          <w:sz w:val="20"/>
          <w:szCs w:val="20"/>
          <w:lang w:eastAsia="en-AU"/>
        </w:rPr>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7</w:t>
      </w:r>
      <w:r w:rsidR="00732F35" w:rsidRPr="00F6696F">
        <w:rPr>
          <w:rFonts w:ascii="Calibri" w:eastAsia="Times New Roman" w:hAnsi="Calibri" w:cs="Calibri"/>
          <w:b/>
          <w:bCs/>
          <w:sz w:val="20"/>
          <w:szCs w:val="20"/>
          <w:lang w:eastAsia="en-AU"/>
        </w:rPr>
        <w:fldChar w:fldCharType="end"/>
      </w:r>
      <w:bookmarkEnd w:id="23"/>
      <w:r w:rsidRPr="00F6696F">
        <w:rPr>
          <w:rFonts w:ascii="Calibri" w:eastAsia="Times New Roman" w:hAnsi="Calibri" w:cs="Calibri"/>
          <w:b/>
          <w:bCs/>
          <w:sz w:val="20"/>
          <w:szCs w:val="20"/>
          <w:lang w:eastAsia="en-AU"/>
        </w:rPr>
        <w:t xml:space="preserve">:  </w:t>
      </w:r>
      <w:r>
        <w:rPr>
          <w:rFonts w:ascii="Calibri" w:eastAsia="Times New Roman" w:hAnsi="Calibri" w:cs="Calibri"/>
          <w:b/>
          <w:bCs/>
          <w:sz w:val="20"/>
          <w:szCs w:val="20"/>
          <w:lang w:eastAsia="en-AU"/>
        </w:rPr>
        <w:t xml:space="preserve"> Costs of hazar</w:t>
      </w:r>
      <w:r w:rsidR="004C7D68">
        <w:rPr>
          <w:rFonts w:ascii="Calibri" w:eastAsia="Times New Roman" w:hAnsi="Calibri" w:cs="Calibri"/>
          <w:b/>
          <w:bCs/>
          <w:sz w:val="20"/>
          <w:szCs w:val="20"/>
          <w:lang w:eastAsia="en-AU"/>
        </w:rPr>
        <w:t>dous wastes on different groups</w:t>
      </w:r>
      <w:r>
        <w:rPr>
          <w:rFonts w:ascii="Calibri" w:eastAsia="Times New Roman" w:hAnsi="Calibri" w:cs="Calibri"/>
          <w:b/>
          <w:bCs/>
          <w:sz w:val="20"/>
          <w:szCs w:val="20"/>
          <w:lang w:eastAsia="en-AU"/>
        </w:rPr>
        <w:t>, by jurisdiction ($ million, 2012)</w:t>
      </w:r>
    </w:p>
    <w:tbl>
      <w:tblPr>
        <w:tblW w:w="7953" w:type="dxa"/>
        <w:tblInd w:w="93" w:type="dxa"/>
        <w:tblLayout w:type="fixed"/>
        <w:tblLook w:val="04A0"/>
      </w:tblPr>
      <w:tblGrid>
        <w:gridCol w:w="2020"/>
        <w:gridCol w:w="1977"/>
        <w:gridCol w:w="1978"/>
        <w:gridCol w:w="1978"/>
      </w:tblGrid>
      <w:tr w:rsidR="00D82538" w:rsidRPr="00D82538" w:rsidTr="00D82538">
        <w:trPr>
          <w:trHeight w:val="300"/>
        </w:trPr>
        <w:tc>
          <w:tcPr>
            <w:tcW w:w="2020" w:type="dxa"/>
            <w:tcBorders>
              <w:top w:val="nil"/>
              <w:left w:val="nil"/>
              <w:bottom w:val="nil"/>
              <w:right w:val="nil"/>
            </w:tcBorders>
            <w:shd w:val="clear" w:color="000000" w:fill="0093D0"/>
            <w:noWrap/>
            <w:vAlign w:val="bottom"/>
            <w:hideMark/>
          </w:tcPr>
          <w:p w:rsidR="00D82538" w:rsidRPr="00D82538" w:rsidRDefault="00D82538" w:rsidP="00D82538">
            <w:pPr>
              <w:spacing w:after="0" w:line="240" w:lineRule="auto"/>
              <w:rPr>
                <w:rFonts w:ascii="Calibri" w:eastAsia="Times New Roman" w:hAnsi="Calibri" w:cs="Times New Roman"/>
                <w:color w:val="0093D0"/>
                <w:lang w:eastAsia="en-AU"/>
              </w:rPr>
            </w:pPr>
            <w:r w:rsidRPr="00D82538">
              <w:rPr>
                <w:rFonts w:ascii="Calibri" w:eastAsia="Times New Roman" w:hAnsi="Calibri" w:cs="Times New Roman"/>
                <w:color w:val="0093D0"/>
                <w:lang w:eastAsia="en-AU"/>
              </w:rPr>
              <w:t> </w:t>
            </w:r>
          </w:p>
        </w:tc>
        <w:tc>
          <w:tcPr>
            <w:tcW w:w="1977" w:type="dxa"/>
            <w:tcBorders>
              <w:top w:val="nil"/>
              <w:left w:val="nil"/>
              <w:bottom w:val="nil"/>
              <w:right w:val="nil"/>
            </w:tcBorders>
            <w:shd w:val="clear" w:color="000000" w:fill="0093D0"/>
            <w:noWrap/>
            <w:vAlign w:val="bottom"/>
            <w:hideMark/>
          </w:tcPr>
          <w:p w:rsidR="00D82538" w:rsidRPr="00D82538" w:rsidRDefault="00D82538" w:rsidP="00D82538">
            <w:pPr>
              <w:spacing w:after="0" w:line="240" w:lineRule="auto"/>
              <w:jc w:val="right"/>
              <w:rPr>
                <w:rFonts w:ascii="Calibri" w:eastAsia="Times New Roman" w:hAnsi="Calibri" w:cs="Times New Roman"/>
                <w:b/>
                <w:bCs/>
                <w:color w:val="FFFFFF"/>
                <w:lang w:eastAsia="en-AU"/>
              </w:rPr>
            </w:pPr>
            <w:r w:rsidRPr="00D82538">
              <w:rPr>
                <w:rFonts w:ascii="Calibri" w:eastAsia="Times New Roman" w:hAnsi="Calibri" w:cs="Times New Roman"/>
                <w:b/>
                <w:bCs/>
                <w:color w:val="FFFFFF"/>
                <w:lang w:eastAsia="en-AU"/>
              </w:rPr>
              <w:t>Industry</w:t>
            </w:r>
          </w:p>
        </w:tc>
        <w:tc>
          <w:tcPr>
            <w:tcW w:w="1978" w:type="dxa"/>
            <w:tcBorders>
              <w:top w:val="nil"/>
              <w:left w:val="nil"/>
              <w:bottom w:val="nil"/>
              <w:right w:val="nil"/>
            </w:tcBorders>
            <w:shd w:val="clear" w:color="000000" w:fill="0093D0"/>
            <w:noWrap/>
            <w:vAlign w:val="bottom"/>
            <w:hideMark/>
          </w:tcPr>
          <w:p w:rsidR="00D82538" w:rsidRPr="00D82538" w:rsidRDefault="00D82538" w:rsidP="00D82538">
            <w:pPr>
              <w:spacing w:after="0" w:line="240" w:lineRule="auto"/>
              <w:jc w:val="right"/>
              <w:rPr>
                <w:rFonts w:ascii="Calibri" w:eastAsia="Times New Roman" w:hAnsi="Calibri" w:cs="Times New Roman"/>
                <w:b/>
                <w:bCs/>
                <w:color w:val="FFFFFF"/>
                <w:lang w:eastAsia="en-AU"/>
              </w:rPr>
            </w:pPr>
            <w:r w:rsidRPr="00D82538">
              <w:rPr>
                <w:rFonts w:ascii="Calibri" w:eastAsia="Times New Roman" w:hAnsi="Calibri" w:cs="Times New Roman"/>
                <w:b/>
                <w:bCs/>
                <w:color w:val="FFFFFF"/>
                <w:lang w:eastAsia="en-AU"/>
              </w:rPr>
              <w:t>Government</w:t>
            </w:r>
          </w:p>
        </w:tc>
        <w:tc>
          <w:tcPr>
            <w:tcW w:w="1978" w:type="dxa"/>
            <w:tcBorders>
              <w:top w:val="nil"/>
              <w:left w:val="nil"/>
              <w:bottom w:val="nil"/>
              <w:right w:val="nil"/>
            </w:tcBorders>
            <w:shd w:val="clear" w:color="000000" w:fill="0093D0"/>
            <w:noWrap/>
            <w:vAlign w:val="bottom"/>
            <w:hideMark/>
          </w:tcPr>
          <w:p w:rsidR="00D82538" w:rsidRPr="00D82538" w:rsidRDefault="00D82538" w:rsidP="00D82538">
            <w:pPr>
              <w:spacing w:after="0" w:line="240" w:lineRule="auto"/>
              <w:jc w:val="right"/>
              <w:rPr>
                <w:rFonts w:ascii="Calibri" w:eastAsia="Times New Roman" w:hAnsi="Calibri" w:cs="Times New Roman"/>
                <w:b/>
                <w:bCs/>
                <w:color w:val="FFFFFF"/>
                <w:lang w:eastAsia="en-AU"/>
              </w:rPr>
            </w:pPr>
            <w:r w:rsidRPr="00D82538">
              <w:rPr>
                <w:rFonts w:ascii="Calibri" w:eastAsia="Times New Roman" w:hAnsi="Calibri" w:cs="Times New Roman"/>
                <w:b/>
                <w:bCs/>
                <w:color w:val="FFFFFF"/>
                <w:lang w:eastAsia="en-AU"/>
              </w:rPr>
              <w:t>Community</w:t>
            </w:r>
          </w:p>
        </w:tc>
      </w:tr>
      <w:tr w:rsidR="00044642" w:rsidRPr="00D82538" w:rsidTr="00D82538">
        <w:trPr>
          <w:trHeight w:val="300"/>
        </w:trPr>
        <w:tc>
          <w:tcPr>
            <w:tcW w:w="2020" w:type="dxa"/>
            <w:tcBorders>
              <w:top w:val="nil"/>
              <w:left w:val="nil"/>
              <w:bottom w:val="nil"/>
              <w:right w:val="nil"/>
            </w:tcBorders>
            <w:shd w:val="clear" w:color="auto" w:fill="auto"/>
            <w:noWrap/>
            <w:vAlign w:val="bottom"/>
            <w:hideMark/>
          </w:tcPr>
          <w:p w:rsidR="00044642" w:rsidRPr="00D82538" w:rsidRDefault="00044642" w:rsidP="00D82538">
            <w:pPr>
              <w:spacing w:after="0" w:line="240" w:lineRule="auto"/>
              <w:rPr>
                <w:rFonts w:ascii="Calibri" w:eastAsia="Times New Roman" w:hAnsi="Calibri" w:cs="Times New Roman"/>
                <w:b/>
                <w:bCs/>
                <w:color w:val="000000"/>
                <w:lang w:eastAsia="en-AU"/>
              </w:rPr>
            </w:pPr>
            <w:r w:rsidRPr="00D82538">
              <w:rPr>
                <w:rFonts w:ascii="Calibri" w:eastAsia="Times New Roman" w:hAnsi="Calibri" w:cs="Times New Roman"/>
                <w:b/>
                <w:bCs/>
                <w:color w:val="000000"/>
                <w:lang w:eastAsia="en-AU"/>
              </w:rPr>
              <w:t>New South Wales</w:t>
            </w:r>
          </w:p>
        </w:tc>
        <w:tc>
          <w:tcPr>
            <w:tcW w:w="1977"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793.9</w:t>
            </w:r>
          </w:p>
        </w:tc>
        <w:tc>
          <w:tcPr>
            <w:tcW w:w="1978"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-242.6</w:t>
            </w:r>
          </w:p>
        </w:tc>
        <w:tc>
          <w:tcPr>
            <w:tcW w:w="1978"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41.7</w:t>
            </w:r>
          </w:p>
        </w:tc>
      </w:tr>
      <w:tr w:rsidR="00044642" w:rsidRPr="00D82538" w:rsidTr="00D82538">
        <w:trPr>
          <w:trHeight w:val="300"/>
        </w:trPr>
        <w:tc>
          <w:tcPr>
            <w:tcW w:w="2020" w:type="dxa"/>
            <w:tcBorders>
              <w:top w:val="nil"/>
              <w:left w:val="nil"/>
              <w:bottom w:val="nil"/>
              <w:right w:val="nil"/>
            </w:tcBorders>
            <w:shd w:val="clear" w:color="auto" w:fill="auto"/>
            <w:noWrap/>
            <w:vAlign w:val="bottom"/>
            <w:hideMark/>
          </w:tcPr>
          <w:p w:rsidR="00044642" w:rsidRPr="00D82538" w:rsidRDefault="00044642" w:rsidP="00D82538">
            <w:pPr>
              <w:spacing w:after="0" w:line="240" w:lineRule="auto"/>
              <w:rPr>
                <w:rFonts w:ascii="Calibri" w:eastAsia="Times New Roman" w:hAnsi="Calibri" w:cs="Times New Roman"/>
                <w:b/>
                <w:bCs/>
                <w:color w:val="000000"/>
                <w:lang w:eastAsia="en-AU"/>
              </w:rPr>
            </w:pPr>
            <w:r w:rsidRPr="00D82538">
              <w:rPr>
                <w:rFonts w:ascii="Calibri" w:eastAsia="Times New Roman" w:hAnsi="Calibri" w:cs="Times New Roman"/>
                <w:b/>
                <w:bCs/>
                <w:color w:val="000000"/>
                <w:lang w:eastAsia="en-AU"/>
              </w:rPr>
              <w:t>Victoria</w:t>
            </w:r>
          </w:p>
        </w:tc>
        <w:tc>
          <w:tcPr>
            <w:tcW w:w="1977"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394.9</w:t>
            </w:r>
          </w:p>
        </w:tc>
        <w:tc>
          <w:tcPr>
            <w:tcW w:w="1978"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-45.1</w:t>
            </w:r>
          </w:p>
        </w:tc>
        <w:tc>
          <w:tcPr>
            <w:tcW w:w="1978"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29.4</w:t>
            </w:r>
          </w:p>
        </w:tc>
      </w:tr>
      <w:tr w:rsidR="00044642" w:rsidRPr="00D82538" w:rsidTr="00D82538">
        <w:trPr>
          <w:trHeight w:val="300"/>
        </w:trPr>
        <w:tc>
          <w:tcPr>
            <w:tcW w:w="2020" w:type="dxa"/>
            <w:tcBorders>
              <w:top w:val="nil"/>
              <w:left w:val="nil"/>
              <w:bottom w:val="nil"/>
              <w:right w:val="nil"/>
            </w:tcBorders>
            <w:shd w:val="clear" w:color="auto" w:fill="auto"/>
            <w:noWrap/>
            <w:vAlign w:val="bottom"/>
            <w:hideMark/>
          </w:tcPr>
          <w:p w:rsidR="00044642" w:rsidRPr="00D82538" w:rsidRDefault="00044642" w:rsidP="00D82538">
            <w:pPr>
              <w:spacing w:after="0" w:line="240" w:lineRule="auto"/>
              <w:rPr>
                <w:rFonts w:ascii="Calibri" w:eastAsia="Times New Roman" w:hAnsi="Calibri" w:cs="Times New Roman"/>
                <w:b/>
                <w:bCs/>
                <w:color w:val="000000"/>
                <w:lang w:eastAsia="en-AU"/>
              </w:rPr>
            </w:pPr>
            <w:r w:rsidRPr="00D82538">
              <w:rPr>
                <w:rFonts w:ascii="Calibri" w:eastAsia="Times New Roman" w:hAnsi="Calibri" w:cs="Times New Roman"/>
                <w:b/>
                <w:bCs/>
                <w:color w:val="000000"/>
                <w:lang w:eastAsia="en-AU"/>
              </w:rPr>
              <w:t>Queensland</w:t>
            </w:r>
          </w:p>
        </w:tc>
        <w:tc>
          <w:tcPr>
            <w:tcW w:w="1977"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736.2</w:t>
            </w:r>
          </w:p>
        </w:tc>
        <w:tc>
          <w:tcPr>
            <w:tcW w:w="1978"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-22.8</w:t>
            </w:r>
          </w:p>
        </w:tc>
        <w:tc>
          <w:tcPr>
            <w:tcW w:w="1978"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38.2</w:t>
            </w:r>
          </w:p>
        </w:tc>
      </w:tr>
      <w:tr w:rsidR="00044642" w:rsidRPr="00D82538" w:rsidTr="00D82538">
        <w:trPr>
          <w:trHeight w:val="300"/>
        </w:trPr>
        <w:tc>
          <w:tcPr>
            <w:tcW w:w="2020" w:type="dxa"/>
            <w:tcBorders>
              <w:top w:val="nil"/>
              <w:left w:val="nil"/>
              <w:bottom w:val="nil"/>
              <w:right w:val="nil"/>
            </w:tcBorders>
            <w:shd w:val="clear" w:color="auto" w:fill="auto"/>
            <w:noWrap/>
            <w:vAlign w:val="bottom"/>
            <w:hideMark/>
          </w:tcPr>
          <w:p w:rsidR="00044642" w:rsidRPr="00D82538" w:rsidRDefault="00044642" w:rsidP="00D82538">
            <w:pPr>
              <w:spacing w:after="0" w:line="240" w:lineRule="auto"/>
              <w:rPr>
                <w:rFonts w:ascii="Calibri" w:eastAsia="Times New Roman" w:hAnsi="Calibri" w:cs="Times New Roman"/>
                <w:b/>
                <w:bCs/>
                <w:color w:val="000000"/>
                <w:lang w:eastAsia="en-AU"/>
              </w:rPr>
            </w:pPr>
            <w:r w:rsidRPr="00D82538">
              <w:rPr>
                <w:rFonts w:ascii="Calibri" w:eastAsia="Times New Roman" w:hAnsi="Calibri" w:cs="Times New Roman"/>
                <w:b/>
                <w:bCs/>
                <w:color w:val="000000"/>
                <w:lang w:eastAsia="en-AU"/>
              </w:rPr>
              <w:t>South Australia</w:t>
            </w:r>
          </w:p>
        </w:tc>
        <w:tc>
          <w:tcPr>
            <w:tcW w:w="1977"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308.4</w:t>
            </w:r>
          </w:p>
        </w:tc>
        <w:tc>
          <w:tcPr>
            <w:tcW w:w="1978"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-4.6</w:t>
            </w:r>
          </w:p>
        </w:tc>
        <w:tc>
          <w:tcPr>
            <w:tcW w:w="1978"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16.8</w:t>
            </w:r>
          </w:p>
        </w:tc>
      </w:tr>
      <w:tr w:rsidR="00044642" w:rsidRPr="00D82538" w:rsidTr="00D82538">
        <w:trPr>
          <w:trHeight w:val="300"/>
        </w:trPr>
        <w:tc>
          <w:tcPr>
            <w:tcW w:w="2020" w:type="dxa"/>
            <w:tcBorders>
              <w:top w:val="nil"/>
              <w:left w:val="nil"/>
              <w:bottom w:val="nil"/>
              <w:right w:val="nil"/>
            </w:tcBorders>
            <w:shd w:val="clear" w:color="auto" w:fill="auto"/>
            <w:noWrap/>
            <w:vAlign w:val="bottom"/>
            <w:hideMark/>
          </w:tcPr>
          <w:p w:rsidR="00044642" w:rsidRPr="00D82538" w:rsidRDefault="00044642" w:rsidP="00D82538">
            <w:pPr>
              <w:spacing w:after="0" w:line="240" w:lineRule="auto"/>
              <w:rPr>
                <w:rFonts w:ascii="Calibri" w:eastAsia="Times New Roman" w:hAnsi="Calibri" w:cs="Times New Roman"/>
                <w:b/>
                <w:bCs/>
                <w:color w:val="000000"/>
                <w:lang w:eastAsia="en-AU"/>
              </w:rPr>
            </w:pPr>
            <w:r w:rsidRPr="00D82538">
              <w:rPr>
                <w:rFonts w:ascii="Calibri" w:eastAsia="Times New Roman" w:hAnsi="Calibri" w:cs="Times New Roman"/>
                <w:b/>
                <w:bCs/>
                <w:color w:val="000000"/>
                <w:lang w:eastAsia="en-AU"/>
              </w:rPr>
              <w:t>Western Australia</w:t>
            </w:r>
          </w:p>
        </w:tc>
        <w:tc>
          <w:tcPr>
            <w:tcW w:w="1977"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250.8</w:t>
            </w:r>
          </w:p>
        </w:tc>
        <w:tc>
          <w:tcPr>
            <w:tcW w:w="1978"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4.6</w:t>
            </w:r>
          </w:p>
        </w:tc>
        <w:tc>
          <w:tcPr>
            <w:tcW w:w="1978"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13.2</w:t>
            </w:r>
          </w:p>
        </w:tc>
      </w:tr>
      <w:tr w:rsidR="00044642" w:rsidRPr="00D82538" w:rsidTr="00D82538">
        <w:trPr>
          <w:trHeight w:val="300"/>
        </w:trPr>
        <w:tc>
          <w:tcPr>
            <w:tcW w:w="2020" w:type="dxa"/>
            <w:tcBorders>
              <w:top w:val="nil"/>
              <w:left w:val="nil"/>
              <w:bottom w:val="nil"/>
              <w:right w:val="nil"/>
            </w:tcBorders>
            <w:shd w:val="clear" w:color="auto" w:fill="auto"/>
            <w:noWrap/>
            <w:vAlign w:val="bottom"/>
            <w:hideMark/>
          </w:tcPr>
          <w:p w:rsidR="00044642" w:rsidRPr="00D82538" w:rsidRDefault="00044642" w:rsidP="00D82538">
            <w:pPr>
              <w:spacing w:after="0" w:line="240" w:lineRule="auto"/>
              <w:rPr>
                <w:rFonts w:ascii="Calibri" w:eastAsia="Times New Roman" w:hAnsi="Calibri" w:cs="Times New Roman"/>
                <w:b/>
                <w:bCs/>
                <w:color w:val="000000"/>
                <w:lang w:eastAsia="en-AU"/>
              </w:rPr>
            </w:pPr>
            <w:r w:rsidRPr="00D82538">
              <w:rPr>
                <w:rFonts w:ascii="Calibri" w:eastAsia="Times New Roman" w:hAnsi="Calibri" w:cs="Times New Roman"/>
                <w:b/>
                <w:bCs/>
                <w:color w:val="000000"/>
                <w:lang w:eastAsia="en-AU"/>
              </w:rPr>
              <w:t>Tasmania</w:t>
            </w:r>
          </w:p>
        </w:tc>
        <w:tc>
          <w:tcPr>
            <w:tcW w:w="1977"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79.5</w:t>
            </w:r>
          </w:p>
        </w:tc>
        <w:tc>
          <w:tcPr>
            <w:tcW w:w="1978"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-19.9</w:t>
            </w:r>
          </w:p>
        </w:tc>
        <w:tc>
          <w:tcPr>
            <w:tcW w:w="1978"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3.6</w:t>
            </w:r>
          </w:p>
        </w:tc>
      </w:tr>
      <w:tr w:rsidR="00044642" w:rsidRPr="00D82538" w:rsidTr="00D82538">
        <w:trPr>
          <w:trHeight w:val="300"/>
        </w:trPr>
        <w:tc>
          <w:tcPr>
            <w:tcW w:w="2020" w:type="dxa"/>
            <w:tcBorders>
              <w:top w:val="nil"/>
              <w:left w:val="nil"/>
              <w:right w:val="nil"/>
            </w:tcBorders>
            <w:shd w:val="clear" w:color="auto" w:fill="auto"/>
            <w:noWrap/>
            <w:vAlign w:val="bottom"/>
            <w:hideMark/>
          </w:tcPr>
          <w:p w:rsidR="00044642" w:rsidRPr="00D82538" w:rsidRDefault="00044642" w:rsidP="00D82538">
            <w:pPr>
              <w:spacing w:after="0" w:line="240" w:lineRule="auto"/>
              <w:rPr>
                <w:rFonts w:ascii="Calibri" w:eastAsia="Times New Roman" w:hAnsi="Calibri" w:cs="Times New Roman"/>
                <w:b/>
                <w:bCs/>
                <w:color w:val="000000"/>
                <w:lang w:eastAsia="en-AU"/>
              </w:rPr>
            </w:pPr>
            <w:r w:rsidRPr="00D82538">
              <w:rPr>
                <w:rFonts w:ascii="Calibri" w:eastAsia="Times New Roman" w:hAnsi="Calibri" w:cs="Times New Roman"/>
                <w:b/>
                <w:bCs/>
                <w:color w:val="000000"/>
                <w:lang w:eastAsia="en-AU"/>
              </w:rPr>
              <w:t>Northern Territory</w:t>
            </w:r>
          </w:p>
        </w:tc>
        <w:tc>
          <w:tcPr>
            <w:tcW w:w="1977" w:type="dxa"/>
            <w:tcBorders>
              <w:top w:val="nil"/>
              <w:left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8.9</w:t>
            </w:r>
          </w:p>
        </w:tc>
        <w:tc>
          <w:tcPr>
            <w:tcW w:w="1978" w:type="dxa"/>
            <w:tcBorders>
              <w:top w:val="nil"/>
              <w:left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1.5</w:t>
            </w:r>
          </w:p>
        </w:tc>
        <w:tc>
          <w:tcPr>
            <w:tcW w:w="1978" w:type="dxa"/>
            <w:tcBorders>
              <w:top w:val="nil"/>
              <w:left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0.5</w:t>
            </w:r>
          </w:p>
        </w:tc>
      </w:tr>
      <w:tr w:rsidR="00044642" w:rsidRPr="00D82538" w:rsidTr="00D82538">
        <w:trPr>
          <w:trHeight w:val="300"/>
        </w:trPr>
        <w:tc>
          <w:tcPr>
            <w:tcW w:w="2020" w:type="dxa"/>
            <w:tcBorders>
              <w:top w:val="nil"/>
              <w:left w:val="nil"/>
              <w:bottom w:val="single" w:sz="12" w:space="0" w:color="0093D0"/>
              <w:right w:val="nil"/>
            </w:tcBorders>
            <w:shd w:val="clear" w:color="auto" w:fill="auto"/>
            <w:noWrap/>
            <w:vAlign w:val="bottom"/>
            <w:hideMark/>
          </w:tcPr>
          <w:p w:rsidR="00044642" w:rsidRPr="00D82538" w:rsidRDefault="00044642" w:rsidP="00D82538">
            <w:pPr>
              <w:spacing w:after="0" w:line="240" w:lineRule="auto"/>
              <w:rPr>
                <w:rFonts w:ascii="Calibri" w:eastAsia="Times New Roman" w:hAnsi="Calibri" w:cs="Times New Roman"/>
                <w:b/>
                <w:bCs/>
                <w:color w:val="000000"/>
                <w:lang w:eastAsia="en-AU"/>
              </w:rPr>
            </w:pPr>
            <w:r w:rsidRPr="00D82538">
              <w:rPr>
                <w:rFonts w:ascii="Calibri" w:eastAsia="Times New Roman" w:hAnsi="Calibri" w:cs="Times New Roman"/>
                <w:b/>
                <w:bCs/>
                <w:color w:val="000000"/>
                <w:lang w:eastAsia="en-AU"/>
              </w:rPr>
              <w:t>ACT</w:t>
            </w:r>
          </w:p>
        </w:tc>
        <w:tc>
          <w:tcPr>
            <w:tcW w:w="1977" w:type="dxa"/>
            <w:tcBorders>
              <w:top w:val="nil"/>
              <w:left w:val="nil"/>
              <w:bottom w:val="single" w:sz="12" w:space="0" w:color="0093D0"/>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29.0</w:t>
            </w:r>
          </w:p>
        </w:tc>
        <w:tc>
          <w:tcPr>
            <w:tcW w:w="1978" w:type="dxa"/>
            <w:tcBorders>
              <w:top w:val="nil"/>
              <w:left w:val="nil"/>
              <w:bottom w:val="single" w:sz="12" w:space="0" w:color="0093D0"/>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0.1</w:t>
            </w:r>
          </w:p>
        </w:tc>
        <w:tc>
          <w:tcPr>
            <w:tcW w:w="1978" w:type="dxa"/>
            <w:tcBorders>
              <w:top w:val="nil"/>
              <w:left w:val="nil"/>
              <w:bottom w:val="single" w:sz="12" w:space="0" w:color="0093D0"/>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color w:val="000000"/>
                <w:lang w:eastAsia="en-AU"/>
              </w:rPr>
            </w:pPr>
            <w:r w:rsidRPr="00044642">
              <w:rPr>
                <w:rFonts w:ascii="Calibri" w:eastAsia="Times New Roman" w:hAnsi="Calibri" w:cs="Times New Roman"/>
                <w:color w:val="000000"/>
                <w:lang w:eastAsia="en-AU"/>
              </w:rPr>
              <w:t>1.1</w:t>
            </w:r>
          </w:p>
        </w:tc>
      </w:tr>
    </w:tbl>
    <w:p w:rsidR="00EB0F05" w:rsidRDefault="00EB0F05" w:rsidP="00C154E6">
      <w:pPr>
        <w:pStyle w:val="MJAnormal"/>
        <w:rPr>
          <w:lang w:eastAsia="en-AU"/>
        </w:rPr>
      </w:pPr>
      <w:bookmarkStart w:id="24" w:name="_Ref391336815"/>
    </w:p>
    <w:p w:rsidR="00364283" w:rsidRDefault="00364283" w:rsidP="00C154E6">
      <w:pPr>
        <w:pStyle w:val="MJAnormal"/>
        <w:rPr>
          <w:lang w:eastAsia="en-AU"/>
        </w:rPr>
      </w:pPr>
    </w:p>
    <w:p w:rsidR="00CD7DC9" w:rsidRDefault="00CD7DC9" w:rsidP="00C154E6">
      <w:pPr>
        <w:pStyle w:val="MJAnormal"/>
        <w:rPr>
          <w:lang w:eastAsia="en-AU"/>
        </w:rPr>
      </w:pPr>
    </w:p>
    <w:p w:rsidR="001B66C0" w:rsidRPr="00980390" w:rsidRDefault="001B66C0" w:rsidP="001B66C0">
      <w:pPr>
        <w:keepNext/>
        <w:keepLines/>
        <w:spacing w:before="120" w:after="120" w:line="240" w:lineRule="auto"/>
        <w:rPr>
          <w:rFonts w:ascii="Calibri" w:eastAsia="Times New Roman" w:hAnsi="Calibri" w:cs="Calibri"/>
          <w:b/>
          <w:bCs/>
          <w:sz w:val="20"/>
          <w:szCs w:val="20"/>
          <w:lang w:eastAsia="en-AU"/>
        </w:rPr>
      </w:pPr>
      <w:r w:rsidRPr="00F6696F">
        <w:rPr>
          <w:rFonts w:ascii="Calibri" w:eastAsia="Times New Roman" w:hAnsi="Calibri" w:cs="Calibri"/>
          <w:b/>
          <w:bCs/>
          <w:sz w:val="20"/>
          <w:szCs w:val="20"/>
          <w:lang w:eastAsia="en-AU"/>
        </w:rPr>
        <w:lastRenderedPageBreak/>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8</w:t>
      </w:r>
      <w:r w:rsidR="00732F35" w:rsidRPr="00F6696F">
        <w:rPr>
          <w:rFonts w:ascii="Calibri" w:eastAsia="Times New Roman" w:hAnsi="Calibri" w:cs="Calibri"/>
          <w:b/>
          <w:bCs/>
          <w:sz w:val="20"/>
          <w:szCs w:val="20"/>
          <w:lang w:eastAsia="en-AU"/>
        </w:rPr>
        <w:fldChar w:fldCharType="end"/>
      </w:r>
      <w:bookmarkEnd w:id="24"/>
      <w:r w:rsidRPr="00F6696F">
        <w:rPr>
          <w:rFonts w:ascii="Calibri" w:eastAsia="Times New Roman" w:hAnsi="Calibri" w:cs="Calibri"/>
          <w:b/>
          <w:bCs/>
          <w:sz w:val="20"/>
          <w:szCs w:val="20"/>
          <w:lang w:eastAsia="en-AU"/>
        </w:rPr>
        <w:t xml:space="preserve">:  </w:t>
      </w:r>
      <w:r>
        <w:rPr>
          <w:rFonts w:ascii="Calibri" w:eastAsia="Times New Roman" w:hAnsi="Calibri" w:cs="Calibri"/>
          <w:b/>
          <w:bCs/>
          <w:sz w:val="20"/>
          <w:szCs w:val="20"/>
          <w:lang w:eastAsia="en-AU"/>
        </w:rPr>
        <w:t xml:space="preserve"> Levies and license fees, by jurisdiction ($ million, 2012)</w:t>
      </w:r>
    </w:p>
    <w:tbl>
      <w:tblPr>
        <w:tblW w:w="7180" w:type="dxa"/>
        <w:tblInd w:w="93" w:type="dxa"/>
        <w:tblLook w:val="04A0"/>
      </w:tblPr>
      <w:tblGrid>
        <w:gridCol w:w="2020"/>
        <w:gridCol w:w="1840"/>
        <w:gridCol w:w="1660"/>
        <w:gridCol w:w="1660"/>
      </w:tblGrid>
      <w:tr w:rsidR="00CC749D" w:rsidRPr="00CC749D" w:rsidTr="00CC749D">
        <w:trPr>
          <w:trHeight w:val="300"/>
        </w:trPr>
        <w:tc>
          <w:tcPr>
            <w:tcW w:w="2020" w:type="dxa"/>
            <w:tcBorders>
              <w:top w:val="nil"/>
              <w:left w:val="nil"/>
              <w:bottom w:val="nil"/>
              <w:right w:val="nil"/>
            </w:tcBorders>
            <w:shd w:val="clear" w:color="000000" w:fill="0093D0"/>
            <w:noWrap/>
            <w:vAlign w:val="bottom"/>
            <w:hideMark/>
          </w:tcPr>
          <w:p w:rsidR="00CC749D" w:rsidRPr="00CC749D" w:rsidRDefault="00CC749D" w:rsidP="00CC749D">
            <w:pPr>
              <w:spacing w:after="0" w:line="240" w:lineRule="auto"/>
              <w:rPr>
                <w:rFonts w:ascii="Calibri" w:eastAsia="Times New Roman" w:hAnsi="Calibri" w:cs="Times New Roman"/>
                <w:color w:val="0093D0"/>
                <w:lang w:eastAsia="en-AU"/>
              </w:rPr>
            </w:pPr>
            <w:r w:rsidRPr="00CC749D">
              <w:rPr>
                <w:rFonts w:ascii="Calibri" w:eastAsia="Times New Roman" w:hAnsi="Calibri" w:cs="Times New Roman"/>
                <w:color w:val="0093D0"/>
                <w:lang w:eastAsia="en-AU"/>
              </w:rPr>
              <w:t> </w:t>
            </w:r>
          </w:p>
        </w:tc>
        <w:tc>
          <w:tcPr>
            <w:tcW w:w="1840" w:type="dxa"/>
            <w:tcBorders>
              <w:top w:val="nil"/>
              <w:left w:val="nil"/>
              <w:bottom w:val="nil"/>
              <w:right w:val="nil"/>
            </w:tcBorders>
            <w:shd w:val="clear" w:color="000000" w:fill="0093D0"/>
            <w:noWrap/>
            <w:vAlign w:val="bottom"/>
            <w:hideMark/>
          </w:tcPr>
          <w:p w:rsidR="00CC749D" w:rsidRPr="00CC749D" w:rsidRDefault="00CC749D" w:rsidP="00CC749D">
            <w:pPr>
              <w:spacing w:after="0" w:line="240" w:lineRule="auto"/>
              <w:jc w:val="right"/>
              <w:rPr>
                <w:rFonts w:ascii="Calibri" w:eastAsia="Times New Roman" w:hAnsi="Calibri" w:cs="Times New Roman"/>
                <w:b/>
                <w:bCs/>
                <w:color w:val="FFFFFF"/>
                <w:lang w:eastAsia="en-AU"/>
              </w:rPr>
            </w:pPr>
            <w:r w:rsidRPr="00CC749D">
              <w:rPr>
                <w:rFonts w:ascii="Calibri" w:eastAsia="Times New Roman" w:hAnsi="Calibri" w:cs="Times New Roman"/>
                <w:b/>
                <w:bCs/>
                <w:color w:val="FFFFFF"/>
                <w:lang w:eastAsia="en-AU"/>
              </w:rPr>
              <w:t>Landfill levies</w:t>
            </w:r>
          </w:p>
        </w:tc>
        <w:tc>
          <w:tcPr>
            <w:tcW w:w="1660" w:type="dxa"/>
            <w:tcBorders>
              <w:top w:val="nil"/>
              <w:left w:val="nil"/>
              <w:bottom w:val="nil"/>
              <w:right w:val="nil"/>
            </w:tcBorders>
            <w:shd w:val="clear" w:color="000000" w:fill="0093D0"/>
            <w:noWrap/>
            <w:vAlign w:val="bottom"/>
            <w:hideMark/>
          </w:tcPr>
          <w:p w:rsidR="00CC749D" w:rsidRPr="00CC749D" w:rsidRDefault="00CC749D" w:rsidP="00CC749D">
            <w:pPr>
              <w:spacing w:after="0" w:line="240" w:lineRule="auto"/>
              <w:jc w:val="right"/>
              <w:rPr>
                <w:rFonts w:ascii="Calibri" w:eastAsia="Times New Roman" w:hAnsi="Calibri" w:cs="Times New Roman"/>
                <w:b/>
                <w:bCs/>
                <w:color w:val="FFFFFF"/>
                <w:lang w:eastAsia="en-AU"/>
              </w:rPr>
            </w:pPr>
            <w:r w:rsidRPr="00CC749D">
              <w:rPr>
                <w:rFonts w:ascii="Calibri" w:eastAsia="Times New Roman" w:hAnsi="Calibri" w:cs="Times New Roman"/>
                <w:b/>
                <w:bCs/>
                <w:color w:val="FFFFFF"/>
                <w:lang w:eastAsia="en-AU"/>
              </w:rPr>
              <w:t xml:space="preserve">License fees </w:t>
            </w:r>
          </w:p>
        </w:tc>
        <w:tc>
          <w:tcPr>
            <w:tcW w:w="1660" w:type="dxa"/>
            <w:tcBorders>
              <w:top w:val="nil"/>
              <w:left w:val="nil"/>
              <w:bottom w:val="nil"/>
              <w:right w:val="nil"/>
            </w:tcBorders>
            <w:shd w:val="clear" w:color="000000" w:fill="0093D0"/>
            <w:noWrap/>
            <w:vAlign w:val="bottom"/>
            <w:hideMark/>
          </w:tcPr>
          <w:p w:rsidR="00CC749D" w:rsidRPr="00CC749D" w:rsidRDefault="00201AD8" w:rsidP="00CC749D">
            <w:pPr>
              <w:spacing w:after="0" w:line="240" w:lineRule="auto"/>
              <w:jc w:val="right"/>
              <w:rPr>
                <w:rFonts w:ascii="Calibri" w:eastAsia="Times New Roman" w:hAnsi="Calibri" w:cs="Times New Roman"/>
                <w:b/>
                <w:bCs/>
                <w:color w:val="FFFFFF"/>
                <w:lang w:eastAsia="en-AU"/>
              </w:rPr>
            </w:pPr>
            <w:r>
              <w:rPr>
                <w:rFonts w:ascii="Calibri" w:eastAsia="Times New Roman" w:hAnsi="Calibri" w:cs="Times New Roman"/>
                <w:b/>
                <w:bCs/>
                <w:color w:val="FFFFFF"/>
                <w:lang w:eastAsia="en-AU"/>
              </w:rPr>
              <w:t>Total</w:t>
            </w:r>
          </w:p>
        </w:tc>
      </w:tr>
      <w:tr w:rsidR="00044642" w:rsidRPr="00CC749D" w:rsidTr="00CC749D">
        <w:trPr>
          <w:trHeight w:val="300"/>
        </w:trPr>
        <w:tc>
          <w:tcPr>
            <w:tcW w:w="2020" w:type="dxa"/>
            <w:tcBorders>
              <w:top w:val="nil"/>
              <w:left w:val="nil"/>
              <w:bottom w:val="nil"/>
              <w:right w:val="nil"/>
            </w:tcBorders>
            <w:shd w:val="clear" w:color="auto" w:fill="auto"/>
            <w:noWrap/>
            <w:vAlign w:val="bottom"/>
            <w:hideMark/>
          </w:tcPr>
          <w:p w:rsidR="00044642" w:rsidRPr="00CC749D" w:rsidRDefault="00044642" w:rsidP="00CC749D">
            <w:pPr>
              <w:spacing w:after="0" w:line="240" w:lineRule="auto"/>
              <w:rPr>
                <w:rFonts w:ascii="Calibri" w:eastAsia="Times New Roman" w:hAnsi="Calibri" w:cs="Times New Roman"/>
                <w:b/>
                <w:bCs/>
                <w:color w:val="000000"/>
                <w:lang w:eastAsia="en-AU"/>
              </w:rPr>
            </w:pPr>
            <w:r w:rsidRPr="00CC749D">
              <w:rPr>
                <w:rFonts w:ascii="Calibri" w:eastAsia="Times New Roman" w:hAnsi="Calibri" w:cs="Times New Roman"/>
                <w:b/>
                <w:bCs/>
                <w:color w:val="000000"/>
                <w:lang w:eastAsia="en-AU"/>
              </w:rPr>
              <w:t>New South Wales</w:t>
            </w:r>
          </w:p>
        </w:tc>
        <w:tc>
          <w:tcPr>
            <w:tcW w:w="184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57.0</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199.9</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
                <w:bCs/>
                <w:color w:val="000000"/>
                <w:lang w:eastAsia="en-AU"/>
              </w:rPr>
            </w:pPr>
            <w:r w:rsidRPr="00044642">
              <w:rPr>
                <w:rFonts w:ascii="Calibri" w:eastAsia="Times New Roman" w:hAnsi="Calibri" w:cs="Times New Roman"/>
                <w:b/>
                <w:bCs/>
                <w:color w:val="000000"/>
                <w:lang w:eastAsia="en-AU"/>
              </w:rPr>
              <w:t>256.9</w:t>
            </w:r>
          </w:p>
        </w:tc>
      </w:tr>
      <w:tr w:rsidR="00044642" w:rsidRPr="00CC749D" w:rsidTr="00CC749D">
        <w:trPr>
          <w:trHeight w:val="300"/>
        </w:trPr>
        <w:tc>
          <w:tcPr>
            <w:tcW w:w="2020" w:type="dxa"/>
            <w:tcBorders>
              <w:top w:val="nil"/>
              <w:left w:val="nil"/>
              <w:bottom w:val="nil"/>
              <w:right w:val="nil"/>
            </w:tcBorders>
            <w:shd w:val="clear" w:color="auto" w:fill="auto"/>
            <w:noWrap/>
            <w:vAlign w:val="bottom"/>
            <w:hideMark/>
          </w:tcPr>
          <w:p w:rsidR="00044642" w:rsidRPr="00CC749D" w:rsidRDefault="00044642" w:rsidP="00CC749D">
            <w:pPr>
              <w:spacing w:after="0" w:line="240" w:lineRule="auto"/>
              <w:rPr>
                <w:rFonts w:ascii="Calibri" w:eastAsia="Times New Roman" w:hAnsi="Calibri" w:cs="Times New Roman"/>
                <w:b/>
                <w:bCs/>
                <w:color w:val="000000"/>
                <w:lang w:eastAsia="en-AU"/>
              </w:rPr>
            </w:pPr>
            <w:r w:rsidRPr="00CC749D">
              <w:rPr>
                <w:rFonts w:ascii="Calibri" w:eastAsia="Times New Roman" w:hAnsi="Calibri" w:cs="Times New Roman"/>
                <w:b/>
                <w:bCs/>
                <w:color w:val="000000"/>
                <w:lang w:eastAsia="en-AU"/>
              </w:rPr>
              <w:t>Victoria</w:t>
            </w:r>
          </w:p>
        </w:tc>
        <w:tc>
          <w:tcPr>
            <w:tcW w:w="184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54.7</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1.3</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
                <w:bCs/>
                <w:color w:val="000000"/>
                <w:lang w:eastAsia="en-AU"/>
              </w:rPr>
            </w:pPr>
            <w:r w:rsidRPr="00044642">
              <w:rPr>
                <w:rFonts w:ascii="Calibri" w:eastAsia="Times New Roman" w:hAnsi="Calibri" w:cs="Times New Roman"/>
                <w:b/>
                <w:bCs/>
                <w:color w:val="000000"/>
                <w:lang w:eastAsia="en-AU"/>
              </w:rPr>
              <w:t>56.0</w:t>
            </w:r>
          </w:p>
        </w:tc>
      </w:tr>
      <w:tr w:rsidR="00044642" w:rsidRPr="00CC749D" w:rsidTr="00CC749D">
        <w:trPr>
          <w:trHeight w:val="300"/>
        </w:trPr>
        <w:tc>
          <w:tcPr>
            <w:tcW w:w="2020" w:type="dxa"/>
            <w:tcBorders>
              <w:top w:val="nil"/>
              <w:left w:val="nil"/>
              <w:bottom w:val="nil"/>
              <w:right w:val="nil"/>
            </w:tcBorders>
            <w:shd w:val="clear" w:color="auto" w:fill="auto"/>
            <w:noWrap/>
            <w:vAlign w:val="bottom"/>
            <w:hideMark/>
          </w:tcPr>
          <w:p w:rsidR="00044642" w:rsidRPr="00CC749D" w:rsidRDefault="00044642" w:rsidP="00CC749D">
            <w:pPr>
              <w:spacing w:after="0" w:line="240" w:lineRule="auto"/>
              <w:rPr>
                <w:rFonts w:ascii="Calibri" w:eastAsia="Times New Roman" w:hAnsi="Calibri" w:cs="Times New Roman"/>
                <w:b/>
                <w:bCs/>
                <w:color w:val="000000"/>
                <w:lang w:eastAsia="en-AU"/>
              </w:rPr>
            </w:pPr>
            <w:r w:rsidRPr="00CC749D">
              <w:rPr>
                <w:rFonts w:ascii="Calibri" w:eastAsia="Times New Roman" w:hAnsi="Calibri" w:cs="Times New Roman"/>
                <w:b/>
                <w:bCs/>
                <w:color w:val="000000"/>
                <w:lang w:eastAsia="en-AU"/>
              </w:rPr>
              <w:t>Queensland</w:t>
            </w:r>
          </w:p>
        </w:tc>
        <w:tc>
          <w:tcPr>
            <w:tcW w:w="184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35.6</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0.0</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
                <w:bCs/>
                <w:color w:val="000000"/>
                <w:lang w:eastAsia="en-AU"/>
              </w:rPr>
            </w:pPr>
            <w:r w:rsidRPr="00044642">
              <w:rPr>
                <w:rFonts w:ascii="Calibri" w:eastAsia="Times New Roman" w:hAnsi="Calibri" w:cs="Times New Roman"/>
                <w:b/>
                <w:bCs/>
                <w:color w:val="000000"/>
                <w:lang w:eastAsia="en-AU"/>
              </w:rPr>
              <w:t>35.6</w:t>
            </w:r>
          </w:p>
        </w:tc>
      </w:tr>
      <w:tr w:rsidR="00044642" w:rsidRPr="00CC749D" w:rsidTr="00CC749D">
        <w:trPr>
          <w:trHeight w:val="300"/>
        </w:trPr>
        <w:tc>
          <w:tcPr>
            <w:tcW w:w="2020" w:type="dxa"/>
            <w:tcBorders>
              <w:top w:val="nil"/>
              <w:left w:val="nil"/>
              <w:bottom w:val="nil"/>
              <w:right w:val="nil"/>
            </w:tcBorders>
            <w:shd w:val="clear" w:color="auto" w:fill="auto"/>
            <w:noWrap/>
            <w:vAlign w:val="bottom"/>
            <w:hideMark/>
          </w:tcPr>
          <w:p w:rsidR="00044642" w:rsidRPr="00CC749D" w:rsidRDefault="00044642" w:rsidP="00CC749D">
            <w:pPr>
              <w:spacing w:after="0" w:line="240" w:lineRule="auto"/>
              <w:rPr>
                <w:rFonts w:ascii="Calibri" w:eastAsia="Times New Roman" w:hAnsi="Calibri" w:cs="Times New Roman"/>
                <w:b/>
                <w:bCs/>
                <w:color w:val="000000"/>
                <w:lang w:eastAsia="en-AU"/>
              </w:rPr>
            </w:pPr>
            <w:r w:rsidRPr="00CC749D">
              <w:rPr>
                <w:rFonts w:ascii="Calibri" w:eastAsia="Times New Roman" w:hAnsi="Calibri" w:cs="Times New Roman"/>
                <w:b/>
                <w:bCs/>
                <w:color w:val="000000"/>
                <w:lang w:eastAsia="en-AU"/>
              </w:rPr>
              <w:t>South Australia</w:t>
            </w:r>
          </w:p>
        </w:tc>
        <w:tc>
          <w:tcPr>
            <w:tcW w:w="184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9.4</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0.0</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
                <w:bCs/>
                <w:color w:val="000000"/>
                <w:lang w:eastAsia="en-AU"/>
              </w:rPr>
            </w:pPr>
            <w:r w:rsidRPr="00044642">
              <w:rPr>
                <w:rFonts w:ascii="Calibri" w:eastAsia="Times New Roman" w:hAnsi="Calibri" w:cs="Times New Roman"/>
                <w:b/>
                <w:bCs/>
                <w:color w:val="000000"/>
                <w:lang w:eastAsia="en-AU"/>
              </w:rPr>
              <w:t>9.4</w:t>
            </w:r>
          </w:p>
        </w:tc>
      </w:tr>
      <w:tr w:rsidR="00044642" w:rsidRPr="00CC749D" w:rsidTr="00CC749D">
        <w:trPr>
          <w:trHeight w:val="300"/>
        </w:trPr>
        <w:tc>
          <w:tcPr>
            <w:tcW w:w="2020" w:type="dxa"/>
            <w:tcBorders>
              <w:top w:val="nil"/>
              <w:left w:val="nil"/>
              <w:bottom w:val="nil"/>
              <w:right w:val="nil"/>
            </w:tcBorders>
            <w:shd w:val="clear" w:color="auto" w:fill="auto"/>
            <w:noWrap/>
            <w:vAlign w:val="bottom"/>
            <w:hideMark/>
          </w:tcPr>
          <w:p w:rsidR="00044642" w:rsidRPr="00CC749D" w:rsidRDefault="00044642" w:rsidP="00CC749D">
            <w:pPr>
              <w:spacing w:after="0" w:line="240" w:lineRule="auto"/>
              <w:rPr>
                <w:rFonts w:ascii="Calibri" w:eastAsia="Times New Roman" w:hAnsi="Calibri" w:cs="Times New Roman"/>
                <w:b/>
                <w:bCs/>
                <w:color w:val="000000"/>
                <w:lang w:eastAsia="en-AU"/>
              </w:rPr>
            </w:pPr>
            <w:r w:rsidRPr="00CC749D">
              <w:rPr>
                <w:rFonts w:ascii="Calibri" w:eastAsia="Times New Roman" w:hAnsi="Calibri" w:cs="Times New Roman"/>
                <w:b/>
                <w:bCs/>
                <w:color w:val="000000"/>
                <w:lang w:eastAsia="en-AU"/>
              </w:rPr>
              <w:t>Western Australia</w:t>
            </w:r>
          </w:p>
        </w:tc>
        <w:tc>
          <w:tcPr>
            <w:tcW w:w="184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2.4</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0.0</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
                <w:bCs/>
                <w:color w:val="000000"/>
                <w:lang w:eastAsia="en-AU"/>
              </w:rPr>
            </w:pPr>
            <w:r w:rsidRPr="00044642">
              <w:rPr>
                <w:rFonts w:ascii="Calibri" w:eastAsia="Times New Roman" w:hAnsi="Calibri" w:cs="Times New Roman"/>
                <w:b/>
                <w:bCs/>
                <w:color w:val="000000"/>
                <w:lang w:eastAsia="en-AU"/>
              </w:rPr>
              <w:t>2.4</w:t>
            </w:r>
          </w:p>
        </w:tc>
      </w:tr>
      <w:tr w:rsidR="00044642" w:rsidRPr="00CC749D" w:rsidTr="00CC749D">
        <w:trPr>
          <w:trHeight w:val="300"/>
        </w:trPr>
        <w:tc>
          <w:tcPr>
            <w:tcW w:w="2020" w:type="dxa"/>
            <w:tcBorders>
              <w:top w:val="nil"/>
              <w:left w:val="nil"/>
              <w:bottom w:val="nil"/>
              <w:right w:val="nil"/>
            </w:tcBorders>
            <w:shd w:val="clear" w:color="auto" w:fill="auto"/>
            <w:noWrap/>
            <w:vAlign w:val="bottom"/>
            <w:hideMark/>
          </w:tcPr>
          <w:p w:rsidR="00044642" w:rsidRPr="00CC749D" w:rsidRDefault="00044642" w:rsidP="00CC749D">
            <w:pPr>
              <w:spacing w:after="0" w:line="240" w:lineRule="auto"/>
              <w:rPr>
                <w:rFonts w:ascii="Calibri" w:eastAsia="Times New Roman" w:hAnsi="Calibri" w:cs="Times New Roman"/>
                <w:b/>
                <w:bCs/>
                <w:color w:val="000000"/>
                <w:lang w:eastAsia="en-AU"/>
              </w:rPr>
            </w:pPr>
            <w:r w:rsidRPr="00CC749D">
              <w:rPr>
                <w:rFonts w:ascii="Calibri" w:eastAsia="Times New Roman" w:hAnsi="Calibri" w:cs="Times New Roman"/>
                <w:b/>
                <w:bCs/>
                <w:color w:val="000000"/>
                <w:lang w:eastAsia="en-AU"/>
              </w:rPr>
              <w:t>Tasmania</w:t>
            </w:r>
          </w:p>
        </w:tc>
        <w:tc>
          <w:tcPr>
            <w:tcW w:w="184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23.5</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0.0</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
                <w:bCs/>
                <w:color w:val="000000"/>
                <w:lang w:eastAsia="en-AU"/>
              </w:rPr>
            </w:pPr>
            <w:r w:rsidRPr="00044642">
              <w:rPr>
                <w:rFonts w:ascii="Calibri" w:eastAsia="Times New Roman" w:hAnsi="Calibri" w:cs="Times New Roman"/>
                <w:b/>
                <w:bCs/>
                <w:color w:val="000000"/>
                <w:lang w:eastAsia="en-AU"/>
              </w:rPr>
              <w:t>23.5</w:t>
            </w:r>
          </w:p>
        </w:tc>
      </w:tr>
      <w:tr w:rsidR="00044642" w:rsidRPr="00CC749D" w:rsidTr="00CC749D">
        <w:trPr>
          <w:trHeight w:val="300"/>
        </w:trPr>
        <w:tc>
          <w:tcPr>
            <w:tcW w:w="2020" w:type="dxa"/>
            <w:tcBorders>
              <w:top w:val="nil"/>
              <w:left w:val="nil"/>
              <w:bottom w:val="nil"/>
              <w:right w:val="nil"/>
            </w:tcBorders>
            <w:shd w:val="clear" w:color="auto" w:fill="auto"/>
            <w:noWrap/>
            <w:vAlign w:val="bottom"/>
            <w:hideMark/>
          </w:tcPr>
          <w:p w:rsidR="00044642" w:rsidRPr="00CC749D" w:rsidRDefault="00044642" w:rsidP="00CC749D">
            <w:pPr>
              <w:spacing w:after="0" w:line="240" w:lineRule="auto"/>
              <w:rPr>
                <w:rFonts w:ascii="Calibri" w:eastAsia="Times New Roman" w:hAnsi="Calibri" w:cs="Times New Roman"/>
                <w:b/>
                <w:bCs/>
                <w:color w:val="000000"/>
                <w:lang w:eastAsia="en-AU"/>
              </w:rPr>
            </w:pPr>
            <w:r w:rsidRPr="00CC749D">
              <w:rPr>
                <w:rFonts w:ascii="Calibri" w:eastAsia="Times New Roman" w:hAnsi="Calibri" w:cs="Times New Roman"/>
                <w:b/>
                <w:bCs/>
                <w:color w:val="000000"/>
                <w:lang w:eastAsia="en-AU"/>
              </w:rPr>
              <w:t>Northern Territory</w:t>
            </w:r>
          </w:p>
        </w:tc>
        <w:tc>
          <w:tcPr>
            <w:tcW w:w="184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0.1</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0.0</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
                <w:bCs/>
                <w:color w:val="000000"/>
                <w:lang w:eastAsia="en-AU"/>
              </w:rPr>
            </w:pPr>
            <w:r w:rsidRPr="00044642">
              <w:rPr>
                <w:rFonts w:ascii="Calibri" w:eastAsia="Times New Roman" w:hAnsi="Calibri" w:cs="Times New Roman"/>
                <w:b/>
                <w:bCs/>
                <w:color w:val="000000"/>
                <w:lang w:eastAsia="en-AU"/>
              </w:rPr>
              <w:t>0.1</w:t>
            </w:r>
          </w:p>
        </w:tc>
      </w:tr>
      <w:tr w:rsidR="00044642" w:rsidRPr="00CC749D" w:rsidTr="00CC749D">
        <w:trPr>
          <w:trHeight w:val="300"/>
        </w:trPr>
        <w:tc>
          <w:tcPr>
            <w:tcW w:w="2020" w:type="dxa"/>
            <w:tcBorders>
              <w:top w:val="nil"/>
              <w:left w:val="nil"/>
              <w:bottom w:val="nil"/>
              <w:right w:val="nil"/>
            </w:tcBorders>
            <w:shd w:val="clear" w:color="auto" w:fill="auto"/>
            <w:noWrap/>
            <w:vAlign w:val="bottom"/>
            <w:hideMark/>
          </w:tcPr>
          <w:p w:rsidR="00044642" w:rsidRPr="00CC749D" w:rsidRDefault="00044642" w:rsidP="00CC749D">
            <w:pPr>
              <w:spacing w:after="0" w:line="240" w:lineRule="auto"/>
              <w:rPr>
                <w:rFonts w:ascii="Calibri" w:eastAsia="Times New Roman" w:hAnsi="Calibri" w:cs="Times New Roman"/>
                <w:b/>
                <w:bCs/>
                <w:color w:val="000000"/>
                <w:lang w:eastAsia="en-AU"/>
              </w:rPr>
            </w:pPr>
            <w:r w:rsidRPr="00CC749D">
              <w:rPr>
                <w:rFonts w:ascii="Calibri" w:eastAsia="Times New Roman" w:hAnsi="Calibri" w:cs="Times New Roman"/>
                <w:b/>
                <w:bCs/>
                <w:color w:val="000000"/>
                <w:lang w:eastAsia="en-AU"/>
              </w:rPr>
              <w:t>ACT</w:t>
            </w:r>
          </w:p>
        </w:tc>
        <w:tc>
          <w:tcPr>
            <w:tcW w:w="184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1.0</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0.0</w:t>
            </w:r>
          </w:p>
        </w:tc>
        <w:tc>
          <w:tcPr>
            <w:tcW w:w="1660" w:type="dxa"/>
            <w:tcBorders>
              <w:top w:val="nil"/>
              <w:left w:val="nil"/>
              <w:bottom w:val="nil"/>
              <w:right w:val="nil"/>
            </w:tcBorders>
            <w:shd w:val="clear" w:color="auto" w:fill="auto"/>
            <w:noWrap/>
            <w:vAlign w:val="bottom"/>
            <w:hideMark/>
          </w:tcPr>
          <w:p w:rsidR="00044642" w:rsidRPr="00044642" w:rsidRDefault="00044642" w:rsidP="00044642">
            <w:pPr>
              <w:spacing w:after="0" w:line="240" w:lineRule="auto"/>
              <w:jc w:val="right"/>
              <w:rPr>
                <w:rFonts w:ascii="Calibri" w:eastAsia="Times New Roman" w:hAnsi="Calibri" w:cs="Times New Roman"/>
                <w:b/>
                <w:bCs/>
                <w:color w:val="000000"/>
                <w:lang w:eastAsia="en-AU"/>
              </w:rPr>
            </w:pPr>
            <w:r w:rsidRPr="00044642">
              <w:rPr>
                <w:rFonts w:ascii="Calibri" w:eastAsia="Times New Roman" w:hAnsi="Calibri" w:cs="Times New Roman"/>
                <w:b/>
                <w:bCs/>
                <w:color w:val="000000"/>
                <w:lang w:eastAsia="en-AU"/>
              </w:rPr>
              <w:t>1.0</w:t>
            </w:r>
          </w:p>
        </w:tc>
      </w:tr>
      <w:tr w:rsidR="00044642" w:rsidRPr="00CC749D" w:rsidTr="00CC749D">
        <w:trPr>
          <w:trHeight w:val="315"/>
        </w:trPr>
        <w:tc>
          <w:tcPr>
            <w:tcW w:w="2020" w:type="dxa"/>
            <w:tcBorders>
              <w:top w:val="single" w:sz="4" w:space="0" w:color="0093D0"/>
              <w:left w:val="nil"/>
              <w:bottom w:val="single" w:sz="8" w:space="0" w:color="0093D0"/>
              <w:right w:val="nil"/>
            </w:tcBorders>
            <w:shd w:val="clear" w:color="000000" w:fill="DDEBF7"/>
            <w:noWrap/>
            <w:vAlign w:val="bottom"/>
            <w:hideMark/>
          </w:tcPr>
          <w:p w:rsidR="00044642" w:rsidRPr="00CC749D" w:rsidRDefault="00044642" w:rsidP="00CC749D">
            <w:pPr>
              <w:spacing w:after="0" w:line="240" w:lineRule="auto"/>
              <w:rPr>
                <w:rFonts w:ascii="Calibri" w:eastAsia="Times New Roman" w:hAnsi="Calibri" w:cs="Times New Roman"/>
                <w:b/>
                <w:bCs/>
                <w:color w:val="000000"/>
                <w:lang w:eastAsia="en-AU"/>
              </w:rPr>
            </w:pPr>
            <w:r w:rsidRPr="00CC749D">
              <w:rPr>
                <w:rFonts w:ascii="Calibri" w:eastAsia="Times New Roman" w:hAnsi="Calibri" w:cs="Times New Roman"/>
                <w:b/>
                <w:bCs/>
                <w:color w:val="000000"/>
                <w:lang w:eastAsia="en-AU"/>
              </w:rPr>
              <w:t>Australia</w:t>
            </w:r>
          </w:p>
        </w:tc>
        <w:tc>
          <w:tcPr>
            <w:tcW w:w="1840" w:type="dxa"/>
            <w:tcBorders>
              <w:top w:val="single" w:sz="4" w:space="0" w:color="0093D0"/>
              <w:left w:val="nil"/>
              <w:bottom w:val="single" w:sz="8" w:space="0" w:color="0093D0"/>
              <w:right w:val="nil"/>
            </w:tcBorders>
            <w:shd w:val="clear" w:color="000000" w:fill="DDEBF7"/>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183.9</w:t>
            </w:r>
          </w:p>
        </w:tc>
        <w:tc>
          <w:tcPr>
            <w:tcW w:w="1660" w:type="dxa"/>
            <w:tcBorders>
              <w:top w:val="single" w:sz="4" w:space="0" w:color="0093D0"/>
              <w:left w:val="nil"/>
              <w:bottom w:val="single" w:sz="8" w:space="0" w:color="0093D0"/>
              <w:right w:val="nil"/>
            </w:tcBorders>
            <w:shd w:val="clear" w:color="000000" w:fill="DDEBF7"/>
            <w:noWrap/>
            <w:vAlign w:val="bottom"/>
            <w:hideMark/>
          </w:tcPr>
          <w:p w:rsidR="00044642" w:rsidRPr="00044642" w:rsidRDefault="00044642" w:rsidP="00044642">
            <w:pPr>
              <w:spacing w:after="0" w:line="240" w:lineRule="auto"/>
              <w:jc w:val="right"/>
              <w:rPr>
                <w:rFonts w:ascii="Calibri" w:eastAsia="Times New Roman" w:hAnsi="Calibri" w:cs="Times New Roman"/>
                <w:bCs/>
                <w:color w:val="000000"/>
                <w:lang w:eastAsia="en-AU"/>
              </w:rPr>
            </w:pPr>
            <w:r w:rsidRPr="00044642">
              <w:rPr>
                <w:rFonts w:ascii="Calibri" w:eastAsia="Times New Roman" w:hAnsi="Calibri" w:cs="Times New Roman"/>
                <w:bCs/>
                <w:color w:val="000000"/>
                <w:lang w:eastAsia="en-AU"/>
              </w:rPr>
              <w:t>201.2</w:t>
            </w:r>
          </w:p>
        </w:tc>
        <w:tc>
          <w:tcPr>
            <w:tcW w:w="1660" w:type="dxa"/>
            <w:tcBorders>
              <w:top w:val="single" w:sz="4" w:space="0" w:color="0093D0"/>
              <w:left w:val="nil"/>
              <w:bottom w:val="single" w:sz="8" w:space="0" w:color="0093D0"/>
              <w:right w:val="nil"/>
            </w:tcBorders>
            <w:shd w:val="clear" w:color="000000" w:fill="DDEBF7"/>
            <w:noWrap/>
            <w:vAlign w:val="bottom"/>
            <w:hideMark/>
          </w:tcPr>
          <w:p w:rsidR="00044642" w:rsidRPr="00044642" w:rsidRDefault="00044642" w:rsidP="00044642">
            <w:pPr>
              <w:spacing w:after="0" w:line="240" w:lineRule="auto"/>
              <w:jc w:val="right"/>
              <w:rPr>
                <w:rFonts w:ascii="Calibri" w:eastAsia="Times New Roman" w:hAnsi="Calibri" w:cs="Times New Roman"/>
                <w:b/>
                <w:bCs/>
                <w:color w:val="000000"/>
                <w:lang w:eastAsia="en-AU"/>
              </w:rPr>
            </w:pPr>
            <w:r w:rsidRPr="00044642">
              <w:rPr>
                <w:rFonts w:ascii="Calibri" w:eastAsia="Times New Roman" w:hAnsi="Calibri" w:cs="Times New Roman"/>
                <w:b/>
                <w:bCs/>
                <w:color w:val="000000"/>
                <w:lang w:eastAsia="en-AU"/>
              </w:rPr>
              <w:t>385.1</w:t>
            </w:r>
          </w:p>
        </w:tc>
      </w:tr>
    </w:tbl>
    <w:p w:rsidR="009341B3" w:rsidRDefault="009341B3" w:rsidP="009341B3">
      <w:pPr>
        <w:pStyle w:val="MJAnormal"/>
        <w:rPr>
          <w:b/>
        </w:rPr>
      </w:pPr>
    </w:p>
    <w:p w:rsidR="009341B3" w:rsidRPr="00897CE5" w:rsidRDefault="009341B3" w:rsidP="00897CE5">
      <w:pPr>
        <w:pStyle w:val="MJAnormal"/>
        <w:rPr>
          <w:b/>
        </w:rPr>
      </w:pPr>
      <w:r>
        <w:rPr>
          <w:b/>
        </w:rPr>
        <w:t>C</w:t>
      </w:r>
      <w:r w:rsidRPr="00897CE5">
        <w:rPr>
          <w:b/>
        </w:rPr>
        <w:t>ompliance costs</w:t>
      </w:r>
    </w:p>
    <w:p w:rsidR="001F41E4" w:rsidRDefault="009341B3" w:rsidP="009341B3">
      <w:pPr>
        <w:pStyle w:val="MJAnormal"/>
      </w:pPr>
      <w:r>
        <w:t xml:space="preserve">While a significant proportion of direct market costs are likely to </w:t>
      </w:r>
      <w:r w:rsidR="004B6498">
        <w:t>be linked</w:t>
      </w:r>
      <w:r w:rsidR="008705F7">
        <w:t xml:space="preserve"> to </w:t>
      </w:r>
      <w:r>
        <w:t>industry compliance with government regulations, it is not feasible to precisely quantify the proportion of the costs that are compliance related or the significance of these costs to waste producing industries. All levies and fees are a compliance cost to industry.  Additionally, a significant proportion of the treatment, recycling and energy recovery costs are also likely to be compliance-related</w:t>
      </w:r>
      <w:r w:rsidR="001F41E4">
        <w:t>, linked to environmental, safety and dangerous goods regulations</w:t>
      </w:r>
      <w:r>
        <w:t xml:space="preserve">.  </w:t>
      </w:r>
    </w:p>
    <w:p w:rsidR="001F41E4" w:rsidRDefault="009341B3" w:rsidP="009341B3">
      <w:pPr>
        <w:pStyle w:val="MJAnormal"/>
      </w:pPr>
      <w:r>
        <w:t>As well, there are administrative costs associated with the transport, storage and disposal to landfill of hazardous waste.  These costs include permit application processes, record keeping and understanding of the relevant regulations</w:t>
      </w:r>
      <w:r w:rsidRPr="002236EE">
        <w:t>. As an indication, the RIS undertaken into Victorian hazardous industrial waste regulations (EPA Victoria 2009)</w:t>
      </w:r>
      <w:r>
        <w:t xml:space="preserve"> estimates that administrative costs represent about 15% of all industry regulatory costs of $137 million ($2008-09) covering treatment costs, recycling costs, levies and fees</w:t>
      </w:r>
      <w:r>
        <w:rPr>
          <w:rStyle w:val="FootnoteReference"/>
        </w:rPr>
        <w:footnoteReference w:id="1"/>
      </w:r>
      <w:r>
        <w:t xml:space="preserve">.  </w:t>
      </w:r>
    </w:p>
    <w:p w:rsidR="00C16A33" w:rsidRDefault="009341B3" w:rsidP="009341B3">
      <w:pPr>
        <w:pStyle w:val="MJAnormal"/>
      </w:pPr>
      <w:r>
        <w:t>These figures do not provide an indication o</w:t>
      </w:r>
      <w:r w:rsidR="00191C9C">
        <w:t>f how significant the compliance</w:t>
      </w:r>
      <w:r>
        <w:t xml:space="preserve"> costs are to waste producing industries however, </w:t>
      </w:r>
      <w:r w:rsidR="004A70C0">
        <w:t xml:space="preserve">in the context of their total </w:t>
      </w:r>
      <w:r>
        <w:t>costs. Previous analysis by Marsden Jacob for a state regulatory agency</w:t>
      </w:r>
      <w:r>
        <w:rPr>
          <w:rStyle w:val="FootnoteReference"/>
        </w:rPr>
        <w:footnoteReference w:id="2"/>
      </w:r>
      <w:r>
        <w:t xml:space="preserve"> though, indicates that the cost of landfill levies there, applied to hazardous wastes represent less than 0.35% of revenue for all industry categories and for most waste producing industry categories (4-digit ANZSIC classification) represent &lt;0.001-0.02% of revenue.  Taking these figures, together with all costs presented in this study, would suggest that for most hazardous waste producing industries, total hazardous waste compliance costs (including treatment, recycling, energy recovery, landfill levies, license fees and administrative costs) cost at most 0.01-0.2% of total revenue, with compliance costs on two or three industries producing large quantities of hazardous waste being up to a maximum of 1-3% of revenue</w:t>
      </w:r>
      <w:r>
        <w:rPr>
          <w:rStyle w:val="FootnoteReference"/>
        </w:rPr>
        <w:footnoteReference w:id="3"/>
      </w:r>
      <w:r>
        <w:t xml:space="preserve">.  </w:t>
      </w:r>
    </w:p>
    <w:p w:rsidR="009341B3" w:rsidRDefault="009341B3" w:rsidP="009341B3">
      <w:pPr>
        <w:pStyle w:val="MJAnormal"/>
      </w:pPr>
      <w:r>
        <w:t xml:space="preserve">   </w:t>
      </w:r>
    </w:p>
    <w:p w:rsidR="009341B3" w:rsidRDefault="009341B3" w:rsidP="00897CE5">
      <w:pPr>
        <w:pStyle w:val="MJAheading4"/>
      </w:pPr>
      <w:r>
        <w:lastRenderedPageBreak/>
        <w:t>Government and community costs</w:t>
      </w:r>
    </w:p>
    <w:p w:rsidR="009341B3" w:rsidRDefault="009341B3" w:rsidP="009341B3">
      <w:pPr>
        <w:pStyle w:val="MJAnormal"/>
      </w:pPr>
      <w:r>
        <w:t>The revenue from these fees and levies are the primary reason why governments have a negative cost from the management of hazardous wastes, with levy and fee revenue substantially outweighing their regulatory and administration costs.</w:t>
      </w:r>
    </w:p>
    <w:p w:rsidR="009341B3" w:rsidRDefault="009341B3" w:rsidP="009341B3">
      <w:pPr>
        <w:pStyle w:val="MJAnormal"/>
      </w:pPr>
      <w:r>
        <w:t xml:space="preserve">Costs to the community </w:t>
      </w:r>
      <w:r w:rsidR="00FB2A96">
        <w:t xml:space="preserve">(covering community groups and individuals) </w:t>
      </w:r>
      <w:r>
        <w:t xml:space="preserve">of hazardous wastes reflect residual landfill externality costs </w:t>
      </w:r>
      <w:r w:rsidR="004A70C0">
        <w:t xml:space="preserve">including greenhouse gas emissions </w:t>
      </w:r>
      <w:r>
        <w:t>plus costs associated with workplace-related injuries and illnesses (net of workers compensation which is assumed to be borne by industry).</w:t>
      </w:r>
    </w:p>
    <w:p w:rsidR="00757C4E" w:rsidRPr="00122C2B" w:rsidRDefault="008B697A" w:rsidP="00122C2B">
      <w:pPr>
        <w:pStyle w:val="MJAheading2"/>
        <w:ind w:hanging="720"/>
      </w:pPr>
      <w:bookmarkStart w:id="25" w:name="_Toc391729954"/>
      <w:r>
        <w:t>Cost projections</w:t>
      </w:r>
      <w:bookmarkEnd w:id="25"/>
    </w:p>
    <w:p w:rsidR="001109B3" w:rsidRDefault="00732F35" w:rsidP="0083449B">
      <w:pPr>
        <w:pStyle w:val="MJAnormal"/>
        <w:keepLines/>
      </w:pPr>
      <w:fldSimple w:instr=" REF _Ref391374023 \h  \* MERGEFORMAT ">
        <w:r w:rsidR="00D54C27" w:rsidRPr="00D54C27">
          <w:t>Table 9</w:t>
        </w:r>
      </w:fldSimple>
      <w:r w:rsidR="00967B7B" w:rsidRPr="0074666B">
        <w:t xml:space="preserve"> sets out hazardous waste cost projections to 2024.  </w:t>
      </w:r>
      <w:r w:rsidR="0074666B">
        <w:t>The costs of hazardous wastes in Australia are projected to increase from $2,</w:t>
      </w:r>
      <w:r w:rsidR="00326732">
        <w:t>417</w:t>
      </w:r>
      <w:r w:rsidR="00011DD9">
        <w:t xml:space="preserve"> million in 201</w:t>
      </w:r>
      <w:r w:rsidR="00326732">
        <w:t>2 to $2,588</w:t>
      </w:r>
      <w:r w:rsidR="0074666B">
        <w:t xml:space="preserve"> million in 2024, a growth of approximately </w:t>
      </w:r>
      <w:r w:rsidR="00285472">
        <w:t>7</w:t>
      </w:r>
      <w:r w:rsidR="0074666B">
        <w:t>% in real terms</w:t>
      </w:r>
      <w:r w:rsidR="00285472">
        <w:t xml:space="preserve"> or 0.5</w:t>
      </w:r>
      <w:r w:rsidR="00D1076A">
        <w:t>% per year</w:t>
      </w:r>
      <w:r w:rsidR="0074666B">
        <w:t>.</w:t>
      </w:r>
      <w:r w:rsidR="00D1076A">
        <w:t xml:space="preserve"> </w:t>
      </w:r>
      <w:r w:rsidR="005650AC">
        <w:t>T</w:t>
      </w:r>
      <w:r w:rsidR="001109B3">
        <w:t xml:space="preserve">he greatest </w:t>
      </w:r>
      <w:r w:rsidR="005650AC">
        <w:t xml:space="preserve">cost </w:t>
      </w:r>
      <w:r w:rsidR="001109B3">
        <w:t xml:space="preserve">growth in absolute terms </w:t>
      </w:r>
      <w:r w:rsidR="005650AC">
        <w:t>will be</w:t>
      </w:r>
      <w:r w:rsidR="001109B3">
        <w:t xml:space="preserve"> to direct market costs</w:t>
      </w:r>
      <w:r w:rsidR="005650AC">
        <w:t xml:space="preserve">, with these costs </w:t>
      </w:r>
      <w:r w:rsidR="001109B3">
        <w:t>be</w:t>
      </w:r>
      <w:r w:rsidR="005650AC">
        <w:t>ing</w:t>
      </w:r>
      <w:r w:rsidR="001109B3">
        <w:t xml:space="preserve"> driven principally by expected growth in the volume of hazardous wastes from 6.6 million tonnes in 2012 to 7.0 million tonnes in 2024, a growth of 6</w:t>
      </w:r>
      <w:r w:rsidR="00164E7B">
        <w:t>%. H</w:t>
      </w:r>
      <w:r w:rsidR="001109B3">
        <w:t>azardous wastes disposed to landfill (either directly or following treatment) are expected to grow from 3.2 million tonnes in 2012 to 3.4 million tonnes in 2024, a growth of 6%.</w:t>
      </w:r>
    </w:p>
    <w:p w:rsidR="00285472" w:rsidRDefault="00285472" w:rsidP="0083449B">
      <w:pPr>
        <w:pStyle w:val="MJAnormal"/>
        <w:keepLines/>
      </w:pPr>
      <w:r>
        <w:t xml:space="preserve">As explained further in Section </w:t>
      </w:r>
      <w:r w:rsidR="00732F35">
        <w:fldChar w:fldCharType="begin"/>
      </w:r>
      <w:r>
        <w:instrText xml:space="preserve"> REF _Ref391678765 \r \h </w:instrText>
      </w:r>
      <w:r w:rsidR="00732F35">
        <w:fldChar w:fldCharType="separate"/>
      </w:r>
      <w:r w:rsidR="00D54C27">
        <w:t>4.4</w:t>
      </w:r>
      <w:r w:rsidR="00732F35">
        <w:fldChar w:fldCharType="end"/>
      </w:r>
      <w:r>
        <w:t xml:space="preserve">, the absence of reliable time series data for hazardous wastes means that projections are highly uncertain. </w:t>
      </w:r>
      <w:r w:rsidR="001109B3">
        <w:t>Instead, p</w:t>
      </w:r>
      <w:r>
        <w:t>rojections were de</w:t>
      </w:r>
      <w:r w:rsidR="001109B3">
        <w:t>rived by</w:t>
      </w:r>
      <w:r>
        <w:t xml:space="preserve"> examining recent trends and projected future growth of the major hazardous waste producing industries and applying </w:t>
      </w:r>
      <w:r w:rsidR="001109B3">
        <w:t xml:space="preserve">growth rates for these industries </w:t>
      </w:r>
      <w:r>
        <w:t>to the major hazardous wastes in each of the jurisdictions</w:t>
      </w:r>
      <w:r w:rsidR="001109B3">
        <w:t xml:space="preserve"> on a weighted basis</w:t>
      </w:r>
      <w:r>
        <w:t xml:space="preserve">.  </w:t>
      </w:r>
      <w:r w:rsidR="005650AC" w:rsidRPr="005650AC">
        <w:t>The projected growth rate for direct market costs of 0.52% per annum reflects a quite complex picture. While some hazardous waste producing industries are experiencing significant growth, others have been experiencing a decline in output.  Overall, structural change to the Australian economy over the next few years seems likely to slow the growth of hazardous wastes and associated direct market costs</w:t>
      </w:r>
      <w:r w:rsidR="005650AC">
        <w:t>.</w:t>
      </w:r>
    </w:p>
    <w:p w:rsidR="001109B3" w:rsidRDefault="005650AC" w:rsidP="0083449B">
      <w:pPr>
        <w:pStyle w:val="MJAnormal"/>
        <w:keepLines/>
      </w:pPr>
      <w:r>
        <w:t>T</w:t>
      </w:r>
      <w:r w:rsidR="001109B3">
        <w:t>he</w:t>
      </w:r>
      <w:r w:rsidR="00FB2A96">
        <w:t xml:space="preserve"> proj</w:t>
      </w:r>
      <w:r w:rsidR="001109B3">
        <w:t>ected growth rate could well</w:t>
      </w:r>
      <w:r w:rsidR="00604B74">
        <w:t xml:space="preserve"> be conservative </w:t>
      </w:r>
      <w:r>
        <w:t>though</w:t>
      </w:r>
      <w:r w:rsidR="00BE084D">
        <w:t xml:space="preserve">. </w:t>
      </w:r>
      <w:r w:rsidR="001109B3">
        <w:t>This is because it does not take into account</w:t>
      </w:r>
      <w:r w:rsidR="00164E7B">
        <w:t xml:space="preserve"> the potential for</w:t>
      </w:r>
      <w:r w:rsidR="001109B3">
        <w:t>:</w:t>
      </w:r>
    </w:p>
    <w:p w:rsidR="001109B3" w:rsidRDefault="007500E3" w:rsidP="001109B3">
      <w:pPr>
        <w:pStyle w:val="MJAbulletnormal"/>
        <w:numPr>
          <w:ilvl w:val="0"/>
          <w:numId w:val="2"/>
        </w:numPr>
        <w:rPr>
          <w:szCs w:val="20"/>
        </w:rPr>
      </w:pPr>
      <w:r w:rsidRPr="001109B3">
        <w:rPr>
          <w:szCs w:val="20"/>
        </w:rPr>
        <w:t>tighter hazardous waste regulatory frameworks in jurisdictions leading, for example, to</w:t>
      </w:r>
      <w:r w:rsidR="00BE084D" w:rsidRPr="001109B3">
        <w:rPr>
          <w:szCs w:val="20"/>
        </w:rPr>
        <w:t xml:space="preserve"> </w:t>
      </w:r>
      <w:r w:rsidRPr="001109B3">
        <w:rPr>
          <w:szCs w:val="20"/>
        </w:rPr>
        <w:t>additional waste categories</w:t>
      </w:r>
      <w:r w:rsidR="00BE084D" w:rsidRPr="001109B3">
        <w:rPr>
          <w:szCs w:val="20"/>
        </w:rPr>
        <w:t xml:space="preserve"> </w:t>
      </w:r>
      <w:r w:rsidR="00164E7B">
        <w:rPr>
          <w:szCs w:val="20"/>
        </w:rPr>
        <w:t xml:space="preserve">being </w:t>
      </w:r>
      <w:r w:rsidR="00BE084D" w:rsidRPr="001109B3">
        <w:rPr>
          <w:szCs w:val="20"/>
        </w:rPr>
        <w:t xml:space="preserve">classified as </w:t>
      </w:r>
      <w:r w:rsidRPr="001109B3">
        <w:rPr>
          <w:szCs w:val="20"/>
        </w:rPr>
        <w:t>hazardous</w:t>
      </w:r>
      <w:r w:rsidR="001109B3">
        <w:rPr>
          <w:szCs w:val="20"/>
        </w:rPr>
        <w:t>;</w:t>
      </w:r>
    </w:p>
    <w:p w:rsidR="001109B3" w:rsidRDefault="001109B3" w:rsidP="001109B3">
      <w:pPr>
        <w:pStyle w:val="MJAbulletnormal"/>
        <w:numPr>
          <w:ilvl w:val="0"/>
          <w:numId w:val="2"/>
        </w:numPr>
        <w:rPr>
          <w:szCs w:val="20"/>
        </w:rPr>
      </w:pPr>
      <w:r>
        <w:rPr>
          <w:szCs w:val="20"/>
        </w:rPr>
        <w:t xml:space="preserve">higher </w:t>
      </w:r>
      <w:r w:rsidR="00164E7B">
        <w:rPr>
          <w:szCs w:val="20"/>
        </w:rPr>
        <w:t xml:space="preserve">real </w:t>
      </w:r>
      <w:r>
        <w:rPr>
          <w:szCs w:val="20"/>
        </w:rPr>
        <w:t>unit costs for existing</w:t>
      </w:r>
      <w:r w:rsidR="00164E7B">
        <w:rPr>
          <w:szCs w:val="20"/>
        </w:rPr>
        <w:t xml:space="preserve"> treatments, also linked to tighter regulations;</w:t>
      </w:r>
      <w:r>
        <w:rPr>
          <w:szCs w:val="20"/>
        </w:rPr>
        <w:t xml:space="preserve"> </w:t>
      </w:r>
    </w:p>
    <w:p w:rsidR="00A1798D" w:rsidRPr="001109B3" w:rsidRDefault="00BE084D" w:rsidP="001109B3">
      <w:pPr>
        <w:pStyle w:val="MJAbulletnormal"/>
        <w:numPr>
          <w:ilvl w:val="0"/>
          <w:numId w:val="2"/>
        </w:numPr>
        <w:rPr>
          <w:szCs w:val="20"/>
        </w:rPr>
      </w:pPr>
      <w:proofErr w:type="gramStart"/>
      <w:r w:rsidRPr="001109B3">
        <w:rPr>
          <w:szCs w:val="20"/>
        </w:rPr>
        <w:t>change</w:t>
      </w:r>
      <w:proofErr w:type="gramEnd"/>
      <w:r w:rsidRPr="001109B3">
        <w:rPr>
          <w:szCs w:val="20"/>
        </w:rPr>
        <w:t xml:space="preserve"> in the destinations of hazardous </w:t>
      </w:r>
      <w:r w:rsidR="001109B3">
        <w:rPr>
          <w:szCs w:val="20"/>
        </w:rPr>
        <w:t xml:space="preserve">wastes </w:t>
      </w:r>
      <w:r w:rsidRPr="001109B3">
        <w:rPr>
          <w:szCs w:val="20"/>
        </w:rPr>
        <w:t xml:space="preserve">to more costly treatments. </w:t>
      </w:r>
    </w:p>
    <w:p w:rsidR="00122C2B" w:rsidRDefault="006D5BCB" w:rsidP="0083449B">
      <w:pPr>
        <w:pStyle w:val="MJAnormal"/>
        <w:keepLines/>
      </w:pPr>
      <w:r>
        <w:t xml:space="preserve">The greatest </w:t>
      </w:r>
      <w:r w:rsidR="00164E7B">
        <w:t xml:space="preserve">growth </w:t>
      </w:r>
      <w:r w:rsidR="004D6DA1">
        <w:t xml:space="preserve">in hazardous waste costs </w:t>
      </w:r>
      <w:r w:rsidR="00164E7B">
        <w:t xml:space="preserve">in absolute terms is expected to occur in </w:t>
      </w:r>
      <w:r>
        <w:t xml:space="preserve">Queensland </w:t>
      </w:r>
      <w:r w:rsidR="00164E7B">
        <w:t>($55 million) and NSW ($34 million)</w:t>
      </w:r>
      <w:r w:rsidR="004D6DA1">
        <w:t>, with</w:t>
      </w:r>
      <w:r w:rsidR="00164E7B">
        <w:t xml:space="preserve"> the greatest rates of growth being in </w:t>
      </w:r>
      <w:r w:rsidR="00164E7B" w:rsidRPr="00164E7B">
        <w:t xml:space="preserve">Queensland, South Australia and Tasmania (see </w:t>
      </w:r>
      <w:fldSimple w:instr=" REF _Ref391648359 \h  \* MERGEFORMAT ">
        <w:r w:rsidR="00D54C27" w:rsidRPr="00D54C27">
          <w:t>Figure 4</w:t>
        </w:r>
      </w:fldSimple>
      <w:r w:rsidR="00164E7B" w:rsidRPr="00164E7B">
        <w:t>)</w:t>
      </w:r>
      <w:r w:rsidR="0053332F" w:rsidRPr="00164E7B">
        <w:t>.</w:t>
      </w:r>
    </w:p>
    <w:p w:rsidR="00766479" w:rsidRDefault="009863E8" w:rsidP="0083449B">
      <w:pPr>
        <w:pStyle w:val="MJAnormal"/>
        <w:keepLines/>
      </w:pPr>
      <w:r>
        <w:t>Based on these hazardous waste cost projections, the present value of hazardous wastes costs over the years 201</w:t>
      </w:r>
      <w:r w:rsidR="00A953C5">
        <w:t>2 to 2020 is estimated to be $17,194</w:t>
      </w:r>
      <w:r>
        <w:t xml:space="preserve"> million, assuming a discount rate of 7%.  This period covers the delivery timeframe of the </w:t>
      </w:r>
      <w:r w:rsidRPr="006F5657">
        <w:t xml:space="preserve">National Waste Policy.  </w:t>
      </w:r>
      <w:r w:rsidR="00766479">
        <w:t>Assumed discount rates of 10% and 3% give present value</w:t>
      </w:r>
      <w:r w:rsidR="00766479" w:rsidRPr="006F5657">
        <w:t xml:space="preserve"> </w:t>
      </w:r>
      <w:r w:rsidR="00A953C5">
        <w:t>cost estimates of $15,609</w:t>
      </w:r>
      <w:r w:rsidR="00766479">
        <w:t xml:space="preserve"> million and </w:t>
      </w:r>
      <w:r w:rsidR="00A953C5">
        <w:t>19,808</w:t>
      </w:r>
      <w:r w:rsidR="00766479" w:rsidRPr="00766479">
        <w:t xml:space="preserve"> </w:t>
      </w:r>
      <w:r w:rsidR="00766479">
        <w:t xml:space="preserve">million respectively. </w:t>
      </w:r>
    </w:p>
    <w:p w:rsidR="00C16A33" w:rsidRDefault="009863E8" w:rsidP="0083449B">
      <w:pPr>
        <w:pStyle w:val="MJAnormal"/>
        <w:keepLines/>
      </w:pPr>
      <w:r w:rsidRPr="006F5657">
        <w:t xml:space="preserve">The present value of hazardous wastes </w:t>
      </w:r>
      <w:r w:rsidR="0053332F">
        <w:t xml:space="preserve">costs </w:t>
      </w:r>
      <w:r w:rsidR="00A953C5">
        <w:t>to 2024 is 22</w:t>
      </w:r>
      <w:r w:rsidRPr="006F5657">
        <w:t>,</w:t>
      </w:r>
      <w:r w:rsidR="00A953C5">
        <w:t>263</w:t>
      </w:r>
      <w:r w:rsidRPr="006F5657">
        <w:t xml:space="preserve"> million dollars </w:t>
      </w:r>
      <w:r w:rsidR="00766479">
        <w:t xml:space="preserve">assuming a 7% discount rate </w:t>
      </w:r>
      <w:r w:rsidRPr="006F5657">
        <w:t>(</w:t>
      </w:r>
      <w:fldSimple w:instr=" REF _Ref391379641 \h  \* MERGEFORMAT ">
        <w:r w:rsidR="00D54C27" w:rsidRPr="00D54C27">
          <w:t>Table 10</w:t>
        </w:r>
      </w:fldSimple>
      <w:r w:rsidRPr="006F5657">
        <w:t>).</w:t>
      </w:r>
      <w:r w:rsidR="00766479">
        <w:t xml:space="preserve"> </w:t>
      </w:r>
    </w:p>
    <w:p w:rsidR="00F406C4" w:rsidRPr="00E90435" w:rsidRDefault="00766479" w:rsidP="0083449B">
      <w:pPr>
        <w:pStyle w:val="MJAnormal"/>
        <w:keepLines/>
      </w:pPr>
      <w:r>
        <w:t xml:space="preserve"> </w:t>
      </w:r>
    </w:p>
    <w:p w:rsidR="00122C2B" w:rsidRDefault="00122C2B" w:rsidP="00122C2B">
      <w:pPr>
        <w:keepNext/>
        <w:keepLines/>
        <w:spacing w:before="120" w:after="120" w:line="240" w:lineRule="auto"/>
        <w:rPr>
          <w:rFonts w:ascii="Calibri" w:eastAsia="Times New Roman" w:hAnsi="Calibri" w:cs="Calibri"/>
          <w:b/>
          <w:bCs/>
          <w:sz w:val="20"/>
          <w:szCs w:val="20"/>
          <w:lang w:eastAsia="en-AU"/>
        </w:rPr>
      </w:pPr>
      <w:bookmarkStart w:id="26" w:name="_Ref391648359"/>
      <w:r w:rsidRPr="00EA2A07">
        <w:rPr>
          <w:b/>
          <w:bCs/>
          <w:sz w:val="20"/>
          <w:szCs w:val="20"/>
        </w:rPr>
        <w:lastRenderedPageBreak/>
        <w:t xml:space="preserve">Figure </w:t>
      </w:r>
      <w:r w:rsidR="00732F35" w:rsidRPr="00EA2A07">
        <w:rPr>
          <w:b/>
          <w:bCs/>
          <w:sz w:val="20"/>
          <w:szCs w:val="20"/>
        </w:rPr>
        <w:fldChar w:fldCharType="begin"/>
      </w:r>
      <w:r w:rsidRPr="00EA2A07">
        <w:rPr>
          <w:b/>
          <w:bCs/>
          <w:sz w:val="20"/>
          <w:szCs w:val="20"/>
        </w:rPr>
        <w:instrText xml:space="preserve"> SEQ Figure \* ARABIC </w:instrText>
      </w:r>
      <w:r w:rsidR="00732F35" w:rsidRPr="00EA2A07">
        <w:rPr>
          <w:b/>
          <w:bCs/>
          <w:sz w:val="20"/>
          <w:szCs w:val="20"/>
        </w:rPr>
        <w:fldChar w:fldCharType="separate"/>
      </w:r>
      <w:r w:rsidR="00D54C27">
        <w:rPr>
          <w:b/>
          <w:bCs/>
          <w:noProof/>
          <w:sz w:val="20"/>
          <w:szCs w:val="20"/>
        </w:rPr>
        <w:t>4</w:t>
      </w:r>
      <w:r w:rsidR="00732F35" w:rsidRPr="00EA2A07">
        <w:rPr>
          <w:b/>
          <w:bCs/>
          <w:sz w:val="20"/>
          <w:szCs w:val="20"/>
        </w:rPr>
        <w:fldChar w:fldCharType="end"/>
      </w:r>
      <w:bookmarkEnd w:id="26"/>
      <w:r>
        <w:rPr>
          <w:b/>
          <w:bCs/>
          <w:sz w:val="20"/>
          <w:szCs w:val="20"/>
        </w:rPr>
        <w:t>: Projected g</w:t>
      </w:r>
      <w:r w:rsidR="00CD7DC9">
        <w:rPr>
          <w:b/>
          <w:bCs/>
          <w:sz w:val="20"/>
          <w:szCs w:val="20"/>
        </w:rPr>
        <w:t xml:space="preserve">rowth in total </w:t>
      </w:r>
      <w:r>
        <w:rPr>
          <w:b/>
          <w:bCs/>
          <w:sz w:val="20"/>
          <w:szCs w:val="20"/>
        </w:rPr>
        <w:t xml:space="preserve">costs </w:t>
      </w:r>
      <w:r>
        <w:rPr>
          <w:rFonts w:ascii="Calibri" w:eastAsia="Times New Roman" w:hAnsi="Calibri" w:cs="Calibri"/>
          <w:b/>
          <w:bCs/>
          <w:sz w:val="20"/>
          <w:szCs w:val="20"/>
          <w:lang w:eastAsia="en-AU"/>
        </w:rPr>
        <w:t>of hazardous wastes, by jurisdiction ($ million, real values)</w:t>
      </w:r>
    </w:p>
    <w:p w:rsidR="00122C2B" w:rsidRDefault="000A69CA" w:rsidP="00122C2B">
      <w:pPr>
        <w:keepNext/>
        <w:keepLines/>
        <w:spacing w:before="120" w:after="120" w:line="240" w:lineRule="auto"/>
        <w:rPr>
          <w:rFonts w:ascii="Calibri" w:eastAsia="Times New Roman" w:hAnsi="Calibri" w:cs="Calibri"/>
          <w:b/>
          <w:bCs/>
          <w:sz w:val="20"/>
          <w:szCs w:val="20"/>
          <w:lang w:eastAsia="en-AU"/>
        </w:rPr>
      </w:pPr>
      <w:r>
        <w:rPr>
          <w:noProof/>
          <w:lang w:eastAsia="en-AU"/>
        </w:rPr>
        <w:drawing>
          <wp:inline distT="0" distB="0" distL="0" distR="0">
            <wp:extent cx="5400040" cy="2707520"/>
            <wp:effectExtent l="0" t="0" r="10160" b="171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449B" w:rsidRDefault="0083449B" w:rsidP="006F5657">
      <w:pPr>
        <w:pStyle w:val="MJAnormal"/>
        <w:keepLines/>
        <w:sectPr w:rsidR="0083449B" w:rsidSect="00EB41EE">
          <w:headerReference w:type="default" r:id="rId21"/>
          <w:footerReference w:type="default" r:id="rId22"/>
          <w:pgSz w:w="11906" w:h="16838" w:code="9"/>
          <w:pgMar w:top="1701" w:right="1134" w:bottom="1021" w:left="2268" w:header="680" w:footer="113" w:gutter="0"/>
          <w:cols w:space="708"/>
          <w:docGrid w:linePitch="360"/>
        </w:sectPr>
      </w:pPr>
    </w:p>
    <w:p w:rsidR="00122C2B" w:rsidRDefault="00967B7B" w:rsidP="00967B7B">
      <w:pPr>
        <w:keepNext/>
        <w:keepLines/>
        <w:spacing w:before="120" w:after="120" w:line="240" w:lineRule="auto"/>
        <w:rPr>
          <w:rFonts w:ascii="Calibri" w:eastAsia="Times New Roman" w:hAnsi="Calibri" w:cs="Calibri"/>
          <w:b/>
          <w:bCs/>
          <w:sz w:val="20"/>
          <w:szCs w:val="20"/>
          <w:lang w:eastAsia="en-AU"/>
        </w:rPr>
      </w:pPr>
      <w:bookmarkStart w:id="27" w:name="_Ref391374023"/>
      <w:r w:rsidRPr="00F6696F">
        <w:rPr>
          <w:rFonts w:ascii="Calibri" w:eastAsia="Times New Roman" w:hAnsi="Calibri" w:cs="Calibri"/>
          <w:b/>
          <w:bCs/>
          <w:sz w:val="20"/>
          <w:szCs w:val="20"/>
          <w:lang w:eastAsia="en-AU"/>
        </w:rPr>
        <w:lastRenderedPageBreak/>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9</w:t>
      </w:r>
      <w:r w:rsidR="00732F35" w:rsidRPr="00F6696F">
        <w:rPr>
          <w:rFonts w:ascii="Calibri" w:eastAsia="Times New Roman" w:hAnsi="Calibri" w:cs="Calibri"/>
          <w:b/>
          <w:bCs/>
          <w:sz w:val="20"/>
          <w:szCs w:val="20"/>
          <w:lang w:eastAsia="en-AU"/>
        </w:rPr>
        <w:fldChar w:fldCharType="end"/>
      </w:r>
      <w:bookmarkEnd w:id="27"/>
      <w:r w:rsidRPr="00F6696F">
        <w:rPr>
          <w:rFonts w:ascii="Calibri" w:eastAsia="Times New Roman" w:hAnsi="Calibri" w:cs="Calibri"/>
          <w:b/>
          <w:bCs/>
          <w:sz w:val="20"/>
          <w:szCs w:val="20"/>
          <w:lang w:eastAsia="en-AU"/>
        </w:rPr>
        <w:t xml:space="preserve">:  </w:t>
      </w:r>
      <w:r>
        <w:rPr>
          <w:rFonts w:ascii="Calibri" w:eastAsia="Times New Roman" w:hAnsi="Calibri" w:cs="Calibri"/>
          <w:b/>
          <w:bCs/>
          <w:sz w:val="20"/>
          <w:szCs w:val="20"/>
          <w:lang w:eastAsia="en-AU"/>
        </w:rPr>
        <w:t xml:space="preserve"> </w:t>
      </w:r>
      <w:r>
        <w:rPr>
          <w:b/>
          <w:bCs/>
          <w:sz w:val="20"/>
          <w:szCs w:val="20"/>
        </w:rPr>
        <w:t xml:space="preserve">Projected growth in the costs </w:t>
      </w:r>
      <w:r>
        <w:rPr>
          <w:rFonts w:ascii="Calibri" w:eastAsia="Times New Roman" w:hAnsi="Calibri" w:cs="Calibri"/>
          <w:b/>
          <w:bCs/>
          <w:sz w:val="20"/>
          <w:szCs w:val="20"/>
          <w:lang w:eastAsia="en-AU"/>
        </w:rPr>
        <w:t xml:space="preserve">of hazardous wastes ($ million, </w:t>
      </w:r>
      <w:r w:rsidR="0015202E">
        <w:rPr>
          <w:rFonts w:ascii="Calibri" w:eastAsia="Times New Roman" w:hAnsi="Calibri" w:cs="Calibri"/>
          <w:b/>
          <w:bCs/>
          <w:sz w:val="20"/>
          <w:szCs w:val="20"/>
          <w:lang w:eastAsia="en-AU"/>
        </w:rPr>
        <w:t>real values</w:t>
      </w:r>
      <w:r>
        <w:rPr>
          <w:rFonts w:ascii="Calibri" w:eastAsia="Times New Roman" w:hAnsi="Calibri" w:cs="Calibri"/>
          <w:b/>
          <w:bCs/>
          <w:sz w:val="20"/>
          <w:szCs w:val="20"/>
          <w:lang w:eastAsia="en-AU"/>
        </w:rPr>
        <w:t>)</w:t>
      </w:r>
    </w:p>
    <w:tbl>
      <w:tblPr>
        <w:tblW w:w="5000" w:type="pct"/>
        <w:tblLook w:val="04A0"/>
      </w:tblPr>
      <w:tblGrid>
        <w:gridCol w:w="1692"/>
        <w:gridCol w:w="993"/>
        <w:gridCol w:w="1056"/>
        <w:gridCol w:w="1024"/>
        <w:gridCol w:w="1024"/>
        <w:gridCol w:w="1056"/>
        <w:gridCol w:w="1088"/>
        <w:gridCol w:w="898"/>
        <w:gridCol w:w="898"/>
        <w:gridCol w:w="898"/>
        <w:gridCol w:w="898"/>
        <w:gridCol w:w="898"/>
        <w:gridCol w:w="898"/>
        <w:gridCol w:w="898"/>
      </w:tblGrid>
      <w:tr w:rsidR="007C4E03" w:rsidRPr="007C4E03" w:rsidTr="00472FCA">
        <w:trPr>
          <w:trHeight w:val="300"/>
        </w:trPr>
        <w:tc>
          <w:tcPr>
            <w:tcW w:w="595"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rPr>
                <w:rFonts w:ascii="Calibri" w:eastAsia="Times New Roman" w:hAnsi="Calibri" w:cs="Times New Roman"/>
                <w:b/>
                <w:bCs/>
                <w:color w:val="FFFFFF"/>
                <w:lang w:eastAsia="en-AU"/>
              </w:rPr>
            </w:pPr>
          </w:p>
        </w:tc>
        <w:tc>
          <w:tcPr>
            <w:tcW w:w="349"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jc w:val="right"/>
              <w:rPr>
                <w:rFonts w:ascii="Calibri" w:eastAsia="Times New Roman" w:hAnsi="Calibri" w:cs="Times New Roman"/>
                <w:b/>
                <w:bCs/>
                <w:color w:val="FFFFFF"/>
                <w:lang w:eastAsia="en-AU"/>
              </w:rPr>
            </w:pPr>
            <w:r w:rsidRPr="007C4E03">
              <w:rPr>
                <w:rFonts w:ascii="Calibri" w:eastAsia="Times New Roman" w:hAnsi="Calibri" w:cs="Times New Roman"/>
                <w:b/>
                <w:bCs/>
                <w:color w:val="FFFFFF"/>
                <w:lang w:eastAsia="en-AU"/>
              </w:rPr>
              <w:t>2012</w:t>
            </w:r>
          </w:p>
        </w:tc>
        <w:tc>
          <w:tcPr>
            <w:tcW w:w="371"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jc w:val="right"/>
              <w:rPr>
                <w:rFonts w:ascii="Calibri" w:eastAsia="Times New Roman" w:hAnsi="Calibri" w:cs="Times New Roman"/>
                <w:b/>
                <w:bCs/>
                <w:color w:val="FFFFFF"/>
                <w:lang w:eastAsia="en-AU"/>
              </w:rPr>
            </w:pPr>
            <w:r w:rsidRPr="007C4E03">
              <w:rPr>
                <w:rFonts w:ascii="Calibri" w:eastAsia="Times New Roman" w:hAnsi="Calibri" w:cs="Times New Roman"/>
                <w:b/>
                <w:bCs/>
                <w:color w:val="FFFFFF"/>
                <w:lang w:eastAsia="en-AU"/>
              </w:rPr>
              <w:t>2013</w:t>
            </w:r>
          </w:p>
        </w:tc>
        <w:tc>
          <w:tcPr>
            <w:tcW w:w="360"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jc w:val="right"/>
              <w:rPr>
                <w:rFonts w:ascii="Calibri" w:eastAsia="Times New Roman" w:hAnsi="Calibri" w:cs="Times New Roman"/>
                <w:b/>
                <w:bCs/>
                <w:color w:val="FFFFFF"/>
                <w:lang w:eastAsia="en-AU"/>
              </w:rPr>
            </w:pPr>
            <w:r w:rsidRPr="007C4E03">
              <w:rPr>
                <w:rFonts w:ascii="Calibri" w:eastAsia="Times New Roman" w:hAnsi="Calibri" w:cs="Times New Roman"/>
                <w:b/>
                <w:bCs/>
                <w:color w:val="FFFFFF"/>
                <w:lang w:eastAsia="en-AU"/>
              </w:rPr>
              <w:t>2014</w:t>
            </w:r>
          </w:p>
        </w:tc>
        <w:tc>
          <w:tcPr>
            <w:tcW w:w="360"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jc w:val="right"/>
              <w:rPr>
                <w:rFonts w:ascii="Calibri" w:eastAsia="Times New Roman" w:hAnsi="Calibri" w:cs="Times New Roman"/>
                <w:b/>
                <w:bCs/>
                <w:color w:val="FFFFFF"/>
                <w:lang w:eastAsia="en-AU"/>
              </w:rPr>
            </w:pPr>
            <w:r w:rsidRPr="007C4E03">
              <w:rPr>
                <w:rFonts w:ascii="Calibri" w:eastAsia="Times New Roman" w:hAnsi="Calibri" w:cs="Times New Roman"/>
                <w:b/>
                <w:bCs/>
                <w:color w:val="FFFFFF"/>
                <w:lang w:eastAsia="en-AU"/>
              </w:rPr>
              <w:t>2015</w:t>
            </w:r>
          </w:p>
        </w:tc>
        <w:tc>
          <w:tcPr>
            <w:tcW w:w="371"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jc w:val="right"/>
              <w:rPr>
                <w:rFonts w:ascii="Calibri" w:eastAsia="Times New Roman" w:hAnsi="Calibri" w:cs="Times New Roman"/>
                <w:b/>
                <w:bCs/>
                <w:color w:val="FFFFFF"/>
                <w:lang w:eastAsia="en-AU"/>
              </w:rPr>
            </w:pPr>
            <w:r w:rsidRPr="007C4E03">
              <w:rPr>
                <w:rFonts w:ascii="Calibri" w:eastAsia="Times New Roman" w:hAnsi="Calibri" w:cs="Times New Roman"/>
                <w:b/>
                <w:bCs/>
                <w:color w:val="FFFFFF"/>
                <w:lang w:eastAsia="en-AU"/>
              </w:rPr>
              <w:t>2016</w:t>
            </w:r>
          </w:p>
        </w:tc>
        <w:tc>
          <w:tcPr>
            <w:tcW w:w="383"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jc w:val="right"/>
              <w:rPr>
                <w:rFonts w:ascii="Calibri" w:eastAsia="Times New Roman" w:hAnsi="Calibri" w:cs="Times New Roman"/>
                <w:b/>
                <w:bCs/>
                <w:color w:val="FFFFFF"/>
                <w:lang w:eastAsia="en-AU"/>
              </w:rPr>
            </w:pPr>
            <w:r w:rsidRPr="007C4E03">
              <w:rPr>
                <w:rFonts w:ascii="Calibri" w:eastAsia="Times New Roman" w:hAnsi="Calibri" w:cs="Times New Roman"/>
                <w:b/>
                <w:bCs/>
                <w:color w:val="FFFFFF"/>
                <w:lang w:eastAsia="en-AU"/>
              </w:rPr>
              <w:t>2017</w:t>
            </w:r>
          </w:p>
        </w:tc>
        <w:tc>
          <w:tcPr>
            <w:tcW w:w="316"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jc w:val="right"/>
              <w:rPr>
                <w:rFonts w:ascii="Calibri" w:eastAsia="Times New Roman" w:hAnsi="Calibri" w:cs="Times New Roman"/>
                <w:b/>
                <w:bCs/>
                <w:color w:val="FFFFFF"/>
                <w:lang w:eastAsia="en-AU"/>
              </w:rPr>
            </w:pPr>
            <w:r w:rsidRPr="007C4E03">
              <w:rPr>
                <w:rFonts w:ascii="Calibri" w:eastAsia="Times New Roman" w:hAnsi="Calibri" w:cs="Times New Roman"/>
                <w:b/>
                <w:bCs/>
                <w:color w:val="FFFFFF"/>
                <w:lang w:eastAsia="en-AU"/>
              </w:rPr>
              <w:t>2018</w:t>
            </w:r>
          </w:p>
        </w:tc>
        <w:tc>
          <w:tcPr>
            <w:tcW w:w="316"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jc w:val="right"/>
              <w:rPr>
                <w:rFonts w:ascii="Calibri" w:eastAsia="Times New Roman" w:hAnsi="Calibri" w:cs="Times New Roman"/>
                <w:b/>
                <w:bCs/>
                <w:color w:val="FFFFFF"/>
                <w:lang w:eastAsia="en-AU"/>
              </w:rPr>
            </w:pPr>
            <w:r w:rsidRPr="007C4E03">
              <w:rPr>
                <w:rFonts w:ascii="Calibri" w:eastAsia="Times New Roman" w:hAnsi="Calibri" w:cs="Times New Roman"/>
                <w:b/>
                <w:bCs/>
                <w:color w:val="FFFFFF"/>
                <w:lang w:eastAsia="en-AU"/>
              </w:rPr>
              <w:t>2019</w:t>
            </w:r>
          </w:p>
        </w:tc>
        <w:tc>
          <w:tcPr>
            <w:tcW w:w="316"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jc w:val="right"/>
              <w:rPr>
                <w:rFonts w:ascii="Calibri" w:eastAsia="Times New Roman" w:hAnsi="Calibri" w:cs="Times New Roman"/>
                <w:b/>
                <w:bCs/>
                <w:color w:val="FFFFFF"/>
                <w:lang w:eastAsia="en-AU"/>
              </w:rPr>
            </w:pPr>
            <w:r w:rsidRPr="007C4E03">
              <w:rPr>
                <w:rFonts w:ascii="Calibri" w:eastAsia="Times New Roman" w:hAnsi="Calibri" w:cs="Times New Roman"/>
                <w:b/>
                <w:bCs/>
                <w:color w:val="FFFFFF"/>
                <w:lang w:eastAsia="en-AU"/>
              </w:rPr>
              <w:t>2020</w:t>
            </w:r>
          </w:p>
        </w:tc>
        <w:tc>
          <w:tcPr>
            <w:tcW w:w="316"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jc w:val="right"/>
              <w:rPr>
                <w:rFonts w:ascii="Calibri" w:eastAsia="Times New Roman" w:hAnsi="Calibri" w:cs="Times New Roman"/>
                <w:b/>
                <w:bCs/>
                <w:color w:val="FFFFFF"/>
                <w:lang w:eastAsia="en-AU"/>
              </w:rPr>
            </w:pPr>
            <w:r w:rsidRPr="007C4E03">
              <w:rPr>
                <w:rFonts w:ascii="Calibri" w:eastAsia="Times New Roman" w:hAnsi="Calibri" w:cs="Times New Roman"/>
                <w:b/>
                <w:bCs/>
                <w:color w:val="FFFFFF"/>
                <w:lang w:eastAsia="en-AU"/>
              </w:rPr>
              <w:t>2021</w:t>
            </w:r>
          </w:p>
        </w:tc>
        <w:tc>
          <w:tcPr>
            <w:tcW w:w="316"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jc w:val="right"/>
              <w:rPr>
                <w:rFonts w:ascii="Calibri" w:eastAsia="Times New Roman" w:hAnsi="Calibri" w:cs="Times New Roman"/>
                <w:b/>
                <w:bCs/>
                <w:color w:val="FFFFFF"/>
                <w:lang w:eastAsia="en-AU"/>
              </w:rPr>
            </w:pPr>
            <w:r w:rsidRPr="007C4E03">
              <w:rPr>
                <w:rFonts w:ascii="Calibri" w:eastAsia="Times New Roman" w:hAnsi="Calibri" w:cs="Times New Roman"/>
                <w:b/>
                <w:bCs/>
                <w:color w:val="FFFFFF"/>
                <w:lang w:eastAsia="en-AU"/>
              </w:rPr>
              <w:t>2022</w:t>
            </w:r>
          </w:p>
        </w:tc>
        <w:tc>
          <w:tcPr>
            <w:tcW w:w="316"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jc w:val="right"/>
              <w:rPr>
                <w:rFonts w:ascii="Calibri" w:eastAsia="Times New Roman" w:hAnsi="Calibri" w:cs="Times New Roman"/>
                <w:b/>
                <w:bCs/>
                <w:color w:val="FFFFFF"/>
                <w:lang w:eastAsia="en-AU"/>
              </w:rPr>
            </w:pPr>
            <w:r w:rsidRPr="007C4E03">
              <w:rPr>
                <w:rFonts w:ascii="Calibri" w:eastAsia="Times New Roman" w:hAnsi="Calibri" w:cs="Times New Roman"/>
                <w:b/>
                <w:bCs/>
                <w:color w:val="FFFFFF"/>
                <w:lang w:eastAsia="en-AU"/>
              </w:rPr>
              <w:t>2023</w:t>
            </w:r>
          </w:p>
        </w:tc>
        <w:tc>
          <w:tcPr>
            <w:tcW w:w="316" w:type="pct"/>
            <w:tcBorders>
              <w:top w:val="nil"/>
              <w:left w:val="nil"/>
              <w:bottom w:val="nil"/>
              <w:right w:val="nil"/>
            </w:tcBorders>
            <w:shd w:val="clear" w:color="000000" w:fill="0093D0"/>
            <w:noWrap/>
            <w:vAlign w:val="bottom"/>
            <w:hideMark/>
          </w:tcPr>
          <w:p w:rsidR="007C4E03" w:rsidRPr="007C4E03" w:rsidRDefault="007C4E03" w:rsidP="007C4E03">
            <w:pPr>
              <w:spacing w:after="0" w:line="240" w:lineRule="auto"/>
              <w:jc w:val="right"/>
              <w:rPr>
                <w:rFonts w:ascii="Calibri" w:eastAsia="Times New Roman" w:hAnsi="Calibri" w:cs="Times New Roman"/>
                <w:b/>
                <w:bCs/>
                <w:color w:val="FFFFFF"/>
                <w:lang w:eastAsia="en-AU"/>
              </w:rPr>
            </w:pPr>
            <w:r w:rsidRPr="007C4E03">
              <w:rPr>
                <w:rFonts w:ascii="Calibri" w:eastAsia="Times New Roman" w:hAnsi="Calibri" w:cs="Times New Roman"/>
                <w:b/>
                <w:bCs/>
                <w:color w:val="FFFFFF"/>
                <w:lang w:eastAsia="en-AU"/>
              </w:rPr>
              <w:t>2024</w:t>
            </w:r>
          </w:p>
        </w:tc>
      </w:tr>
      <w:tr w:rsidR="00472FCA" w:rsidRPr="007C4E03" w:rsidTr="00472FCA">
        <w:trPr>
          <w:trHeight w:val="300"/>
        </w:trPr>
        <w:tc>
          <w:tcPr>
            <w:tcW w:w="595" w:type="pct"/>
            <w:tcBorders>
              <w:top w:val="nil"/>
              <w:left w:val="nil"/>
              <w:bottom w:val="nil"/>
              <w:right w:val="nil"/>
            </w:tcBorders>
            <w:shd w:val="clear" w:color="auto" w:fill="auto"/>
            <w:noWrap/>
            <w:vAlign w:val="bottom"/>
            <w:hideMark/>
          </w:tcPr>
          <w:p w:rsidR="00472FCA" w:rsidRPr="007C4E03" w:rsidRDefault="00472FCA" w:rsidP="007C4E03">
            <w:pPr>
              <w:spacing w:after="0" w:line="240" w:lineRule="auto"/>
              <w:rPr>
                <w:rFonts w:ascii="Calibri" w:eastAsia="Times New Roman" w:hAnsi="Calibri" w:cs="Times New Roman"/>
                <w:color w:val="000000"/>
                <w:lang w:eastAsia="en-AU"/>
              </w:rPr>
            </w:pPr>
            <w:r w:rsidRPr="007C4E03">
              <w:rPr>
                <w:rFonts w:ascii="Calibri" w:eastAsia="Times New Roman" w:hAnsi="Calibri" w:cs="Times New Roman"/>
                <w:color w:val="000000"/>
                <w:lang w:eastAsia="en-AU"/>
              </w:rPr>
              <w:t>Direct market</w:t>
            </w:r>
          </w:p>
        </w:tc>
        <w:tc>
          <w:tcPr>
            <w:tcW w:w="349"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2216.5</w:t>
            </w:r>
          </w:p>
        </w:tc>
        <w:tc>
          <w:tcPr>
            <w:tcW w:w="371"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2228.0</w:t>
            </w:r>
          </w:p>
        </w:tc>
        <w:tc>
          <w:tcPr>
            <w:tcW w:w="360"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2239.5</w:t>
            </w:r>
          </w:p>
        </w:tc>
        <w:tc>
          <w:tcPr>
            <w:tcW w:w="360"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2251.1</w:t>
            </w:r>
          </w:p>
        </w:tc>
        <w:tc>
          <w:tcPr>
            <w:tcW w:w="371"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2262.8</w:t>
            </w:r>
          </w:p>
        </w:tc>
        <w:tc>
          <w:tcPr>
            <w:tcW w:w="383"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2274.5</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2286.3</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2298.2</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2310.1</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2322.1</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2334.1</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2346.3</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2358.5</w:t>
            </w:r>
          </w:p>
        </w:tc>
      </w:tr>
      <w:tr w:rsidR="00472FCA" w:rsidRPr="007C4E03" w:rsidTr="00472FCA">
        <w:trPr>
          <w:trHeight w:val="300"/>
        </w:trPr>
        <w:tc>
          <w:tcPr>
            <w:tcW w:w="595" w:type="pct"/>
            <w:tcBorders>
              <w:top w:val="nil"/>
              <w:left w:val="nil"/>
              <w:bottom w:val="nil"/>
              <w:right w:val="nil"/>
            </w:tcBorders>
            <w:shd w:val="clear" w:color="auto" w:fill="auto"/>
            <w:noWrap/>
            <w:vAlign w:val="bottom"/>
            <w:hideMark/>
          </w:tcPr>
          <w:p w:rsidR="00472FCA" w:rsidRPr="007C4E03" w:rsidRDefault="00472FCA" w:rsidP="007C4E03">
            <w:pPr>
              <w:spacing w:after="0" w:line="240" w:lineRule="auto"/>
              <w:rPr>
                <w:rFonts w:ascii="Calibri" w:eastAsia="Times New Roman" w:hAnsi="Calibri" w:cs="Times New Roman"/>
                <w:color w:val="000000"/>
                <w:lang w:eastAsia="en-AU"/>
              </w:rPr>
            </w:pPr>
            <w:r w:rsidRPr="007C4E03">
              <w:rPr>
                <w:rFonts w:ascii="Calibri" w:eastAsia="Times New Roman" w:hAnsi="Calibri" w:cs="Times New Roman"/>
                <w:color w:val="000000"/>
                <w:lang w:eastAsia="en-AU"/>
              </w:rPr>
              <w:t>Government regulatory</w:t>
            </w:r>
          </w:p>
        </w:tc>
        <w:tc>
          <w:tcPr>
            <w:tcW w:w="349"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56.3</w:t>
            </w:r>
          </w:p>
        </w:tc>
        <w:tc>
          <w:tcPr>
            <w:tcW w:w="371"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56.3</w:t>
            </w:r>
          </w:p>
        </w:tc>
        <w:tc>
          <w:tcPr>
            <w:tcW w:w="360"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56.3</w:t>
            </w:r>
          </w:p>
        </w:tc>
        <w:tc>
          <w:tcPr>
            <w:tcW w:w="360"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56.3</w:t>
            </w:r>
          </w:p>
        </w:tc>
        <w:tc>
          <w:tcPr>
            <w:tcW w:w="371"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56.3</w:t>
            </w:r>
          </w:p>
        </w:tc>
        <w:tc>
          <w:tcPr>
            <w:tcW w:w="383"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56.3</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56.3</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56.3</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56.3</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56.3</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56.3</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56.3</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56.3</w:t>
            </w:r>
          </w:p>
        </w:tc>
      </w:tr>
      <w:tr w:rsidR="00472FCA" w:rsidRPr="007C4E03" w:rsidTr="00472FCA">
        <w:trPr>
          <w:trHeight w:val="300"/>
        </w:trPr>
        <w:tc>
          <w:tcPr>
            <w:tcW w:w="595" w:type="pct"/>
            <w:tcBorders>
              <w:top w:val="nil"/>
              <w:left w:val="nil"/>
              <w:bottom w:val="nil"/>
              <w:right w:val="nil"/>
            </w:tcBorders>
            <w:shd w:val="clear" w:color="auto" w:fill="auto"/>
            <w:noWrap/>
            <w:vAlign w:val="bottom"/>
            <w:hideMark/>
          </w:tcPr>
          <w:p w:rsidR="00472FCA" w:rsidRPr="007C4E03" w:rsidRDefault="00472FCA" w:rsidP="007C4E03">
            <w:pPr>
              <w:spacing w:after="0" w:line="240" w:lineRule="auto"/>
              <w:rPr>
                <w:rFonts w:ascii="Calibri" w:eastAsia="Times New Roman" w:hAnsi="Calibri" w:cs="Times New Roman"/>
                <w:color w:val="000000"/>
                <w:lang w:eastAsia="en-AU"/>
              </w:rPr>
            </w:pPr>
            <w:r w:rsidRPr="007C4E03">
              <w:rPr>
                <w:rFonts w:ascii="Calibri" w:eastAsia="Times New Roman" w:hAnsi="Calibri" w:cs="Times New Roman"/>
                <w:color w:val="000000"/>
                <w:lang w:eastAsia="en-AU"/>
              </w:rPr>
              <w:t>Workplace injury &amp; illness</w:t>
            </w:r>
          </w:p>
        </w:tc>
        <w:tc>
          <w:tcPr>
            <w:tcW w:w="349"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109.6</w:t>
            </w:r>
          </w:p>
        </w:tc>
        <w:tc>
          <w:tcPr>
            <w:tcW w:w="371"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111.6</w:t>
            </w:r>
          </w:p>
        </w:tc>
        <w:tc>
          <w:tcPr>
            <w:tcW w:w="360"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113.6</w:t>
            </w:r>
          </w:p>
        </w:tc>
        <w:tc>
          <w:tcPr>
            <w:tcW w:w="360"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115.7</w:t>
            </w:r>
          </w:p>
        </w:tc>
        <w:tc>
          <w:tcPr>
            <w:tcW w:w="371"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117.7</w:t>
            </w:r>
          </w:p>
        </w:tc>
        <w:tc>
          <w:tcPr>
            <w:tcW w:w="383"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119.9</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122.0</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124.2</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126.5</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128.8</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131.1</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133.4</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135.8</w:t>
            </w:r>
          </w:p>
        </w:tc>
      </w:tr>
      <w:tr w:rsidR="00472FCA" w:rsidRPr="007C4E03" w:rsidTr="00472FCA">
        <w:trPr>
          <w:trHeight w:val="300"/>
        </w:trPr>
        <w:tc>
          <w:tcPr>
            <w:tcW w:w="595" w:type="pct"/>
            <w:tcBorders>
              <w:top w:val="nil"/>
              <w:left w:val="nil"/>
              <w:bottom w:val="nil"/>
              <w:right w:val="nil"/>
            </w:tcBorders>
            <w:shd w:val="clear" w:color="auto" w:fill="auto"/>
            <w:noWrap/>
            <w:vAlign w:val="bottom"/>
            <w:hideMark/>
          </w:tcPr>
          <w:p w:rsidR="00472FCA" w:rsidRPr="007C4E03" w:rsidRDefault="00472FCA" w:rsidP="007C4E03">
            <w:pPr>
              <w:spacing w:after="0" w:line="240" w:lineRule="auto"/>
              <w:rPr>
                <w:rFonts w:ascii="Calibri" w:eastAsia="Times New Roman" w:hAnsi="Calibri" w:cs="Times New Roman"/>
                <w:color w:val="000000"/>
                <w:lang w:eastAsia="en-AU"/>
              </w:rPr>
            </w:pPr>
            <w:r w:rsidRPr="007C4E03">
              <w:rPr>
                <w:rFonts w:ascii="Calibri" w:eastAsia="Times New Roman" w:hAnsi="Calibri" w:cs="Times New Roman"/>
                <w:color w:val="000000"/>
                <w:lang w:eastAsia="en-AU"/>
              </w:rPr>
              <w:t>Residual landfill</w:t>
            </w:r>
          </w:p>
        </w:tc>
        <w:tc>
          <w:tcPr>
            <w:tcW w:w="349"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34.8</w:t>
            </w:r>
          </w:p>
        </w:tc>
        <w:tc>
          <w:tcPr>
            <w:tcW w:w="371"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35.0</w:t>
            </w:r>
          </w:p>
        </w:tc>
        <w:tc>
          <w:tcPr>
            <w:tcW w:w="360"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35.1</w:t>
            </w:r>
          </w:p>
        </w:tc>
        <w:tc>
          <w:tcPr>
            <w:tcW w:w="360"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35.3</w:t>
            </w:r>
          </w:p>
        </w:tc>
        <w:tc>
          <w:tcPr>
            <w:tcW w:w="371"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35.5</w:t>
            </w:r>
          </w:p>
        </w:tc>
        <w:tc>
          <w:tcPr>
            <w:tcW w:w="383"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35.6</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35.8</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36.0</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36.1</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36.3</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36.5</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36.7</w:t>
            </w:r>
          </w:p>
        </w:tc>
        <w:tc>
          <w:tcPr>
            <w:tcW w:w="316" w:type="pct"/>
            <w:tcBorders>
              <w:top w:val="nil"/>
              <w:left w:val="nil"/>
              <w:bottom w:val="nil"/>
              <w:right w:val="nil"/>
            </w:tcBorders>
            <w:shd w:val="clear" w:color="auto" w:fill="auto"/>
            <w:noWrap/>
            <w:vAlign w:val="bottom"/>
            <w:hideMark/>
          </w:tcPr>
          <w:p w:rsidR="00472FCA" w:rsidRPr="00472FCA" w:rsidRDefault="00472FCA" w:rsidP="00472FCA">
            <w:pPr>
              <w:spacing w:before="100" w:beforeAutospacing="1" w:after="100" w:afterAutospacing="1" w:line="240" w:lineRule="auto"/>
              <w:jc w:val="right"/>
              <w:rPr>
                <w:bCs/>
                <w:color w:val="000000"/>
              </w:rPr>
            </w:pPr>
            <w:r w:rsidRPr="00472FCA">
              <w:rPr>
                <w:bCs/>
                <w:color w:val="000000"/>
              </w:rPr>
              <w:t>36.9</w:t>
            </w:r>
          </w:p>
        </w:tc>
      </w:tr>
      <w:tr w:rsidR="00472FCA" w:rsidRPr="007C4E03" w:rsidTr="00472FCA">
        <w:trPr>
          <w:trHeight w:val="300"/>
        </w:trPr>
        <w:tc>
          <w:tcPr>
            <w:tcW w:w="595" w:type="pct"/>
            <w:tcBorders>
              <w:top w:val="nil"/>
              <w:left w:val="nil"/>
              <w:bottom w:val="nil"/>
              <w:right w:val="nil"/>
            </w:tcBorders>
            <w:shd w:val="clear" w:color="000000" w:fill="DDEBF7"/>
            <w:noWrap/>
            <w:vAlign w:val="bottom"/>
            <w:hideMark/>
          </w:tcPr>
          <w:p w:rsidR="00472FCA" w:rsidRPr="007C4E03" w:rsidRDefault="00472FCA" w:rsidP="007C4E03">
            <w:pPr>
              <w:spacing w:after="0" w:line="240" w:lineRule="auto"/>
              <w:rPr>
                <w:rFonts w:ascii="Calibri" w:eastAsia="Times New Roman" w:hAnsi="Calibri" w:cs="Times New Roman"/>
                <w:b/>
                <w:bCs/>
                <w:color w:val="000000"/>
                <w:lang w:eastAsia="en-AU"/>
              </w:rPr>
            </w:pPr>
            <w:r w:rsidRPr="007C4E03">
              <w:rPr>
                <w:rFonts w:ascii="Calibri" w:eastAsia="Times New Roman" w:hAnsi="Calibri" w:cs="Times New Roman"/>
                <w:b/>
                <w:bCs/>
                <w:color w:val="000000"/>
                <w:lang w:eastAsia="en-AU"/>
              </w:rPr>
              <w:t xml:space="preserve">Total </w:t>
            </w:r>
          </w:p>
        </w:tc>
        <w:tc>
          <w:tcPr>
            <w:tcW w:w="349" w:type="pct"/>
            <w:tcBorders>
              <w:top w:val="nil"/>
              <w:left w:val="nil"/>
              <w:bottom w:val="nil"/>
              <w:right w:val="nil"/>
            </w:tcBorders>
            <w:shd w:val="clear" w:color="000000" w:fill="DDEBF7"/>
            <w:noWrap/>
            <w:vAlign w:val="bottom"/>
            <w:hideMark/>
          </w:tcPr>
          <w:p w:rsidR="00472FCA" w:rsidRPr="00472FCA" w:rsidRDefault="00472FCA" w:rsidP="00472FCA">
            <w:pPr>
              <w:spacing w:before="100" w:beforeAutospacing="1" w:after="100" w:afterAutospacing="1" w:line="240" w:lineRule="auto"/>
              <w:jc w:val="right"/>
              <w:rPr>
                <w:b/>
                <w:bCs/>
                <w:color w:val="000000"/>
              </w:rPr>
            </w:pPr>
            <w:r w:rsidRPr="00472FCA">
              <w:rPr>
                <w:b/>
                <w:bCs/>
                <w:color w:val="000000"/>
              </w:rPr>
              <w:t xml:space="preserve">           2,417.3 </w:t>
            </w:r>
          </w:p>
        </w:tc>
        <w:tc>
          <w:tcPr>
            <w:tcW w:w="371" w:type="pct"/>
            <w:tcBorders>
              <w:top w:val="nil"/>
              <w:left w:val="nil"/>
              <w:bottom w:val="nil"/>
              <w:right w:val="nil"/>
            </w:tcBorders>
            <w:shd w:val="clear" w:color="000000" w:fill="DDEBF7"/>
            <w:noWrap/>
            <w:vAlign w:val="bottom"/>
            <w:hideMark/>
          </w:tcPr>
          <w:p w:rsidR="00472FCA" w:rsidRPr="00472FCA" w:rsidRDefault="00472FCA" w:rsidP="00472FCA">
            <w:pPr>
              <w:spacing w:before="100" w:beforeAutospacing="1" w:after="100" w:afterAutospacing="1" w:line="240" w:lineRule="auto"/>
              <w:jc w:val="right"/>
              <w:rPr>
                <w:b/>
                <w:bCs/>
                <w:color w:val="000000"/>
              </w:rPr>
            </w:pPr>
            <w:r w:rsidRPr="00472FCA">
              <w:rPr>
                <w:b/>
                <w:bCs/>
                <w:color w:val="000000"/>
              </w:rPr>
              <w:t xml:space="preserve">             2,430.9 </w:t>
            </w:r>
          </w:p>
        </w:tc>
        <w:tc>
          <w:tcPr>
            <w:tcW w:w="360" w:type="pct"/>
            <w:tcBorders>
              <w:top w:val="nil"/>
              <w:left w:val="nil"/>
              <w:bottom w:val="nil"/>
              <w:right w:val="nil"/>
            </w:tcBorders>
            <w:shd w:val="clear" w:color="000000" w:fill="DDEBF7"/>
            <w:noWrap/>
            <w:vAlign w:val="bottom"/>
            <w:hideMark/>
          </w:tcPr>
          <w:p w:rsidR="00472FCA" w:rsidRPr="00472FCA" w:rsidRDefault="00472FCA" w:rsidP="00472FCA">
            <w:pPr>
              <w:spacing w:before="100" w:beforeAutospacing="1" w:after="100" w:afterAutospacing="1" w:line="240" w:lineRule="auto"/>
              <w:jc w:val="right"/>
              <w:rPr>
                <w:b/>
                <w:bCs/>
                <w:color w:val="000000"/>
              </w:rPr>
            </w:pPr>
            <w:r w:rsidRPr="00472FCA">
              <w:rPr>
                <w:b/>
                <w:bCs/>
                <w:color w:val="000000"/>
              </w:rPr>
              <w:t xml:space="preserve">            2,444.6 </w:t>
            </w:r>
          </w:p>
        </w:tc>
        <w:tc>
          <w:tcPr>
            <w:tcW w:w="360" w:type="pct"/>
            <w:tcBorders>
              <w:top w:val="nil"/>
              <w:left w:val="nil"/>
              <w:bottom w:val="nil"/>
              <w:right w:val="nil"/>
            </w:tcBorders>
            <w:shd w:val="clear" w:color="000000" w:fill="DDEBF7"/>
            <w:noWrap/>
            <w:vAlign w:val="bottom"/>
            <w:hideMark/>
          </w:tcPr>
          <w:p w:rsidR="00472FCA" w:rsidRPr="00472FCA" w:rsidRDefault="00472FCA" w:rsidP="00472FCA">
            <w:pPr>
              <w:spacing w:before="100" w:beforeAutospacing="1" w:after="100" w:afterAutospacing="1" w:line="240" w:lineRule="auto"/>
              <w:jc w:val="right"/>
              <w:rPr>
                <w:b/>
                <w:bCs/>
                <w:color w:val="000000"/>
              </w:rPr>
            </w:pPr>
            <w:r w:rsidRPr="00472FCA">
              <w:rPr>
                <w:b/>
                <w:bCs/>
                <w:color w:val="000000"/>
              </w:rPr>
              <w:t xml:space="preserve">            2,458.4 </w:t>
            </w:r>
          </w:p>
        </w:tc>
        <w:tc>
          <w:tcPr>
            <w:tcW w:w="371" w:type="pct"/>
            <w:tcBorders>
              <w:top w:val="nil"/>
              <w:left w:val="nil"/>
              <w:bottom w:val="nil"/>
              <w:right w:val="nil"/>
            </w:tcBorders>
            <w:shd w:val="clear" w:color="000000" w:fill="DDEBF7"/>
            <w:noWrap/>
            <w:vAlign w:val="bottom"/>
            <w:hideMark/>
          </w:tcPr>
          <w:p w:rsidR="00472FCA" w:rsidRPr="00472FCA" w:rsidRDefault="00472FCA" w:rsidP="00472FCA">
            <w:pPr>
              <w:spacing w:before="100" w:beforeAutospacing="1" w:after="100" w:afterAutospacing="1" w:line="240" w:lineRule="auto"/>
              <w:jc w:val="right"/>
              <w:rPr>
                <w:b/>
                <w:bCs/>
                <w:color w:val="000000"/>
              </w:rPr>
            </w:pPr>
            <w:r w:rsidRPr="00472FCA">
              <w:rPr>
                <w:b/>
                <w:bCs/>
                <w:color w:val="000000"/>
              </w:rPr>
              <w:t xml:space="preserve">             2,472.3 </w:t>
            </w:r>
          </w:p>
        </w:tc>
        <w:tc>
          <w:tcPr>
            <w:tcW w:w="383" w:type="pct"/>
            <w:tcBorders>
              <w:top w:val="nil"/>
              <w:left w:val="nil"/>
              <w:bottom w:val="nil"/>
              <w:right w:val="nil"/>
            </w:tcBorders>
            <w:shd w:val="clear" w:color="000000" w:fill="DDEBF7"/>
            <w:noWrap/>
            <w:vAlign w:val="bottom"/>
            <w:hideMark/>
          </w:tcPr>
          <w:p w:rsidR="00472FCA" w:rsidRPr="00472FCA" w:rsidRDefault="00472FCA" w:rsidP="00472FCA">
            <w:pPr>
              <w:spacing w:before="100" w:beforeAutospacing="1" w:after="100" w:afterAutospacing="1" w:line="240" w:lineRule="auto"/>
              <w:jc w:val="right"/>
              <w:rPr>
                <w:b/>
                <w:bCs/>
                <w:color w:val="000000"/>
              </w:rPr>
            </w:pPr>
            <w:r w:rsidRPr="00472FCA">
              <w:rPr>
                <w:b/>
                <w:bCs/>
                <w:color w:val="000000"/>
              </w:rPr>
              <w:t xml:space="preserve">              2,486.3 </w:t>
            </w:r>
          </w:p>
        </w:tc>
        <w:tc>
          <w:tcPr>
            <w:tcW w:w="316" w:type="pct"/>
            <w:tcBorders>
              <w:top w:val="nil"/>
              <w:left w:val="nil"/>
              <w:bottom w:val="nil"/>
              <w:right w:val="nil"/>
            </w:tcBorders>
            <w:shd w:val="clear" w:color="000000" w:fill="DDEBF7"/>
            <w:noWrap/>
            <w:vAlign w:val="bottom"/>
            <w:hideMark/>
          </w:tcPr>
          <w:p w:rsidR="00472FCA" w:rsidRPr="00472FCA" w:rsidRDefault="00472FCA" w:rsidP="00472FCA">
            <w:pPr>
              <w:spacing w:before="100" w:beforeAutospacing="1" w:after="100" w:afterAutospacing="1" w:line="240" w:lineRule="auto"/>
              <w:jc w:val="right"/>
              <w:rPr>
                <w:b/>
                <w:bCs/>
                <w:color w:val="000000"/>
              </w:rPr>
            </w:pPr>
            <w:r w:rsidRPr="00472FCA">
              <w:rPr>
                <w:b/>
                <w:bCs/>
                <w:color w:val="000000"/>
              </w:rPr>
              <w:t xml:space="preserve">        2,500.5 </w:t>
            </w:r>
          </w:p>
        </w:tc>
        <w:tc>
          <w:tcPr>
            <w:tcW w:w="316" w:type="pct"/>
            <w:tcBorders>
              <w:top w:val="nil"/>
              <w:left w:val="nil"/>
              <w:bottom w:val="nil"/>
              <w:right w:val="nil"/>
            </w:tcBorders>
            <w:shd w:val="clear" w:color="000000" w:fill="DDEBF7"/>
            <w:noWrap/>
            <w:vAlign w:val="bottom"/>
            <w:hideMark/>
          </w:tcPr>
          <w:p w:rsidR="00472FCA" w:rsidRPr="00472FCA" w:rsidRDefault="00472FCA" w:rsidP="00472FCA">
            <w:pPr>
              <w:spacing w:before="100" w:beforeAutospacing="1" w:after="100" w:afterAutospacing="1" w:line="240" w:lineRule="auto"/>
              <w:jc w:val="right"/>
              <w:rPr>
                <w:b/>
                <w:bCs/>
                <w:color w:val="000000"/>
              </w:rPr>
            </w:pPr>
            <w:r w:rsidRPr="00472FCA">
              <w:rPr>
                <w:b/>
                <w:bCs/>
                <w:color w:val="000000"/>
              </w:rPr>
              <w:t xml:space="preserve">        2,514.7 </w:t>
            </w:r>
          </w:p>
        </w:tc>
        <w:tc>
          <w:tcPr>
            <w:tcW w:w="316" w:type="pct"/>
            <w:tcBorders>
              <w:top w:val="nil"/>
              <w:left w:val="nil"/>
              <w:bottom w:val="nil"/>
              <w:right w:val="nil"/>
            </w:tcBorders>
            <w:shd w:val="clear" w:color="000000" w:fill="DDEBF7"/>
            <w:noWrap/>
            <w:vAlign w:val="bottom"/>
            <w:hideMark/>
          </w:tcPr>
          <w:p w:rsidR="00472FCA" w:rsidRPr="00472FCA" w:rsidRDefault="00472FCA" w:rsidP="00472FCA">
            <w:pPr>
              <w:spacing w:before="100" w:beforeAutospacing="1" w:after="100" w:afterAutospacing="1" w:line="240" w:lineRule="auto"/>
              <w:jc w:val="right"/>
              <w:rPr>
                <w:b/>
                <w:bCs/>
                <w:color w:val="000000"/>
              </w:rPr>
            </w:pPr>
            <w:r w:rsidRPr="00472FCA">
              <w:rPr>
                <w:b/>
                <w:bCs/>
                <w:color w:val="000000"/>
              </w:rPr>
              <w:t xml:space="preserve">        2,529.0 </w:t>
            </w:r>
          </w:p>
        </w:tc>
        <w:tc>
          <w:tcPr>
            <w:tcW w:w="316" w:type="pct"/>
            <w:tcBorders>
              <w:top w:val="nil"/>
              <w:left w:val="nil"/>
              <w:bottom w:val="nil"/>
              <w:right w:val="nil"/>
            </w:tcBorders>
            <w:shd w:val="clear" w:color="000000" w:fill="DDEBF7"/>
            <w:noWrap/>
            <w:vAlign w:val="bottom"/>
            <w:hideMark/>
          </w:tcPr>
          <w:p w:rsidR="00472FCA" w:rsidRPr="00472FCA" w:rsidRDefault="00472FCA" w:rsidP="00472FCA">
            <w:pPr>
              <w:spacing w:before="100" w:beforeAutospacing="1" w:after="100" w:afterAutospacing="1" w:line="240" w:lineRule="auto"/>
              <w:jc w:val="right"/>
              <w:rPr>
                <w:b/>
                <w:bCs/>
                <w:color w:val="000000"/>
              </w:rPr>
            </w:pPr>
            <w:r w:rsidRPr="00472FCA">
              <w:rPr>
                <w:b/>
                <w:bCs/>
                <w:color w:val="000000"/>
              </w:rPr>
              <w:t xml:space="preserve">        2,543.5 </w:t>
            </w:r>
          </w:p>
        </w:tc>
        <w:tc>
          <w:tcPr>
            <w:tcW w:w="316" w:type="pct"/>
            <w:tcBorders>
              <w:top w:val="nil"/>
              <w:left w:val="nil"/>
              <w:bottom w:val="nil"/>
              <w:right w:val="nil"/>
            </w:tcBorders>
            <w:shd w:val="clear" w:color="000000" w:fill="DDEBF7"/>
            <w:noWrap/>
            <w:vAlign w:val="bottom"/>
            <w:hideMark/>
          </w:tcPr>
          <w:p w:rsidR="00472FCA" w:rsidRPr="00472FCA" w:rsidRDefault="00472FCA" w:rsidP="00472FCA">
            <w:pPr>
              <w:spacing w:before="100" w:beforeAutospacing="1" w:after="100" w:afterAutospacing="1" w:line="240" w:lineRule="auto"/>
              <w:jc w:val="right"/>
              <w:rPr>
                <w:b/>
                <w:bCs/>
                <w:color w:val="000000"/>
              </w:rPr>
            </w:pPr>
            <w:r w:rsidRPr="00472FCA">
              <w:rPr>
                <w:b/>
                <w:bCs/>
                <w:color w:val="000000"/>
              </w:rPr>
              <w:t xml:space="preserve">        2,558.0 </w:t>
            </w:r>
          </w:p>
        </w:tc>
        <w:tc>
          <w:tcPr>
            <w:tcW w:w="316" w:type="pct"/>
            <w:tcBorders>
              <w:top w:val="nil"/>
              <w:left w:val="nil"/>
              <w:bottom w:val="nil"/>
              <w:right w:val="nil"/>
            </w:tcBorders>
            <w:shd w:val="clear" w:color="000000" w:fill="DDEBF7"/>
            <w:noWrap/>
            <w:vAlign w:val="bottom"/>
            <w:hideMark/>
          </w:tcPr>
          <w:p w:rsidR="00472FCA" w:rsidRPr="00472FCA" w:rsidRDefault="00472FCA" w:rsidP="00472FCA">
            <w:pPr>
              <w:spacing w:before="100" w:beforeAutospacing="1" w:after="100" w:afterAutospacing="1" w:line="240" w:lineRule="auto"/>
              <w:jc w:val="right"/>
              <w:rPr>
                <w:b/>
                <w:bCs/>
                <w:color w:val="000000"/>
              </w:rPr>
            </w:pPr>
            <w:r w:rsidRPr="00472FCA">
              <w:rPr>
                <w:b/>
                <w:bCs/>
                <w:color w:val="000000"/>
              </w:rPr>
              <w:t xml:space="preserve">        2,572.7 </w:t>
            </w:r>
          </w:p>
        </w:tc>
        <w:tc>
          <w:tcPr>
            <w:tcW w:w="316" w:type="pct"/>
            <w:tcBorders>
              <w:top w:val="nil"/>
              <w:left w:val="nil"/>
              <w:bottom w:val="nil"/>
              <w:right w:val="nil"/>
            </w:tcBorders>
            <w:shd w:val="clear" w:color="000000" w:fill="DDEBF7"/>
            <w:noWrap/>
            <w:vAlign w:val="bottom"/>
            <w:hideMark/>
          </w:tcPr>
          <w:p w:rsidR="00472FCA" w:rsidRPr="00472FCA" w:rsidRDefault="00472FCA" w:rsidP="00472FCA">
            <w:pPr>
              <w:spacing w:before="100" w:beforeAutospacing="1" w:after="100" w:afterAutospacing="1" w:line="240" w:lineRule="auto"/>
              <w:jc w:val="right"/>
              <w:rPr>
                <w:b/>
                <w:bCs/>
                <w:color w:val="000000"/>
              </w:rPr>
            </w:pPr>
            <w:r w:rsidRPr="00472FCA">
              <w:rPr>
                <w:b/>
                <w:bCs/>
                <w:color w:val="000000"/>
              </w:rPr>
              <w:t xml:space="preserve">        2,587.5 </w:t>
            </w:r>
          </w:p>
        </w:tc>
      </w:tr>
    </w:tbl>
    <w:p w:rsidR="0067160D" w:rsidRDefault="0067160D" w:rsidP="001561E1">
      <w:pPr>
        <w:keepNext/>
        <w:keepLines/>
        <w:spacing w:before="120" w:after="120" w:line="240" w:lineRule="auto"/>
        <w:rPr>
          <w:b/>
          <w:bCs/>
          <w:sz w:val="20"/>
          <w:szCs w:val="20"/>
        </w:rPr>
      </w:pPr>
    </w:p>
    <w:p w:rsidR="00122C2B" w:rsidRDefault="00122C2B" w:rsidP="00122C2B">
      <w:pPr>
        <w:keepNext/>
        <w:keepLines/>
        <w:spacing w:before="120" w:after="120" w:line="240" w:lineRule="auto"/>
        <w:rPr>
          <w:b/>
          <w:bCs/>
          <w:sz w:val="20"/>
          <w:szCs w:val="20"/>
        </w:rPr>
      </w:pPr>
      <w:bookmarkStart w:id="28" w:name="_Ref391379641"/>
      <w:r w:rsidRPr="00F6696F">
        <w:rPr>
          <w:rFonts w:ascii="Calibri" w:eastAsia="Times New Roman" w:hAnsi="Calibri" w:cs="Calibri"/>
          <w:b/>
          <w:bCs/>
          <w:sz w:val="20"/>
          <w:szCs w:val="20"/>
          <w:lang w:eastAsia="en-AU"/>
        </w:rPr>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10</w:t>
      </w:r>
      <w:r w:rsidR="00732F35" w:rsidRPr="00F6696F">
        <w:rPr>
          <w:rFonts w:ascii="Calibri" w:eastAsia="Times New Roman" w:hAnsi="Calibri" w:cs="Calibri"/>
          <w:b/>
          <w:bCs/>
          <w:sz w:val="20"/>
          <w:szCs w:val="20"/>
          <w:lang w:eastAsia="en-AU"/>
        </w:rPr>
        <w:fldChar w:fldCharType="end"/>
      </w:r>
      <w:bookmarkEnd w:id="28"/>
      <w:r w:rsidRPr="00F6696F">
        <w:rPr>
          <w:rFonts w:ascii="Calibri" w:eastAsia="Times New Roman" w:hAnsi="Calibri" w:cs="Calibri"/>
          <w:b/>
          <w:bCs/>
          <w:sz w:val="20"/>
          <w:szCs w:val="20"/>
          <w:lang w:eastAsia="en-AU"/>
        </w:rPr>
        <w:t xml:space="preserve">:  </w:t>
      </w:r>
      <w:r>
        <w:rPr>
          <w:rFonts w:ascii="Calibri" w:eastAsia="Times New Roman" w:hAnsi="Calibri" w:cs="Calibri"/>
          <w:b/>
          <w:bCs/>
          <w:sz w:val="20"/>
          <w:szCs w:val="20"/>
          <w:lang w:eastAsia="en-AU"/>
        </w:rPr>
        <w:t xml:space="preserve"> Present value of hazardous waste costs, 2012-2020 and 2012-2024</w:t>
      </w:r>
      <w:r w:rsidR="000F1739">
        <w:rPr>
          <w:rFonts w:ascii="Calibri" w:eastAsia="Times New Roman" w:hAnsi="Calibri" w:cs="Calibri"/>
          <w:b/>
          <w:bCs/>
          <w:sz w:val="20"/>
          <w:szCs w:val="20"/>
          <w:lang w:eastAsia="en-AU"/>
        </w:rPr>
        <w:t>, assuming different discount rates</w:t>
      </w:r>
      <w:r>
        <w:rPr>
          <w:rFonts w:ascii="Calibri" w:eastAsia="Times New Roman" w:hAnsi="Calibri" w:cs="Calibri"/>
          <w:b/>
          <w:bCs/>
          <w:sz w:val="20"/>
          <w:szCs w:val="20"/>
          <w:lang w:eastAsia="en-AU"/>
        </w:rPr>
        <w:t xml:space="preserve"> ($ million) </w:t>
      </w:r>
    </w:p>
    <w:tbl>
      <w:tblPr>
        <w:tblW w:w="5000" w:type="pct"/>
        <w:tblLook w:val="04A0"/>
      </w:tblPr>
      <w:tblGrid>
        <w:gridCol w:w="3456"/>
        <w:gridCol w:w="1727"/>
        <w:gridCol w:w="1794"/>
        <w:gridCol w:w="1777"/>
        <w:gridCol w:w="1794"/>
        <w:gridCol w:w="1794"/>
        <w:gridCol w:w="1877"/>
      </w:tblGrid>
      <w:tr w:rsidR="00A6004C" w:rsidRPr="00A6004C" w:rsidTr="00A6004C">
        <w:trPr>
          <w:trHeight w:val="300"/>
        </w:trPr>
        <w:tc>
          <w:tcPr>
            <w:tcW w:w="1215" w:type="pct"/>
            <w:tcBorders>
              <w:top w:val="nil"/>
              <w:left w:val="nil"/>
              <w:bottom w:val="nil"/>
              <w:right w:val="single" w:sz="4" w:space="0" w:color="0093D0"/>
            </w:tcBorders>
            <w:shd w:val="clear" w:color="000000" w:fill="0093D0"/>
            <w:noWrap/>
            <w:vAlign w:val="bottom"/>
            <w:hideMark/>
          </w:tcPr>
          <w:p w:rsidR="00A6004C" w:rsidRPr="00A6004C" w:rsidRDefault="00A6004C" w:rsidP="00A6004C">
            <w:pPr>
              <w:spacing w:after="0" w:line="240" w:lineRule="auto"/>
              <w:rPr>
                <w:rFonts w:ascii="Calibri" w:eastAsia="Times New Roman" w:hAnsi="Calibri" w:cs="Times New Roman"/>
                <w:b/>
                <w:bCs/>
                <w:color w:val="FFFFFF"/>
                <w:lang w:eastAsia="en-AU"/>
              </w:rPr>
            </w:pPr>
            <w:r w:rsidRPr="00A6004C">
              <w:rPr>
                <w:rFonts w:ascii="Calibri" w:eastAsia="Times New Roman" w:hAnsi="Calibri" w:cs="Times New Roman"/>
                <w:b/>
                <w:bCs/>
                <w:color w:val="FFFFFF"/>
                <w:lang w:eastAsia="en-AU"/>
              </w:rPr>
              <w:t> </w:t>
            </w:r>
          </w:p>
        </w:tc>
        <w:tc>
          <w:tcPr>
            <w:tcW w:w="1238" w:type="pct"/>
            <w:gridSpan w:val="2"/>
            <w:tcBorders>
              <w:top w:val="nil"/>
              <w:left w:val="nil"/>
              <w:bottom w:val="nil"/>
              <w:right w:val="single" w:sz="4" w:space="0" w:color="0093D0"/>
            </w:tcBorders>
            <w:shd w:val="clear" w:color="000000" w:fill="0093D0"/>
            <w:noWrap/>
            <w:vAlign w:val="bottom"/>
            <w:hideMark/>
          </w:tcPr>
          <w:p w:rsidR="00A6004C" w:rsidRPr="00A6004C" w:rsidRDefault="00A6004C" w:rsidP="00A6004C">
            <w:pPr>
              <w:spacing w:after="0" w:line="240" w:lineRule="auto"/>
              <w:jc w:val="center"/>
              <w:rPr>
                <w:rFonts w:ascii="Calibri" w:eastAsia="Times New Roman" w:hAnsi="Calibri" w:cs="Times New Roman"/>
                <w:b/>
                <w:bCs/>
                <w:color w:val="FFFFFF"/>
                <w:lang w:eastAsia="en-AU"/>
              </w:rPr>
            </w:pPr>
            <w:r w:rsidRPr="00A6004C">
              <w:rPr>
                <w:rFonts w:ascii="Calibri" w:eastAsia="Times New Roman" w:hAnsi="Calibri" w:cs="Times New Roman"/>
                <w:b/>
                <w:bCs/>
                <w:color w:val="FFFFFF"/>
                <w:lang w:eastAsia="en-AU"/>
              </w:rPr>
              <w:t>7% discount rate</w:t>
            </w:r>
          </w:p>
        </w:tc>
        <w:tc>
          <w:tcPr>
            <w:tcW w:w="1256" w:type="pct"/>
            <w:gridSpan w:val="2"/>
            <w:tcBorders>
              <w:top w:val="nil"/>
              <w:left w:val="nil"/>
              <w:bottom w:val="nil"/>
              <w:right w:val="single" w:sz="4" w:space="0" w:color="0093D0"/>
            </w:tcBorders>
            <w:shd w:val="clear" w:color="000000" w:fill="0093D0"/>
            <w:noWrap/>
            <w:vAlign w:val="bottom"/>
            <w:hideMark/>
          </w:tcPr>
          <w:p w:rsidR="00A6004C" w:rsidRPr="00A6004C" w:rsidRDefault="00A6004C" w:rsidP="00A6004C">
            <w:pPr>
              <w:spacing w:after="0" w:line="240" w:lineRule="auto"/>
              <w:jc w:val="center"/>
              <w:rPr>
                <w:rFonts w:ascii="Calibri" w:eastAsia="Times New Roman" w:hAnsi="Calibri" w:cs="Times New Roman"/>
                <w:b/>
                <w:bCs/>
                <w:color w:val="FFFFFF"/>
                <w:lang w:eastAsia="en-AU"/>
              </w:rPr>
            </w:pPr>
            <w:r w:rsidRPr="00A6004C">
              <w:rPr>
                <w:rFonts w:ascii="Calibri" w:eastAsia="Times New Roman" w:hAnsi="Calibri" w:cs="Times New Roman"/>
                <w:b/>
                <w:bCs/>
                <w:color w:val="FFFFFF"/>
                <w:lang w:eastAsia="en-AU"/>
              </w:rPr>
              <w:t>10% discount rate</w:t>
            </w:r>
          </w:p>
        </w:tc>
        <w:tc>
          <w:tcPr>
            <w:tcW w:w="1291" w:type="pct"/>
            <w:gridSpan w:val="2"/>
            <w:tcBorders>
              <w:top w:val="nil"/>
              <w:left w:val="nil"/>
              <w:bottom w:val="nil"/>
              <w:right w:val="single" w:sz="4" w:space="0" w:color="0093D0"/>
            </w:tcBorders>
            <w:shd w:val="clear" w:color="000000" w:fill="0093D0"/>
            <w:noWrap/>
            <w:vAlign w:val="bottom"/>
            <w:hideMark/>
          </w:tcPr>
          <w:p w:rsidR="00A6004C" w:rsidRPr="00A6004C" w:rsidRDefault="00A6004C" w:rsidP="00A6004C">
            <w:pPr>
              <w:spacing w:after="0" w:line="240" w:lineRule="auto"/>
              <w:jc w:val="center"/>
              <w:rPr>
                <w:rFonts w:ascii="Calibri" w:eastAsia="Times New Roman" w:hAnsi="Calibri" w:cs="Times New Roman"/>
                <w:b/>
                <w:bCs/>
                <w:color w:val="FFFFFF"/>
                <w:lang w:eastAsia="en-AU"/>
              </w:rPr>
            </w:pPr>
            <w:r w:rsidRPr="00A6004C">
              <w:rPr>
                <w:rFonts w:ascii="Calibri" w:eastAsia="Times New Roman" w:hAnsi="Calibri" w:cs="Times New Roman"/>
                <w:b/>
                <w:bCs/>
                <w:color w:val="FFFFFF"/>
                <w:lang w:eastAsia="en-AU"/>
              </w:rPr>
              <w:t>3% discount rate</w:t>
            </w:r>
          </w:p>
        </w:tc>
      </w:tr>
      <w:tr w:rsidR="00A6004C" w:rsidRPr="00A6004C" w:rsidTr="00A6004C">
        <w:trPr>
          <w:trHeight w:val="300"/>
        </w:trPr>
        <w:tc>
          <w:tcPr>
            <w:tcW w:w="1215" w:type="pct"/>
            <w:tcBorders>
              <w:top w:val="nil"/>
              <w:left w:val="nil"/>
              <w:bottom w:val="nil"/>
              <w:right w:val="single" w:sz="4" w:space="0" w:color="0093D0"/>
            </w:tcBorders>
            <w:shd w:val="clear" w:color="000000" w:fill="0093D0"/>
            <w:noWrap/>
            <w:vAlign w:val="bottom"/>
            <w:hideMark/>
          </w:tcPr>
          <w:p w:rsidR="00A6004C" w:rsidRPr="00A6004C" w:rsidRDefault="00A6004C" w:rsidP="00A6004C">
            <w:pPr>
              <w:spacing w:after="0" w:line="240" w:lineRule="auto"/>
              <w:rPr>
                <w:rFonts w:ascii="Calibri" w:eastAsia="Times New Roman" w:hAnsi="Calibri" w:cs="Times New Roman"/>
                <w:b/>
                <w:bCs/>
                <w:color w:val="FFFFFF"/>
                <w:lang w:eastAsia="en-AU"/>
              </w:rPr>
            </w:pPr>
            <w:r w:rsidRPr="00A6004C">
              <w:rPr>
                <w:rFonts w:ascii="Calibri" w:eastAsia="Times New Roman" w:hAnsi="Calibri" w:cs="Times New Roman"/>
                <w:b/>
                <w:bCs/>
                <w:color w:val="FFFFFF"/>
                <w:lang w:eastAsia="en-AU"/>
              </w:rPr>
              <w:t> </w:t>
            </w:r>
          </w:p>
        </w:tc>
        <w:tc>
          <w:tcPr>
            <w:tcW w:w="607" w:type="pct"/>
            <w:tcBorders>
              <w:top w:val="nil"/>
              <w:left w:val="nil"/>
              <w:bottom w:val="nil"/>
              <w:right w:val="single" w:sz="4" w:space="0" w:color="0093D0"/>
            </w:tcBorders>
            <w:shd w:val="clear" w:color="000000" w:fill="0093D0"/>
            <w:noWrap/>
            <w:vAlign w:val="bottom"/>
            <w:hideMark/>
          </w:tcPr>
          <w:p w:rsidR="00A6004C" w:rsidRPr="00A6004C" w:rsidRDefault="00A6004C" w:rsidP="00A6004C">
            <w:pPr>
              <w:spacing w:after="0" w:line="240" w:lineRule="auto"/>
              <w:jc w:val="right"/>
              <w:rPr>
                <w:rFonts w:ascii="Calibri" w:eastAsia="Times New Roman" w:hAnsi="Calibri" w:cs="Times New Roman"/>
                <w:b/>
                <w:bCs/>
                <w:color w:val="FFFFFF"/>
                <w:lang w:eastAsia="en-AU"/>
              </w:rPr>
            </w:pPr>
            <w:r w:rsidRPr="00A6004C">
              <w:rPr>
                <w:rFonts w:ascii="Calibri" w:eastAsia="Times New Roman" w:hAnsi="Calibri" w:cs="Times New Roman"/>
                <w:b/>
                <w:bCs/>
                <w:color w:val="FFFFFF"/>
                <w:lang w:eastAsia="en-AU"/>
              </w:rPr>
              <w:t>2012-2020</w:t>
            </w:r>
          </w:p>
        </w:tc>
        <w:tc>
          <w:tcPr>
            <w:tcW w:w="631" w:type="pct"/>
            <w:tcBorders>
              <w:top w:val="nil"/>
              <w:left w:val="nil"/>
              <w:bottom w:val="nil"/>
              <w:right w:val="single" w:sz="4" w:space="0" w:color="0093D0"/>
            </w:tcBorders>
            <w:shd w:val="clear" w:color="000000" w:fill="0093D0"/>
            <w:noWrap/>
            <w:vAlign w:val="bottom"/>
            <w:hideMark/>
          </w:tcPr>
          <w:p w:rsidR="00A6004C" w:rsidRPr="00A6004C" w:rsidRDefault="00A6004C" w:rsidP="00A6004C">
            <w:pPr>
              <w:spacing w:after="0" w:line="240" w:lineRule="auto"/>
              <w:jc w:val="right"/>
              <w:rPr>
                <w:rFonts w:ascii="Calibri" w:eastAsia="Times New Roman" w:hAnsi="Calibri" w:cs="Times New Roman"/>
                <w:b/>
                <w:bCs/>
                <w:color w:val="FFFFFF"/>
                <w:lang w:eastAsia="en-AU"/>
              </w:rPr>
            </w:pPr>
            <w:r w:rsidRPr="00A6004C">
              <w:rPr>
                <w:rFonts w:ascii="Calibri" w:eastAsia="Times New Roman" w:hAnsi="Calibri" w:cs="Times New Roman"/>
                <w:b/>
                <w:bCs/>
                <w:color w:val="FFFFFF"/>
                <w:lang w:eastAsia="en-AU"/>
              </w:rPr>
              <w:t>2012-2024</w:t>
            </w:r>
          </w:p>
        </w:tc>
        <w:tc>
          <w:tcPr>
            <w:tcW w:w="625" w:type="pct"/>
            <w:tcBorders>
              <w:top w:val="nil"/>
              <w:left w:val="nil"/>
              <w:bottom w:val="nil"/>
              <w:right w:val="single" w:sz="4" w:space="0" w:color="0093D0"/>
            </w:tcBorders>
            <w:shd w:val="clear" w:color="000000" w:fill="0093D0"/>
            <w:noWrap/>
            <w:vAlign w:val="bottom"/>
            <w:hideMark/>
          </w:tcPr>
          <w:p w:rsidR="00A6004C" w:rsidRPr="00A6004C" w:rsidRDefault="00A6004C" w:rsidP="00A6004C">
            <w:pPr>
              <w:spacing w:after="0" w:line="240" w:lineRule="auto"/>
              <w:jc w:val="right"/>
              <w:rPr>
                <w:rFonts w:ascii="Calibri" w:eastAsia="Times New Roman" w:hAnsi="Calibri" w:cs="Times New Roman"/>
                <w:b/>
                <w:bCs/>
                <w:color w:val="FFFFFF"/>
                <w:lang w:eastAsia="en-AU"/>
              </w:rPr>
            </w:pPr>
            <w:r w:rsidRPr="00A6004C">
              <w:rPr>
                <w:rFonts w:ascii="Calibri" w:eastAsia="Times New Roman" w:hAnsi="Calibri" w:cs="Times New Roman"/>
                <w:b/>
                <w:bCs/>
                <w:color w:val="FFFFFF"/>
                <w:lang w:eastAsia="en-AU"/>
              </w:rPr>
              <w:t>2012-2020</w:t>
            </w:r>
          </w:p>
        </w:tc>
        <w:tc>
          <w:tcPr>
            <w:tcW w:w="631" w:type="pct"/>
            <w:tcBorders>
              <w:top w:val="nil"/>
              <w:left w:val="nil"/>
              <w:bottom w:val="nil"/>
              <w:right w:val="single" w:sz="4" w:space="0" w:color="0093D0"/>
            </w:tcBorders>
            <w:shd w:val="clear" w:color="000000" w:fill="0093D0"/>
            <w:noWrap/>
            <w:vAlign w:val="bottom"/>
            <w:hideMark/>
          </w:tcPr>
          <w:p w:rsidR="00A6004C" w:rsidRPr="00A6004C" w:rsidRDefault="00A6004C" w:rsidP="00A6004C">
            <w:pPr>
              <w:spacing w:after="0" w:line="240" w:lineRule="auto"/>
              <w:jc w:val="right"/>
              <w:rPr>
                <w:rFonts w:ascii="Calibri" w:eastAsia="Times New Roman" w:hAnsi="Calibri" w:cs="Times New Roman"/>
                <w:b/>
                <w:bCs/>
                <w:color w:val="FFFFFF"/>
                <w:lang w:eastAsia="en-AU"/>
              </w:rPr>
            </w:pPr>
            <w:r w:rsidRPr="00A6004C">
              <w:rPr>
                <w:rFonts w:ascii="Calibri" w:eastAsia="Times New Roman" w:hAnsi="Calibri" w:cs="Times New Roman"/>
                <w:b/>
                <w:bCs/>
                <w:color w:val="FFFFFF"/>
                <w:lang w:eastAsia="en-AU"/>
              </w:rPr>
              <w:t>2012-2024</w:t>
            </w:r>
          </w:p>
        </w:tc>
        <w:tc>
          <w:tcPr>
            <w:tcW w:w="631" w:type="pct"/>
            <w:tcBorders>
              <w:top w:val="nil"/>
              <w:left w:val="nil"/>
              <w:bottom w:val="nil"/>
              <w:right w:val="single" w:sz="4" w:space="0" w:color="0093D0"/>
            </w:tcBorders>
            <w:shd w:val="clear" w:color="000000" w:fill="0093D0"/>
            <w:noWrap/>
            <w:vAlign w:val="bottom"/>
            <w:hideMark/>
          </w:tcPr>
          <w:p w:rsidR="00A6004C" w:rsidRPr="00A6004C" w:rsidRDefault="00A6004C" w:rsidP="00A6004C">
            <w:pPr>
              <w:spacing w:after="0" w:line="240" w:lineRule="auto"/>
              <w:jc w:val="right"/>
              <w:rPr>
                <w:rFonts w:ascii="Calibri" w:eastAsia="Times New Roman" w:hAnsi="Calibri" w:cs="Times New Roman"/>
                <w:b/>
                <w:bCs/>
                <w:color w:val="FFFFFF"/>
                <w:lang w:eastAsia="en-AU"/>
              </w:rPr>
            </w:pPr>
            <w:r w:rsidRPr="00A6004C">
              <w:rPr>
                <w:rFonts w:ascii="Calibri" w:eastAsia="Times New Roman" w:hAnsi="Calibri" w:cs="Times New Roman"/>
                <w:b/>
                <w:bCs/>
                <w:color w:val="FFFFFF"/>
                <w:lang w:eastAsia="en-AU"/>
              </w:rPr>
              <w:t>2012-2020</w:t>
            </w:r>
          </w:p>
        </w:tc>
        <w:tc>
          <w:tcPr>
            <w:tcW w:w="660" w:type="pct"/>
            <w:tcBorders>
              <w:top w:val="nil"/>
              <w:left w:val="nil"/>
              <w:bottom w:val="nil"/>
              <w:right w:val="single" w:sz="4" w:space="0" w:color="0093D0"/>
            </w:tcBorders>
            <w:shd w:val="clear" w:color="000000" w:fill="0093D0"/>
            <w:noWrap/>
            <w:vAlign w:val="bottom"/>
            <w:hideMark/>
          </w:tcPr>
          <w:p w:rsidR="00A6004C" w:rsidRPr="00A6004C" w:rsidRDefault="00A6004C" w:rsidP="00A6004C">
            <w:pPr>
              <w:spacing w:after="0" w:line="240" w:lineRule="auto"/>
              <w:jc w:val="right"/>
              <w:rPr>
                <w:rFonts w:ascii="Calibri" w:eastAsia="Times New Roman" w:hAnsi="Calibri" w:cs="Times New Roman"/>
                <w:b/>
                <w:bCs/>
                <w:color w:val="FFFFFF"/>
                <w:lang w:eastAsia="en-AU"/>
              </w:rPr>
            </w:pPr>
            <w:r w:rsidRPr="00A6004C">
              <w:rPr>
                <w:rFonts w:ascii="Calibri" w:eastAsia="Times New Roman" w:hAnsi="Calibri" w:cs="Times New Roman"/>
                <w:b/>
                <w:bCs/>
                <w:color w:val="FFFFFF"/>
                <w:lang w:eastAsia="en-AU"/>
              </w:rPr>
              <w:t>2012-2024</w:t>
            </w:r>
          </w:p>
        </w:tc>
      </w:tr>
      <w:tr w:rsidR="00A953C5" w:rsidRPr="00A6004C" w:rsidTr="007D69B3">
        <w:trPr>
          <w:trHeight w:val="300"/>
        </w:trPr>
        <w:tc>
          <w:tcPr>
            <w:tcW w:w="1215" w:type="pct"/>
            <w:tcBorders>
              <w:top w:val="nil"/>
              <w:left w:val="nil"/>
              <w:bottom w:val="nil"/>
              <w:right w:val="single" w:sz="8" w:space="0" w:color="0093D0"/>
            </w:tcBorders>
            <w:shd w:val="clear" w:color="auto" w:fill="auto"/>
            <w:noWrap/>
            <w:vAlign w:val="center"/>
            <w:hideMark/>
          </w:tcPr>
          <w:p w:rsidR="00A953C5" w:rsidRPr="00A6004C" w:rsidRDefault="00A953C5" w:rsidP="003F61BD">
            <w:pPr>
              <w:spacing w:after="0" w:line="260" w:lineRule="atLeast"/>
              <w:rPr>
                <w:rFonts w:ascii="Calibri" w:eastAsia="Times New Roman" w:hAnsi="Calibri" w:cs="Times New Roman"/>
                <w:color w:val="000000"/>
                <w:lang w:eastAsia="en-AU"/>
              </w:rPr>
            </w:pPr>
            <w:r w:rsidRPr="00A6004C">
              <w:rPr>
                <w:rFonts w:ascii="Calibri" w:eastAsia="Times New Roman" w:hAnsi="Calibri" w:cs="Times New Roman"/>
                <w:color w:val="000000"/>
                <w:lang w:eastAsia="en-AU"/>
              </w:rPr>
              <w:t>New South Wales</w:t>
            </w:r>
          </w:p>
        </w:tc>
        <w:tc>
          <w:tcPr>
            <w:tcW w:w="607" w:type="pct"/>
            <w:tcBorders>
              <w:top w:val="nil"/>
              <w:left w:val="single" w:sz="4" w:space="0" w:color="0093D0"/>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4,202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5,430 </w:t>
            </w:r>
          </w:p>
        </w:tc>
        <w:tc>
          <w:tcPr>
            <w:tcW w:w="625"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3,815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4,737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4,839 </w:t>
            </w:r>
          </w:p>
        </w:tc>
        <w:tc>
          <w:tcPr>
            <w:tcW w:w="660" w:type="pct"/>
            <w:tcBorders>
              <w:top w:val="nil"/>
              <w:left w:val="nil"/>
              <w:bottom w:val="nil"/>
              <w:right w:val="nil"/>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6,667 </w:t>
            </w:r>
          </w:p>
        </w:tc>
      </w:tr>
      <w:tr w:rsidR="00A953C5" w:rsidRPr="00A6004C" w:rsidTr="007D69B3">
        <w:trPr>
          <w:trHeight w:val="300"/>
        </w:trPr>
        <w:tc>
          <w:tcPr>
            <w:tcW w:w="1215" w:type="pct"/>
            <w:tcBorders>
              <w:top w:val="nil"/>
              <w:left w:val="nil"/>
              <w:bottom w:val="nil"/>
              <w:right w:val="single" w:sz="8" w:space="0" w:color="0093D0"/>
            </w:tcBorders>
            <w:shd w:val="clear" w:color="auto" w:fill="auto"/>
            <w:noWrap/>
            <w:vAlign w:val="center"/>
            <w:hideMark/>
          </w:tcPr>
          <w:p w:rsidR="00A953C5" w:rsidRPr="00A6004C" w:rsidRDefault="00A953C5" w:rsidP="003F61BD">
            <w:pPr>
              <w:spacing w:after="0" w:line="260" w:lineRule="atLeast"/>
              <w:rPr>
                <w:rFonts w:ascii="Calibri" w:eastAsia="Times New Roman" w:hAnsi="Calibri" w:cs="Times New Roman"/>
                <w:color w:val="000000"/>
                <w:lang w:eastAsia="en-AU"/>
              </w:rPr>
            </w:pPr>
            <w:r w:rsidRPr="00A6004C">
              <w:rPr>
                <w:rFonts w:ascii="Calibri" w:eastAsia="Times New Roman" w:hAnsi="Calibri" w:cs="Times New Roman"/>
                <w:color w:val="000000"/>
                <w:lang w:eastAsia="en-AU"/>
              </w:rPr>
              <w:t>Victoria</w:t>
            </w:r>
          </w:p>
        </w:tc>
        <w:tc>
          <w:tcPr>
            <w:tcW w:w="607" w:type="pct"/>
            <w:tcBorders>
              <w:top w:val="nil"/>
              <w:left w:val="single" w:sz="4" w:space="0" w:color="0093D0"/>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2,688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3,475 </w:t>
            </w:r>
          </w:p>
        </w:tc>
        <w:tc>
          <w:tcPr>
            <w:tcW w:w="625"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2,441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3,031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3,096 </w:t>
            </w:r>
          </w:p>
        </w:tc>
        <w:tc>
          <w:tcPr>
            <w:tcW w:w="660" w:type="pct"/>
            <w:tcBorders>
              <w:top w:val="nil"/>
              <w:left w:val="nil"/>
              <w:bottom w:val="nil"/>
              <w:right w:val="nil"/>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4,266 </w:t>
            </w:r>
          </w:p>
        </w:tc>
      </w:tr>
      <w:tr w:rsidR="00A953C5" w:rsidRPr="00A6004C" w:rsidTr="007D69B3">
        <w:trPr>
          <w:trHeight w:val="300"/>
        </w:trPr>
        <w:tc>
          <w:tcPr>
            <w:tcW w:w="1215" w:type="pct"/>
            <w:tcBorders>
              <w:top w:val="nil"/>
              <w:left w:val="nil"/>
              <w:bottom w:val="nil"/>
              <w:right w:val="single" w:sz="8" w:space="0" w:color="0093D0"/>
            </w:tcBorders>
            <w:shd w:val="clear" w:color="auto" w:fill="auto"/>
            <w:noWrap/>
            <w:vAlign w:val="center"/>
            <w:hideMark/>
          </w:tcPr>
          <w:p w:rsidR="00A953C5" w:rsidRPr="00A6004C" w:rsidRDefault="00A953C5" w:rsidP="003F61BD">
            <w:pPr>
              <w:spacing w:after="0" w:line="260" w:lineRule="atLeast"/>
              <w:rPr>
                <w:rFonts w:ascii="Calibri" w:eastAsia="Times New Roman" w:hAnsi="Calibri" w:cs="Times New Roman"/>
                <w:color w:val="000000"/>
                <w:lang w:eastAsia="en-AU"/>
              </w:rPr>
            </w:pPr>
            <w:r w:rsidRPr="00A6004C">
              <w:rPr>
                <w:rFonts w:ascii="Calibri" w:eastAsia="Times New Roman" w:hAnsi="Calibri" w:cs="Times New Roman"/>
                <w:color w:val="000000"/>
                <w:lang w:eastAsia="en-AU"/>
              </w:rPr>
              <w:t>Queensland</w:t>
            </w:r>
          </w:p>
        </w:tc>
        <w:tc>
          <w:tcPr>
            <w:tcW w:w="607" w:type="pct"/>
            <w:tcBorders>
              <w:top w:val="nil"/>
              <w:left w:val="single" w:sz="4" w:space="0" w:color="0093D0"/>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5,351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6,931 </w:t>
            </w:r>
          </w:p>
        </w:tc>
        <w:tc>
          <w:tcPr>
            <w:tcW w:w="625"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4,857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6,043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6,165 </w:t>
            </w:r>
          </w:p>
        </w:tc>
        <w:tc>
          <w:tcPr>
            <w:tcW w:w="660" w:type="pct"/>
            <w:tcBorders>
              <w:top w:val="nil"/>
              <w:left w:val="nil"/>
              <w:bottom w:val="nil"/>
              <w:right w:val="nil"/>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8,515 </w:t>
            </w:r>
          </w:p>
        </w:tc>
      </w:tr>
      <w:tr w:rsidR="00A953C5" w:rsidRPr="00A6004C" w:rsidTr="007D69B3">
        <w:trPr>
          <w:trHeight w:val="300"/>
        </w:trPr>
        <w:tc>
          <w:tcPr>
            <w:tcW w:w="1215" w:type="pct"/>
            <w:tcBorders>
              <w:top w:val="nil"/>
              <w:left w:val="nil"/>
              <w:bottom w:val="nil"/>
              <w:right w:val="single" w:sz="8" w:space="0" w:color="0093D0"/>
            </w:tcBorders>
            <w:shd w:val="clear" w:color="auto" w:fill="auto"/>
            <w:noWrap/>
            <w:vAlign w:val="center"/>
            <w:hideMark/>
          </w:tcPr>
          <w:p w:rsidR="00A953C5" w:rsidRPr="00A6004C" w:rsidRDefault="00A953C5" w:rsidP="003F61BD">
            <w:pPr>
              <w:spacing w:after="0" w:line="260" w:lineRule="atLeast"/>
              <w:rPr>
                <w:rFonts w:ascii="Calibri" w:eastAsia="Times New Roman" w:hAnsi="Calibri" w:cs="Times New Roman"/>
                <w:color w:val="000000"/>
                <w:lang w:eastAsia="en-AU"/>
              </w:rPr>
            </w:pPr>
            <w:r w:rsidRPr="00A6004C">
              <w:rPr>
                <w:rFonts w:ascii="Calibri" w:eastAsia="Times New Roman" w:hAnsi="Calibri" w:cs="Times New Roman"/>
                <w:color w:val="000000"/>
                <w:lang w:eastAsia="en-AU"/>
              </w:rPr>
              <w:t>South Australia</w:t>
            </w:r>
          </w:p>
        </w:tc>
        <w:tc>
          <w:tcPr>
            <w:tcW w:w="607" w:type="pct"/>
            <w:tcBorders>
              <w:top w:val="nil"/>
              <w:left w:val="single" w:sz="4" w:space="0" w:color="0093D0"/>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2,301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2,991 </w:t>
            </w:r>
          </w:p>
        </w:tc>
        <w:tc>
          <w:tcPr>
            <w:tcW w:w="625"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2,088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2,606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2,652 </w:t>
            </w:r>
          </w:p>
        </w:tc>
        <w:tc>
          <w:tcPr>
            <w:tcW w:w="660" w:type="pct"/>
            <w:tcBorders>
              <w:top w:val="nil"/>
              <w:left w:val="nil"/>
              <w:bottom w:val="nil"/>
              <w:right w:val="nil"/>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3,679 </w:t>
            </w:r>
          </w:p>
        </w:tc>
      </w:tr>
      <w:tr w:rsidR="00A953C5" w:rsidRPr="00A6004C" w:rsidTr="007D69B3">
        <w:trPr>
          <w:trHeight w:val="300"/>
        </w:trPr>
        <w:tc>
          <w:tcPr>
            <w:tcW w:w="1215" w:type="pct"/>
            <w:tcBorders>
              <w:top w:val="nil"/>
              <w:left w:val="nil"/>
              <w:bottom w:val="nil"/>
              <w:right w:val="single" w:sz="8" w:space="0" w:color="0093D0"/>
            </w:tcBorders>
            <w:shd w:val="clear" w:color="auto" w:fill="auto"/>
            <w:noWrap/>
            <w:vAlign w:val="center"/>
            <w:hideMark/>
          </w:tcPr>
          <w:p w:rsidR="00A953C5" w:rsidRPr="00A6004C" w:rsidRDefault="00A953C5" w:rsidP="003F61BD">
            <w:pPr>
              <w:spacing w:after="0" w:line="260" w:lineRule="atLeast"/>
              <w:rPr>
                <w:rFonts w:ascii="Calibri" w:eastAsia="Times New Roman" w:hAnsi="Calibri" w:cs="Times New Roman"/>
                <w:color w:val="000000"/>
                <w:lang w:eastAsia="en-AU"/>
              </w:rPr>
            </w:pPr>
            <w:r w:rsidRPr="00A6004C">
              <w:rPr>
                <w:rFonts w:ascii="Calibri" w:eastAsia="Times New Roman" w:hAnsi="Calibri" w:cs="Times New Roman"/>
                <w:color w:val="000000"/>
                <w:lang w:eastAsia="en-AU"/>
              </w:rPr>
              <w:t>Western Australia</w:t>
            </w:r>
          </w:p>
        </w:tc>
        <w:tc>
          <w:tcPr>
            <w:tcW w:w="607" w:type="pct"/>
            <w:tcBorders>
              <w:top w:val="nil"/>
              <w:left w:val="single" w:sz="4" w:space="0" w:color="0093D0"/>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1,904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2,461 </w:t>
            </w:r>
          </w:p>
        </w:tc>
        <w:tc>
          <w:tcPr>
            <w:tcW w:w="625"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1,728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2,146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2,192 </w:t>
            </w:r>
          </w:p>
        </w:tc>
        <w:tc>
          <w:tcPr>
            <w:tcW w:w="660" w:type="pct"/>
            <w:tcBorders>
              <w:top w:val="nil"/>
              <w:left w:val="nil"/>
              <w:bottom w:val="nil"/>
              <w:right w:val="nil"/>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3,021 </w:t>
            </w:r>
          </w:p>
        </w:tc>
      </w:tr>
      <w:tr w:rsidR="00A953C5" w:rsidRPr="00A6004C" w:rsidTr="007D69B3">
        <w:trPr>
          <w:trHeight w:val="300"/>
        </w:trPr>
        <w:tc>
          <w:tcPr>
            <w:tcW w:w="1215" w:type="pct"/>
            <w:tcBorders>
              <w:top w:val="nil"/>
              <w:left w:val="nil"/>
              <w:bottom w:val="nil"/>
              <w:right w:val="single" w:sz="8" w:space="0" w:color="0093D0"/>
            </w:tcBorders>
            <w:shd w:val="clear" w:color="auto" w:fill="auto"/>
            <w:noWrap/>
            <w:vAlign w:val="center"/>
            <w:hideMark/>
          </w:tcPr>
          <w:p w:rsidR="00A953C5" w:rsidRPr="00A6004C" w:rsidRDefault="00A953C5" w:rsidP="003F61BD">
            <w:pPr>
              <w:spacing w:after="0" w:line="260" w:lineRule="atLeast"/>
              <w:rPr>
                <w:rFonts w:ascii="Calibri" w:eastAsia="Times New Roman" w:hAnsi="Calibri" w:cs="Times New Roman"/>
                <w:color w:val="000000"/>
                <w:lang w:eastAsia="en-AU"/>
              </w:rPr>
            </w:pPr>
            <w:r w:rsidRPr="00A6004C">
              <w:rPr>
                <w:rFonts w:ascii="Calibri" w:eastAsia="Times New Roman" w:hAnsi="Calibri" w:cs="Times New Roman"/>
                <w:color w:val="000000"/>
                <w:lang w:eastAsia="en-AU"/>
              </w:rPr>
              <w:t>Tasmania</w:t>
            </w:r>
          </w:p>
        </w:tc>
        <w:tc>
          <w:tcPr>
            <w:tcW w:w="607" w:type="pct"/>
            <w:tcBorders>
              <w:top w:val="nil"/>
              <w:left w:val="single" w:sz="4" w:space="0" w:color="0093D0"/>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455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592 </w:t>
            </w:r>
          </w:p>
        </w:tc>
        <w:tc>
          <w:tcPr>
            <w:tcW w:w="625"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413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516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524 </w:t>
            </w:r>
          </w:p>
        </w:tc>
        <w:tc>
          <w:tcPr>
            <w:tcW w:w="660" w:type="pct"/>
            <w:tcBorders>
              <w:top w:val="nil"/>
              <w:left w:val="nil"/>
              <w:bottom w:val="nil"/>
              <w:right w:val="nil"/>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729 </w:t>
            </w:r>
          </w:p>
        </w:tc>
      </w:tr>
      <w:tr w:rsidR="00A953C5" w:rsidRPr="00A6004C" w:rsidTr="007D69B3">
        <w:trPr>
          <w:trHeight w:val="300"/>
        </w:trPr>
        <w:tc>
          <w:tcPr>
            <w:tcW w:w="1215" w:type="pct"/>
            <w:tcBorders>
              <w:top w:val="nil"/>
              <w:left w:val="nil"/>
              <w:bottom w:val="nil"/>
              <w:right w:val="single" w:sz="8" w:space="0" w:color="0093D0"/>
            </w:tcBorders>
            <w:shd w:val="clear" w:color="auto" w:fill="auto"/>
            <w:noWrap/>
            <w:vAlign w:val="center"/>
            <w:hideMark/>
          </w:tcPr>
          <w:p w:rsidR="00A953C5" w:rsidRPr="00A6004C" w:rsidRDefault="00A953C5" w:rsidP="003F61BD">
            <w:pPr>
              <w:spacing w:after="0" w:line="260" w:lineRule="atLeast"/>
              <w:rPr>
                <w:rFonts w:ascii="Calibri" w:eastAsia="Times New Roman" w:hAnsi="Calibri" w:cs="Times New Roman"/>
                <w:color w:val="000000"/>
                <w:lang w:eastAsia="en-AU"/>
              </w:rPr>
            </w:pPr>
            <w:r w:rsidRPr="00A6004C">
              <w:rPr>
                <w:rFonts w:ascii="Calibri" w:eastAsia="Times New Roman" w:hAnsi="Calibri" w:cs="Times New Roman"/>
                <w:color w:val="000000"/>
                <w:lang w:eastAsia="en-AU"/>
              </w:rPr>
              <w:t>Northern Territory</w:t>
            </w:r>
          </w:p>
        </w:tc>
        <w:tc>
          <w:tcPr>
            <w:tcW w:w="607" w:type="pct"/>
            <w:tcBorders>
              <w:top w:val="nil"/>
              <w:left w:val="single" w:sz="4" w:space="0" w:color="0093D0"/>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80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104 </w:t>
            </w:r>
          </w:p>
        </w:tc>
        <w:tc>
          <w:tcPr>
            <w:tcW w:w="625"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72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91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92 </w:t>
            </w:r>
          </w:p>
        </w:tc>
        <w:tc>
          <w:tcPr>
            <w:tcW w:w="660" w:type="pct"/>
            <w:tcBorders>
              <w:top w:val="nil"/>
              <w:left w:val="nil"/>
              <w:bottom w:val="nil"/>
              <w:right w:val="nil"/>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128 </w:t>
            </w:r>
          </w:p>
        </w:tc>
      </w:tr>
      <w:tr w:rsidR="00A953C5" w:rsidRPr="00A6004C" w:rsidTr="007D69B3">
        <w:trPr>
          <w:trHeight w:val="300"/>
        </w:trPr>
        <w:tc>
          <w:tcPr>
            <w:tcW w:w="1215" w:type="pct"/>
            <w:tcBorders>
              <w:top w:val="nil"/>
              <w:left w:val="nil"/>
              <w:bottom w:val="nil"/>
              <w:right w:val="single" w:sz="8" w:space="0" w:color="0093D0"/>
            </w:tcBorders>
            <w:shd w:val="clear" w:color="auto" w:fill="auto"/>
            <w:noWrap/>
            <w:vAlign w:val="center"/>
            <w:hideMark/>
          </w:tcPr>
          <w:p w:rsidR="00A953C5" w:rsidRPr="00A6004C" w:rsidRDefault="00A953C5" w:rsidP="003F61BD">
            <w:pPr>
              <w:spacing w:after="0" w:line="260" w:lineRule="atLeast"/>
              <w:rPr>
                <w:rFonts w:ascii="Calibri" w:eastAsia="Times New Roman" w:hAnsi="Calibri" w:cs="Times New Roman"/>
                <w:color w:val="000000"/>
                <w:lang w:eastAsia="en-AU"/>
              </w:rPr>
            </w:pPr>
            <w:r w:rsidRPr="00A6004C">
              <w:rPr>
                <w:rFonts w:ascii="Calibri" w:eastAsia="Times New Roman" w:hAnsi="Calibri" w:cs="Times New Roman"/>
                <w:color w:val="000000"/>
                <w:lang w:eastAsia="en-AU"/>
              </w:rPr>
              <w:t>ACT</w:t>
            </w:r>
          </w:p>
        </w:tc>
        <w:tc>
          <w:tcPr>
            <w:tcW w:w="607" w:type="pct"/>
            <w:tcBorders>
              <w:top w:val="nil"/>
              <w:left w:val="single" w:sz="4" w:space="0" w:color="0093D0"/>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215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278 </w:t>
            </w:r>
          </w:p>
        </w:tc>
        <w:tc>
          <w:tcPr>
            <w:tcW w:w="625"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195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243 </w:t>
            </w:r>
          </w:p>
        </w:tc>
        <w:tc>
          <w:tcPr>
            <w:tcW w:w="631" w:type="pct"/>
            <w:tcBorders>
              <w:top w:val="nil"/>
              <w:left w:val="nil"/>
              <w:bottom w:val="nil"/>
              <w:right w:val="single" w:sz="4" w:space="0" w:color="0093D0"/>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248 </w:t>
            </w:r>
          </w:p>
        </w:tc>
        <w:tc>
          <w:tcPr>
            <w:tcW w:w="660" w:type="pct"/>
            <w:tcBorders>
              <w:top w:val="nil"/>
              <w:left w:val="nil"/>
              <w:bottom w:val="nil"/>
              <w:right w:val="nil"/>
            </w:tcBorders>
            <w:shd w:val="clear" w:color="auto" w:fill="auto"/>
            <w:noWrap/>
            <w:vAlign w:val="bottom"/>
            <w:hideMark/>
          </w:tcPr>
          <w:p w:rsidR="00A953C5" w:rsidRPr="00A953C5" w:rsidRDefault="00A953C5" w:rsidP="00A953C5">
            <w:pPr>
              <w:spacing w:before="100" w:beforeAutospacing="1" w:after="100" w:afterAutospacing="1" w:line="260" w:lineRule="atLeast"/>
              <w:jc w:val="right"/>
              <w:rPr>
                <w:bCs/>
                <w:color w:val="000000"/>
              </w:rPr>
            </w:pPr>
            <w:r w:rsidRPr="00A953C5">
              <w:rPr>
                <w:bCs/>
                <w:color w:val="000000"/>
              </w:rPr>
              <w:t xml:space="preserve">                     342 </w:t>
            </w:r>
          </w:p>
        </w:tc>
      </w:tr>
      <w:tr w:rsidR="00A953C5" w:rsidRPr="00A6004C" w:rsidTr="007D69B3">
        <w:trPr>
          <w:trHeight w:val="300"/>
        </w:trPr>
        <w:tc>
          <w:tcPr>
            <w:tcW w:w="1215" w:type="pct"/>
            <w:tcBorders>
              <w:top w:val="nil"/>
              <w:left w:val="nil"/>
              <w:bottom w:val="nil"/>
              <w:right w:val="nil"/>
            </w:tcBorders>
            <w:shd w:val="clear" w:color="000000" w:fill="DDEBF7"/>
            <w:noWrap/>
            <w:vAlign w:val="bottom"/>
            <w:hideMark/>
          </w:tcPr>
          <w:p w:rsidR="00A953C5" w:rsidRPr="00A6004C" w:rsidRDefault="00A953C5" w:rsidP="003F61BD">
            <w:pPr>
              <w:spacing w:after="0" w:line="260" w:lineRule="atLeast"/>
              <w:rPr>
                <w:rFonts w:ascii="Calibri" w:eastAsia="Times New Roman" w:hAnsi="Calibri" w:cs="Times New Roman"/>
                <w:b/>
                <w:bCs/>
                <w:color w:val="000000"/>
                <w:lang w:eastAsia="en-AU"/>
              </w:rPr>
            </w:pPr>
            <w:r w:rsidRPr="00A6004C">
              <w:rPr>
                <w:rFonts w:ascii="Calibri" w:eastAsia="Times New Roman" w:hAnsi="Calibri" w:cs="Times New Roman"/>
                <w:b/>
                <w:bCs/>
                <w:color w:val="000000"/>
                <w:lang w:eastAsia="en-AU"/>
              </w:rPr>
              <w:t>Australia</w:t>
            </w:r>
          </w:p>
        </w:tc>
        <w:tc>
          <w:tcPr>
            <w:tcW w:w="607" w:type="pct"/>
            <w:tcBorders>
              <w:top w:val="nil"/>
              <w:left w:val="nil"/>
              <w:bottom w:val="nil"/>
              <w:right w:val="nil"/>
            </w:tcBorders>
            <w:shd w:val="clear" w:color="000000" w:fill="DDEBF7"/>
            <w:noWrap/>
            <w:vAlign w:val="bottom"/>
            <w:hideMark/>
          </w:tcPr>
          <w:p w:rsidR="00A953C5" w:rsidRPr="00A953C5" w:rsidRDefault="00A953C5" w:rsidP="00A953C5">
            <w:pPr>
              <w:spacing w:before="100" w:beforeAutospacing="1" w:after="100" w:afterAutospacing="1" w:line="260" w:lineRule="atLeast"/>
              <w:jc w:val="right"/>
              <w:rPr>
                <w:b/>
                <w:bCs/>
                <w:color w:val="000000"/>
              </w:rPr>
            </w:pPr>
            <w:r w:rsidRPr="00A953C5">
              <w:rPr>
                <w:b/>
                <w:bCs/>
                <w:color w:val="000000"/>
              </w:rPr>
              <w:t xml:space="preserve">             17,194 </w:t>
            </w:r>
          </w:p>
        </w:tc>
        <w:tc>
          <w:tcPr>
            <w:tcW w:w="631" w:type="pct"/>
            <w:tcBorders>
              <w:top w:val="nil"/>
              <w:left w:val="nil"/>
              <w:bottom w:val="nil"/>
              <w:right w:val="nil"/>
            </w:tcBorders>
            <w:shd w:val="clear" w:color="000000" w:fill="DDEBF7"/>
            <w:noWrap/>
            <w:vAlign w:val="bottom"/>
            <w:hideMark/>
          </w:tcPr>
          <w:p w:rsidR="00A953C5" w:rsidRPr="00A953C5" w:rsidRDefault="00A953C5" w:rsidP="00A953C5">
            <w:pPr>
              <w:spacing w:before="100" w:beforeAutospacing="1" w:after="100" w:afterAutospacing="1" w:line="260" w:lineRule="atLeast"/>
              <w:jc w:val="right"/>
              <w:rPr>
                <w:b/>
                <w:bCs/>
                <w:color w:val="000000"/>
              </w:rPr>
            </w:pPr>
            <w:r w:rsidRPr="00A953C5">
              <w:rPr>
                <w:b/>
                <w:bCs/>
                <w:color w:val="000000"/>
              </w:rPr>
              <w:t xml:space="preserve">              22,263 </w:t>
            </w:r>
          </w:p>
        </w:tc>
        <w:tc>
          <w:tcPr>
            <w:tcW w:w="625" w:type="pct"/>
            <w:tcBorders>
              <w:top w:val="nil"/>
              <w:left w:val="nil"/>
              <w:bottom w:val="nil"/>
              <w:right w:val="nil"/>
            </w:tcBorders>
            <w:shd w:val="clear" w:color="000000" w:fill="DDEBF7"/>
            <w:noWrap/>
            <w:vAlign w:val="bottom"/>
            <w:hideMark/>
          </w:tcPr>
          <w:p w:rsidR="00A953C5" w:rsidRPr="00A953C5" w:rsidRDefault="00A953C5" w:rsidP="00A953C5">
            <w:pPr>
              <w:spacing w:before="100" w:beforeAutospacing="1" w:after="100" w:afterAutospacing="1" w:line="260" w:lineRule="atLeast"/>
              <w:jc w:val="right"/>
              <w:rPr>
                <w:b/>
                <w:bCs/>
                <w:color w:val="000000"/>
              </w:rPr>
            </w:pPr>
            <w:r w:rsidRPr="00A953C5">
              <w:rPr>
                <w:b/>
                <w:bCs/>
                <w:color w:val="000000"/>
              </w:rPr>
              <w:t xml:space="preserve">             15,609 </w:t>
            </w:r>
          </w:p>
        </w:tc>
        <w:tc>
          <w:tcPr>
            <w:tcW w:w="631" w:type="pct"/>
            <w:tcBorders>
              <w:top w:val="nil"/>
              <w:left w:val="nil"/>
              <w:bottom w:val="nil"/>
              <w:right w:val="nil"/>
            </w:tcBorders>
            <w:shd w:val="clear" w:color="000000" w:fill="DDEBF7"/>
            <w:noWrap/>
            <w:vAlign w:val="bottom"/>
            <w:hideMark/>
          </w:tcPr>
          <w:p w:rsidR="00A953C5" w:rsidRPr="00A953C5" w:rsidRDefault="00A953C5" w:rsidP="00A953C5">
            <w:pPr>
              <w:spacing w:before="100" w:beforeAutospacing="1" w:after="100" w:afterAutospacing="1" w:line="260" w:lineRule="atLeast"/>
              <w:jc w:val="right"/>
              <w:rPr>
                <w:b/>
                <w:bCs/>
                <w:color w:val="000000"/>
              </w:rPr>
            </w:pPr>
            <w:r w:rsidRPr="00A953C5">
              <w:rPr>
                <w:b/>
                <w:bCs/>
                <w:color w:val="000000"/>
              </w:rPr>
              <w:t xml:space="preserve">              19,413 </w:t>
            </w:r>
          </w:p>
        </w:tc>
        <w:tc>
          <w:tcPr>
            <w:tcW w:w="631" w:type="pct"/>
            <w:tcBorders>
              <w:top w:val="nil"/>
              <w:left w:val="nil"/>
              <w:bottom w:val="nil"/>
              <w:right w:val="nil"/>
            </w:tcBorders>
            <w:shd w:val="clear" w:color="000000" w:fill="DDEBF7"/>
            <w:noWrap/>
            <w:vAlign w:val="bottom"/>
            <w:hideMark/>
          </w:tcPr>
          <w:p w:rsidR="00A953C5" w:rsidRPr="00A953C5" w:rsidRDefault="00A953C5" w:rsidP="00A953C5">
            <w:pPr>
              <w:spacing w:before="100" w:beforeAutospacing="1" w:after="100" w:afterAutospacing="1" w:line="260" w:lineRule="atLeast"/>
              <w:jc w:val="right"/>
              <w:rPr>
                <w:b/>
                <w:bCs/>
                <w:color w:val="000000"/>
              </w:rPr>
            </w:pPr>
            <w:r w:rsidRPr="00A953C5">
              <w:rPr>
                <w:b/>
                <w:bCs/>
                <w:color w:val="000000"/>
              </w:rPr>
              <w:t xml:space="preserve">              19,808 </w:t>
            </w:r>
          </w:p>
        </w:tc>
        <w:tc>
          <w:tcPr>
            <w:tcW w:w="660" w:type="pct"/>
            <w:tcBorders>
              <w:top w:val="nil"/>
              <w:left w:val="nil"/>
              <w:bottom w:val="nil"/>
              <w:right w:val="nil"/>
            </w:tcBorders>
            <w:shd w:val="clear" w:color="000000" w:fill="DDEBF7"/>
            <w:noWrap/>
            <w:vAlign w:val="bottom"/>
            <w:hideMark/>
          </w:tcPr>
          <w:p w:rsidR="00A953C5" w:rsidRPr="00A953C5" w:rsidRDefault="00A953C5" w:rsidP="00A953C5">
            <w:pPr>
              <w:spacing w:before="100" w:beforeAutospacing="1" w:after="100" w:afterAutospacing="1" w:line="260" w:lineRule="atLeast"/>
              <w:jc w:val="right"/>
              <w:rPr>
                <w:b/>
                <w:bCs/>
                <w:color w:val="000000"/>
              </w:rPr>
            </w:pPr>
            <w:r w:rsidRPr="00A953C5">
              <w:rPr>
                <w:b/>
                <w:bCs/>
                <w:color w:val="000000"/>
              </w:rPr>
              <w:t xml:space="preserve">               27,348 </w:t>
            </w:r>
          </w:p>
        </w:tc>
      </w:tr>
    </w:tbl>
    <w:p w:rsidR="00A6004C" w:rsidRDefault="00A6004C" w:rsidP="00122C2B">
      <w:pPr>
        <w:keepNext/>
        <w:keepLines/>
        <w:spacing w:before="120" w:after="120" w:line="240" w:lineRule="auto"/>
        <w:rPr>
          <w:rFonts w:ascii="Calibri" w:eastAsia="Times New Roman" w:hAnsi="Calibri" w:cs="Calibri"/>
          <w:b/>
          <w:bCs/>
          <w:sz w:val="20"/>
          <w:szCs w:val="20"/>
          <w:lang w:eastAsia="en-AU"/>
        </w:rPr>
      </w:pPr>
    </w:p>
    <w:p w:rsidR="00967B7B" w:rsidRDefault="00967B7B" w:rsidP="001561E1">
      <w:pPr>
        <w:keepNext/>
        <w:keepLines/>
        <w:spacing w:before="120" w:after="120" w:line="240" w:lineRule="auto"/>
        <w:rPr>
          <w:rFonts w:ascii="Calibri" w:eastAsia="Times New Roman" w:hAnsi="Calibri" w:cs="Calibri"/>
          <w:b/>
          <w:bCs/>
          <w:sz w:val="20"/>
          <w:szCs w:val="20"/>
          <w:lang w:eastAsia="en-AU"/>
        </w:rPr>
      </w:pPr>
    </w:p>
    <w:p w:rsidR="00967B7B" w:rsidRDefault="00967B7B" w:rsidP="001561E1">
      <w:pPr>
        <w:keepNext/>
        <w:keepLines/>
        <w:spacing w:before="120" w:after="120" w:line="240" w:lineRule="auto"/>
        <w:rPr>
          <w:rFonts w:ascii="Calibri" w:eastAsia="Times New Roman" w:hAnsi="Calibri" w:cs="Calibri"/>
          <w:b/>
          <w:bCs/>
          <w:sz w:val="20"/>
          <w:szCs w:val="20"/>
          <w:lang w:eastAsia="en-AU"/>
        </w:rPr>
      </w:pPr>
    </w:p>
    <w:p w:rsidR="00967B7B" w:rsidRPr="001561E1" w:rsidRDefault="00967B7B" w:rsidP="001561E1">
      <w:pPr>
        <w:keepNext/>
        <w:keepLines/>
        <w:spacing w:before="120" w:after="120" w:line="240" w:lineRule="auto"/>
        <w:rPr>
          <w:b/>
          <w:bCs/>
          <w:sz w:val="20"/>
          <w:szCs w:val="20"/>
        </w:rPr>
        <w:sectPr w:rsidR="00967B7B" w:rsidRPr="001561E1" w:rsidSect="00967B7B">
          <w:headerReference w:type="default" r:id="rId23"/>
          <w:footerReference w:type="default" r:id="rId24"/>
          <w:pgSz w:w="16838" w:h="11906" w:orient="landscape" w:code="9"/>
          <w:pgMar w:top="1701" w:right="1134" w:bottom="1134" w:left="1701" w:header="680" w:footer="113" w:gutter="0"/>
          <w:cols w:space="708"/>
          <w:docGrid w:linePitch="360"/>
        </w:sectPr>
      </w:pPr>
    </w:p>
    <w:p w:rsidR="00A82A68" w:rsidRDefault="00A82A68" w:rsidP="00A82A68">
      <w:pPr>
        <w:pStyle w:val="MJAheading1"/>
      </w:pPr>
      <w:bookmarkStart w:id="29" w:name="_Ref391204092"/>
      <w:bookmarkStart w:id="30" w:name="_Toc391729955"/>
      <w:r>
        <w:lastRenderedPageBreak/>
        <w:t>Method</w:t>
      </w:r>
      <w:r w:rsidR="00DF72DB">
        <w:t>s</w:t>
      </w:r>
      <w:r>
        <w:t xml:space="preserve"> and data assumptions</w:t>
      </w:r>
      <w:bookmarkEnd w:id="29"/>
      <w:bookmarkEnd w:id="30"/>
    </w:p>
    <w:p w:rsidR="007E1119" w:rsidRDefault="007E1119" w:rsidP="00D60375">
      <w:pPr>
        <w:pStyle w:val="MJAheading2"/>
        <w:ind w:hanging="720"/>
      </w:pPr>
      <w:bookmarkStart w:id="31" w:name="_Toc391729956"/>
      <w:r>
        <w:t>Classification and quantification of waste</w:t>
      </w:r>
      <w:bookmarkEnd w:id="31"/>
    </w:p>
    <w:p w:rsidR="00991F83" w:rsidRDefault="00194D1C" w:rsidP="00991F83">
      <w:pPr>
        <w:pStyle w:val="MJAheading3"/>
        <w:ind w:hanging="1080"/>
        <w:rPr>
          <w:lang w:val="en-US"/>
        </w:rPr>
      </w:pPr>
      <w:r>
        <w:rPr>
          <w:lang w:val="en-US"/>
        </w:rPr>
        <w:t>Waste generation</w:t>
      </w:r>
      <w:r w:rsidR="00E85B25">
        <w:rPr>
          <w:lang w:val="en-US"/>
        </w:rPr>
        <w:t xml:space="preserve"> </w:t>
      </w:r>
    </w:p>
    <w:p w:rsidR="00D60375" w:rsidRDefault="00D60375" w:rsidP="00D60375">
      <w:pPr>
        <w:pStyle w:val="MJAnormal"/>
        <w:rPr>
          <w:lang w:val="en-US"/>
        </w:rPr>
      </w:pPr>
      <w:r>
        <w:rPr>
          <w:lang w:val="en-US"/>
        </w:rPr>
        <w:t xml:space="preserve">National waste generation was estimated according to the source jurisdiction, NEPM </w:t>
      </w:r>
      <w:r w:rsidR="00570F64">
        <w:rPr>
          <w:lang w:val="en-US"/>
        </w:rPr>
        <w:t xml:space="preserve">75 </w:t>
      </w:r>
      <w:r>
        <w:rPr>
          <w:lang w:val="en-US"/>
        </w:rPr>
        <w:t xml:space="preserve">waste code, and material destination (be that treatment, disposal, recycling, reuse, or energy recovery). </w:t>
      </w:r>
    </w:p>
    <w:p w:rsidR="00D60375" w:rsidRDefault="00D60375" w:rsidP="00D60375">
      <w:pPr>
        <w:pStyle w:val="MJAnormal"/>
        <w:rPr>
          <w:lang w:val="en-US"/>
        </w:rPr>
      </w:pPr>
      <w:r>
        <w:rPr>
          <w:lang w:val="en-US"/>
        </w:rPr>
        <w:t>Waste generation for the 2012 calendar year</w:t>
      </w:r>
      <w:r w:rsidR="008E5D89">
        <w:rPr>
          <w:rStyle w:val="FootnoteReference"/>
          <w:lang w:val="en-US"/>
        </w:rPr>
        <w:footnoteReference w:id="4"/>
      </w:r>
      <w:r>
        <w:rPr>
          <w:lang w:val="en-US"/>
        </w:rPr>
        <w:t xml:space="preserve"> was estimated using the 2014 study prepared for the Department of Environment (Blue Environment 2014) that compiled and verified waste generation and tracking data from each jurisdiction, by </w:t>
      </w:r>
      <w:r w:rsidR="00A20AA9">
        <w:rPr>
          <w:lang w:val="en-US"/>
        </w:rPr>
        <w:t xml:space="preserve">the 75 </w:t>
      </w:r>
      <w:r>
        <w:rPr>
          <w:lang w:val="en-US"/>
        </w:rPr>
        <w:t>NEPM classification</w:t>
      </w:r>
      <w:r w:rsidR="00A20AA9">
        <w:rPr>
          <w:lang w:val="en-US"/>
        </w:rPr>
        <w:t>s</w:t>
      </w:r>
      <w:r>
        <w:rPr>
          <w:lang w:val="en-US"/>
        </w:rPr>
        <w:t>. The data used in that study was suitable for estimating overall generation by jurisdiction and NEPM code. These calculations were provided to the project team for use in this project. Whilst data provided by jurisdictions was based on material tracking systems where available, adjustments were made throughout that study to account for non-tracked materials and data not provided by jurisdictions. The full methodology for that study should be consulted for further information.</w:t>
      </w:r>
    </w:p>
    <w:p w:rsidR="00E85B25" w:rsidRPr="00194D1C" w:rsidRDefault="00E85B25" w:rsidP="00E85B25">
      <w:pPr>
        <w:pStyle w:val="MJAnormal"/>
        <w:rPr>
          <w:lang w:val="en-US"/>
        </w:rPr>
      </w:pPr>
      <w:r w:rsidRPr="00194D1C">
        <w:t>Haza</w:t>
      </w:r>
      <w:r w:rsidR="00194D1C">
        <w:t xml:space="preserve">rdous waste generation is </w:t>
      </w:r>
      <w:r w:rsidRPr="00194D1C">
        <w:t xml:space="preserve">estimated at over 6.6 million tonnes in 2012 in </w:t>
      </w:r>
      <w:r w:rsidR="00194D1C">
        <w:t>the Blue Environment study (</w:t>
      </w:r>
      <w:r w:rsidRPr="00194D1C">
        <w:t xml:space="preserve">2014). This assessment includes waste generation by jurisdiction and split according to the 75 codes that make up the NEPM (Movement of Controlled Waste) classification as shown in </w:t>
      </w:r>
      <w:fldSimple w:instr=" REF _Ref391290286 \h  \* MERGEFORMAT ">
        <w:r w:rsidR="00D54C27" w:rsidRPr="00D54C27">
          <w:t>Table 11</w:t>
        </w:r>
      </w:fldSimple>
      <w:r w:rsidRPr="00194D1C">
        <w:t xml:space="preserve">. </w:t>
      </w:r>
    </w:p>
    <w:p w:rsidR="00E85B25" w:rsidRPr="00194D1C" w:rsidRDefault="00E85B25" w:rsidP="00D60375">
      <w:pPr>
        <w:pStyle w:val="MJAnormal"/>
      </w:pPr>
      <w:r w:rsidRPr="00194D1C">
        <w:t>Whilst this is adjusted to account for non-tracked wastes, waste material generated and disposed on-site (for example hospital clinical waste) is not tracked and may not be included in the estimate.</w:t>
      </w:r>
    </w:p>
    <w:p w:rsidR="00E85B25" w:rsidRDefault="00E85B25" w:rsidP="00E85B25">
      <w:pPr>
        <w:pStyle w:val="MJAheading3"/>
        <w:ind w:hanging="1080"/>
        <w:rPr>
          <w:lang w:val="en-US"/>
        </w:rPr>
      </w:pPr>
      <w:r>
        <w:rPr>
          <w:lang w:val="en-US"/>
        </w:rPr>
        <w:t>Data flows</w:t>
      </w:r>
    </w:p>
    <w:p w:rsidR="00D60375" w:rsidRDefault="00D60375" w:rsidP="00D60375">
      <w:pPr>
        <w:pStyle w:val="MJAnormal"/>
        <w:rPr>
          <w:lang w:val="en-US"/>
        </w:rPr>
      </w:pPr>
      <w:r>
        <w:rPr>
          <w:lang w:val="en-US"/>
        </w:rPr>
        <w:t xml:space="preserve">As different waste types require different treatments, further research was undertaken through consultation with the waste management industry. This consultation incorporated interviews with industry experts from which an indication of the material flow paths was obtained. Thirty-eight individual flow paths were identified containing one or more of the following elements: </w:t>
      </w:r>
    </w:p>
    <w:p w:rsidR="00D60375" w:rsidRPr="00D60375" w:rsidRDefault="00D60375" w:rsidP="00D60375">
      <w:pPr>
        <w:pStyle w:val="MJAbulletnormal"/>
        <w:numPr>
          <w:ilvl w:val="0"/>
          <w:numId w:val="2"/>
        </w:numPr>
        <w:rPr>
          <w:szCs w:val="20"/>
        </w:rPr>
      </w:pPr>
      <w:bookmarkStart w:id="32" w:name="OLE_LINK1"/>
      <w:bookmarkStart w:id="33" w:name="OLE_LINK2"/>
      <w:r w:rsidRPr="00D60375">
        <w:rPr>
          <w:szCs w:val="20"/>
        </w:rPr>
        <w:t xml:space="preserve">Transport </w:t>
      </w:r>
    </w:p>
    <w:p w:rsidR="00D60375" w:rsidRPr="00D60375" w:rsidRDefault="00D60375" w:rsidP="00D60375">
      <w:pPr>
        <w:pStyle w:val="MJAbulletnormal"/>
        <w:numPr>
          <w:ilvl w:val="0"/>
          <w:numId w:val="2"/>
        </w:numPr>
        <w:rPr>
          <w:szCs w:val="20"/>
        </w:rPr>
      </w:pPr>
      <w:r w:rsidRPr="00D60375">
        <w:rPr>
          <w:szCs w:val="20"/>
        </w:rPr>
        <w:t>Initial treatment</w:t>
      </w:r>
    </w:p>
    <w:p w:rsidR="00D60375" w:rsidRPr="00D60375" w:rsidRDefault="00D60375" w:rsidP="00D60375">
      <w:pPr>
        <w:pStyle w:val="MJAbulletnormal"/>
        <w:numPr>
          <w:ilvl w:val="0"/>
          <w:numId w:val="2"/>
        </w:numPr>
        <w:rPr>
          <w:szCs w:val="20"/>
        </w:rPr>
      </w:pPr>
      <w:r w:rsidRPr="00D60375">
        <w:rPr>
          <w:szCs w:val="20"/>
        </w:rPr>
        <w:t>Transport for subsequent treatment(s)</w:t>
      </w:r>
    </w:p>
    <w:p w:rsidR="00D60375" w:rsidRPr="00D60375" w:rsidRDefault="00D60375" w:rsidP="00D60375">
      <w:pPr>
        <w:pStyle w:val="MJAbulletnormal"/>
        <w:numPr>
          <w:ilvl w:val="0"/>
          <w:numId w:val="2"/>
        </w:numPr>
        <w:rPr>
          <w:szCs w:val="20"/>
        </w:rPr>
      </w:pPr>
      <w:r w:rsidRPr="00D60375">
        <w:rPr>
          <w:szCs w:val="20"/>
        </w:rPr>
        <w:t>Subsequent treatment(s)</w:t>
      </w:r>
    </w:p>
    <w:p w:rsidR="00D60375" w:rsidRPr="00D60375" w:rsidRDefault="00D60375" w:rsidP="00D60375">
      <w:pPr>
        <w:pStyle w:val="MJAbulletnormal"/>
        <w:numPr>
          <w:ilvl w:val="0"/>
          <w:numId w:val="2"/>
        </w:numPr>
        <w:rPr>
          <w:szCs w:val="20"/>
        </w:rPr>
      </w:pPr>
      <w:r w:rsidRPr="00D60375">
        <w:rPr>
          <w:szCs w:val="20"/>
        </w:rPr>
        <w:t>Transport for disposal of residual from treatment</w:t>
      </w:r>
    </w:p>
    <w:p w:rsidR="00D60375" w:rsidRPr="00D60375" w:rsidRDefault="00D60375" w:rsidP="00D60375">
      <w:pPr>
        <w:pStyle w:val="MJAbulletnormal"/>
        <w:numPr>
          <w:ilvl w:val="0"/>
          <w:numId w:val="2"/>
        </w:numPr>
        <w:rPr>
          <w:szCs w:val="20"/>
        </w:rPr>
      </w:pPr>
      <w:r w:rsidRPr="00D60375">
        <w:rPr>
          <w:szCs w:val="20"/>
        </w:rPr>
        <w:t>Disposal of residual from treatment</w:t>
      </w:r>
      <w:r w:rsidR="008477FC">
        <w:rPr>
          <w:szCs w:val="20"/>
        </w:rPr>
        <w:t>.</w:t>
      </w:r>
    </w:p>
    <w:bookmarkEnd w:id="32"/>
    <w:bookmarkEnd w:id="33"/>
    <w:p w:rsidR="00D60375" w:rsidRDefault="00D60375" w:rsidP="006A0464">
      <w:pPr>
        <w:pStyle w:val="MJAnormal"/>
        <w:keepLines/>
        <w:rPr>
          <w:lang w:val="en-US"/>
        </w:rPr>
      </w:pPr>
      <w:r>
        <w:rPr>
          <w:lang w:val="en-US"/>
        </w:rPr>
        <w:t xml:space="preserve">The flow charts that outline these thirty-eight flow paths can be seen </w:t>
      </w:r>
      <w:r w:rsidRPr="00E85B25">
        <w:rPr>
          <w:rStyle w:val="MJAnormalChar1"/>
        </w:rPr>
        <w:t>in</w:t>
      </w:r>
      <w:r w:rsidR="00E03BB7">
        <w:rPr>
          <w:rStyle w:val="MJAnormalChar1"/>
        </w:rPr>
        <w:t xml:space="preserve"> Figures 5 and 6</w:t>
      </w:r>
      <w:r w:rsidRPr="00E85B25">
        <w:rPr>
          <w:rStyle w:val="MJAnormalChar1"/>
        </w:rPr>
        <w:t>.</w:t>
      </w:r>
      <w:r>
        <w:rPr>
          <w:lang w:val="en-US"/>
        </w:rPr>
        <w:t xml:space="preserve"> </w:t>
      </w:r>
    </w:p>
    <w:p w:rsidR="00991F83" w:rsidRDefault="00991F83" w:rsidP="00D60375">
      <w:pPr>
        <w:pStyle w:val="MJAnormal"/>
        <w:rPr>
          <w:lang w:val="en-US"/>
        </w:rPr>
      </w:pPr>
    </w:p>
    <w:p w:rsidR="00991F83" w:rsidRDefault="00991F83" w:rsidP="00D60375">
      <w:pPr>
        <w:pStyle w:val="MJAnormal"/>
        <w:rPr>
          <w:lang w:val="en-US"/>
        </w:rPr>
        <w:sectPr w:rsidR="00991F83" w:rsidSect="00EB41EE">
          <w:headerReference w:type="default" r:id="rId25"/>
          <w:footerReference w:type="default" r:id="rId26"/>
          <w:pgSz w:w="11906" w:h="16838" w:code="9"/>
          <w:pgMar w:top="1701" w:right="1134" w:bottom="1021" w:left="2268" w:header="680" w:footer="113" w:gutter="0"/>
          <w:cols w:space="708"/>
          <w:docGrid w:linePitch="360"/>
        </w:sectPr>
      </w:pPr>
    </w:p>
    <w:p w:rsidR="00194D1C" w:rsidRDefault="00194D1C" w:rsidP="00194D1C">
      <w:pPr>
        <w:keepNext/>
        <w:keepLines/>
        <w:spacing w:before="120" w:after="120" w:line="240" w:lineRule="auto"/>
        <w:rPr>
          <w:rFonts w:ascii="Calibri" w:eastAsia="Times New Roman" w:hAnsi="Calibri" w:cs="Calibri"/>
          <w:b/>
          <w:bCs/>
          <w:sz w:val="20"/>
          <w:szCs w:val="20"/>
          <w:lang w:eastAsia="en-AU"/>
        </w:rPr>
      </w:pPr>
      <w:bookmarkStart w:id="34" w:name="_Ref391290286"/>
      <w:bookmarkStart w:id="35" w:name="_Ref391302622"/>
      <w:r w:rsidRPr="00F6696F">
        <w:rPr>
          <w:rFonts w:ascii="Calibri" w:eastAsia="Times New Roman" w:hAnsi="Calibri" w:cs="Calibri"/>
          <w:b/>
          <w:bCs/>
          <w:sz w:val="20"/>
          <w:szCs w:val="20"/>
          <w:lang w:eastAsia="en-AU"/>
        </w:rPr>
        <w:lastRenderedPageBreak/>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11</w:t>
      </w:r>
      <w:r w:rsidR="00732F35" w:rsidRPr="00F6696F">
        <w:rPr>
          <w:rFonts w:ascii="Calibri" w:eastAsia="Times New Roman" w:hAnsi="Calibri" w:cs="Calibri"/>
          <w:b/>
          <w:bCs/>
          <w:sz w:val="20"/>
          <w:szCs w:val="20"/>
          <w:lang w:eastAsia="en-AU"/>
        </w:rPr>
        <w:fldChar w:fldCharType="end"/>
      </w:r>
      <w:bookmarkEnd w:id="34"/>
      <w:r w:rsidRPr="00F6696F">
        <w:rPr>
          <w:rFonts w:ascii="Calibri" w:eastAsia="Times New Roman" w:hAnsi="Calibri" w:cs="Calibri"/>
          <w:b/>
          <w:bCs/>
          <w:sz w:val="20"/>
          <w:szCs w:val="20"/>
          <w:lang w:eastAsia="en-AU"/>
        </w:rPr>
        <w:t xml:space="preserve">:  </w:t>
      </w:r>
      <w:r>
        <w:rPr>
          <w:rFonts w:ascii="Calibri" w:eastAsia="Times New Roman" w:hAnsi="Calibri" w:cs="Calibri"/>
          <w:b/>
          <w:bCs/>
          <w:sz w:val="20"/>
          <w:szCs w:val="20"/>
          <w:lang w:eastAsia="en-AU"/>
        </w:rPr>
        <w:t>Hazardous waste g</w:t>
      </w:r>
      <w:r w:rsidRPr="00DB31DA">
        <w:rPr>
          <w:rFonts w:ascii="Calibri" w:eastAsia="Times New Roman" w:hAnsi="Calibri" w:cs="Calibri"/>
          <w:b/>
          <w:bCs/>
          <w:sz w:val="20"/>
          <w:szCs w:val="20"/>
          <w:lang w:eastAsia="en-AU"/>
        </w:rPr>
        <w:t>eneration by jurisdiction</w:t>
      </w:r>
      <w:r>
        <w:rPr>
          <w:rFonts w:ascii="Calibri" w:eastAsia="Times New Roman" w:hAnsi="Calibri" w:cs="Calibri"/>
          <w:b/>
          <w:bCs/>
          <w:sz w:val="20"/>
          <w:szCs w:val="20"/>
          <w:lang w:eastAsia="en-AU"/>
        </w:rPr>
        <w:t xml:space="preserve"> 2012 (tonnes)</w:t>
      </w:r>
    </w:p>
    <w:tbl>
      <w:tblPr>
        <w:tblStyle w:val="SRUTable1"/>
        <w:tblW w:w="5000" w:type="pct"/>
        <w:tblLook w:val="0480"/>
      </w:tblPr>
      <w:tblGrid>
        <w:gridCol w:w="777"/>
        <w:gridCol w:w="5182"/>
        <w:gridCol w:w="1033"/>
        <w:gridCol w:w="1033"/>
        <w:gridCol w:w="1033"/>
        <w:gridCol w:w="1033"/>
        <w:gridCol w:w="1032"/>
        <w:gridCol w:w="1032"/>
        <w:gridCol w:w="1032"/>
        <w:gridCol w:w="1032"/>
      </w:tblGrid>
      <w:tr w:rsidR="00194D1C" w:rsidRPr="00DF72DB" w:rsidTr="009174CB">
        <w:trPr>
          <w:cantSplit/>
          <w:tblHeader/>
        </w:trPr>
        <w:tc>
          <w:tcPr>
            <w:tcW w:w="273" w:type="pct"/>
            <w:tcBorders>
              <w:top w:val="nil"/>
              <w:bottom w:val="nil"/>
            </w:tcBorders>
            <w:shd w:val="clear" w:color="auto" w:fill="0093D0"/>
          </w:tcPr>
          <w:p w:rsidR="00194D1C" w:rsidRPr="00DE6A0C" w:rsidRDefault="00194D1C" w:rsidP="009174CB">
            <w:pPr>
              <w:spacing w:before="60" w:after="60"/>
              <w:rPr>
                <w:rFonts w:asciiTheme="minorHAnsi" w:hAnsiTheme="minorHAnsi" w:cstheme="minorHAnsi"/>
                <w:b/>
                <w:color w:val="FFFFFF" w:themeColor="background1"/>
              </w:rPr>
            </w:pPr>
            <w:r w:rsidRPr="00DE6A0C">
              <w:rPr>
                <w:rFonts w:asciiTheme="minorHAnsi" w:hAnsiTheme="minorHAnsi" w:cstheme="minorHAnsi"/>
                <w:b/>
                <w:color w:val="FFFFFF" w:themeColor="background1"/>
              </w:rPr>
              <w:t>NEPM Code</w:t>
            </w:r>
          </w:p>
        </w:tc>
        <w:tc>
          <w:tcPr>
            <w:tcW w:w="1822" w:type="pct"/>
            <w:tcBorders>
              <w:top w:val="nil"/>
              <w:bottom w:val="nil"/>
            </w:tcBorders>
            <w:shd w:val="clear" w:color="auto" w:fill="0093D0"/>
          </w:tcPr>
          <w:p w:rsidR="00194D1C" w:rsidRPr="00DE6A0C" w:rsidRDefault="00194D1C" w:rsidP="009174CB">
            <w:pPr>
              <w:spacing w:before="60" w:after="60"/>
              <w:rPr>
                <w:rFonts w:asciiTheme="minorHAnsi" w:hAnsiTheme="minorHAnsi" w:cstheme="minorHAnsi"/>
                <w:b/>
                <w:color w:val="FFFFFF" w:themeColor="background1"/>
              </w:rPr>
            </w:pPr>
            <w:r w:rsidRPr="00DE6A0C">
              <w:rPr>
                <w:rFonts w:asciiTheme="minorHAnsi" w:hAnsiTheme="minorHAnsi" w:cstheme="minorHAnsi"/>
                <w:b/>
                <w:color w:val="FFFFFF" w:themeColor="background1"/>
              </w:rPr>
              <w:t>Description</w:t>
            </w:r>
          </w:p>
        </w:tc>
        <w:tc>
          <w:tcPr>
            <w:tcW w:w="363" w:type="pct"/>
            <w:tcBorders>
              <w:top w:val="nil"/>
              <w:bottom w:val="nil"/>
            </w:tcBorders>
            <w:shd w:val="clear" w:color="auto" w:fill="0093D0"/>
          </w:tcPr>
          <w:p w:rsidR="00194D1C" w:rsidRPr="00DE6A0C" w:rsidRDefault="00194D1C" w:rsidP="009174CB">
            <w:pPr>
              <w:spacing w:before="60" w:after="60"/>
              <w:jc w:val="right"/>
              <w:rPr>
                <w:rFonts w:asciiTheme="minorHAnsi" w:hAnsiTheme="minorHAnsi" w:cstheme="minorHAnsi"/>
                <w:b/>
                <w:color w:val="FFFFFF" w:themeColor="background1"/>
              </w:rPr>
            </w:pPr>
            <w:r w:rsidRPr="00DE6A0C">
              <w:rPr>
                <w:rFonts w:asciiTheme="minorHAnsi" w:hAnsiTheme="minorHAnsi" w:cstheme="minorHAnsi"/>
                <w:b/>
                <w:color w:val="FFFFFF" w:themeColor="background1"/>
              </w:rPr>
              <w:t>ACT</w:t>
            </w:r>
          </w:p>
        </w:tc>
        <w:tc>
          <w:tcPr>
            <w:tcW w:w="363" w:type="pct"/>
            <w:tcBorders>
              <w:top w:val="nil"/>
              <w:bottom w:val="nil"/>
            </w:tcBorders>
            <w:shd w:val="clear" w:color="auto" w:fill="0093D0"/>
          </w:tcPr>
          <w:p w:rsidR="00194D1C" w:rsidRPr="00DE6A0C" w:rsidRDefault="00194D1C" w:rsidP="009174CB">
            <w:pPr>
              <w:spacing w:before="60" w:after="60"/>
              <w:jc w:val="right"/>
              <w:rPr>
                <w:rFonts w:asciiTheme="minorHAnsi" w:hAnsiTheme="minorHAnsi" w:cstheme="minorHAnsi"/>
                <w:b/>
                <w:color w:val="FFFFFF" w:themeColor="background1"/>
              </w:rPr>
            </w:pPr>
            <w:r w:rsidRPr="00DE6A0C">
              <w:rPr>
                <w:rFonts w:asciiTheme="minorHAnsi" w:hAnsiTheme="minorHAnsi" w:cstheme="minorHAnsi"/>
                <w:b/>
                <w:color w:val="FFFFFF" w:themeColor="background1"/>
              </w:rPr>
              <w:t>NSW</w:t>
            </w:r>
          </w:p>
        </w:tc>
        <w:tc>
          <w:tcPr>
            <w:tcW w:w="363" w:type="pct"/>
            <w:tcBorders>
              <w:top w:val="nil"/>
              <w:bottom w:val="nil"/>
            </w:tcBorders>
            <w:shd w:val="clear" w:color="auto" w:fill="0093D0"/>
          </w:tcPr>
          <w:p w:rsidR="00194D1C" w:rsidRPr="00DE6A0C" w:rsidRDefault="00194D1C" w:rsidP="009174CB">
            <w:pPr>
              <w:spacing w:before="60" w:after="60"/>
              <w:jc w:val="right"/>
              <w:rPr>
                <w:rFonts w:asciiTheme="minorHAnsi" w:hAnsiTheme="minorHAnsi" w:cstheme="minorHAnsi"/>
                <w:b/>
                <w:color w:val="FFFFFF" w:themeColor="background1"/>
              </w:rPr>
            </w:pPr>
            <w:r w:rsidRPr="00DE6A0C">
              <w:rPr>
                <w:rFonts w:asciiTheme="minorHAnsi" w:hAnsiTheme="minorHAnsi" w:cstheme="minorHAnsi"/>
                <w:b/>
                <w:color w:val="FFFFFF" w:themeColor="background1"/>
              </w:rPr>
              <w:t>NT</w:t>
            </w:r>
          </w:p>
        </w:tc>
        <w:tc>
          <w:tcPr>
            <w:tcW w:w="363" w:type="pct"/>
            <w:tcBorders>
              <w:top w:val="nil"/>
              <w:bottom w:val="nil"/>
            </w:tcBorders>
            <w:shd w:val="clear" w:color="auto" w:fill="0093D0"/>
          </w:tcPr>
          <w:p w:rsidR="00194D1C" w:rsidRPr="00DE6A0C" w:rsidRDefault="00194D1C" w:rsidP="009174CB">
            <w:pPr>
              <w:spacing w:before="60" w:after="60"/>
              <w:jc w:val="right"/>
              <w:rPr>
                <w:rFonts w:asciiTheme="minorHAnsi" w:hAnsiTheme="minorHAnsi" w:cstheme="minorHAnsi"/>
                <w:b/>
                <w:color w:val="FFFFFF" w:themeColor="background1"/>
              </w:rPr>
            </w:pPr>
            <w:r w:rsidRPr="00DE6A0C">
              <w:rPr>
                <w:rFonts w:asciiTheme="minorHAnsi" w:hAnsiTheme="minorHAnsi" w:cstheme="minorHAnsi"/>
                <w:b/>
                <w:color w:val="FFFFFF" w:themeColor="background1"/>
              </w:rPr>
              <w:t>Qld</w:t>
            </w:r>
          </w:p>
        </w:tc>
        <w:tc>
          <w:tcPr>
            <w:tcW w:w="363" w:type="pct"/>
            <w:tcBorders>
              <w:top w:val="nil"/>
              <w:bottom w:val="nil"/>
            </w:tcBorders>
            <w:shd w:val="clear" w:color="auto" w:fill="0093D0"/>
          </w:tcPr>
          <w:p w:rsidR="00194D1C" w:rsidRPr="00DE6A0C" w:rsidRDefault="00194D1C" w:rsidP="009174CB">
            <w:pPr>
              <w:spacing w:before="60" w:after="60"/>
              <w:jc w:val="right"/>
              <w:rPr>
                <w:rFonts w:asciiTheme="minorHAnsi" w:hAnsiTheme="minorHAnsi" w:cstheme="minorHAnsi"/>
                <w:b/>
                <w:color w:val="FFFFFF" w:themeColor="background1"/>
              </w:rPr>
            </w:pPr>
            <w:r w:rsidRPr="00DE6A0C">
              <w:rPr>
                <w:rFonts w:asciiTheme="minorHAnsi" w:hAnsiTheme="minorHAnsi" w:cstheme="minorHAnsi"/>
                <w:b/>
                <w:color w:val="FFFFFF" w:themeColor="background1"/>
              </w:rPr>
              <w:t>SA</w:t>
            </w:r>
          </w:p>
        </w:tc>
        <w:tc>
          <w:tcPr>
            <w:tcW w:w="363" w:type="pct"/>
            <w:tcBorders>
              <w:top w:val="nil"/>
              <w:bottom w:val="nil"/>
            </w:tcBorders>
            <w:shd w:val="clear" w:color="auto" w:fill="0093D0"/>
          </w:tcPr>
          <w:p w:rsidR="00194D1C" w:rsidRPr="00DE6A0C" w:rsidRDefault="00194D1C" w:rsidP="009174CB">
            <w:pPr>
              <w:spacing w:before="60" w:after="60"/>
              <w:jc w:val="right"/>
              <w:rPr>
                <w:rFonts w:asciiTheme="minorHAnsi" w:hAnsiTheme="minorHAnsi" w:cstheme="minorHAnsi"/>
                <w:b/>
                <w:color w:val="FFFFFF" w:themeColor="background1"/>
              </w:rPr>
            </w:pPr>
            <w:r w:rsidRPr="00DE6A0C">
              <w:rPr>
                <w:rFonts w:asciiTheme="minorHAnsi" w:hAnsiTheme="minorHAnsi" w:cstheme="minorHAnsi"/>
                <w:b/>
                <w:color w:val="FFFFFF" w:themeColor="background1"/>
              </w:rPr>
              <w:t>Tas</w:t>
            </w:r>
          </w:p>
        </w:tc>
        <w:tc>
          <w:tcPr>
            <w:tcW w:w="363" w:type="pct"/>
            <w:tcBorders>
              <w:top w:val="nil"/>
              <w:bottom w:val="nil"/>
            </w:tcBorders>
            <w:shd w:val="clear" w:color="auto" w:fill="0093D0"/>
          </w:tcPr>
          <w:p w:rsidR="00194D1C" w:rsidRPr="00DE6A0C" w:rsidRDefault="00194D1C" w:rsidP="009174CB">
            <w:pPr>
              <w:spacing w:before="60" w:after="60"/>
              <w:jc w:val="right"/>
              <w:rPr>
                <w:rFonts w:asciiTheme="minorHAnsi" w:hAnsiTheme="minorHAnsi" w:cstheme="minorHAnsi"/>
                <w:b/>
                <w:color w:val="FFFFFF" w:themeColor="background1"/>
              </w:rPr>
            </w:pPr>
            <w:r w:rsidRPr="00DE6A0C">
              <w:rPr>
                <w:rFonts w:asciiTheme="minorHAnsi" w:hAnsiTheme="minorHAnsi" w:cstheme="minorHAnsi"/>
                <w:b/>
                <w:color w:val="FFFFFF" w:themeColor="background1"/>
              </w:rPr>
              <w:t>Vic</w:t>
            </w:r>
          </w:p>
        </w:tc>
        <w:tc>
          <w:tcPr>
            <w:tcW w:w="363" w:type="pct"/>
            <w:tcBorders>
              <w:top w:val="nil"/>
              <w:bottom w:val="nil"/>
            </w:tcBorders>
            <w:shd w:val="clear" w:color="auto" w:fill="0093D0"/>
          </w:tcPr>
          <w:p w:rsidR="00194D1C" w:rsidRPr="00DE6A0C" w:rsidRDefault="00194D1C" w:rsidP="009174CB">
            <w:pPr>
              <w:spacing w:before="60" w:after="60"/>
              <w:jc w:val="right"/>
              <w:rPr>
                <w:rFonts w:asciiTheme="minorHAnsi" w:hAnsiTheme="minorHAnsi" w:cstheme="minorHAnsi"/>
                <w:b/>
                <w:color w:val="FFFFFF" w:themeColor="background1"/>
              </w:rPr>
            </w:pPr>
            <w:r w:rsidRPr="00DE6A0C">
              <w:rPr>
                <w:rFonts w:asciiTheme="minorHAnsi" w:hAnsiTheme="minorHAnsi" w:cstheme="minorHAnsi"/>
                <w:b/>
                <w:color w:val="FFFFFF" w:themeColor="background1"/>
              </w:rPr>
              <w:t>WA</w:t>
            </w:r>
          </w:p>
        </w:tc>
      </w:tr>
      <w:tr w:rsidR="00194D1C" w:rsidRPr="00DE6A0C" w:rsidTr="009174CB">
        <w:trPr>
          <w:cantSplit/>
          <w:trHeight w:val="240"/>
        </w:trPr>
        <w:tc>
          <w:tcPr>
            <w:tcW w:w="273" w:type="pct"/>
            <w:tcBorders>
              <w:top w:val="nil"/>
            </w:tcBorders>
            <w:vAlign w:val="bottom"/>
          </w:tcPr>
          <w:p w:rsidR="00194D1C" w:rsidRPr="00DE6A0C" w:rsidRDefault="00194D1C" w:rsidP="009174CB">
            <w:pPr>
              <w:spacing w:before="60" w:after="60"/>
              <w:rPr>
                <w:rFonts w:cstheme="minorHAnsi"/>
              </w:rPr>
            </w:pPr>
          </w:p>
        </w:tc>
        <w:tc>
          <w:tcPr>
            <w:tcW w:w="1822" w:type="pct"/>
            <w:tcBorders>
              <w:top w:val="nil"/>
            </w:tcBorders>
            <w:vAlign w:val="bottom"/>
          </w:tcPr>
          <w:p w:rsidR="00194D1C" w:rsidRPr="00DE6A0C" w:rsidRDefault="00194D1C" w:rsidP="009174CB">
            <w:pPr>
              <w:spacing w:before="60" w:after="60"/>
              <w:rPr>
                <w:rFonts w:cstheme="minorHAnsi"/>
              </w:rPr>
            </w:pPr>
          </w:p>
        </w:tc>
        <w:tc>
          <w:tcPr>
            <w:tcW w:w="363" w:type="pct"/>
            <w:tcBorders>
              <w:top w:val="nil"/>
            </w:tcBorders>
            <w:vAlign w:val="center"/>
          </w:tcPr>
          <w:p w:rsidR="00194D1C" w:rsidRPr="00DE6A0C" w:rsidRDefault="00194D1C" w:rsidP="009174CB">
            <w:pPr>
              <w:spacing w:before="60" w:after="60"/>
              <w:jc w:val="right"/>
              <w:rPr>
                <w:rFonts w:cstheme="minorHAnsi"/>
              </w:rPr>
            </w:pPr>
          </w:p>
        </w:tc>
        <w:tc>
          <w:tcPr>
            <w:tcW w:w="363" w:type="pct"/>
            <w:tcBorders>
              <w:top w:val="nil"/>
            </w:tcBorders>
            <w:vAlign w:val="center"/>
          </w:tcPr>
          <w:p w:rsidR="00194D1C" w:rsidRPr="00DE6A0C" w:rsidRDefault="00194D1C" w:rsidP="009174CB">
            <w:pPr>
              <w:spacing w:before="60" w:after="60"/>
              <w:jc w:val="right"/>
              <w:rPr>
                <w:rFonts w:cstheme="minorHAnsi"/>
              </w:rPr>
            </w:pPr>
          </w:p>
        </w:tc>
        <w:tc>
          <w:tcPr>
            <w:tcW w:w="363" w:type="pct"/>
            <w:tcBorders>
              <w:top w:val="nil"/>
            </w:tcBorders>
            <w:vAlign w:val="center"/>
          </w:tcPr>
          <w:p w:rsidR="00194D1C" w:rsidRPr="00DE6A0C" w:rsidRDefault="00194D1C" w:rsidP="009174CB">
            <w:pPr>
              <w:spacing w:before="60" w:after="60"/>
              <w:jc w:val="right"/>
              <w:rPr>
                <w:rFonts w:cstheme="minorHAnsi"/>
              </w:rPr>
            </w:pPr>
          </w:p>
        </w:tc>
        <w:tc>
          <w:tcPr>
            <w:tcW w:w="363" w:type="pct"/>
            <w:tcBorders>
              <w:top w:val="nil"/>
            </w:tcBorders>
            <w:vAlign w:val="center"/>
          </w:tcPr>
          <w:p w:rsidR="00194D1C" w:rsidRPr="00DE6A0C" w:rsidRDefault="00194D1C" w:rsidP="009174CB">
            <w:pPr>
              <w:spacing w:before="60" w:after="60"/>
              <w:jc w:val="right"/>
              <w:rPr>
                <w:rFonts w:cstheme="minorHAnsi"/>
              </w:rPr>
            </w:pPr>
          </w:p>
        </w:tc>
        <w:tc>
          <w:tcPr>
            <w:tcW w:w="363" w:type="pct"/>
            <w:tcBorders>
              <w:top w:val="nil"/>
            </w:tcBorders>
            <w:vAlign w:val="center"/>
          </w:tcPr>
          <w:p w:rsidR="00194D1C" w:rsidRPr="00DE6A0C" w:rsidRDefault="00194D1C" w:rsidP="009174CB">
            <w:pPr>
              <w:spacing w:before="60" w:after="60"/>
              <w:jc w:val="right"/>
              <w:rPr>
                <w:rFonts w:cstheme="minorHAnsi"/>
              </w:rPr>
            </w:pPr>
          </w:p>
        </w:tc>
        <w:tc>
          <w:tcPr>
            <w:tcW w:w="363" w:type="pct"/>
            <w:tcBorders>
              <w:top w:val="nil"/>
            </w:tcBorders>
            <w:vAlign w:val="center"/>
          </w:tcPr>
          <w:p w:rsidR="00194D1C" w:rsidRPr="00DE6A0C" w:rsidRDefault="00194D1C" w:rsidP="009174CB">
            <w:pPr>
              <w:spacing w:before="60" w:after="60"/>
              <w:jc w:val="right"/>
              <w:rPr>
                <w:rFonts w:cstheme="minorHAnsi"/>
              </w:rPr>
            </w:pPr>
          </w:p>
        </w:tc>
        <w:tc>
          <w:tcPr>
            <w:tcW w:w="363" w:type="pct"/>
            <w:tcBorders>
              <w:top w:val="nil"/>
            </w:tcBorders>
            <w:vAlign w:val="center"/>
          </w:tcPr>
          <w:p w:rsidR="00194D1C" w:rsidRPr="00DE6A0C" w:rsidRDefault="00194D1C" w:rsidP="009174CB">
            <w:pPr>
              <w:spacing w:before="60" w:after="60"/>
              <w:jc w:val="right"/>
              <w:rPr>
                <w:rFonts w:cstheme="minorHAnsi"/>
              </w:rPr>
            </w:pPr>
          </w:p>
        </w:tc>
        <w:tc>
          <w:tcPr>
            <w:tcW w:w="363" w:type="pct"/>
            <w:tcBorders>
              <w:top w:val="nil"/>
            </w:tcBorders>
            <w:vAlign w:val="center"/>
          </w:tcPr>
          <w:p w:rsidR="00194D1C" w:rsidRPr="00DE6A0C" w:rsidRDefault="00194D1C" w:rsidP="009174CB">
            <w:pPr>
              <w:spacing w:before="60" w:after="60"/>
              <w:jc w:val="right"/>
              <w:rPr>
                <w:rFonts w:cstheme="minorHAnsi"/>
              </w:rPr>
            </w:pPr>
          </w:p>
        </w:tc>
      </w:tr>
      <w:tr w:rsidR="00194D1C" w:rsidRPr="00534D3A" w:rsidTr="009174CB">
        <w:trPr>
          <w:cantSplit/>
          <w:tblHeader/>
        </w:trPr>
        <w:tc>
          <w:tcPr>
            <w:tcW w:w="2095" w:type="pct"/>
            <w:gridSpan w:val="2"/>
            <w:tcBorders>
              <w:top w:val="nil"/>
              <w:bottom w:val="nil"/>
            </w:tcBorders>
            <w:shd w:val="clear" w:color="auto" w:fill="DBE5F1" w:themeFill="accent1" w:themeFillTint="33"/>
          </w:tcPr>
          <w:p w:rsidR="00194D1C" w:rsidRPr="00534D3A" w:rsidRDefault="00194D1C" w:rsidP="009174CB">
            <w:pPr>
              <w:spacing w:before="60" w:after="60"/>
              <w:rPr>
                <w:rFonts w:asciiTheme="minorHAnsi" w:hAnsiTheme="minorHAnsi" w:cstheme="minorHAnsi"/>
              </w:rPr>
            </w:pPr>
            <w:bookmarkStart w:id="36" w:name="RANGE!D98:D169"/>
            <w:r w:rsidRPr="00534D3A">
              <w:rPr>
                <w:rFonts w:asciiTheme="minorHAnsi" w:hAnsiTheme="minorHAnsi" w:cstheme="minorHAnsi"/>
              </w:rPr>
              <w:t>Total</w:t>
            </w:r>
          </w:p>
        </w:tc>
        <w:tc>
          <w:tcPr>
            <w:tcW w:w="363" w:type="pct"/>
            <w:tcBorders>
              <w:top w:val="nil"/>
              <w:bottom w:val="nil"/>
            </w:tcBorders>
            <w:shd w:val="clear" w:color="auto" w:fill="DBE5F1" w:themeFill="accent1" w:themeFillTint="33"/>
            <w:vAlign w:val="center"/>
          </w:tcPr>
          <w:p w:rsidR="00194D1C" w:rsidRPr="00534D3A" w:rsidRDefault="00194D1C" w:rsidP="009174CB">
            <w:pPr>
              <w:spacing w:before="60" w:after="60"/>
              <w:jc w:val="right"/>
              <w:rPr>
                <w:rFonts w:asciiTheme="minorHAnsi" w:hAnsiTheme="minorHAnsi" w:cstheme="minorHAnsi"/>
              </w:rPr>
            </w:pPr>
            <w:r w:rsidRPr="00534D3A">
              <w:rPr>
                <w:rFonts w:asciiTheme="minorHAnsi" w:hAnsiTheme="minorHAnsi" w:cstheme="minorHAnsi"/>
              </w:rPr>
              <w:t>67,000</w:t>
            </w:r>
          </w:p>
        </w:tc>
        <w:tc>
          <w:tcPr>
            <w:tcW w:w="363" w:type="pct"/>
            <w:tcBorders>
              <w:top w:val="nil"/>
              <w:bottom w:val="nil"/>
            </w:tcBorders>
            <w:shd w:val="clear" w:color="auto" w:fill="DBE5F1" w:themeFill="accent1" w:themeFillTint="33"/>
            <w:vAlign w:val="center"/>
          </w:tcPr>
          <w:p w:rsidR="00194D1C" w:rsidRPr="00534D3A" w:rsidRDefault="00194D1C" w:rsidP="009174CB">
            <w:pPr>
              <w:spacing w:before="60" w:after="60"/>
              <w:jc w:val="right"/>
              <w:rPr>
                <w:rFonts w:asciiTheme="minorHAnsi" w:hAnsiTheme="minorHAnsi" w:cstheme="minorHAnsi"/>
              </w:rPr>
            </w:pPr>
            <w:r w:rsidRPr="00534D3A">
              <w:rPr>
                <w:rFonts w:asciiTheme="minorHAnsi" w:hAnsiTheme="minorHAnsi" w:cstheme="minorHAnsi"/>
              </w:rPr>
              <w:t>1,765,000</w:t>
            </w:r>
          </w:p>
        </w:tc>
        <w:tc>
          <w:tcPr>
            <w:tcW w:w="363" w:type="pct"/>
            <w:tcBorders>
              <w:top w:val="nil"/>
              <w:bottom w:val="nil"/>
            </w:tcBorders>
            <w:shd w:val="clear" w:color="auto" w:fill="DBE5F1" w:themeFill="accent1" w:themeFillTint="33"/>
            <w:vAlign w:val="center"/>
          </w:tcPr>
          <w:p w:rsidR="00194D1C" w:rsidRPr="00534D3A" w:rsidRDefault="00194D1C" w:rsidP="009174CB">
            <w:pPr>
              <w:spacing w:before="60" w:after="60"/>
              <w:jc w:val="right"/>
              <w:rPr>
                <w:rFonts w:asciiTheme="minorHAnsi" w:hAnsiTheme="minorHAnsi" w:cstheme="minorHAnsi"/>
              </w:rPr>
            </w:pPr>
            <w:r w:rsidRPr="00534D3A">
              <w:rPr>
                <w:rFonts w:asciiTheme="minorHAnsi" w:hAnsiTheme="minorHAnsi" w:cstheme="minorHAnsi"/>
              </w:rPr>
              <w:t>23,000</w:t>
            </w:r>
          </w:p>
        </w:tc>
        <w:tc>
          <w:tcPr>
            <w:tcW w:w="363" w:type="pct"/>
            <w:tcBorders>
              <w:top w:val="nil"/>
              <w:bottom w:val="nil"/>
            </w:tcBorders>
            <w:shd w:val="clear" w:color="auto" w:fill="DBE5F1" w:themeFill="accent1" w:themeFillTint="33"/>
            <w:vAlign w:val="center"/>
          </w:tcPr>
          <w:p w:rsidR="00194D1C" w:rsidRPr="00534D3A" w:rsidRDefault="00194D1C" w:rsidP="009174CB">
            <w:pPr>
              <w:spacing w:before="60" w:after="60"/>
              <w:jc w:val="right"/>
              <w:rPr>
                <w:rFonts w:asciiTheme="minorHAnsi" w:hAnsiTheme="minorHAnsi" w:cstheme="minorHAnsi"/>
              </w:rPr>
            </w:pPr>
            <w:r w:rsidRPr="00534D3A">
              <w:rPr>
                <w:rFonts w:asciiTheme="minorHAnsi" w:hAnsiTheme="minorHAnsi" w:cstheme="minorHAnsi"/>
              </w:rPr>
              <w:t>1,729,000</w:t>
            </w:r>
          </w:p>
        </w:tc>
        <w:tc>
          <w:tcPr>
            <w:tcW w:w="363" w:type="pct"/>
            <w:tcBorders>
              <w:top w:val="nil"/>
              <w:bottom w:val="nil"/>
            </w:tcBorders>
            <w:shd w:val="clear" w:color="auto" w:fill="DBE5F1" w:themeFill="accent1" w:themeFillTint="33"/>
            <w:vAlign w:val="center"/>
          </w:tcPr>
          <w:p w:rsidR="00194D1C" w:rsidRPr="00534D3A" w:rsidRDefault="00194D1C" w:rsidP="009174CB">
            <w:pPr>
              <w:spacing w:before="60" w:after="60"/>
              <w:jc w:val="right"/>
              <w:rPr>
                <w:rFonts w:asciiTheme="minorHAnsi" w:hAnsiTheme="minorHAnsi" w:cstheme="minorHAnsi"/>
              </w:rPr>
            </w:pPr>
            <w:r w:rsidRPr="00534D3A">
              <w:rPr>
                <w:rFonts w:asciiTheme="minorHAnsi" w:hAnsiTheme="minorHAnsi" w:cstheme="minorHAnsi"/>
              </w:rPr>
              <w:t>874,000</w:t>
            </w:r>
          </w:p>
        </w:tc>
        <w:tc>
          <w:tcPr>
            <w:tcW w:w="363" w:type="pct"/>
            <w:tcBorders>
              <w:top w:val="nil"/>
              <w:bottom w:val="nil"/>
            </w:tcBorders>
            <w:shd w:val="clear" w:color="auto" w:fill="DBE5F1" w:themeFill="accent1" w:themeFillTint="33"/>
            <w:vAlign w:val="center"/>
          </w:tcPr>
          <w:p w:rsidR="00194D1C" w:rsidRPr="00534D3A" w:rsidRDefault="00194D1C" w:rsidP="009174CB">
            <w:pPr>
              <w:spacing w:before="60" w:after="60"/>
              <w:jc w:val="right"/>
              <w:rPr>
                <w:rFonts w:asciiTheme="minorHAnsi" w:hAnsiTheme="minorHAnsi" w:cstheme="minorHAnsi"/>
              </w:rPr>
            </w:pPr>
            <w:r w:rsidRPr="00534D3A">
              <w:rPr>
                <w:rFonts w:asciiTheme="minorHAnsi" w:hAnsiTheme="minorHAnsi" w:cstheme="minorHAnsi"/>
              </w:rPr>
              <w:t>172,000</w:t>
            </w:r>
          </w:p>
        </w:tc>
        <w:tc>
          <w:tcPr>
            <w:tcW w:w="363" w:type="pct"/>
            <w:tcBorders>
              <w:top w:val="nil"/>
              <w:bottom w:val="nil"/>
            </w:tcBorders>
            <w:shd w:val="clear" w:color="auto" w:fill="DBE5F1" w:themeFill="accent1" w:themeFillTint="33"/>
            <w:vAlign w:val="center"/>
          </w:tcPr>
          <w:p w:rsidR="00194D1C" w:rsidRPr="00534D3A" w:rsidRDefault="00194D1C" w:rsidP="009174CB">
            <w:pPr>
              <w:spacing w:before="60" w:after="60"/>
              <w:jc w:val="right"/>
              <w:rPr>
                <w:rFonts w:asciiTheme="minorHAnsi" w:hAnsiTheme="minorHAnsi" w:cstheme="minorHAnsi"/>
              </w:rPr>
            </w:pPr>
            <w:r w:rsidRPr="00534D3A">
              <w:rPr>
                <w:rFonts w:asciiTheme="minorHAnsi" w:hAnsiTheme="minorHAnsi" w:cstheme="minorHAnsi"/>
              </w:rPr>
              <w:t>1,360,000</w:t>
            </w:r>
          </w:p>
        </w:tc>
        <w:tc>
          <w:tcPr>
            <w:tcW w:w="363" w:type="pct"/>
            <w:tcBorders>
              <w:top w:val="nil"/>
              <w:bottom w:val="nil"/>
            </w:tcBorders>
            <w:shd w:val="clear" w:color="auto" w:fill="DBE5F1" w:themeFill="accent1" w:themeFillTint="33"/>
            <w:vAlign w:val="center"/>
          </w:tcPr>
          <w:p w:rsidR="00194D1C" w:rsidRPr="00534D3A" w:rsidRDefault="00194D1C" w:rsidP="009174CB">
            <w:pPr>
              <w:spacing w:before="60" w:after="60"/>
              <w:jc w:val="right"/>
              <w:rPr>
                <w:rFonts w:asciiTheme="minorHAnsi" w:hAnsiTheme="minorHAnsi" w:cstheme="minorHAnsi"/>
              </w:rPr>
            </w:pPr>
            <w:r w:rsidRPr="00534D3A">
              <w:rPr>
                <w:rFonts w:asciiTheme="minorHAnsi" w:hAnsiTheme="minorHAnsi" w:cstheme="minorHAnsi"/>
              </w:rPr>
              <w:t>600,000</w:t>
            </w:r>
          </w:p>
        </w:tc>
      </w:tr>
      <w:tr w:rsidR="00194D1C" w:rsidRPr="00DE6A0C" w:rsidTr="009174CB">
        <w:trPr>
          <w:cantSplit/>
        </w:trPr>
        <w:tc>
          <w:tcPr>
            <w:tcW w:w="273" w:type="pct"/>
            <w:tcBorders>
              <w:top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A100</w:t>
            </w:r>
            <w:bookmarkEnd w:id="36"/>
          </w:p>
        </w:tc>
        <w:tc>
          <w:tcPr>
            <w:tcW w:w="1822" w:type="pct"/>
            <w:tcBorders>
              <w:top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resulting from surface treatment of metals and plastics</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22</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4 362</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136</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1 430</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A110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from heat treatment and tempering operations containing cyanides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A130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Cyanides (inorganic)</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540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47</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B100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Acidic solutions or acids in solid form</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14 380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13 140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535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13 555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3 058</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C100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Basic solutions or bases in solid form</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5 215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127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167 498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65 576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8 595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88 355</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D100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Metal carbonyls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7</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D110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Inorganic fluorine compounds excluding calcium fluoride</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560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246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21</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D120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Mercury; mercury compounds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230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416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62</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D130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Arsenic; arsenic compounds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828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17</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D140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Chromium compounds (hexavalent and trivalent)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686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1 156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271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59</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D150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Cadmium; cadmium compounds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14</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D160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Beryllium; beryllium compounds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D170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Antimony; antimony compounds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18</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D180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Thallium; thallium compounds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D190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Copper compounds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592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211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431</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D200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Cobalt compounds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D210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Nickel compounds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124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267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30</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D220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Lead; lead compounds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290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10 240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410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7 402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18 209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318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2 197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393</w:t>
            </w:r>
          </w:p>
        </w:tc>
      </w:tr>
      <w:tr w:rsidR="00194D1C" w:rsidRPr="00DE6A0C" w:rsidTr="009174CB">
        <w:trPr>
          <w:cantSplit/>
        </w:trPr>
        <w:tc>
          <w:tcPr>
            <w:tcW w:w="273" w:type="pct"/>
            <w:tcBorders>
              <w:bottom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D230</w:t>
            </w:r>
          </w:p>
        </w:tc>
        <w:tc>
          <w:tcPr>
            <w:tcW w:w="1822" w:type="pct"/>
            <w:tcBorders>
              <w:bottom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Zinc compounds</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473</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462</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35 277</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95 246</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12 578</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425</w:t>
            </w:r>
          </w:p>
        </w:tc>
      </w:tr>
      <w:tr w:rsidR="00194D1C" w:rsidRPr="00DE6A0C" w:rsidTr="009174CB">
        <w:trPr>
          <w:cantSplit/>
        </w:trPr>
        <w:tc>
          <w:tcPr>
            <w:tcW w:w="273" w:type="pct"/>
            <w:tcBorders>
              <w:top w:val="nil"/>
              <w:bottom w:val="single" w:sz="8" w:space="0" w:color="0093D0"/>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D240</w:t>
            </w:r>
          </w:p>
        </w:tc>
        <w:tc>
          <w:tcPr>
            <w:tcW w:w="1822" w:type="pct"/>
            <w:tcBorders>
              <w:top w:val="nil"/>
              <w:bottom w:val="single" w:sz="8" w:space="0" w:color="0093D0"/>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Selenium; selenium compounds</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tcBorders>
              <w:top w:val="single" w:sz="8" w:space="0" w:color="0093D0"/>
              <w:bottom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lastRenderedPageBreak/>
              <w:t>D250</w:t>
            </w:r>
          </w:p>
        </w:tc>
        <w:tc>
          <w:tcPr>
            <w:tcW w:w="1822" w:type="pct"/>
            <w:tcBorders>
              <w:top w:val="single" w:sz="8" w:space="0" w:color="0093D0"/>
              <w:bottom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Tellurium; tellurium compounds</w:t>
            </w:r>
          </w:p>
        </w:tc>
        <w:tc>
          <w:tcPr>
            <w:tcW w:w="363" w:type="pct"/>
            <w:tcBorders>
              <w:top w:val="single" w:sz="8" w:space="0" w:color="0093D0"/>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single" w:sz="8" w:space="0" w:color="0093D0"/>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single" w:sz="8" w:space="0" w:color="0093D0"/>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single" w:sz="8" w:space="0" w:color="0093D0"/>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single" w:sz="8" w:space="0" w:color="0093D0"/>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single" w:sz="8" w:space="0" w:color="0093D0"/>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single" w:sz="8" w:space="0" w:color="0093D0"/>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single" w:sz="8" w:space="0" w:color="0093D0"/>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tcBorders>
              <w:top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D270</w:t>
            </w:r>
          </w:p>
        </w:tc>
        <w:tc>
          <w:tcPr>
            <w:tcW w:w="1822" w:type="pct"/>
            <w:tcBorders>
              <w:top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Vanadium compounds</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47</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D290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Barium compounds (excluding barium sulphate)</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D300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Non-toxic salts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15 286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40 804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4 473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3 291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3 574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6 746</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D310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Boron compounds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79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D330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 xml:space="preserve">Inorganic </w:t>
            </w:r>
            <w:proofErr w:type="spellStart"/>
            <w:r w:rsidRPr="00DE6A0C">
              <w:rPr>
                <w:rFonts w:asciiTheme="minorHAnsi" w:hAnsiTheme="minorHAnsi" w:cstheme="minorHAnsi"/>
              </w:rPr>
              <w:t>sulfides</w:t>
            </w:r>
            <w:proofErr w:type="spellEnd"/>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342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18</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D340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Perchlorates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56</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D350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Chlorates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134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65</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D360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Phosphorus compounds excluding mineral phosphates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428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E100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containing peroxides other than hydrogen peroxide</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180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F100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from the production, formulation and use of inks, dyes, pigments, paints, lacquers and varnish</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127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13 094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13 384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2 287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20 648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1 990</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F110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from the production, formulation and use of resins, latex, plasticisers, glues and adhesives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7 426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1 260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232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2 442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445</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G100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Ethers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148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1 295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77</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G110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Organic solvents excluding halogenated solvents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3 130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2 120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1 126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4 699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5 671</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G150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Halogenated organic solvents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225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146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123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482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177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10</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G160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from the production, formulation and use of organic solvents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935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12 496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1 048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H100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 xml:space="preserve">Waste from the production, formulation and use of biocides and </w:t>
            </w:r>
            <w:proofErr w:type="spellStart"/>
            <w:r w:rsidRPr="00DE6A0C">
              <w:rPr>
                <w:rFonts w:asciiTheme="minorHAnsi" w:hAnsiTheme="minorHAnsi" w:cstheme="minorHAnsi"/>
              </w:rPr>
              <w:t>phytopharmaceuticals</w:t>
            </w:r>
            <w:proofErr w:type="spellEnd"/>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376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2 000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467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1 104</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H110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Organic phosphorous compounds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H170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from manufacture, formulation and use of wood-preserving chemicals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244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148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25</w:t>
            </w:r>
          </w:p>
        </w:tc>
      </w:tr>
      <w:tr w:rsidR="00194D1C" w:rsidRPr="00DE6A0C" w:rsidTr="009174CB">
        <w:trPr>
          <w:cantSplit/>
        </w:trPr>
        <w:tc>
          <w:tcPr>
            <w:tcW w:w="273" w:type="pct"/>
            <w:tcBorders>
              <w:bottom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J100</w:t>
            </w:r>
          </w:p>
        </w:tc>
        <w:tc>
          <w:tcPr>
            <w:tcW w:w="1822" w:type="pct"/>
            <w:tcBorders>
              <w:bottom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mineral oils unfit for their original intended use</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1 263</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133 754</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583</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87 524</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1 149</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19 203</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102 130</w:t>
            </w:r>
          </w:p>
        </w:tc>
      </w:tr>
      <w:tr w:rsidR="00194D1C" w:rsidRPr="00DE6A0C" w:rsidTr="009174CB">
        <w:trPr>
          <w:cantSplit/>
        </w:trPr>
        <w:tc>
          <w:tcPr>
            <w:tcW w:w="273" w:type="pct"/>
            <w:tcBorders>
              <w:top w:val="nil"/>
              <w:bottom w:val="single" w:sz="8" w:space="0" w:color="0093D0"/>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J120</w:t>
            </w:r>
          </w:p>
        </w:tc>
        <w:tc>
          <w:tcPr>
            <w:tcW w:w="1822" w:type="pct"/>
            <w:tcBorders>
              <w:top w:val="nil"/>
              <w:bottom w:val="single" w:sz="8" w:space="0" w:color="0093D0"/>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oil/water, hydrocarbons/water mixtures or emulsions</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1 977</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106 309</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205</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169 400</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2 541</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99</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79 269</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51 307</w:t>
            </w:r>
          </w:p>
        </w:tc>
      </w:tr>
      <w:tr w:rsidR="00194D1C" w:rsidRPr="00DE6A0C" w:rsidTr="009174CB">
        <w:trPr>
          <w:cantSplit/>
        </w:trPr>
        <w:tc>
          <w:tcPr>
            <w:tcW w:w="273" w:type="pct"/>
            <w:tcBorders>
              <w:top w:val="single" w:sz="8" w:space="0" w:color="0093D0"/>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lastRenderedPageBreak/>
              <w:t>J160</w:t>
            </w:r>
          </w:p>
        </w:tc>
        <w:tc>
          <w:tcPr>
            <w:tcW w:w="1822" w:type="pct"/>
            <w:tcBorders>
              <w:top w:val="single" w:sz="8" w:space="0" w:color="0093D0"/>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 xml:space="preserve">Waste tarry residues arising from refining, distillation, and any </w:t>
            </w:r>
            <w:proofErr w:type="spellStart"/>
            <w:r w:rsidRPr="00DE6A0C">
              <w:rPr>
                <w:rFonts w:asciiTheme="minorHAnsi" w:hAnsiTheme="minorHAnsi" w:cstheme="minorHAnsi"/>
              </w:rPr>
              <w:t>pyrolytic</w:t>
            </w:r>
            <w:proofErr w:type="spellEnd"/>
            <w:r w:rsidRPr="00DE6A0C">
              <w:rPr>
                <w:rFonts w:asciiTheme="minorHAnsi" w:hAnsiTheme="minorHAnsi" w:cstheme="minorHAnsi"/>
              </w:rPr>
              <w:t xml:space="preserve"> treatment</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261</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516</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46</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280</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685</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66</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K100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Animal effluent and residues (abattoir effluent, poultry and fish processing wastes)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68 173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2 194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49 674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15 447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4 779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56 008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15 694</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K110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Grease trap waste</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5 599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168 412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5 421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133 834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38 159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11 806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99 175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68 858</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K140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 xml:space="preserve">Tannery wastes (including leather dust, ash, </w:t>
            </w:r>
            <w:proofErr w:type="spellStart"/>
            <w:r w:rsidRPr="00DE6A0C">
              <w:rPr>
                <w:rFonts w:asciiTheme="minorHAnsi" w:hAnsiTheme="minorHAnsi" w:cstheme="minorHAnsi"/>
              </w:rPr>
              <w:t>sludges</w:t>
            </w:r>
            <w:proofErr w:type="spellEnd"/>
            <w:r w:rsidRPr="00DE6A0C">
              <w:rPr>
                <w:rFonts w:asciiTheme="minorHAnsi" w:hAnsiTheme="minorHAnsi" w:cstheme="minorHAnsi"/>
              </w:rPr>
              <w:t xml:space="preserve"> and flours)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6 150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557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K190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Wool scouring wastes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32 800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557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M100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 xml:space="preserve">Waste substances and articles containing or contaminated with polychlorinated biphenyls, polychlorinated </w:t>
            </w:r>
            <w:proofErr w:type="spellStart"/>
            <w:r w:rsidRPr="00DE6A0C">
              <w:rPr>
                <w:rFonts w:asciiTheme="minorHAnsi" w:hAnsiTheme="minorHAnsi" w:cstheme="minorHAnsi"/>
              </w:rPr>
              <w:t>napthalenes</w:t>
            </w:r>
            <w:proofErr w:type="spellEnd"/>
            <w:r w:rsidRPr="00DE6A0C">
              <w:rPr>
                <w:rFonts w:asciiTheme="minorHAnsi" w:hAnsiTheme="minorHAnsi" w:cstheme="minorHAnsi"/>
              </w:rPr>
              <w:t xml:space="preserve">, polychlorinated </w:t>
            </w:r>
            <w:proofErr w:type="spellStart"/>
            <w:r w:rsidRPr="00DE6A0C">
              <w:rPr>
                <w:rFonts w:asciiTheme="minorHAnsi" w:hAnsiTheme="minorHAnsi" w:cstheme="minorHAnsi"/>
              </w:rPr>
              <w:t>terphenyls</w:t>
            </w:r>
            <w:proofErr w:type="spellEnd"/>
            <w:r w:rsidRPr="00DE6A0C">
              <w:rPr>
                <w:rFonts w:asciiTheme="minorHAnsi" w:hAnsiTheme="minorHAnsi" w:cstheme="minorHAnsi"/>
              </w:rPr>
              <w:t xml:space="preserve"> and/or </w:t>
            </w:r>
            <w:proofErr w:type="spellStart"/>
            <w:r w:rsidRPr="00DE6A0C">
              <w:rPr>
                <w:rFonts w:asciiTheme="minorHAnsi" w:hAnsiTheme="minorHAnsi" w:cstheme="minorHAnsi"/>
              </w:rPr>
              <w:t>polybrominated</w:t>
            </w:r>
            <w:proofErr w:type="spellEnd"/>
            <w:r w:rsidRPr="00DE6A0C">
              <w:rPr>
                <w:rFonts w:asciiTheme="minorHAnsi" w:hAnsiTheme="minorHAnsi" w:cstheme="minorHAnsi"/>
              </w:rPr>
              <w:t xml:space="preserve"> biphenyls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1 927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71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2 056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462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214</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M150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 xml:space="preserve">Phenols, phenol compounds including </w:t>
            </w:r>
            <w:proofErr w:type="spellStart"/>
            <w:r w:rsidRPr="00DE6A0C">
              <w:rPr>
                <w:rFonts w:asciiTheme="minorHAnsi" w:hAnsiTheme="minorHAnsi" w:cstheme="minorHAnsi"/>
              </w:rPr>
              <w:t>chlorophenols</w:t>
            </w:r>
            <w:proofErr w:type="spellEnd"/>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118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908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74</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M160</w:t>
            </w:r>
          </w:p>
        </w:tc>
        <w:tc>
          <w:tcPr>
            <w:tcW w:w="1822" w:type="pct"/>
            <w:vAlign w:val="bottom"/>
          </w:tcPr>
          <w:p w:rsidR="00194D1C" w:rsidRPr="00DE6A0C" w:rsidRDefault="00194D1C" w:rsidP="009174CB">
            <w:pPr>
              <w:spacing w:before="60" w:after="60"/>
              <w:rPr>
                <w:rFonts w:asciiTheme="minorHAnsi" w:hAnsiTheme="minorHAnsi" w:cstheme="minorHAnsi"/>
              </w:rPr>
            </w:pPr>
            <w:proofErr w:type="spellStart"/>
            <w:r w:rsidRPr="00DE6A0C">
              <w:rPr>
                <w:rFonts w:asciiTheme="minorHAnsi" w:hAnsiTheme="minorHAnsi" w:cstheme="minorHAnsi"/>
              </w:rPr>
              <w:t>Organo</w:t>
            </w:r>
            <w:proofErr w:type="spellEnd"/>
            <w:r w:rsidRPr="00DE6A0C">
              <w:rPr>
                <w:rFonts w:asciiTheme="minorHAnsi" w:hAnsiTheme="minorHAnsi" w:cstheme="minorHAnsi"/>
              </w:rPr>
              <w:t xml:space="preserve"> halogen compounds—other than substances referred to in this Table or Table 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279</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M170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 xml:space="preserve">Polychlorinated </w:t>
            </w:r>
            <w:proofErr w:type="spellStart"/>
            <w:r w:rsidRPr="00DE6A0C">
              <w:rPr>
                <w:rFonts w:asciiTheme="minorHAnsi" w:hAnsiTheme="minorHAnsi" w:cstheme="minorHAnsi"/>
              </w:rPr>
              <w:t>dibenzo</w:t>
            </w:r>
            <w:proofErr w:type="spellEnd"/>
            <w:r w:rsidRPr="00DE6A0C">
              <w:rPr>
                <w:rFonts w:asciiTheme="minorHAnsi" w:hAnsiTheme="minorHAnsi" w:cstheme="minorHAnsi"/>
              </w:rPr>
              <w:t>-furan (any congener)</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M180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 xml:space="preserve">Polychlorinated </w:t>
            </w:r>
            <w:proofErr w:type="spellStart"/>
            <w:r w:rsidRPr="00DE6A0C">
              <w:rPr>
                <w:rFonts w:asciiTheme="minorHAnsi" w:hAnsiTheme="minorHAnsi" w:cstheme="minorHAnsi"/>
              </w:rPr>
              <w:t>dibenzo</w:t>
            </w:r>
            <w:proofErr w:type="spellEnd"/>
            <w:r w:rsidRPr="00DE6A0C">
              <w:rPr>
                <w:rFonts w:asciiTheme="minorHAnsi" w:hAnsiTheme="minorHAnsi" w:cstheme="minorHAnsi"/>
              </w:rPr>
              <w:t>-p-dioxin (any congener)</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M210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Cyanides (organic)</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M220</w:t>
            </w:r>
          </w:p>
        </w:tc>
        <w:tc>
          <w:tcPr>
            <w:tcW w:w="1822" w:type="pct"/>
            <w:vAlign w:val="bottom"/>
          </w:tcPr>
          <w:p w:rsidR="00194D1C" w:rsidRPr="00DE6A0C" w:rsidRDefault="00194D1C" w:rsidP="009174CB">
            <w:pPr>
              <w:spacing w:before="60" w:after="60"/>
              <w:rPr>
                <w:rFonts w:asciiTheme="minorHAnsi" w:hAnsiTheme="minorHAnsi" w:cstheme="minorHAnsi"/>
              </w:rPr>
            </w:pPr>
            <w:proofErr w:type="spellStart"/>
            <w:r w:rsidRPr="00DE6A0C">
              <w:rPr>
                <w:rFonts w:asciiTheme="minorHAnsi" w:hAnsiTheme="minorHAnsi" w:cstheme="minorHAnsi"/>
              </w:rPr>
              <w:t>Isocyanate</w:t>
            </w:r>
            <w:proofErr w:type="spellEnd"/>
            <w:r w:rsidRPr="00DE6A0C">
              <w:rPr>
                <w:rFonts w:asciiTheme="minorHAnsi" w:hAnsiTheme="minorHAnsi" w:cstheme="minorHAnsi"/>
              </w:rPr>
              <w:t xml:space="preserve"> compounds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33</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M230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Triethylamine catalysts for setting foundry sands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360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2 402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237</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M250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Surface active agents (surfactants), containing principally organic constituents and which may contain metals and inorganic materials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10 066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1 932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569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274</w:t>
            </w:r>
          </w:p>
        </w:tc>
      </w:tr>
      <w:tr w:rsidR="00194D1C" w:rsidRPr="00DE6A0C" w:rsidTr="009174CB">
        <w:trPr>
          <w:cantSplit/>
        </w:trPr>
        <w:tc>
          <w:tcPr>
            <w:tcW w:w="273" w:type="pct"/>
            <w:tcBorders>
              <w:bottom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M260</w:t>
            </w:r>
          </w:p>
        </w:tc>
        <w:tc>
          <w:tcPr>
            <w:tcW w:w="1822" w:type="pct"/>
            <w:tcBorders>
              <w:bottom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 xml:space="preserve">Highly odorous organic chemicals (including </w:t>
            </w:r>
            <w:proofErr w:type="spellStart"/>
            <w:r w:rsidRPr="00DE6A0C">
              <w:rPr>
                <w:rFonts w:asciiTheme="minorHAnsi" w:hAnsiTheme="minorHAnsi" w:cstheme="minorHAnsi"/>
              </w:rPr>
              <w:t>mercaptans</w:t>
            </w:r>
            <w:proofErr w:type="spellEnd"/>
            <w:r w:rsidRPr="00DE6A0C">
              <w:rPr>
                <w:rFonts w:asciiTheme="minorHAnsi" w:hAnsiTheme="minorHAnsi" w:cstheme="minorHAnsi"/>
              </w:rPr>
              <w:t xml:space="preserve"> and </w:t>
            </w:r>
            <w:proofErr w:type="spellStart"/>
            <w:r w:rsidRPr="00DE6A0C">
              <w:rPr>
                <w:rFonts w:asciiTheme="minorHAnsi" w:hAnsiTheme="minorHAnsi" w:cstheme="minorHAnsi"/>
              </w:rPr>
              <w:t>acrylates</w:t>
            </w:r>
            <w:proofErr w:type="spellEnd"/>
            <w:r w:rsidRPr="00DE6A0C">
              <w:rPr>
                <w:rFonts w:asciiTheme="minorHAnsi" w:hAnsiTheme="minorHAnsi" w:cstheme="minorHAnsi"/>
              </w:rPr>
              <w:t>)</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17</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29</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w:t>
            </w:r>
          </w:p>
        </w:tc>
      </w:tr>
      <w:tr w:rsidR="00194D1C" w:rsidRPr="00DE6A0C" w:rsidTr="009174CB">
        <w:trPr>
          <w:cantSplit/>
        </w:trPr>
        <w:tc>
          <w:tcPr>
            <w:tcW w:w="273" w:type="pct"/>
            <w:tcBorders>
              <w:top w:val="nil"/>
              <w:bottom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N100</w:t>
            </w:r>
          </w:p>
        </w:tc>
        <w:tc>
          <w:tcPr>
            <w:tcW w:w="1822" w:type="pct"/>
            <w:tcBorders>
              <w:top w:val="nil"/>
              <w:bottom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Containers and drums that are contaminated with residues of substances referred to in this list</w:t>
            </w:r>
          </w:p>
        </w:tc>
        <w:tc>
          <w:tcPr>
            <w:tcW w:w="363" w:type="pct"/>
            <w:tcBorders>
              <w:top w:val="nil"/>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11</w:t>
            </w:r>
          </w:p>
        </w:tc>
        <w:tc>
          <w:tcPr>
            <w:tcW w:w="363" w:type="pct"/>
            <w:tcBorders>
              <w:top w:val="nil"/>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13 312</w:t>
            </w:r>
          </w:p>
        </w:tc>
        <w:tc>
          <w:tcPr>
            <w:tcW w:w="363" w:type="pct"/>
            <w:tcBorders>
              <w:top w:val="nil"/>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29</w:t>
            </w:r>
          </w:p>
        </w:tc>
        <w:tc>
          <w:tcPr>
            <w:tcW w:w="363" w:type="pct"/>
            <w:tcBorders>
              <w:top w:val="nil"/>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390</w:t>
            </w:r>
          </w:p>
        </w:tc>
        <w:tc>
          <w:tcPr>
            <w:tcW w:w="363" w:type="pct"/>
            <w:tcBorders>
              <w:top w:val="nil"/>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14</w:t>
            </w:r>
          </w:p>
        </w:tc>
        <w:tc>
          <w:tcPr>
            <w:tcW w:w="363" w:type="pct"/>
            <w:tcBorders>
              <w:top w:val="nil"/>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21 368</w:t>
            </w:r>
          </w:p>
        </w:tc>
        <w:tc>
          <w:tcPr>
            <w:tcW w:w="363" w:type="pct"/>
            <w:tcBorders>
              <w:top w:val="nil"/>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3 259</w:t>
            </w:r>
          </w:p>
        </w:tc>
      </w:tr>
      <w:tr w:rsidR="00194D1C" w:rsidRPr="00DE6A0C" w:rsidTr="009174CB">
        <w:trPr>
          <w:cantSplit/>
        </w:trPr>
        <w:tc>
          <w:tcPr>
            <w:tcW w:w="273" w:type="pct"/>
            <w:tcBorders>
              <w:top w:val="nil"/>
              <w:bottom w:val="single" w:sz="8" w:space="0" w:color="0093D0"/>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N120</w:t>
            </w:r>
          </w:p>
        </w:tc>
        <w:tc>
          <w:tcPr>
            <w:tcW w:w="1822" w:type="pct"/>
            <w:tcBorders>
              <w:top w:val="nil"/>
              <w:bottom w:val="single" w:sz="8" w:space="0" w:color="0093D0"/>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Soils contaminated with a controlled waste</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205</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504 500</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216 854</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439 462</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373 764</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6 443</w:t>
            </w:r>
          </w:p>
        </w:tc>
      </w:tr>
      <w:tr w:rsidR="00194D1C" w:rsidRPr="00DE6A0C" w:rsidTr="009174CB">
        <w:trPr>
          <w:cantSplit/>
        </w:trPr>
        <w:tc>
          <w:tcPr>
            <w:tcW w:w="273" w:type="pct"/>
            <w:tcBorders>
              <w:top w:val="single" w:sz="8" w:space="0" w:color="0093D0"/>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lastRenderedPageBreak/>
              <w:t>N140</w:t>
            </w:r>
          </w:p>
        </w:tc>
        <w:tc>
          <w:tcPr>
            <w:tcW w:w="1822" w:type="pct"/>
            <w:tcBorders>
              <w:top w:val="single" w:sz="8" w:space="0" w:color="0093D0"/>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Fire debris and fire wash waters</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1 326</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636</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592</w:t>
            </w:r>
          </w:p>
        </w:tc>
        <w:tc>
          <w:tcPr>
            <w:tcW w:w="363" w:type="pct"/>
            <w:tcBorders>
              <w:top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109</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N150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Fly ash, excluding fly ash generated from Australian coal fired power stations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4 782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496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439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165</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N160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Encapsulated, chemically-fixed, solidified or polymerised wastes referred to in this list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12 327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15 120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76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24 724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13 367</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N190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Filter cake contaminated with residues of substances referred to in this list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3 600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5 944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443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4 968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87</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N205</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Residues from industrial waste treatment/disposal operations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55 156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345 919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4 867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501 496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166 084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35 821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431 660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112 497</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N220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Asbestos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199 000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4 846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116 480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21 385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10 554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74 775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50 198</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N230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 xml:space="preserve">Ceramic-based fibres with </w:t>
            </w:r>
            <w:proofErr w:type="spellStart"/>
            <w:r w:rsidRPr="00DE6A0C">
              <w:rPr>
                <w:rFonts w:asciiTheme="minorHAnsi" w:hAnsiTheme="minorHAnsi" w:cstheme="minorHAnsi"/>
              </w:rPr>
              <w:t>physico</w:t>
            </w:r>
            <w:proofErr w:type="spellEnd"/>
            <w:r w:rsidRPr="00DE6A0C">
              <w:rPr>
                <w:rFonts w:asciiTheme="minorHAnsi" w:hAnsiTheme="minorHAnsi" w:cstheme="minorHAnsi"/>
              </w:rPr>
              <w:t>-chemical characteristics similar to those of asbestos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70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R100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Clinical and related wastes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276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13 003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124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23 914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6 475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10 861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866</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R120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pharmaceuticals, drugs and medicines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9 985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1 308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326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999</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866</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R140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from the production and preparation of pharmaceutical products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330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401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866</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T100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chemical substances arising from research and development or teaching activities, including those which are not identified and/or are new and whose effects on human health and/or the environment are not known</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38</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2 601</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124</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860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397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12</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1 037</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454</w:t>
            </w:r>
          </w:p>
        </w:tc>
      </w:tr>
      <w:tr w:rsidR="00194D1C" w:rsidRPr="00DE6A0C" w:rsidTr="009174CB">
        <w:trPr>
          <w:cantSplit/>
        </w:trPr>
        <w:tc>
          <w:tcPr>
            <w:tcW w:w="273"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T120</w:t>
            </w:r>
          </w:p>
        </w:tc>
        <w:tc>
          <w:tcPr>
            <w:tcW w:w="1822" w:type="pct"/>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from the production, formulation and use of photographic chemicals and processing materials</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216</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370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20</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843</w:t>
            </w:r>
          </w:p>
        </w:tc>
        <w:tc>
          <w:tcPr>
            <w:tcW w:w="363" w:type="pct"/>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4</w:t>
            </w:r>
          </w:p>
        </w:tc>
      </w:tr>
      <w:tr w:rsidR="00194D1C" w:rsidRPr="00DE6A0C" w:rsidTr="009174CB">
        <w:trPr>
          <w:cantSplit/>
        </w:trPr>
        <w:tc>
          <w:tcPr>
            <w:tcW w:w="273" w:type="pct"/>
            <w:tcBorders>
              <w:bottom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T140</w:t>
            </w:r>
          </w:p>
        </w:tc>
        <w:tc>
          <w:tcPr>
            <w:tcW w:w="1822" w:type="pct"/>
            <w:tcBorders>
              <w:bottom w:val="nil"/>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Tyres</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3 225</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100 968</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5 389</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88 055</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56 449</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9 942</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84 113</w:t>
            </w:r>
          </w:p>
        </w:tc>
        <w:tc>
          <w:tcPr>
            <w:tcW w:w="363" w:type="pct"/>
            <w:tcBorders>
              <w:bottom w:val="nil"/>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67 269</w:t>
            </w:r>
          </w:p>
        </w:tc>
      </w:tr>
      <w:tr w:rsidR="00194D1C" w:rsidRPr="00DE6A0C" w:rsidTr="009174CB">
        <w:trPr>
          <w:cantSplit/>
        </w:trPr>
        <w:tc>
          <w:tcPr>
            <w:tcW w:w="273" w:type="pct"/>
            <w:tcBorders>
              <w:top w:val="nil"/>
              <w:bottom w:val="single" w:sz="8" w:space="0" w:color="0093D0"/>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T200</w:t>
            </w:r>
          </w:p>
        </w:tc>
        <w:tc>
          <w:tcPr>
            <w:tcW w:w="1822" w:type="pct"/>
            <w:tcBorders>
              <w:top w:val="nil"/>
              <w:bottom w:val="single" w:sz="8" w:space="0" w:color="0093D0"/>
            </w:tcBorders>
            <w:vAlign w:val="bottom"/>
          </w:tcPr>
          <w:p w:rsidR="00194D1C" w:rsidRPr="00DE6A0C" w:rsidRDefault="00194D1C" w:rsidP="009174CB">
            <w:pPr>
              <w:spacing w:before="60" w:after="60"/>
              <w:rPr>
                <w:rFonts w:asciiTheme="minorHAnsi" w:hAnsiTheme="minorHAnsi" w:cstheme="minorHAnsi"/>
              </w:rPr>
            </w:pPr>
            <w:r w:rsidRPr="00DE6A0C">
              <w:rPr>
                <w:rFonts w:asciiTheme="minorHAnsi" w:hAnsiTheme="minorHAnsi" w:cstheme="minorHAnsi"/>
              </w:rPr>
              <w:t>Waste of an explosive nature not subject to other legislation</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10</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1 816</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11</w:t>
            </w:r>
          </w:p>
        </w:tc>
        <w:tc>
          <w:tcPr>
            <w:tcW w:w="363" w:type="pct"/>
            <w:tcBorders>
              <w:top w:val="nil"/>
              <w:bottom w:val="single" w:sz="8" w:space="0" w:color="0093D0"/>
            </w:tcBorders>
            <w:vAlign w:val="center"/>
          </w:tcPr>
          <w:p w:rsidR="00194D1C" w:rsidRPr="00DE6A0C" w:rsidRDefault="00194D1C" w:rsidP="009174CB">
            <w:pPr>
              <w:spacing w:before="60" w:after="60"/>
              <w:jc w:val="right"/>
              <w:rPr>
                <w:rFonts w:asciiTheme="minorHAnsi" w:hAnsiTheme="minorHAnsi" w:cstheme="minorHAnsi"/>
              </w:rPr>
            </w:pPr>
            <w:r w:rsidRPr="00DE6A0C">
              <w:rPr>
                <w:rFonts w:asciiTheme="minorHAnsi" w:hAnsiTheme="minorHAnsi" w:cstheme="minorHAnsi"/>
              </w:rPr>
              <w:t>-</w:t>
            </w:r>
          </w:p>
        </w:tc>
      </w:tr>
    </w:tbl>
    <w:p w:rsidR="00194D1C" w:rsidRDefault="00D04367" w:rsidP="00897CE5">
      <w:pPr>
        <w:pStyle w:val="MJAsource"/>
      </w:pPr>
      <w:r>
        <w:t>Note dashes (-) in fields represent zero values.</w:t>
      </w:r>
    </w:p>
    <w:p w:rsidR="00194D1C" w:rsidRDefault="00194D1C">
      <w:pPr>
        <w:rPr>
          <w:b/>
          <w:bCs/>
          <w:sz w:val="20"/>
          <w:szCs w:val="20"/>
        </w:rPr>
      </w:pPr>
      <w:r>
        <w:rPr>
          <w:b/>
          <w:bCs/>
          <w:sz w:val="20"/>
          <w:szCs w:val="20"/>
        </w:rPr>
        <w:br w:type="page"/>
      </w:r>
    </w:p>
    <w:p w:rsidR="00991F83" w:rsidRDefault="00991F83" w:rsidP="00E85B25">
      <w:pPr>
        <w:keepNext/>
        <w:keepLines/>
        <w:spacing w:before="120" w:after="120" w:line="240" w:lineRule="auto"/>
        <w:rPr>
          <w:rFonts w:ascii="Calibri" w:eastAsia="Times New Roman" w:hAnsi="Calibri" w:cs="Times New Roman"/>
          <w:b/>
          <w:sz w:val="20"/>
          <w:lang w:eastAsia="en-AU"/>
        </w:rPr>
      </w:pPr>
      <w:r w:rsidRPr="00EA2A07">
        <w:rPr>
          <w:b/>
          <w:bCs/>
          <w:sz w:val="20"/>
          <w:szCs w:val="20"/>
        </w:rPr>
        <w:lastRenderedPageBreak/>
        <w:t xml:space="preserve">Figure </w:t>
      </w:r>
      <w:r w:rsidR="00732F35" w:rsidRPr="00EA2A07">
        <w:rPr>
          <w:b/>
          <w:bCs/>
          <w:sz w:val="20"/>
          <w:szCs w:val="20"/>
        </w:rPr>
        <w:fldChar w:fldCharType="begin"/>
      </w:r>
      <w:r w:rsidRPr="00EA2A07">
        <w:rPr>
          <w:b/>
          <w:bCs/>
          <w:sz w:val="20"/>
          <w:szCs w:val="20"/>
        </w:rPr>
        <w:instrText xml:space="preserve"> SEQ Figure \* ARABIC </w:instrText>
      </w:r>
      <w:r w:rsidR="00732F35" w:rsidRPr="00EA2A07">
        <w:rPr>
          <w:b/>
          <w:bCs/>
          <w:sz w:val="20"/>
          <w:szCs w:val="20"/>
        </w:rPr>
        <w:fldChar w:fldCharType="separate"/>
      </w:r>
      <w:r w:rsidR="00D54C27">
        <w:rPr>
          <w:b/>
          <w:bCs/>
          <w:noProof/>
          <w:sz w:val="20"/>
          <w:szCs w:val="20"/>
        </w:rPr>
        <w:t>5</w:t>
      </w:r>
      <w:r w:rsidR="00732F35" w:rsidRPr="00EA2A07">
        <w:rPr>
          <w:b/>
          <w:bCs/>
          <w:sz w:val="20"/>
          <w:szCs w:val="20"/>
        </w:rPr>
        <w:fldChar w:fldCharType="end"/>
      </w:r>
      <w:bookmarkEnd w:id="35"/>
      <w:r>
        <w:rPr>
          <w:b/>
          <w:bCs/>
          <w:sz w:val="20"/>
          <w:szCs w:val="20"/>
        </w:rPr>
        <w:t xml:space="preserve">: </w:t>
      </w:r>
      <w:r w:rsidRPr="00991F83">
        <w:rPr>
          <w:rFonts w:ascii="Calibri" w:eastAsia="Times New Roman" w:hAnsi="Calibri" w:cs="Times New Roman"/>
          <w:b/>
          <w:sz w:val="20"/>
          <w:lang w:eastAsia="en-AU"/>
        </w:rPr>
        <w:t xml:space="preserve">Soils, </w:t>
      </w:r>
      <w:proofErr w:type="spellStart"/>
      <w:r w:rsidRPr="00991F83">
        <w:rPr>
          <w:rFonts w:ascii="Calibri" w:eastAsia="Times New Roman" w:hAnsi="Calibri" w:cs="Times New Roman"/>
          <w:b/>
          <w:sz w:val="20"/>
          <w:lang w:eastAsia="en-AU"/>
        </w:rPr>
        <w:t>sludges</w:t>
      </w:r>
      <w:proofErr w:type="spellEnd"/>
      <w:r w:rsidRPr="00991F83">
        <w:rPr>
          <w:rFonts w:ascii="Calibri" w:eastAsia="Times New Roman" w:hAnsi="Calibri" w:cs="Times New Roman"/>
          <w:b/>
          <w:sz w:val="20"/>
          <w:lang w:eastAsia="en-AU"/>
        </w:rPr>
        <w:t xml:space="preserve"> and </w:t>
      </w:r>
      <w:proofErr w:type="spellStart"/>
      <w:r w:rsidRPr="00991F83">
        <w:rPr>
          <w:rFonts w:ascii="Calibri" w:eastAsia="Times New Roman" w:hAnsi="Calibri" w:cs="Times New Roman"/>
          <w:b/>
          <w:sz w:val="20"/>
          <w:lang w:eastAsia="en-AU"/>
        </w:rPr>
        <w:t>filtercake</w:t>
      </w:r>
      <w:proofErr w:type="spellEnd"/>
      <w:r w:rsidRPr="00991F83">
        <w:rPr>
          <w:rFonts w:ascii="Calibri" w:eastAsia="Times New Roman" w:hAnsi="Calibri" w:cs="Times New Roman"/>
          <w:b/>
          <w:sz w:val="20"/>
          <w:lang w:eastAsia="en-AU"/>
        </w:rPr>
        <w:t xml:space="preserve"> flow paths (and classifications)</w:t>
      </w:r>
    </w:p>
    <w:p w:rsidR="00E85B25" w:rsidRDefault="00E85B25" w:rsidP="00E85B25">
      <w:pPr>
        <w:keepNext/>
        <w:keepLines/>
        <w:spacing w:before="120" w:after="120" w:line="240" w:lineRule="auto"/>
        <w:rPr>
          <w:rFonts w:ascii="Calibri" w:eastAsia="Times New Roman" w:hAnsi="Calibri" w:cs="Times New Roman"/>
          <w:b/>
          <w:sz w:val="20"/>
          <w:lang w:eastAsia="en-AU"/>
        </w:rPr>
      </w:pPr>
      <w:r>
        <w:rPr>
          <w:noProof/>
          <w:lang w:eastAsia="en-AU"/>
        </w:rPr>
        <w:drawing>
          <wp:inline distT="0" distB="0" distL="0" distR="0">
            <wp:extent cx="8891905" cy="345313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647"/>
                    <a:stretch/>
                  </pic:blipFill>
                  <pic:spPr bwMode="auto">
                    <a:xfrm>
                      <a:off x="0" y="0"/>
                      <a:ext cx="8891905" cy="34531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230FC" w:rsidRDefault="007230FC" w:rsidP="00897CE5">
      <w:pPr>
        <w:keepLines/>
        <w:rPr>
          <w:rFonts w:ascii="Calibri" w:eastAsia="Times New Roman" w:hAnsi="Calibri" w:cs="Times New Roman"/>
          <w:b/>
          <w:sz w:val="20"/>
          <w:lang w:eastAsia="en-AU"/>
        </w:rPr>
      </w:pPr>
      <w:r w:rsidRPr="007230FC">
        <w:rPr>
          <w:rFonts w:ascii="Calibri" w:eastAsia="Times New Roman" w:hAnsi="Calibri" w:cs="Times New Roman"/>
          <w:sz w:val="20"/>
          <w:lang w:eastAsia="en-AU"/>
        </w:rPr>
        <w:t xml:space="preserve">Note: explanations for the codes shown above can be seen in </w:t>
      </w:r>
      <w:fldSimple w:instr=" REF _Ref391303669 \h  \* MERGEFORMAT ">
        <w:r w:rsidR="00D54C27" w:rsidRPr="00D54C27">
          <w:rPr>
            <w:rFonts w:ascii="Calibri" w:eastAsia="Times New Roman" w:hAnsi="Calibri" w:cs="Calibri"/>
            <w:bCs/>
            <w:sz w:val="20"/>
            <w:szCs w:val="20"/>
            <w:lang w:eastAsia="en-AU"/>
          </w:rPr>
          <w:t xml:space="preserve">Table </w:t>
        </w:r>
        <w:r w:rsidR="00D54C27" w:rsidRPr="00D54C27">
          <w:rPr>
            <w:rFonts w:ascii="Calibri" w:eastAsia="Times New Roman" w:hAnsi="Calibri" w:cs="Calibri"/>
            <w:bCs/>
            <w:noProof/>
            <w:sz w:val="20"/>
            <w:szCs w:val="20"/>
            <w:lang w:eastAsia="en-AU"/>
          </w:rPr>
          <w:t>12</w:t>
        </w:r>
      </w:fldSimple>
      <w:r w:rsidRPr="007230FC">
        <w:rPr>
          <w:rFonts w:ascii="Calibri" w:eastAsia="Times New Roman" w:hAnsi="Calibri" w:cs="Times New Roman"/>
          <w:sz w:val="20"/>
          <w:lang w:eastAsia="en-AU"/>
        </w:rPr>
        <w:t xml:space="preserve"> and </w:t>
      </w:r>
      <w:fldSimple w:instr=" REF _Ref391304627 \h  \* MERGEFORMAT ">
        <w:r w:rsidR="00D54C27" w:rsidRPr="00D54C27">
          <w:rPr>
            <w:rFonts w:ascii="Calibri" w:eastAsia="Times New Roman" w:hAnsi="Calibri" w:cs="Calibri"/>
            <w:bCs/>
            <w:sz w:val="20"/>
            <w:szCs w:val="20"/>
            <w:lang w:eastAsia="en-AU"/>
          </w:rPr>
          <w:t xml:space="preserve">Table </w:t>
        </w:r>
        <w:r w:rsidR="00D54C27" w:rsidRPr="00D54C27">
          <w:rPr>
            <w:rFonts w:ascii="Calibri" w:eastAsia="Times New Roman" w:hAnsi="Calibri" w:cs="Calibri"/>
            <w:bCs/>
            <w:noProof/>
            <w:sz w:val="20"/>
            <w:szCs w:val="20"/>
            <w:lang w:eastAsia="en-AU"/>
          </w:rPr>
          <w:t>13</w:t>
        </w:r>
      </w:fldSimple>
      <w:r w:rsidRPr="007230FC">
        <w:rPr>
          <w:rFonts w:ascii="Calibri" w:eastAsia="Times New Roman" w:hAnsi="Calibri" w:cs="Times New Roman"/>
          <w:sz w:val="20"/>
          <w:lang w:eastAsia="en-AU"/>
        </w:rPr>
        <w:t>.</w:t>
      </w:r>
    </w:p>
    <w:p w:rsidR="00E85B25" w:rsidRDefault="00E85B25">
      <w:pPr>
        <w:rPr>
          <w:rFonts w:ascii="Calibri" w:eastAsia="Times New Roman" w:hAnsi="Calibri" w:cs="Times New Roman"/>
          <w:b/>
          <w:sz w:val="20"/>
          <w:lang w:eastAsia="en-AU"/>
        </w:rPr>
      </w:pPr>
      <w:r>
        <w:rPr>
          <w:rFonts w:ascii="Calibri" w:eastAsia="Times New Roman" w:hAnsi="Calibri" w:cs="Times New Roman"/>
          <w:b/>
          <w:sz w:val="20"/>
          <w:lang w:eastAsia="en-AU"/>
        </w:rPr>
        <w:br w:type="page"/>
      </w:r>
    </w:p>
    <w:p w:rsidR="00E85B25" w:rsidRDefault="00E85B25" w:rsidP="00E85B25">
      <w:pPr>
        <w:keepNext/>
        <w:keepLines/>
        <w:spacing w:before="120" w:after="120" w:line="240" w:lineRule="auto"/>
        <w:rPr>
          <w:rFonts w:ascii="Calibri" w:eastAsia="Times New Roman" w:hAnsi="Calibri" w:cs="Times New Roman"/>
          <w:b/>
          <w:sz w:val="20"/>
          <w:lang w:eastAsia="en-AU"/>
        </w:rPr>
      </w:pPr>
      <w:bookmarkStart w:id="37" w:name="_Ref391302630"/>
      <w:r w:rsidRPr="00EA2A07">
        <w:rPr>
          <w:b/>
          <w:bCs/>
          <w:sz w:val="20"/>
          <w:szCs w:val="20"/>
        </w:rPr>
        <w:lastRenderedPageBreak/>
        <w:t xml:space="preserve">Figure </w:t>
      </w:r>
      <w:r w:rsidR="00732F35" w:rsidRPr="00EA2A07">
        <w:rPr>
          <w:b/>
          <w:bCs/>
          <w:sz w:val="20"/>
          <w:szCs w:val="20"/>
        </w:rPr>
        <w:fldChar w:fldCharType="begin"/>
      </w:r>
      <w:r w:rsidRPr="00EA2A07">
        <w:rPr>
          <w:b/>
          <w:bCs/>
          <w:sz w:val="20"/>
          <w:szCs w:val="20"/>
        </w:rPr>
        <w:instrText xml:space="preserve"> SEQ Figure \* ARABIC </w:instrText>
      </w:r>
      <w:r w:rsidR="00732F35" w:rsidRPr="00EA2A07">
        <w:rPr>
          <w:b/>
          <w:bCs/>
          <w:sz w:val="20"/>
          <w:szCs w:val="20"/>
        </w:rPr>
        <w:fldChar w:fldCharType="separate"/>
      </w:r>
      <w:r w:rsidR="00D54C27">
        <w:rPr>
          <w:b/>
          <w:bCs/>
          <w:noProof/>
          <w:sz w:val="20"/>
          <w:szCs w:val="20"/>
        </w:rPr>
        <w:t>6</w:t>
      </w:r>
      <w:r w:rsidR="00732F35" w:rsidRPr="00EA2A07">
        <w:rPr>
          <w:b/>
          <w:bCs/>
          <w:sz w:val="20"/>
          <w:szCs w:val="20"/>
        </w:rPr>
        <w:fldChar w:fldCharType="end"/>
      </w:r>
      <w:bookmarkEnd w:id="37"/>
      <w:r>
        <w:rPr>
          <w:b/>
          <w:bCs/>
          <w:sz w:val="20"/>
          <w:szCs w:val="20"/>
        </w:rPr>
        <w:t xml:space="preserve">: </w:t>
      </w:r>
      <w:r w:rsidRPr="00E85B25">
        <w:rPr>
          <w:rFonts w:ascii="Calibri" w:eastAsia="Times New Roman" w:hAnsi="Calibri" w:cs="Times New Roman"/>
          <w:b/>
          <w:sz w:val="20"/>
          <w:lang w:eastAsia="en-AU"/>
        </w:rPr>
        <w:t>Liquid and slurry material flow paths</w:t>
      </w:r>
    </w:p>
    <w:p w:rsidR="00E85B25" w:rsidRDefault="00E85B25" w:rsidP="00E85B25">
      <w:pPr>
        <w:keepNext/>
        <w:keepLines/>
        <w:spacing w:before="120" w:after="120" w:line="240" w:lineRule="auto"/>
        <w:rPr>
          <w:rFonts w:ascii="Calibri" w:eastAsia="Times New Roman" w:hAnsi="Calibri" w:cs="Times New Roman"/>
          <w:b/>
          <w:sz w:val="20"/>
          <w:lang w:eastAsia="en-AU"/>
        </w:rPr>
      </w:pPr>
      <w:r>
        <w:rPr>
          <w:noProof/>
          <w:lang w:eastAsia="en-AU"/>
        </w:rPr>
        <w:drawing>
          <wp:inline distT="0" distB="0" distL="0" distR="0">
            <wp:extent cx="8891905" cy="337304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486" b="13295"/>
                    <a:stretch/>
                  </pic:blipFill>
                  <pic:spPr bwMode="auto">
                    <a:xfrm>
                      <a:off x="0" y="0"/>
                      <a:ext cx="8891905" cy="33730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85B25" w:rsidRDefault="00E85B25" w:rsidP="00E85B25">
      <w:pPr>
        <w:keepNext/>
        <w:keepLines/>
        <w:spacing w:before="120" w:after="120" w:line="240" w:lineRule="auto"/>
        <w:rPr>
          <w:rFonts w:ascii="Calibri" w:eastAsia="Times New Roman" w:hAnsi="Calibri" w:cs="Times New Roman"/>
          <w:b/>
          <w:sz w:val="20"/>
          <w:lang w:eastAsia="en-AU"/>
        </w:rPr>
      </w:pPr>
    </w:p>
    <w:p w:rsidR="00E85B25" w:rsidRPr="00E85B25" w:rsidRDefault="00E85B25" w:rsidP="00E85B25">
      <w:pPr>
        <w:keepNext/>
        <w:keepLines/>
        <w:spacing w:before="120" w:after="120" w:line="240" w:lineRule="auto"/>
        <w:rPr>
          <w:b/>
          <w:bCs/>
          <w:sz w:val="20"/>
          <w:szCs w:val="20"/>
        </w:rPr>
      </w:pPr>
    </w:p>
    <w:p w:rsidR="00991F83" w:rsidRDefault="00991F83" w:rsidP="00D60375">
      <w:pPr>
        <w:pStyle w:val="MJAnormal"/>
        <w:rPr>
          <w:lang w:val="en-US"/>
        </w:rPr>
        <w:sectPr w:rsidR="00991F83" w:rsidSect="00194D1C">
          <w:headerReference w:type="default" r:id="rId29"/>
          <w:footerReference w:type="default" r:id="rId30"/>
          <w:pgSz w:w="16838" w:h="11906" w:orient="landscape" w:code="9"/>
          <w:pgMar w:top="1134" w:right="1134" w:bottom="851" w:left="1701" w:header="680" w:footer="113" w:gutter="0"/>
          <w:cols w:space="708"/>
          <w:docGrid w:linePitch="360"/>
        </w:sectPr>
      </w:pPr>
    </w:p>
    <w:p w:rsidR="00991F83" w:rsidRDefault="00991F83" w:rsidP="00D60375">
      <w:pPr>
        <w:pStyle w:val="MJAnormal"/>
        <w:rPr>
          <w:lang w:val="en-US"/>
        </w:rPr>
      </w:pPr>
    </w:p>
    <w:p w:rsidR="00D60375" w:rsidRPr="00194D1C" w:rsidRDefault="00D60375" w:rsidP="00194D1C">
      <w:pPr>
        <w:pStyle w:val="MJAnormal"/>
      </w:pPr>
      <w:r w:rsidRPr="00194D1C">
        <w:t>To establish the material flows, materials were coded according to their phase (solid, sludge, liquid) and contaminant type. Treatment act</w:t>
      </w:r>
      <w:r w:rsidR="00E85B25" w:rsidRPr="00194D1C">
        <w:t xml:space="preserve">ivities were also coded </w:t>
      </w:r>
      <w:r w:rsidR="00D60E90" w:rsidRPr="00D60E90">
        <w:t xml:space="preserve">against a legend developed specifically for this project as </w:t>
      </w:r>
      <w:r w:rsidRPr="00194D1C">
        <w:t xml:space="preserve">shown in </w:t>
      </w:r>
      <w:fldSimple w:instr=" REF _Ref391303669 \h  \* MERGEFORMAT ">
        <w:r w:rsidR="00D54C27" w:rsidRPr="00D54C27">
          <w:t>Table 12</w:t>
        </w:r>
      </w:fldSimple>
      <w:r w:rsidR="00194D1C" w:rsidRPr="00194D1C">
        <w:t>.</w:t>
      </w:r>
    </w:p>
    <w:p w:rsidR="00D60375" w:rsidRPr="00194D1C" w:rsidRDefault="00194D1C" w:rsidP="00194D1C">
      <w:pPr>
        <w:keepNext/>
        <w:keepLines/>
        <w:spacing w:before="120" w:after="120" w:line="240" w:lineRule="auto"/>
        <w:rPr>
          <w:rFonts w:ascii="Calibri" w:eastAsia="Times New Roman" w:hAnsi="Calibri" w:cs="Calibri"/>
          <w:b/>
          <w:bCs/>
          <w:sz w:val="20"/>
          <w:szCs w:val="20"/>
          <w:lang w:eastAsia="en-AU"/>
        </w:rPr>
      </w:pPr>
      <w:bookmarkStart w:id="38" w:name="_Ref391303669"/>
      <w:r w:rsidRPr="00F6696F">
        <w:rPr>
          <w:rFonts w:ascii="Calibri" w:eastAsia="Times New Roman" w:hAnsi="Calibri" w:cs="Calibri"/>
          <w:b/>
          <w:bCs/>
          <w:sz w:val="20"/>
          <w:szCs w:val="20"/>
          <w:lang w:eastAsia="en-AU"/>
        </w:rPr>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12</w:t>
      </w:r>
      <w:r w:rsidR="00732F35" w:rsidRPr="00F6696F">
        <w:rPr>
          <w:rFonts w:ascii="Calibri" w:eastAsia="Times New Roman" w:hAnsi="Calibri" w:cs="Calibri"/>
          <w:b/>
          <w:bCs/>
          <w:sz w:val="20"/>
          <w:szCs w:val="20"/>
          <w:lang w:eastAsia="en-AU"/>
        </w:rPr>
        <w:fldChar w:fldCharType="end"/>
      </w:r>
      <w:bookmarkEnd w:id="38"/>
      <w:r w:rsidRPr="00F6696F">
        <w:rPr>
          <w:rFonts w:ascii="Calibri" w:eastAsia="Times New Roman" w:hAnsi="Calibri" w:cs="Calibri"/>
          <w:b/>
          <w:bCs/>
          <w:sz w:val="20"/>
          <w:szCs w:val="20"/>
          <w:lang w:eastAsia="en-AU"/>
        </w:rPr>
        <w:t xml:space="preserve">:  </w:t>
      </w:r>
      <w:r w:rsidR="00D60375" w:rsidRPr="00194D1C">
        <w:rPr>
          <w:b/>
          <w:sz w:val="20"/>
          <w:szCs w:val="20"/>
        </w:rPr>
        <w:t>Material coding legend</w:t>
      </w:r>
    </w:p>
    <w:tbl>
      <w:tblPr>
        <w:tblStyle w:val="SRUTable"/>
        <w:tblW w:w="0" w:type="auto"/>
        <w:tblLook w:val="0480"/>
      </w:tblPr>
      <w:tblGrid>
        <w:gridCol w:w="1536"/>
        <w:gridCol w:w="2645"/>
        <w:gridCol w:w="1206"/>
      </w:tblGrid>
      <w:tr w:rsidR="00D60375" w:rsidRPr="00D60375" w:rsidTr="00CD7DC9">
        <w:trPr>
          <w:trHeight w:val="298"/>
        </w:trPr>
        <w:tc>
          <w:tcPr>
            <w:tcW w:w="1536" w:type="dxa"/>
            <w:tcBorders>
              <w:top w:val="nil"/>
              <w:bottom w:val="nil"/>
            </w:tcBorders>
            <w:shd w:val="clear" w:color="auto" w:fill="0093D0"/>
          </w:tcPr>
          <w:p w:rsidR="00D60375" w:rsidRPr="00D60375" w:rsidRDefault="00D60375" w:rsidP="00D60375">
            <w:pPr>
              <w:pStyle w:val="TableHeading"/>
              <w:spacing w:before="100" w:beforeAutospacing="1" w:after="100" w:afterAutospacing="1" w:line="240" w:lineRule="atLeast"/>
              <w:jc w:val="left"/>
              <w:rPr>
                <w:rFonts w:asciiTheme="minorHAnsi" w:hAnsiTheme="minorHAnsi"/>
                <w:color w:val="FFFFFF" w:themeColor="background1"/>
                <w:sz w:val="18"/>
                <w:szCs w:val="18"/>
                <w:lang w:val="en-US"/>
              </w:rPr>
            </w:pPr>
            <w:r w:rsidRPr="00D60375">
              <w:rPr>
                <w:rFonts w:asciiTheme="minorHAnsi" w:hAnsiTheme="minorHAnsi"/>
                <w:color w:val="FFFFFF" w:themeColor="background1"/>
                <w:sz w:val="18"/>
                <w:szCs w:val="18"/>
                <w:lang w:val="en-US"/>
              </w:rPr>
              <w:t>Category type</w:t>
            </w:r>
          </w:p>
        </w:tc>
        <w:tc>
          <w:tcPr>
            <w:tcW w:w="2645" w:type="dxa"/>
            <w:tcBorders>
              <w:top w:val="nil"/>
              <w:bottom w:val="nil"/>
            </w:tcBorders>
            <w:shd w:val="clear" w:color="auto" w:fill="0093D0"/>
          </w:tcPr>
          <w:p w:rsidR="00D60375" w:rsidRPr="00D60375" w:rsidRDefault="00D60375" w:rsidP="00D60375">
            <w:pPr>
              <w:pStyle w:val="TableHeading"/>
              <w:spacing w:before="100" w:beforeAutospacing="1" w:after="100" w:afterAutospacing="1" w:line="240" w:lineRule="atLeast"/>
              <w:jc w:val="left"/>
              <w:rPr>
                <w:rFonts w:asciiTheme="minorHAnsi" w:hAnsiTheme="minorHAnsi"/>
                <w:color w:val="FFFFFF" w:themeColor="background1"/>
                <w:sz w:val="18"/>
                <w:szCs w:val="18"/>
                <w:lang w:val="en-US"/>
              </w:rPr>
            </w:pPr>
            <w:r w:rsidRPr="00D60375">
              <w:rPr>
                <w:rFonts w:asciiTheme="minorHAnsi" w:hAnsiTheme="minorHAnsi"/>
                <w:color w:val="FFFFFF" w:themeColor="background1"/>
                <w:sz w:val="18"/>
                <w:szCs w:val="18"/>
                <w:lang w:val="en-US"/>
              </w:rPr>
              <w:t>Category description</w:t>
            </w:r>
          </w:p>
        </w:tc>
        <w:tc>
          <w:tcPr>
            <w:tcW w:w="1206" w:type="dxa"/>
            <w:tcBorders>
              <w:top w:val="nil"/>
              <w:bottom w:val="nil"/>
            </w:tcBorders>
            <w:shd w:val="clear" w:color="auto" w:fill="0093D0"/>
          </w:tcPr>
          <w:p w:rsidR="00D60375" w:rsidRPr="00D60375" w:rsidRDefault="00D60375" w:rsidP="00D60375">
            <w:pPr>
              <w:pStyle w:val="TableHeading"/>
              <w:spacing w:before="100" w:beforeAutospacing="1" w:after="100" w:afterAutospacing="1" w:line="240" w:lineRule="atLeast"/>
              <w:rPr>
                <w:rFonts w:asciiTheme="minorHAnsi" w:hAnsiTheme="minorHAnsi"/>
                <w:color w:val="FFFFFF" w:themeColor="background1"/>
                <w:sz w:val="18"/>
                <w:szCs w:val="18"/>
                <w:lang w:val="en-US"/>
              </w:rPr>
            </w:pPr>
            <w:r w:rsidRPr="00D60375">
              <w:rPr>
                <w:rFonts w:asciiTheme="minorHAnsi" w:hAnsiTheme="minorHAnsi"/>
                <w:color w:val="FFFFFF" w:themeColor="background1"/>
                <w:sz w:val="18"/>
                <w:szCs w:val="18"/>
                <w:lang w:val="en-US"/>
              </w:rPr>
              <w:t>Category ID</w:t>
            </w:r>
          </w:p>
        </w:tc>
      </w:tr>
      <w:tr w:rsidR="00D60375" w:rsidRPr="00D60375" w:rsidTr="00CD7DC9">
        <w:tc>
          <w:tcPr>
            <w:tcW w:w="1536" w:type="dxa"/>
            <w:vMerge w:val="restart"/>
            <w:tcBorders>
              <w:top w:val="nil"/>
              <w:bottom w:val="dotted" w:sz="4" w:space="0" w:color="0093D0"/>
            </w:tcBorders>
            <w:vAlign w:val="center"/>
          </w:tcPr>
          <w:p w:rsidR="00D60375" w:rsidRPr="00D60375" w:rsidRDefault="00D60375" w:rsidP="00CD7DC9">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Material phase</w:t>
            </w:r>
          </w:p>
        </w:tc>
        <w:tc>
          <w:tcPr>
            <w:tcW w:w="2645" w:type="dxa"/>
            <w:tcBorders>
              <w:top w:val="nil"/>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Liquid or slurry</w:t>
            </w:r>
          </w:p>
        </w:tc>
        <w:tc>
          <w:tcPr>
            <w:tcW w:w="1206" w:type="dxa"/>
            <w:tcBorders>
              <w:top w:val="nil"/>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bookmarkStart w:id="39" w:name="RANGE!C31:C53"/>
            <w:r w:rsidRPr="00D60375">
              <w:rPr>
                <w:rFonts w:asciiTheme="minorHAnsi" w:hAnsiTheme="minorHAnsi"/>
                <w:color w:val="000000"/>
                <w:sz w:val="18"/>
              </w:rPr>
              <w:t>L</w:t>
            </w:r>
            <w:bookmarkEnd w:id="39"/>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Soil</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S</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Solid/</w:t>
            </w:r>
            <w:proofErr w:type="spellStart"/>
            <w:r w:rsidRPr="00D60375">
              <w:rPr>
                <w:rFonts w:asciiTheme="minorHAnsi" w:hAnsiTheme="minorHAnsi"/>
                <w:sz w:val="18"/>
                <w:lang w:val="en-US"/>
              </w:rPr>
              <w:t>Filtercake</w:t>
            </w:r>
            <w:proofErr w:type="spellEnd"/>
            <w:r w:rsidRPr="00D60375">
              <w:rPr>
                <w:rFonts w:asciiTheme="minorHAnsi" w:hAnsiTheme="minorHAnsi"/>
                <w:sz w:val="18"/>
                <w:lang w:val="en-US"/>
              </w:rPr>
              <w:t>/Sludge</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P</w:t>
            </w:r>
          </w:p>
        </w:tc>
      </w:tr>
      <w:tr w:rsidR="00D60375" w:rsidRPr="00D60375" w:rsidTr="00CD7DC9">
        <w:tc>
          <w:tcPr>
            <w:tcW w:w="1536" w:type="dxa"/>
            <w:vMerge w:val="restart"/>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Contaminant type</w:t>
            </w: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High toxicity contaminant</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X</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Hydrocarbon contamination</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H</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Metal contamination</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M</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Other contamination</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O</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Asbestos / SMF</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A</w:t>
            </w:r>
          </w:p>
        </w:tc>
      </w:tr>
      <w:tr w:rsidR="00D60375" w:rsidRPr="00D60375" w:rsidTr="00CD7DC9">
        <w:tc>
          <w:tcPr>
            <w:tcW w:w="1536" w:type="dxa"/>
            <w:vMerge w:val="restart"/>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Additional contaminant information</w:t>
            </w: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High calorific value</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Z</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Low calorific value</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Y</w:t>
            </w:r>
          </w:p>
        </w:tc>
      </w:tr>
      <w:tr w:rsidR="00D60375" w:rsidRPr="00D60375" w:rsidTr="00CD7DC9">
        <w:tc>
          <w:tcPr>
            <w:tcW w:w="1536" w:type="dxa"/>
            <w:vMerge w:val="restart"/>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Treatment type</w:t>
            </w: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Thermal treatment</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T</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Specialist treatment</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K</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Bioremediation</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D</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roofErr w:type="spellStart"/>
            <w:r w:rsidRPr="00D60375">
              <w:rPr>
                <w:rFonts w:asciiTheme="minorHAnsi" w:hAnsiTheme="minorHAnsi"/>
                <w:sz w:val="18"/>
                <w:lang w:val="en-US"/>
              </w:rPr>
              <w:t>Immobilisation</w:t>
            </w:r>
            <w:proofErr w:type="spellEnd"/>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I</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roofErr w:type="spellStart"/>
            <w:r w:rsidRPr="00D60375">
              <w:rPr>
                <w:rFonts w:asciiTheme="minorHAnsi" w:hAnsiTheme="minorHAnsi"/>
                <w:sz w:val="18"/>
                <w:lang w:val="en-US"/>
              </w:rPr>
              <w:t>Neutralisation</w:t>
            </w:r>
            <w:proofErr w:type="spellEnd"/>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N</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Consolidation</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J</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Waste to Energy</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E</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Waste water treatment</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W</w:t>
            </w:r>
          </w:p>
        </w:tc>
      </w:tr>
      <w:tr w:rsidR="00D60375" w:rsidRPr="00D60375" w:rsidTr="00CD7DC9">
        <w:tc>
          <w:tcPr>
            <w:tcW w:w="1536" w:type="dxa"/>
            <w:vMerge w:val="restart"/>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Fate</w:t>
            </w: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Storage</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G</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High level landfill (Cat B)</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B</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Low level landfill (Cat C)</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C</w:t>
            </w:r>
          </w:p>
        </w:tc>
      </w:tr>
      <w:tr w:rsidR="00D60375" w:rsidRPr="00D60375" w:rsidTr="00CD7DC9">
        <w:tc>
          <w:tcPr>
            <w:tcW w:w="1536" w:type="dxa"/>
            <w:vMerge/>
            <w:tcBorders>
              <w:top w:val="dotted" w:sz="4" w:space="0" w:color="0093D0"/>
              <w:bottom w:val="dotted"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dotted"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Recycling</w:t>
            </w:r>
          </w:p>
        </w:tc>
        <w:tc>
          <w:tcPr>
            <w:tcW w:w="1206" w:type="dxa"/>
            <w:tcBorders>
              <w:top w:val="dotted" w:sz="4" w:space="0" w:color="0093D0"/>
              <w:bottom w:val="dotted"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R</w:t>
            </w:r>
          </w:p>
        </w:tc>
      </w:tr>
      <w:tr w:rsidR="00D60375" w:rsidRPr="00D60375" w:rsidTr="00CD7DC9">
        <w:tc>
          <w:tcPr>
            <w:tcW w:w="1536" w:type="dxa"/>
            <w:vMerge/>
            <w:tcBorders>
              <w:top w:val="dotted" w:sz="4" w:space="0" w:color="0093D0"/>
              <w:bottom w:val="single" w:sz="4" w:space="0" w:color="0093D0"/>
            </w:tcBorders>
            <w:vAlign w:val="center"/>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p>
        </w:tc>
        <w:tc>
          <w:tcPr>
            <w:tcW w:w="2645" w:type="dxa"/>
            <w:tcBorders>
              <w:top w:val="dotted" w:sz="4" w:space="0" w:color="0093D0"/>
              <w:bottom w:val="single" w:sz="4" w:space="0" w:color="0093D0"/>
            </w:tcBorders>
          </w:tcPr>
          <w:p w:rsidR="00D60375" w:rsidRPr="00D60375" w:rsidRDefault="00D60375" w:rsidP="00D60375">
            <w:pPr>
              <w:pStyle w:val="TableText"/>
              <w:spacing w:before="100" w:beforeAutospacing="1" w:after="100" w:afterAutospacing="1" w:line="240" w:lineRule="atLeast"/>
              <w:rPr>
                <w:rFonts w:asciiTheme="minorHAnsi" w:hAnsiTheme="minorHAnsi"/>
                <w:sz w:val="18"/>
                <w:lang w:val="en-US"/>
              </w:rPr>
            </w:pPr>
            <w:r w:rsidRPr="00D60375">
              <w:rPr>
                <w:rFonts w:asciiTheme="minorHAnsi" w:hAnsiTheme="minorHAnsi"/>
                <w:sz w:val="18"/>
                <w:lang w:val="en-US"/>
              </w:rPr>
              <w:t>Liquid or slurry</w:t>
            </w:r>
          </w:p>
        </w:tc>
        <w:tc>
          <w:tcPr>
            <w:tcW w:w="1206" w:type="dxa"/>
            <w:tcBorders>
              <w:top w:val="dotted" w:sz="4" w:space="0" w:color="0093D0"/>
              <w:bottom w:val="single" w:sz="4" w:space="0" w:color="0093D0"/>
            </w:tcBorders>
            <w:vAlign w:val="bottom"/>
          </w:tcPr>
          <w:p w:rsidR="00D60375" w:rsidRPr="00D60375" w:rsidRDefault="00D60375" w:rsidP="00D60375">
            <w:pPr>
              <w:pStyle w:val="TableText"/>
              <w:spacing w:before="100" w:beforeAutospacing="1" w:after="100" w:afterAutospacing="1" w:line="240" w:lineRule="atLeast"/>
              <w:jc w:val="center"/>
              <w:rPr>
                <w:rFonts w:asciiTheme="minorHAnsi" w:hAnsiTheme="minorHAnsi"/>
                <w:sz w:val="18"/>
                <w:lang w:val="en-US"/>
              </w:rPr>
            </w:pPr>
            <w:r w:rsidRPr="00D60375">
              <w:rPr>
                <w:rFonts w:asciiTheme="minorHAnsi" w:hAnsiTheme="minorHAnsi"/>
                <w:color w:val="000000"/>
                <w:sz w:val="18"/>
              </w:rPr>
              <w:t>U</w:t>
            </w:r>
          </w:p>
        </w:tc>
      </w:tr>
    </w:tbl>
    <w:p w:rsidR="00D60375" w:rsidRDefault="008C1706" w:rsidP="007D22A1">
      <w:pPr>
        <w:pStyle w:val="MJAnormal"/>
        <w:rPr>
          <w:lang w:val="en-US"/>
        </w:rPr>
      </w:pPr>
      <w:r>
        <w:rPr>
          <w:lang w:val="en-US"/>
        </w:rPr>
        <w:t>Combinations of material phase</w:t>
      </w:r>
      <w:r w:rsidR="00D60375">
        <w:rPr>
          <w:lang w:val="en-US"/>
        </w:rPr>
        <w:t>, contaminant type, trea</w:t>
      </w:r>
      <w:r w:rsidR="00CD7DC9">
        <w:rPr>
          <w:lang w:val="en-US"/>
        </w:rPr>
        <w:t>tment type(s) and final fate were</w:t>
      </w:r>
      <w:r w:rsidR="00D60375">
        <w:rPr>
          <w:lang w:val="en-US"/>
        </w:rPr>
        <w:t xml:space="preserve"> used to build up the following list of classifications for the material flow paths. This list is informed by the flow charts developed in industry consultation and can be seen in</w:t>
      </w:r>
      <w:r w:rsidR="007D22A1">
        <w:rPr>
          <w:lang w:val="en-US"/>
        </w:rPr>
        <w:t xml:space="preserve"> </w:t>
      </w:r>
      <w:r w:rsidR="00635F23">
        <w:rPr>
          <w:lang w:val="en-US"/>
        </w:rPr>
        <w:t>Figures 4 and 5</w:t>
      </w:r>
      <w:r w:rsidR="00D60375">
        <w:rPr>
          <w:lang w:val="en-US"/>
        </w:rPr>
        <w:t>.</w:t>
      </w:r>
      <w:r w:rsidR="00B83F7F">
        <w:rPr>
          <w:lang w:val="en-US"/>
        </w:rPr>
        <w:t xml:space="preserve"> </w:t>
      </w:r>
      <w:r w:rsidR="00B83F7F" w:rsidRPr="00B83F7F">
        <w:rPr>
          <w:lang w:val="en-US"/>
        </w:rPr>
        <w:t>Following treatment, most waste materials are then sent to a final fate (being landfill, storage, recycling or reuse)</w:t>
      </w:r>
      <w:r w:rsidR="00B83F7F">
        <w:rPr>
          <w:lang w:val="en-US"/>
        </w:rPr>
        <w:t>.</w:t>
      </w:r>
    </w:p>
    <w:p w:rsidR="00D60375" w:rsidRPr="007D22A1" w:rsidRDefault="007D22A1" w:rsidP="007D22A1">
      <w:pPr>
        <w:keepNext/>
        <w:keepLines/>
        <w:spacing w:before="120" w:after="120" w:line="240" w:lineRule="auto"/>
        <w:rPr>
          <w:rFonts w:ascii="Calibri" w:eastAsia="Times New Roman" w:hAnsi="Calibri" w:cs="Calibri"/>
          <w:b/>
          <w:bCs/>
          <w:sz w:val="20"/>
          <w:szCs w:val="20"/>
          <w:lang w:eastAsia="en-AU"/>
        </w:rPr>
      </w:pPr>
      <w:bookmarkStart w:id="40" w:name="_Ref391304627"/>
      <w:bookmarkStart w:id="41" w:name="_Ref391046446"/>
      <w:r w:rsidRPr="007D22A1">
        <w:rPr>
          <w:rFonts w:ascii="Calibri" w:eastAsia="Times New Roman" w:hAnsi="Calibri" w:cs="Calibri"/>
          <w:b/>
          <w:bCs/>
          <w:sz w:val="20"/>
          <w:szCs w:val="20"/>
          <w:lang w:eastAsia="en-AU"/>
        </w:rPr>
        <w:t xml:space="preserve">Table </w:t>
      </w:r>
      <w:r w:rsidR="00732F35" w:rsidRPr="007D22A1">
        <w:rPr>
          <w:rFonts w:ascii="Calibri" w:eastAsia="Times New Roman" w:hAnsi="Calibri" w:cs="Calibri"/>
          <w:b/>
          <w:bCs/>
          <w:sz w:val="20"/>
          <w:szCs w:val="20"/>
          <w:lang w:eastAsia="en-AU"/>
        </w:rPr>
        <w:fldChar w:fldCharType="begin"/>
      </w:r>
      <w:r w:rsidRPr="007D22A1">
        <w:rPr>
          <w:rFonts w:ascii="Calibri" w:eastAsia="Times New Roman" w:hAnsi="Calibri" w:cs="Calibri"/>
          <w:b/>
          <w:bCs/>
          <w:sz w:val="20"/>
          <w:szCs w:val="20"/>
          <w:lang w:eastAsia="en-AU"/>
        </w:rPr>
        <w:instrText xml:space="preserve"> SEQ Table \* ARABIC </w:instrText>
      </w:r>
      <w:r w:rsidR="00732F35" w:rsidRPr="007D22A1">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13</w:t>
      </w:r>
      <w:r w:rsidR="00732F35" w:rsidRPr="007D22A1">
        <w:rPr>
          <w:rFonts w:ascii="Calibri" w:eastAsia="Times New Roman" w:hAnsi="Calibri" w:cs="Calibri"/>
          <w:b/>
          <w:bCs/>
          <w:sz w:val="20"/>
          <w:szCs w:val="20"/>
          <w:lang w:eastAsia="en-AU"/>
        </w:rPr>
        <w:fldChar w:fldCharType="end"/>
      </w:r>
      <w:bookmarkEnd w:id="40"/>
      <w:r w:rsidRPr="007D22A1">
        <w:rPr>
          <w:rFonts w:ascii="Calibri" w:eastAsia="Times New Roman" w:hAnsi="Calibri" w:cs="Calibri"/>
          <w:b/>
          <w:bCs/>
          <w:sz w:val="20"/>
          <w:szCs w:val="20"/>
          <w:lang w:eastAsia="en-AU"/>
        </w:rPr>
        <w:t xml:space="preserve">:  </w:t>
      </w:r>
      <w:bookmarkEnd w:id="41"/>
      <w:r w:rsidR="00D60375" w:rsidRPr="007D22A1">
        <w:rPr>
          <w:b/>
          <w:sz w:val="20"/>
          <w:szCs w:val="20"/>
        </w:rPr>
        <w:t>Material flow path classifications</w:t>
      </w:r>
    </w:p>
    <w:tbl>
      <w:tblPr>
        <w:tblStyle w:val="SRUTable"/>
        <w:tblW w:w="9214" w:type="dxa"/>
        <w:tblLook w:val="0480"/>
      </w:tblPr>
      <w:tblGrid>
        <w:gridCol w:w="1418"/>
        <w:gridCol w:w="7796"/>
      </w:tblGrid>
      <w:tr w:rsidR="007D22A1" w:rsidRPr="007D22A1" w:rsidTr="007D22A1">
        <w:trPr>
          <w:tblHeader/>
        </w:trPr>
        <w:tc>
          <w:tcPr>
            <w:tcW w:w="1418" w:type="dxa"/>
            <w:tcBorders>
              <w:top w:val="nil"/>
              <w:bottom w:val="nil"/>
            </w:tcBorders>
            <w:shd w:val="clear" w:color="auto" w:fill="0093D0"/>
          </w:tcPr>
          <w:p w:rsidR="00D60375" w:rsidRPr="007D22A1" w:rsidRDefault="00D60375" w:rsidP="007D22A1">
            <w:pPr>
              <w:pStyle w:val="TableHeading"/>
              <w:jc w:val="left"/>
              <w:rPr>
                <w:rFonts w:asciiTheme="minorHAnsi" w:hAnsiTheme="minorHAnsi"/>
                <w:color w:val="FFFFFF" w:themeColor="background1"/>
                <w:szCs w:val="20"/>
                <w:lang w:val="en-US"/>
              </w:rPr>
            </w:pPr>
            <w:r w:rsidRPr="007D22A1">
              <w:rPr>
                <w:rFonts w:asciiTheme="minorHAnsi" w:hAnsiTheme="minorHAnsi"/>
                <w:color w:val="FFFFFF" w:themeColor="background1"/>
                <w:szCs w:val="20"/>
                <w:lang w:val="en-US"/>
              </w:rPr>
              <w:t>Classification</w:t>
            </w:r>
          </w:p>
        </w:tc>
        <w:tc>
          <w:tcPr>
            <w:tcW w:w="7796" w:type="dxa"/>
            <w:tcBorders>
              <w:top w:val="nil"/>
              <w:bottom w:val="nil"/>
            </w:tcBorders>
            <w:shd w:val="clear" w:color="auto" w:fill="0093D0"/>
          </w:tcPr>
          <w:p w:rsidR="00D60375" w:rsidRPr="007D22A1" w:rsidRDefault="00D60375" w:rsidP="007D22A1">
            <w:pPr>
              <w:pStyle w:val="TableHeading"/>
              <w:jc w:val="left"/>
              <w:rPr>
                <w:rFonts w:asciiTheme="minorHAnsi" w:hAnsiTheme="minorHAnsi"/>
                <w:color w:val="FFFFFF" w:themeColor="background1"/>
                <w:szCs w:val="20"/>
                <w:lang w:val="en-US"/>
              </w:rPr>
            </w:pPr>
            <w:r w:rsidRPr="007D22A1">
              <w:rPr>
                <w:rFonts w:asciiTheme="minorHAnsi" w:hAnsiTheme="minorHAnsi"/>
                <w:color w:val="FFFFFF" w:themeColor="background1"/>
                <w:szCs w:val="20"/>
                <w:lang w:val="en-US"/>
              </w:rPr>
              <w:t>Classification description</w:t>
            </w:r>
          </w:p>
        </w:tc>
      </w:tr>
      <w:tr w:rsidR="00D60375" w:rsidRPr="007D22A1" w:rsidTr="007D22A1">
        <w:tc>
          <w:tcPr>
            <w:tcW w:w="1418" w:type="dxa"/>
            <w:tcBorders>
              <w:top w:val="nil"/>
            </w:tcBorders>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PXG</w:t>
            </w:r>
          </w:p>
        </w:tc>
        <w:tc>
          <w:tcPr>
            <w:tcW w:w="7796" w:type="dxa"/>
            <w:tcBorders>
              <w:top w:val="nil"/>
            </w:tcBorders>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Solid/</w:t>
            </w:r>
            <w:proofErr w:type="spellStart"/>
            <w:r w:rsidRPr="007D22A1">
              <w:rPr>
                <w:rFonts w:asciiTheme="minorHAnsi" w:hAnsiTheme="minorHAnsi"/>
                <w:color w:val="000000"/>
                <w:szCs w:val="20"/>
              </w:rPr>
              <w:t>Filtercake</w:t>
            </w:r>
            <w:proofErr w:type="spellEnd"/>
            <w:r w:rsidRPr="007D22A1">
              <w:rPr>
                <w:rFonts w:asciiTheme="minorHAnsi" w:hAnsiTheme="minorHAnsi"/>
                <w:color w:val="000000"/>
                <w:szCs w:val="20"/>
              </w:rPr>
              <w:t>/Sludge, High toxicity contaminant, Storage</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SXG</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Soil, High toxicity contaminant, Storage</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PXK</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Solid/</w:t>
            </w:r>
            <w:proofErr w:type="spellStart"/>
            <w:r w:rsidRPr="007D22A1">
              <w:rPr>
                <w:rFonts w:asciiTheme="minorHAnsi" w:hAnsiTheme="minorHAnsi"/>
                <w:color w:val="000000"/>
                <w:szCs w:val="20"/>
              </w:rPr>
              <w:t>Filtercake</w:t>
            </w:r>
            <w:proofErr w:type="spellEnd"/>
            <w:r w:rsidRPr="007D22A1">
              <w:rPr>
                <w:rFonts w:asciiTheme="minorHAnsi" w:hAnsiTheme="minorHAnsi"/>
                <w:color w:val="000000"/>
                <w:szCs w:val="20"/>
              </w:rPr>
              <w:t>/Sludge, High toxicity contaminant, Specialist treatment</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SXK</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Soil, High toxicity contaminant, Specialist treatment</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SHD</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Soil, Hydrocarbon contamination, Bioremediation</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PHI</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Solid/</w:t>
            </w:r>
            <w:proofErr w:type="spellStart"/>
            <w:r w:rsidRPr="007D22A1">
              <w:rPr>
                <w:rFonts w:asciiTheme="minorHAnsi" w:hAnsiTheme="minorHAnsi"/>
                <w:color w:val="000000"/>
                <w:szCs w:val="20"/>
              </w:rPr>
              <w:t>Filtercake</w:t>
            </w:r>
            <w:proofErr w:type="spellEnd"/>
            <w:r w:rsidRPr="007D22A1">
              <w:rPr>
                <w:rFonts w:asciiTheme="minorHAnsi" w:hAnsiTheme="minorHAnsi"/>
                <w:color w:val="000000"/>
                <w:szCs w:val="20"/>
              </w:rPr>
              <w:t>/Sludge, Hydrocarbon contamination, Immobilisation</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PHE</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Solid/</w:t>
            </w:r>
            <w:proofErr w:type="spellStart"/>
            <w:r w:rsidRPr="007D22A1">
              <w:rPr>
                <w:rFonts w:asciiTheme="minorHAnsi" w:hAnsiTheme="minorHAnsi"/>
                <w:color w:val="000000"/>
                <w:szCs w:val="20"/>
              </w:rPr>
              <w:t>Filtercake</w:t>
            </w:r>
            <w:proofErr w:type="spellEnd"/>
            <w:r w:rsidRPr="007D22A1">
              <w:rPr>
                <w:rFonts w:asciiTheme="minorHAnsi" w:hAnsiTheme="minorHAnsi"/>
                <w:color w:val="000000"/>
                <w:szCs w:val="20"/>
              </w:rPr>
              <w:t>/Sludge, Hydrocarbon contamination, Waste to Energy</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PMI</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Solid/</w:t>
            </w:r>
            <w:proofErr w:type="spellStart"/>
            <w:r w:rsidRPr="007D22A1">
              <w:rPr>
                <w:rFonts w:asciiTheme="minorHAnsi" w:hAnsiTheme="minorHAnsi"/>
                <w:color w:val="000000"/>
                <w:szCs w:val="20"/>
              </w:rPr>
              <w:t>Filtercake</w:t>
            </w:r>
            <w:proofErr w:type="spellEnd"/>
            <w:r w:rsidRPr="007D22A1">
              <w:rPr>
                <w:rFonts w:asciiTheme="minorHAnsi" w:hAnsiTheme="minorHAnsi"/>
                <w:color w:val="000000"/>
                <w:szCs w:val="20"/>
              </w:rPr>
              <w:t>/Sludge, Metal contamination, Immobilisation</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SMI</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Soil, Metal contamination, Immobilisation</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PMT</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Solid/</w:t>
            </w:r>
            <w:proofErr w:type="spellStart"/>
            <w:r w:rsidRPr="007D22A1">
              <w:rPr>
                <w:rFonts w:asciiTheme="minorHAnsi" w:hAnsiTheme="minorHAnsi"/>
                <w:color w:val="000000"/>
                <w:szCs w:val="20"/>
              </w:rPr>
              <w:t>Filtercake</w:t>
            </w:r>
            <w:proofErr w:type="spellEnd"/>
            <w:r w:rsidRPr="007D22A1">
              <w:rPr>
                <w:rFonts w:asciiTheme="minorHAnsi" w:hAnsiTheme="minorHAnsi"/>
                <w:color w:val="000000"/>
                <w:szCs w:val="20"/>
              </w:rPr>
              <w:t>/Sludge, Metal contamination, Thermal treatment</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lastRenderedPageBreak/>
              <w:t>SMT</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Soil, Metal contamination, Thermal treatment</w:t>
            </w:r>
          </w:p>
        </w:tc>
      </w:tr>
      <w:tr w:rsidR="00D60375" w:rsidRPr="007D22A1" w:rsidTr="007D22A1">
        <w:tc>
          <w:tcPr>
            <w:tcW w:w="1418" w:type="dxa"/>
            <w:tcBorders>
              <w:bottom w:val="nil"/>
            </w:tcBorders>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POD</w:t>
            </w:r>
          </w:p>
        </w:tc>
        <w:tc>
          <w:tcPr>
            <w:tcW w:w="7796" w:type="dxa"/>
            <w:tcBorders>
              <w:bottom w:val="nil"/>
            </w:tcBorders>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Solid/</w:t>
            </w:r>
            <w:proofErr w:type="spellStart"/>
            <w:r w:rsidRPr="007D22A1">
              <w:rPr>
                <w:rFonts w:asciiTheme="minorHAnsi" w:hAnsiTheme="minorHAnsi"/>
                <w:color w:val="000000"/>
                <w:szCs w:val="20"/>
              </w:rPr>
              <w:t>Filtercake</w:t>
            </w:r>
            <w:proofErr w:type="spellEnd"/>
            <w:r w:rsidRPr="007D22A1">
              <w:rPr>
                <w:rFonts w:asciiTheme="minorHAnsi" w:hAnsiTheme="minorHAnsi"/>
                <w:color w:val="000000"/>
                <w:szCs w:val="20"/>
              </w:rPr>
              <w:t>/Sludge, Other contamination, Bioremediation</w:t>
            </w:r>
          </w:p>
        </w:tc>
      </w:tr>
      <w:tr w:rsidR="00D60375" w:rsidRPr="007D22A1" w:rsidTr="007D22A1">
        <w:tc>
          <w:tcPr>
            <w:tcW w:w="1418" w:type="dxa"/>
            <w:tcBorders>
              <w:top w:val="nil"/>
              <w:bottom w:val="single" w:sz="4" w:space="0" w:color="0093D0"/>
            </w:tcBorders>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POI</w:t>
            </w:r>
          </w:p>
        </w:tc>
        <w:tc>
          <w:tcPr>
            <w:tcW w:w="7796" w:type="dxa"/>
            <w:tcBorders>
              <w:top w:val="nil"/>
              <w:bottom w:val="single" w:sz="4" w:space="0" w:color="0093D0"/>
            </w:tcBorders>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Solid/</w:t>
            </w:r>
            <w:proofErr w:type="spellStart"/>
            <w:r w:rsidRPr="007D22A1">
              <w:rPr>
                <w:rFonts w:asciiTheme="minorHAnsi" w:hAnsiTheme="minorHAnsi"/>
                <w:color w:val="000000"/>
                <w:szCs w:val="20"/>
              </w:rPr>
              <w:t>Filtercake</w:t>
            </w:r>
            <w:proofErr w:type="spellEnd"/>
            <w:r w:rsidRPr="007D22A1">
              <w:rPr>
                <w:rFonts w:asciiTheme="minorHAnsi" w:hAnsiTheme="minorHAnsi"/>
                <w:color w:val="000000"/>
                <w:szCs w:val="20"/>
              </w:rPr>
              <w:t>/Sludge, Other contamination, Immobilisation</w:t>
            </w:r>
          </w:p>
        </w:tc>
      </w:tr>
      <w:tr w:rsidR="00D60375" w:rsidRPr="007D22A1" w:rsidTr="007D22A1">
        <w:tc>
          <w:tcPr>
            <w:tcW w:w="1418" w:type="dxa"/>
            <w:tcBorders>
              <w:top w:val="single" w:sz="4" w:space="0" w:color="0093D0"/>
            </w:tcBorders>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PON</w:t>
            </w:r>
          </w:p>
        </w:tc>
        <w:tc>
          <w:tcPr>
            <w:tcW w:w="7796" w:type="dxa"/>
            <w:tcBorders>
              <w:top w:val="single" w:sz="4" w:space="0" w:color="0093D0"/>
            </w:tcBorders>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Solid/</w:t>
            </w:r>
            <w:proofErr w:type="spellStart"/>
            <w:r w:rsidRPr="007D22A1">
              <w:rPr>
                <w:rFonts w:asciiTheme="minorHAnsi" w:hAnsiTheme="minorHAnsi"/>
                <w:color w:val="000000"/>
                <w:szCs w:val="20"/>
              </w:rPr>
              <w:t>Filtercake</w:t>
            </w:r>
            <w:proofErr w:type="spellEnd"/>
            <w:r w:rsidRPr="007D22A1">
              <w:rPr>
                <w:rFonts w:asciiTheme="minorHAnsi" w:hAnsiTheme="minorHAnsi"/>
                <w:color w:val="000000"/>
                <w:szCs w:val="20"/>
              </w:rPr>
              <w:t>/Sludge, Other contamination, Neutralisation</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SOI</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Soil, Other contamination, Immobilisation</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POT</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Solid/</w:t>
            </w:r>
            <w:proofErr w:type="spellStart"/>
            <w:r w:rsidRPr="007D22A1">
              <w:rPr>
                <w:rFonts w:asciiTheme="minorHAnsi" w:hAnsiTheme="minorHAnsi"/>
                <w:color w:val="000000"/>
                <w:szCs w:val="20"/>
              </w:rPr>
              <w:t>Filtercake</w:t>
            </w:r>
            <w:proofErr w:type="spellEnd"/>
            <w:r w:rsidRPr="007D22A1">
              <w:rPr>
                <w:rFonts w:asciiTheme="minorHAnsi" w:hAnsiTheme="minorHAnsi"/>
                <w:color w:val="000000"/>
                <w:szCs w:val="20"/>
              </w:rPr>
              <w:t>/Sludge, Other contamination, Thermal treatment</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POJT</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Solid/</w:t>
            </w:r>
            <w:proofErr w:type="spellStart"/>
            <w:r w:rsidRPr="007D22A1">
              <w:rPr>
                <w:rFonts w:asciiTheme="minorHAnsi" w:hAnsiTheme="minorHAnsi"/>
                <w:color w:val="000000"/>
                <w:szCs w:val="20"/>
              </w:rPr>
              <w:t>Filtercake</w:t>
            </w:r>
            <w:proofErr w:type="spellEnd"/>
            <w:r w:rsidRPr="007D22A1">
              <w:rPr>
                <w:rFonts w:asciiTheme="minorHAnsi" w:hAnsiTheme="minorHAnsi"/>
                <w:color w:val="000000"/>
                <w:szCs w:val="20"/>
              </w:rPr>
              <w:t>/Sludge, Other contamination, Consolidation, Thermal treatment</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PONT</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Solid/</w:t>
            </w:r>
            <w:proofErr w:type="spellStart"/>
            <w:r w:rsidRPr="007D22A1">
              <w:rPr>
                <w:rFonts w:asciiTheme="minorHAnsi" w:hAnsiTheme="minorHAnsi"/>
                <w:color w:val="000000"/>
                <w:szCs w:val="20"/>
              </w:rPr>
              <w:t>Filtercake</w:t>
            </w:r>
            <w:proofErr w:type="spellEnd"/>
            <w:r w:rsidRPr="007D22A1">
              <w:rPr>
                <w:rFonts w:asciiTheme="minorHAnsi" w:hAnsiTheme="minorHAnsi"/>
                <w:color w:val="000000"/>
                <w:szCs w:val="20"/>
              </w:rPr>
              <w:t>/Sludge, Other contamination, Neutralisation, Thermal treatment</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SONT</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Soil, Other contamination, Neutralisation, Thermal treatment</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LXG</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High toxicity contaminant, Storage</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LXK</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High toxicity contaminant, Specialist treatment</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LHZJE</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Hydrocarbon contamination, High CV, Consolidation, Waste to Energy</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LHZE</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Hydrocarbon contamination, High CV, Waste to Energy</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LHYJE</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Hydrocarbon contamination, Low CV, Consolidation, Waste to Energy</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LHYE</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Hydrocarbon contamination, Low CV, Waste to Energy</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LHYW</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Hydrocarbon contamination, Low CV, Waste water treatment</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LOE</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Other contamination, Waste to Energy</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LON</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Other contamination, Neutralisation</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LONJ</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Other contamination, Neutralisation, Consolidation</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LONE</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Other contamination, Neutralisation, Waste to Energy</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LOW</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Other contamination, Waste water treatment</w:t>
            </w:r>
          </w:p>
        </w:tc>
      </w:tr>
      <w:tr w:rsidR="00D60375" w:rsidRPr="007D22A1" w:rsidTr="009174CB">
        <w:tc>
          <w:tcPr>
            <w:tcW w:w="1418" w:type="dxa"/>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LOWI</w:t>
            </w:r>
          </w:p>
        </w:tc>
        <w:tc>
          <w:tcPr>
            <w:tcW w:w="7796" w:type="dxa"/>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Other contamination, Waste water treatment, Immobilisation</w:t>
            </w:r>
          </w:p>
        </w:tc>
      </w:tr>
      <w:tr w:rsidR="00D60375" w:rsidRPr="007D22A1" w:rsidTr="007D22A1">
        <w:tc>
          <w:tcPr>
            <w:tcW w:w="1418" w:type="dxa"/>
            <w:tcBorders>
              <w:bottom w:val="nil"/>
            </w:tcBorders>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LONW</w:t>
            </w:r>
          </w:p>
        </w:tc>
        <w:tc>
          <w:tcPr>
            <w:tcW w:w="7796" w:type="dxa"/>
            <w:tcBorders>
              <w:bottom w:val="nil"/>
            </w:tcBorders>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Other contamination, Neutralisation, Waste water treatment</w:t>
            </w:r>
          </w:p>
        </w:tc>
      </w:tr>
      <w:tr w:rsidR="00D60375" w:rsidRPr="007D22A1" w:rsidTr="007D22A1">
        <w:tc>
          <w:tcPr>
            <w:tcW w:w="1418" w:type="dxa"/>
            <w:tcBorders>
              <w:top w:val="nil"/>
              <w:bottom w:val="single" w:sz="4" w:space="0" w:color="0093D0"/>
            </w:tcBorders>
            <w:vAlign w:val="bottom"/>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LONWI</w:t>
            </w:r>
          </w:p>
        </w:tc>
        <w:tc>
          <w:tcPr>
            <w:tcW w:w="7796" w:type="dxa"/>
            <w:tcBorders>
              <w:top w:val="nil"/>
              <w:bottom w:val="single" w:sz="4" w:space="0" w:color="0093D0"/>
            </w:tcBorders>
          </w:tcPr>
          <w:p w:rsidR="00D60375" w:rsidRPr="007D22A1" w:rsidRDefault="00D60375" w:rsidP="009174CB">
            <w:pPr>
              <w:pStyle w:val="TableText"/>
              <w:rPr>
                <w:rFonts w:asciiTheme="minorHAnsi" w:hAnsiTheme="minorHAnsi"/>
                <w:color w:val="000000"/>
                <w:szCs w:val="20"/>
              </w:rPr>
            </w:pPr>
            <w:r w:rsidRPr="007D22A1">
              <w:rPr>
                <w:rFonts w:asciiTheme="minorHAnsi" w:hAnsiTheme="minorHAnsi"/>
                <w:color w:val="000000"/>
                <w:szCs w:val="20"/>
              </w:rPr>
              <w:t>Liquid or slurry, Other contamination, Neutralisation, Waste water treatment, Immobilisation</w:t>
            </w:r>
          </w:p>
        </w:tc>
      </w:tr>
    </w:tbl>
    <w:p w:rsidR="007E1119" w:rsidRPr="007E1119" w:rsidRDefault="00D60375" w:rsidP="007E1119">
      <w:pPr>
        <w:pStyle w:val="MJAnormal"/>
      </w:pPr>
      <w:r>
        <w:t xml:space="preserve">As each jurisdiction classifies waste according to hazard characteristics and this influences the pathways available and cost of treatment or disposal, it was necessary to split each waste for NEPM code into hazard categories. </w:t>
      </w:r>
      <w:r w:rsidR="00610744" w:rsidRPr="00610744">
        <w:t xml:space="preserve">In the absence of comprehensive, published, hazard categorisation data for each jurisdiction, representative values from Victoria in 2009 were used in this assessment (EPA Victoria, 2011). Whilst this may add some uncertainty to the analysis, it is understood to be quite minor and has been further reduced by applying the hazard categorisation to the level of NEPM15 codes. As waste generation varies year on year, this limits the variation in individual waste codes. </w:t>
      </w:r>
    </w:p>
    <w:p w:rsidR="00CD377D" w:rsidRPr="00CD377D" w:rsidRDefault="00CD377D" w:rsidP="00CD377D">
      <w:pPr>
        <w:pStyle w:val="MJAheading3"/>
        <w:ind w:hanging="1080"/>
      </w:pPr>
      <w:r>
        <w:t>Waste destinations</w:t>
      </w:r>
    </w:p>
    <w:p w:rsidR="00194D1C" w:rsidRDefault="00DF72DB" w:rsidP="00DF72DB">
      <w:pPr>
        <w:pStyle w:val="MJAnormal"/>
      </w:pPr>
      <w:r>
        <w:t xml:space="preserve">Hazardous waste is generally required to undergo some form of treatment prior to disposal at landfill in order to reduce or contain the hazard to humans and the environment. Each jurisdiction has different legislation regarding classifications of materials, as well as treatment and disposal requirements. This is often captured using the hazardous waste tracking systems in place in many jurisdictions. </w:t>
      </w:r>
    </w:p>
    <w:p w:rsidR="00194D1C" w:rsidRDefault="00194D1C" w:rsidP="00DF72DB">
      <w:pPr>
        <w:pStyle w:val="MJAnormal"/>
      </w:pPr>
      <w:r>
        <w:rPr>
          <w:lang w:val="en-US"/>
        </w:rPr>
        <w:lastRenderedPageBreak/>
        <w:t xml:space="preserve">Waste material destination was not estimated in the Blue Environment study and as such a different data source was required to understand the end of life fate of different hazardous waste materials in each jurisdiction. Some jurisdictions (New South Wales, Victoria, and Queensland) collect reliable data on material destinations through their waste tracking systems. That data was assessed and synthesized by KMH in the 2013 Hazardous Waste Data Assessment (KMH 2013). However, the KMH study noted that data provided by other jurisdictions was unreliable and was therefore not reported. Calculations used in that study provided the basis of the destination split for each of those three jurisdictions in the 2010–11 financial year. As this was a different base year to the generation data used for this study, it was used as the basis for a proportional split of material destinations and not in absolute terms. </w:t>
      </w:r>
      <w:r w:rsidR="00FD4DB4">
        <w:rPr>
          <w:lang w:val="en-US"/>
        </w:rPr>
        <w:t xml:space="preserve">In the </w:t>
      </w:r>
      <w:r>
        <w:rPr>
          <w:lang w:val="en-US"/>
        </w:rPr>
        <w:t>jurisdictions for which there was not a proportional split available, the national average was used.</w:t>
      </w:r>
    </w:p>
    <w:p w:rsidR="00DF72DB" w:rsidRDefault="00194D1C" w:rsidP="00DF72DB">
      <w:pPr>
        <w:pStyle w:val="MJAnormal"/>
      </w:pPr>
      <w:r>
        <w:t xml:space="preserve">The </w:t>
      </w:r>
      <w:r w:rsidR="00DF72DB">
        <w:t>New South Wales, Victoria and Queensland</w:t>
      </w:r>
      <w:r w:rsidR="008F03D4">
        <w:t xml:space="preserve"> jurisdictions</w:t>
      </w:r>
      <w:r w:rsidR="00DF72DB">
        <w:t xml:space="preserve"> hav</w:t>
      </w:r>
      <w:r>
        <w:t>e tracking systems that capture</w:t>
      </w:r>
      <w:r w:rsidR="00DF72DB">
        <w:t xml:space="preserve"> flow</w:t>
      </w:r>
      <w:r w:rsidR="00AB6368">
        <w:t>s</w:t>
      </w:r>
      <w:r w:rsidR="00DF72DB">
        <w:t xml:space="preserve"> of materials from generators to treatment facilities and are built to avoid double counting. These jurisdictions included a split between the following destinations:</w:t>
      </w:r>
    </w:p>
    <w:p w:rsidR="00DF72DB" w:rsidRPr="00F16F76" w:rsidRDefault="00DF72DB" w:rsidP="00F16F76">
      <w:pPr>
        <w:pStyle w:val="MJAbulletnormal"/>
        <w:numPr>
          <w:ilvl w:val="0"/>
          <w:numId w:val="2"/>
        </w:numPr>
        <w:rPr>
          <w:szCs w:val="20"/>
        </w:rPr>
      </w:pPr>
      <w:r w:rsidRPr="00F16F76">
        <w:rPr>
          <w:szCs w:val="20"/>
        </w:rPr>
        <w:t>Delivered to transfer stations – this was not used in this analysis and any material delivered to transfer stations is assumed to have been landfilled</w:t>
      </w:r>
    </w:p>
    <w:p w:rsidR="00DF72DB" w:rsidRPr="00F16F76" w:rsidRDefault="00DF72DB" w:rsidP="00F16F76">
      <w:pPr>
        <w:pStyle w:val="MJAbulletnormal"/>
        <w:numPr>
          <w:ilvl w:val="0"/>
          <w:numId w:val="2"/>
        </w:numPr>
        <w:rPr>
          <w:szCs w:val="20"/>
        </w:rPr>
      </w:pPr>
      <w:r w:rsidRPr="00F16F76">
        <w:rPr>
          <w:szCs w:val="20"/>
        </w:rPr>
        <w:t>Disposed to landfill – this only applies to waste that is of a low enough hazard that it is sent directly to landfill</w:t>
      </w:r>
    </w:p>
    <w:p w:rsidR="00DF72DB" w:rsidRPr="00F16F76" w:rsidRDefault="00DF72DB" w:rsidP="00F16F76">
      <w:pPr>
        <w:pStyle w:val="MJAbulletnormal"/>
        <w:numPr>
          <w:ilvl w:val="0"/>
          <w:numId w:val="2"/>
        </w:numPr>
        <w:rPr>
          <w:szCs w:val="20"/>
        </w:rPr>
      </w:pPr>
      <w:r w:rsidRPr="00F16F76">
        <w:rPr>
          <w:szCs w:val="20"/>
        </w:rPr>
        <w:t>Disposed to trade waste – this was not used in this analysis. The 2013 report also included no material disposed to trade waste</w:t>
      </w:r>
    </w:p>
    <w:p w:rsidR="00DF72DB" w:rsidRPr="00F16F76" w:rsidRDefault="00DF72DB" w:rsidP="00F16F76">
      <w:pPr>
        <w:pStyle w:val="MJAbulletnormal"/>
        <w:numPr>
          <w:ilvl w:val="0"/>
          <w:numId w:val="2"/>
        </w:numPr>
        <w:rPr>
          <w:szCs w:val="20"/>
        </w:rPr>
      </w:pPr>
      <w:r w:rsidRPr="00F16F76">
        <w:rPr>
          <w:szCs w:val="20"/>
        </w:rPr>
        <w:t>Treated – material sent for treatment was assigned as per the flow charts in Section 2. Each of the treatment options has a different cost structure and costs were assigned accordingly. Energy recovery was included as a treatment option in this study as in some cases material sent for energy recovery is tracked as treatment</w:t>
      </w:r>
    </w:p>
    <w:p w:rsidR="00DF72DB" w:rsidRPr="00F16F76" w:rsidRDefault="00DF72DB" w:rsidP="00F16F76">
      <w:pPr>
        <w:pStyle w:val="MJAbulletnormal"/>
        <w:numPr>
          <w:ilvl w:val="0"/>
          <w:numId w:val="2"/>
        </w:numPr>
        <w:rPr>
          <w:szCs w:val="20"/>
        </w:rPr>
      </w:pPr>
      <w:r w:rsidRPr="00F16F76">
        <w:rPr>
          <w:szCs w:val="20"/>
        </w:rPr>
        <w:t>Energy recovery – material sent directly to energy recovery</w:t>
      </w:r>
    </w:p>
    <w:p w:rsidR="00DF72DB" w:rsidRPr="00F16F76" w:rsidRDefault="00DF72DB" w:rsidP="00F16F76">
      <w:pPr>
        <w:pStyle w:val="MJAbulletnormal"/>
        <w:numPr>
          <w:ilvl w:val="0"/>
          <w:numId w:val="2"/>
        </w:numPr>
        <w:rPr>
          <w:szCs w:val="20"/>
        </w:rPr>
      </w:pPr>
      <w:r w:rsidRPr="00F16F76">
        <w:rPr>
          <w:szCs w:val="20"/>
        </w:rPr>
        <w:t>Storage – material sent for long term secure storage</w:t>
      </w:r>
    </w:p>
    <w:p w:rsidR="00DF72DB" w:rsidRPr="00F16F76" w:rsidRDefault="00DF72DB" w:rsidP="00F16F76">
      <w:pPr>
        <w:pStyle w:val="MJAbulletnormal"/>
        <w:numPr>
          <w:ilvl w:val="0"/>
          <w:numId w:val="2"/>
        </w:numPr>
        <w:rPr>
          <w:szCs w:val="20"/>
        </w:rPr>
      </w:pPr>
      <w:r w:rsidRPr="00F16F76">
        <w:rPr>
          <w:szCs w:val="20"/>
        </w:rPr>
        <w:t>Reuse – material reused without reprocessing</w:t>
      </w:r>
    </w:p>
    <w:p w:rsidR="00DF72DB" w:rsidRPr="00F16F76" w:rsidRDefault="00DF72DB" w:rsidP="00F16F76">
      <w:pPr>
        <w:pStyle w:val="MJAbulletnormal"/>
        <w:numPr>
          <w:ilvl w:val="0"/>
          <w:numId w:val="2"/>
        </w:numPr>
        <w:rPr>
          <w:szCs w:val="20"/>
        </w:rPr>
      </w:pPr>
      <w:r w:rsidRPr="00F16F76">
        <w:rPr>
          <w:szCs w:val="20"/>
        </w:rPr>
        <w:t>Recycled – material reprocessed into a new raw material</w:t>
      </w:r>
    </w:p>
    <w:p w:rsidR="00DF72DB" w:rsidRPr="00F16F76" w:rsidRDefault="00DF72DB" w:rsidP="00F16F76">
      <w:pPr>
        <w:pStyle w:val="MJAbulletnormal"/>
        <w:numPr>
          <w:ilvl w:val="0"/>
          <w:numId w:val="2"/>
        </w:numPr>
        <w:rPr>
          <w:szCs w:val="20"/>
        </w:rPr>
      </w:pPr>
      <w:r w:rsidRPr="00F16F76">
        <w:rPr>
          <w:szCs w:val="20"/>
        </w:rPr>
        <w:t xml:space="preserve">Other – as per the 2013 report, material included in the other category includes that material incorrectly labelled or sent to a treatment destination not listed on the tracking system. </w:t>
      </w:r>
    </w:p>
    <w:p w:rsidR="00CD377D" w:rsidRDefault="00DF72DB" w:rsidP="00DF72DB">
      <w:pPr>
        <w:pStyle w:val="MJAnormal"/>
      </w:pPr>
      <w:r>
        <w:t>The KMH analysis used 2010–11 data, and is the only pre-existing national data available for destinations of hazardous waste by jurisdiction and NEPM waste code. For this study, it was used to proportion 2012 waste flows in each jurisdiction to destinations on a pro-rata basis. For New South Wales, Queensland, and Victoria this was done using the proportional splits for those jurisdictions as identified in the previous analysis. For ACT and Tasmania, material flows almost exclusively to New South Wales and Victoria respectively for treatment and disposal. As such</w:t>
      </w:r>
      <w:r w:rsidR="00F16F76">
        <w:t>,</w:t>
      </w:r>
      <w:r>
        <w:t xml:space="preserve"> the proportional splits for those jurisdictions were used. South Australia and Western Australia had no data available on destination splits and as such a national average was used. These flows can be seen in data supplied accompanying this report.</w:t>
      </w:r>
    </w:p>
    <w:p w:rsidR="00E220F8" w:rsidRDefault="00E220F8" w:rsidP="00CD377D">
      <w:pPr>
        <w:pStyle w:val="MJAnormal"/>
      </w:pPr>
    </w:p>
    <w:p w:rsidR="00E220F8" w:rsidRDefault="00E220F8" w:rsidP="00CD377D">
      <w:pPr>
        <w:pStyle w:val="MJAnormal"/>
        <w:sectPr w:rsidR="00E220F8" w:rsidSect="00EB41EE">
          <w:headerReference w:type="default" r:id="rId31"/>
          <w:footerReference w:type="default" r:id="rId32"/>
          <w:pgSz w:w="11906" w:h="16838" w:code="9"/>
          <w:pgMar w:top="1701" w:right="1134" w:bottom="1021" w:left="2268" w:header="680" w:footer="113" w:gutter="0"/>
          <w:cols w:space="708"/>
          <w:docGrid w:linePitch="360"/>
        </w:sectPr>
      </w:pPr>
    </w:p>
    <w:p w:rsidR="00A82A68" w:rsidRDefault="007E48C8" w:rsidP="002802F3">
      <w:pPr>
        <w:pStyle w:val="MJAheading2"/>
        <w:ind w:hanging="720"/>
      </w:pPr>
      <w:bookmarkStart w:id="42" w:name="_Ref391676150"/>
      <w:bookmarkStart w:id="43" w:name="_Toc391729957"/>
      <w:r>
        <w:lastRenderedPageBreak/>
        <w:t>Estimates of d</w:t>
      </w:r>
      <w:r w:rsidR="002802F3">
        <w:t>irect market costs</w:t>
      </w:r>
      <w:bookmarkEnd w:id="42"/>
      <w:r w:rsidR="00B6683E">
        <w:rPr>
          <w:rStyle w:val="FootnoteReference"/>
        </w:rPr>
        <w:footnoteReference w:id="5"/>
      </w:r>
      <w:bookmarkEnd w:id="43"/>
    </w:p>
    <w:p w:rsidR="00C907D5" w:rsidRPr="004174A1" w:rsidRDefault="003377A9" w:rsidP="004174A1">
      <w:pPr>
        <w:pStyle w:val="MJAnormal"/>
      </w:pPr>
      <w:r w:rsidRPr="004174A1">
        <w:t>The direct market costs of hazardous waste management are made up of treatment costs, transport costs to the treatment facility, disposal costs (of treated residual) and additional transport costs to landfill.</w:t>
      </w:r>
      <w:r w:rsidR="00202788" w:rsidRPr="004174A1">
        <w:t xml:space="preserve"> </w:t>
      </w:r>
      <w:r w:rsidR="004174A1" w:rsidRPr="004174A1">
        <w:t>C</w:t>
      </w:r>
      <w:r w:rsidR="00C907D5" w:rsidRPr="004174A1">
        <w:t xml:space="preserve">onsultation </w:t>
      </w:r>
      <w:r w:rsidR="004174A1" w:rsidRPr="004174A1">
        <w:t xml:space="preserve">with senior waste management and recycling industry representatives </w:t>
      </w:r>
      <w:r w:rsidR="00C907D5" w:rsidRPr="004174A1">
        <w:t xml:space="preserve">was used to define cost estimates for each of the process stages for each treatment type. These cost estimates were expressed as a tonnage rate and excluded all levies and other government charges. </w:t>
      </w:r>
    </w:p>
    <w:p w:rsidR="00C907D5" w:rsidRPr="003377A9" w:rsidRDefault="00C907D5" w:rsidP="00AB6368">
      <w:pPr>
        <w:pStyle w:val="MJAnormal"/>
        <w:keepLines/>
      </w:pPr>
      <w:r w:rsidRPr="004174A1">
        <w:t>Each classification option has an individual cost structure based on the six elements laid out in</w:t>
      </w:r>
      <w:r w:rsidR="004174A1">
        <w:t xml:space="preserve"> </w:t>
      </w:r>
      <w:fldSimple w:instr=" REF _Ref391304627 \h  \* MERGEFORMAT ">
        <w:r w:rsidR="00D54C27" w:rsidRPr="00D54C27">
          <w:t>Table 13</w:t>
        </w:r>
      </w:fldSimple>
      <w:r w:rsidRPr="004174A1">
        <w:t xml:space="preserve"> and this cost structure differs according to the jurisdiction in which it is applied (mainly in transport costs and disposal charges). </w:t>
      </w:r>
    </w:p>
    <w:p w:rsidR="0091267F" w:rsidRDefault="003377A9" w:rsidP="005B095D">
      <w:pPr>
        <w:pStyle w:val="MJAheading3"/>
        <w:ind w:hanging="1080"/>
      </w:pPr>
      <w:r>
        <w:t>Transport costs</w:t>
      </w:r>
    </w:p>
    <w:p w:rsidR="007E48C8" w:rsidRPr="007E48C8" w:rsidRDefault="007E48C8" w:rsidP="007E48C8">
      <w:pPr>
        <w:pStyle w:val="MJAnormal"/>
      </w:pPr>
      <w:r w:rsidRPr="007E48C8">
        <w:t>Transport costs are incurred both from the generator site to the treatment or disposal facility and again from the treatment facility to the final disposal location for any residual. The amount of residual depends on the treatment process employed. As generators are dispersed and there are a limited number of treatment and disposal facilities in each jurisdiction, transport costs can vary significantly between jurisdictions and treatment type.</w:t>
      </w:r>
    </w:p>
    <w:p w:rsidR="007E48C8" w:rsidRPr="007E48C8" w:rsidRDefault="003377A9" w:rsidP="007E48C8">
      <w:pPr>
        <w:pStyle w:val="MJAnormal"/>
      </w:pPr>
      <w:r w:rsidRPr="007E48C8">
        <w:t xml:space="preserve">Solid waste and liquid waste have different transport characteristics. </w:t>
      </w:r>
      <w:r w:rsidR="007E48C8" w:rsidRPr="007E48C8">
        <w:t xml:space="preserve">Solids, </w:t>
      </w:r>
      <w:proofErr w:type="spellStart"/>
      <w:r w:rsidR="007E48C8" w:rsidRPr="007E48C8">
        <w:t>sludges</w:t>
      </w:r>
      <w:proofErr w:type="spellEnd"/>
      <w:r w:rsidR="007E48C8" w:rsidRPr="007E48C8">
        <w:t xml:space="preserve"> and soils are generally transported in 20 tonne tippers (covered to prevent material egress) at a rate of $150/hour to $250/hour. For these materials, a median rate of $100/hour was converted into a cost of $10/</w:t>
      </w:r>
      <w:proofErr w:type="spellStart"/>
      <w:r w:rsidR="007E48C8" w:rsidRPr="007E48C8">
        <w:t>hour.tonne</w:t>
      </w:r>
      <w:proofErr w:type="spellEnd"/>
      <w:r w:rsidR="007E48C8" w:rsidRPr="007E48C8">
        <w:t xml:space="preserve">. </w:t>
      </w:r>
    </w:p>
    <w:p w:rsidR="007E48C8" w:rsidRPr="007E48C8" w:rsidRDefault="007E48C8" w:rsidP="007E48C8">
      <w:pPr>
        <w:pStyle w:val="MJAnormal"/>
      </w:pPr>
      <w:r w:rsidRPr="007E48C8">
        <w:t>Liquid waste is more problematic to transport, usually in specialised tankers. Such tankers have a median capacity of 12 tonnes and transport costs can range from $100/hour to $200/hour. A median rate of $150/hour was converted to a rate of $12.50/</w:t>
      </w:r>
      <w:proofErr w:type="spellStart"/>
      <w:r w:rsidRPr="007E48C8">
        <w:t>hour.tonne</w:t>
      </w:r>
      <w:proofErr w:type="spellEnd"/>
      <w:r w:rsidRPr="007E48C8">
        <w:t>.</w:t>
      </w:r>
    </w:p>
    <w:p w:rsidR="00CD377D" w:rsidRDefault="008A767A" w:rsidP="008A767A">
      <w:pPr>
        <w:pStyle w:val="MJAheading3"/>
        <w:ind w:hanging="1080"/>
      </w:pPr>
      <w:r w:rsidRPr="008A767A">
        <w:t>Treatment costs</w:t>
      </w:r>
    </w:p>
    <w:p w:rsidR="004174A1" w:rsidRDefault="00C907D5" w:rsidP="004174A1">
      <w:pPr>
        <w:pStyle w:val="MJAnormal"/>
      </w:pPr>
      <w:r w:rsidRPr="004174A1">
        <w:t>The costs of waste treatment and fates depend largely on the type and complexity of process, chemical type and the size of the market and the use of any residual or by product from treatment. For example, some hazardous waste is treated by creating a fuel product for use in cement kilns. For this process, the cost of treating a hydrocarbon with high calorific value is significantly lower than treating highly toxic,</w:t>
      </w:r>
      <w:r w:rsidR="004174A1">
        <w:t xml:space="preserve"> low calorific value chemicals, s</w:t>
      </w:r>
      <w:r w:rsidRPr="004174A1">
        <w:t xml:space="preserve">ometimes by orders of magnitude. </w:t>
      </w:r>
      <w:r w:rsidR="004174A1" w:rsidRPr="004174A1">
        <w:t>A</w:t>
      </w:r>
    </w:p>
    <w:p w:rsidR="004174A1" w:rsidRDefault="004174A1" w:rsidP="004174A1">
      <w:pPr>
        <w:pStyle w:val="MJAnormal"/>
      </w:pPr>
      <w:r w:rsidRPr="00FF353F">
        <w:t xml:space="preserve">The treatment types </w:t>
      </w:r>
      <w:r>
        <w:t xml:space="preserve">and costs applied in the analysis are detailed </w:t>
      </w:r>
      <w:r w:rsidRPr="00C6402C">
        <w:t xml:space="preserve">in </w:t>
      </w:r>
      <w:fldSimple w:instr=" REF _Ref391292094 \h  \* MERGEFORMAT ">
        <w:r w:rsidR="00D54C27" w:rsidRPr="00D54C27">
          <w:t>Table 14</w:t>
        </w:r>
      </w:fldSimple>
      <w:r w:rsidRPr="00C6402C">
        <w:t>.</w:t>
      </w:r>
      <w:r>
        <w:t xml:space="preserve"> A</w:t>
      </w:r>
      <w:r w:rsidRPr="004174A1">
        <w:t>l</w:t>
      </w:r>
      <w:r>
        <w:t>l</w:t>
      </w:r>
      <w:r w:rsidRPr="004174A1">
        <w:t xml:space="preserve"> costs </w:t>
      </w:r>
      <w:r>
        <w:t>a</w:t>
      </w:r>
      <w:r w:rsidRPr="004174A1">
        <w:t>re reported a</w:t>
      </w:r>
      <w:r>
        <w:t>s dollars per tonne and exclude</w:t>
      </w:r>
      <w:r w:rsidRPr="004174A1">
        <w:t xml:space="preserve"> any disposal costs for residual material and landfill levies.</w:t>
      </w:r>
    </w:p>
    <w:p w:rsidR="00CD377D" w:rsidRDefault="00CD377D" w:rsidP="00CD377D">
      <w:pPr>
        <w:pStyle w:val="MJAnormal"/>
      </w:pPr>
    </w:p>
    <w:p w:rsidR="004174A1" w:rsidRDefault="004174A1" w:rsidP="00CD377D">
      <w:pPr>
        <w:pStyle w:val="MJAnormal"/>
      </w:pPr>
    </w:p>
    <w:p w:rsidR="004174A1" w:rsidRDefault="004174A1" w:rsidP="00CD377D">
      <w:pPr>
        <w:pStyle w:val="MJAnormal"/>
      </w:pPr>
    </w:p>
    <w:p w:rsidR="008637A1" w:rsidRDefault="008637A1" w:rsidP="00CD377D">
      <w:pPr>
        <w:pStyle w:val="MJAnormal"/>
      </w:pPr>
    </w:p>
    <w:p w:rsidR="00CD377D" w:rsidRDefault="00CD377D" w:rsidP="00CD377D">
      <w:pPr>
        <w:pStyle w:val="MJAnormal"/>
      </w:pPr>
    </w:p>
    <w:p w:rsidR="009D5C61" w:rsidRPr="009D5C61" w:rsidRDefault="009D5C61" w:rsidP="009D5C61">
      <w:pPr>
        <w:keepNext/>
        <w:keepLines/>
        <w:spacing w:before="120" w:after="120" w:line="240" w:lineRule="auto"/>
        <w:rPr>
          <w:rFonts w:ascii="Calibri" w:eastAsia="Times New Roman" w:hAnsi="Calibri" w:cs="Calibri"/>
          <w:b/>
          <w:bCs/>
          <w:sz w:val="20"/>
          <w:szCs w:val="20"/>
          <w:lang w:eastAsia="en-AU"/>
        </w:rPr>
      </w:pPr>
      <w:bookmarkStart w:id="44" w:name="_Ref391292094"/>
      <w:r w:rsidRPr="00F6696F">
        <w:rPr>
          <w:rFonts w:ascii="Calibri" w:eastAsia="Times New Roman" w:hAnsi="Calibri" w:cs="Calibri"/>
          <w:b/>
          <w:bCs/>
          <w:sz w:val="20"/>
          <w:szCs w:val="20"/>
          <w:lang w:eastAsia="en-AU"/>
        </w:rPr>
        <w:lastRenderedPageBreak/>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14</w:t>
      </w:r>
      <w:r w:rsidR="00732F35" w:rsidRPr="00F6696F">
        <w:rPr>
          <w:rFonts w:ascii="Calibri" w:eastAsia="Times New Roman" w:hAnsi="Calibri" w:cs="Calibri"/>
          <w:b/>
          <w:bCs/>
          <w:sz w:val="20"/>
          <w:szCs w:val="20"/>
          <w:lang w:eastAsia="en-AU"/>
        </w:rPr>
        <w:fldChar w:fldCharType="end"/>
      </w:r>
      <w:bookmarkEnd w:id="44"/>
      <w:r w:rsidRPr="00F6696F">
        <w:rPr>
          <w:rFonts w:ascii="Calibri" w:eastAsia="Times New Roman" w:hAnsi="Calibri" w:cs="Calibri"/>
          <w:b/>
          <w:bCs/>
          <w:sz w:val="20"/>
          <w:szCs w:val="20"/>
          <w:lang w:eastAsia="en-AU"/>
        </w:rPr>
        <w:t xml:space="preserve">:  </w:t>
      </w:r>
      <w:r w:rsidRPr="009D5C61">
        <w:rPr>
          <w:rFonts w:ascii="Calibri" w:eastAsia="Times New Roman" w:hAnsi="Calibri" w:cs="Calibri"/>
          <w:b/>
          <w:bCs/>
          <w:sz w:val="20"/>
          <w:szCs w:val="20"/>
          <w:lang w:eastAsia="en-AU"/>
        </w:rPr>
        <w:t>Treatment costs</w:t>
      </w:r>
      <w:r>
        <w:rPr>
          <w:rFonts w:ascii="Calibri" w:eastAsia="Times New Roman" w:hAnsi="Calibri" w:cs="Calibri"/>
          <w:b/>
          <w:bCs/>
          <w:sz w:val="20"/>
          <w:szCs w:val="20"/>
          <w:lang w:eastAsia="en-AU"/>
        </w:rPr>
        <w:t xml:space="preserve"> applied to the analysis</w:t>
      </w:r>
    </w:p>
    <w:tbl>
      <w:tblPr>
        <w:tblStyle w:val="SRUTable2"/>
        <w:tblW w:w="0" w:type="auto"/>
        <w:tblLook w:val="0480"/>
      </w:tblPr>
      <w:tblGrid>
        <w:gridCol w:w="1406"/>
        <w:gridCol w:w="1456"/>
        <w:gridCol w:w="1484"/>
        <w:gridCol w:w="1477"/>
        <w:gridCol w:w="1477"/>
        <w:gridCol w:w="1420"/>
      </w:tblGrid>
      <w:tr w:rsidR="009D5C61" w:rsidRPr="009D5C61" w:rsidTr="009D5C61">
        <w:tc>
          <w:tcPr>
            <w:tcW w:w="1511" w:type="dxa"/>
            <w:tcBorders>
              <w:top w:val="nil"/>
              <w:bottom w:val="nil"/>
            </w:tcBorders>
            <w:shd w:val="clear" w:color="auto" w:fill="0093D0"/>
          </w:tcPr>
          <w:p w:rsidR="009D5C61" w:rsidRPr="009D5C61" w:rsidRDefault="009D5C61" w:rsidP="009D5C61">
            <w:pPr>
              <w:spacing w:before="60" w:after="60"/>
              <w:jc w:val="center"/>
              <w:rPr>
                <w:rFonts w:asciiTheme="minorHAnsi" w:hAnsiTheme="minorHAnsi" w:cstheme="minorHAnsi"/>
                <w:b/>
                <w:color w:val="FFFFFF" w:themeColor="background1"/>
                <w:sz w:val="18"/>
                <w:szCs w:val="18"/>
                <w:lang w:val="en-US"/>
              </w:rPr>
            </w:pPr>
            <w:r w:rsidRPr="009D5C61">
              <w:rPr>
                <w:rFonts w:asciiTheme="minorHAnsi" w:hAnsiTheme="minorHAnsi" w:cstheme="minorHAnsi"/>
                <w:b/>
                <w:color w:val="FFFFFF" w:themeColor="background1"/>
                <w:sz w:val="18"/>
                <w:szCs w:val="18"/>
                <w:lang w:val="en-US"/>
              </w:rPr>
              <w:t>Material state</w:t>
            </w:r>
          </w:p>
        </w:tc>
        <w:tc>
          <w:tcPr>
            <w:tcW w:w="1512" w:type="dxa"/>
            <w:tcBorders>
              <w:top w:val="nil"/>
              <w:bottom w:val="nil"/>
            </w:tcBorders>
            <w:shd w:val="clear" w:color="auto" w:fill="0093D0"/>
          </w:tcPr>
          <w:p w:rsidR="009D5C61" w:rsidRPr="009D5C61" w:rsidRDefault="009D5C61" w:rsidP="009D5C61">
            <w:pPr>
              <w:spacing w:before="60" w:after="60"/>
              <w:jc w:val="center"/>
              <w:rPr>
                <w:rFonts w:asciiTheme="minorHAnsi" w:hAnsiTheme="minorHAnsi" w:cstheme="minorHAnsi"/>
                <w:b/>
                <w:color w:val="FFFFFF" w:themeColor="background1"/>
                <w:sz w:val="18"/>
                <w:szCs w:val="18"/>
                <w:lang w:val="en-US"/>
              </w:rPr>
            </w:pPr>
            <w:r w:rsidRPr="009D5C61">
              <w:rPr>
                <w:rFonts w:asciiTheme="minorHAnsi" w:hAnsiTheme="minorHAnsi" w:cstheme="minorHAnsi"/>
                <w:b/>
                <w:color w:val="FFFFFF" w:themeColor="background1"/>
                <w:sz w:val="18"/>
                <w:szCs w:val="18"/>
                <w:lang w:val="en-US"/>
              </w:rPr>
              <w:t>Contaminant type</w:t>
            </w:r>
          </w:p>
        </w:tc>
        <w:tc>
          <w:tcPr>
            <w:tcW w:w="1512" w:type="dxa"/>
            <w:tcBorders>
              <w:top w:val="nil"/>
              <w:bottom w:val="nil"/>
            </w:tcBorders>
            <w:shd w:val="clear" w:color="auto" w:fill="0093D0"/>
          </w:tcPr>
          <w:p w:rsidR="009D5C61" w:rsidRPr="009D5C61" w:rsidRDefault="009D5C61" w:rsidP="009D5C61">
            <w:pPr>
              <w:spacing w:before="60" w:after="60"/>
              <w:jc w:val="center"/>
              <w:rPr>
                <w:rFonts w:asciiTheme="minorHAnsi" w:hAnsiTheme="minorHAnsi" w:cstheme="minorHAnsi"/>
                <w:b/>
                <w:color w:val="FFFFFF" w:themeColor="background1"/>
                <w:sz w:val="18"/>
                <w:szCs w:val="18"/>
                <w:lang w:val="en-US"/>
              </w:rPr>
            </w:pPr>
            <w:r w:rsidRPr="009D5C61">
              <w:rPr>
                <w:rFonts w:asciiTheme="minorHAnsi" w:hAnsiTheme="minorHAnsi" w:cstheme="minorHAnsi"/>
                <w:b/>
                <w:color w:val="FFFFFF" w:themeColor="background1"/>
                <w:sz w:val="18"/>
                <w:szCs w:val="18"/>
                <w:lang w:val="en-US"/>
              </w:rPr>
              <w:t>First treatment stage</w:t>
            </w:r>
          </w:p>
        </w:tc>
        <w:tc>
          <w:tcPr>
            <w:tcW w:w="1512" w:type="dxa"/>
            <w:tcBorders>
              <w:top w:val="nil"/>
              <w:bottom w:val="nil"/>
            </w:tcBorders>
            <w:shd w:val="clear" w:color="auto" w:fill="0093D0"/>
          </w:tcPr>
          <w:p w:rsidR="009D5C61" w:rsidRPr="009D5C61" w:rsidRDefault="009D5C61" w:rsidP="009D5C61">
            <w:pPr>
              <w:spacing w:before="60" w:after="60"/>
              <w:jc w:val="center"/>
              <w:rPr>
                <w:rFonts w:asciiTheme="minorHAnsi" w:hAnsiTheme="minorHAnsi" w:cstheme="minorHAnsi"/>
                <w:b/>
                <w:color w:val="FFFFFF" w:themeColor="background1"/>
                <w:sz w:val="18"/>
                <w:szCs w:val="18"/>
                <w:lang w:val="en-US"/>
              </w:rPr>
            </w:pPr>
            <w:r w:rsidRPr="009D5C61">
              <w:rPr>
                <w:rFonts w:asciiTheme="minorHAnsi" w:hAnsiTheme="minorHAnsi" w:cstheme="minorHAnsi"/>
                <w:b/>
                <w:color w:val="FFFFFF" w:themeColor="background1"/>
                <w:sz w:val="18"/>
                <w:szCs w:val="18"/>
                <w:lang w:val="en-US"/>
              </w:rPr>
              <w:t>Second treatment stage</w:t>
            </w:r>
          </w:p>
        </w:tc>
        <w:tc>
          <w:tcPr>
            <w:tcW w:w="1512" w:type="dxa"/>
            <w:tcBorders>
              <w:top w:val="nil"/>
              <w:bottom w:val="nil"/>
            </w:tcBorders>
            <w:shd w:val="clear" w:color="auto" w:fill="0093D0"/>
          </w:tcPr>
          <w:p w:rsidR="009D5C61" w:rsidRPr="009D5C61" w:rsidRDefault="009D5C61" w:rsidP="009D5C61">
            <w:pPr>
              <w:spacing w:before="60" w:after="60"/>
              <w:jc w:val="center"/>
              <w:rPr>
                <w:rFonts w:asciiTheme="minorHAnsi" w:hAnsiTheme="minorHAnsi" w:cstheme="minorHAnsi"/>
                <w:b/>
                <w:color w:val="FFFFFF" w:themeColor="background1"/>
                <w:sz w:val="18"/>
                <w:szCs w:val="18"/>
                <w:lang w:val="en-US"/>
              </w:rPr>
            </w:pPr>
            <w:r w:rsidRPr="009D5C61">
              <w:rPr>
                <w:rFonts w:asciiTheme="minorHAnsi" w:hAnsiTheme="minorHAnsi" w:cstheme="minorHAnsi"/>
                <w:b/>
                <w:color w:val="FFFFFF" w:themeColor="background1"/>
                <w:sz w:val="18"/>
                <w:szCs w:val="18"/>
                <w:lang w:val="en-US"/>
              </w:rPr>
              <w:t>Third treatment stage</w:t>
            </w:r>
          </w:p>
        </w:tc>
        <w:tc>
          <w:tcPr>
            <w:tcW w:w="1512" w:type="dxa"/>
            <w:tcBorders>
              <w:top w:val="nil"/>
              <w:bottom w:val="nil"/>
            </w:tcBorders>
            <w:shd w:val="clear" w:color="auto" w:fill="0093D0"/>
          </w:tcPr>
          <w:p w:rsidR="009D5C61" w:rsidRPr="009D5C61" w:rsidRDefault="009D5C61" w:rsidP="009D5C61">
            <w:pPr>
              <w:spacing w:before="60" w:after="60"/>
              <w:jc w:val="center"/>
              <w:rPr>
                <w:rFonts w:asciiTheme="minorHAnsi" w:hAnsiTheme="minorHAnsi" w:cstheme="minorHAnsi"/>
                <w:b/>
                <w:color w:val="FFFFFF" w:themeColor="background1"/>
                <w:sz w:val="18"/>
                <w:szCs w:val="18"/>
                <w:lang w:val="en-US"/>
              </w:rPr>
            </w:pPr>
            <w:r>
              <w:rPr>
                <w:rFonts w:asciiTheme="minorHAnsi" w:hAnsiTheme="minorHAnsi" w:cstheme="minorHAnsi"/>
                <w:b/>
                <w:color w:val="FFFFFF" w:themeColor="background1"/>
                <w:sz w:val="18"/>
                <w:szCs w:val="18"/>
                <w:lang w:val="en-US"/>
              </w:rPr>
              <w:t xml:space="preserve">Total treatment cost/ </w:t>
            </w:r>
            <w:proofErr w:type="spellStart"/>
            <w:r w:rsidRPr="009D5C61">
              <w:rPr>
                <w:rFonts w:asciiTheme="minorHAnsi" w:hAnsiTheme="minorHAnsi" w:cstheme="minorHAnsi"/>
                <w:b/>
                <w:color w:val="FFFFFF" w:themeColor="background1"/>
                <w:sz w:val="18"/>
                <w:szCs w:val="18"/>
                <w:lang w:val="en-US"/>
              </w:rPr>
              <w:t>tonne</w:t>
            </w:r>
            <w:proofErr w:type="spellEnd"/>
            <w:r w:rsidRPr="009D5C61">
              <w:rPr>
                <w:rFonts w:asciiTheme="minorHAnsi" w:hAnsiTheme="minorHAnsi" w:cstheme="minorHAnsi"/>
                <w:b/>
                <w:color w:val="FFFFFF" w:themeColor="background1"/>
                <w:sz w:val="18"/>
                <w:szCs w:val="18"/>
                <w:lang w:val="en-US"/>
              </w:rPr>
              <w:t xml:space="preserve"> ($)</w:t>
            </w:r>
          </w:p>
        </w:tc>
      </w:tr>
      <w:tr w:rsidR="009D5C61" w:rsidRPr="009D5C61" w:rsidTr="009D5C61">
        <w:tc>
          <w:tcPr>
            <w:tcW w:w="1511" w:type="dxa"/>
            <w:vMerge w:val="restart"/>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 xml:space="preserve">Solid / </w:t>
            </w:r>
            <w:proofErr w:type="spellStart"/>
            <w:r w:rsidRPr="009D5C61">
              <w:rPr>
                <w:rFonts w:asciiTheme="minorHAnsi" w:hAnsiTheme="minorHAnsi" w:cstheme="minorHAnsi"/>
                <w:sz w:val="18"/>
                <w:szCs w:val="18"/>
                <w:lang w:val="en-US"/>
              </w:rPr>
              <w:t>filtercake</w:t>
            </w:r>
            <w:proofErr w:type="spellEnd"/>
            <w:r w:rsidRPr="009D5C61">
              <w:rPr>
                <w:rFonts w:asciiTheme="minorHAnsi" w:hAnsiTheme="minorHAnsi" w:cstheme="minorHAnsi"/>
                <w:sz w:val="18"/>
                <w:szCs w:val="18"/>
                <w:lang w:val="en-US"/>
              </w:rPr>
              <w:t xml:space="preserve"> / sludge</w:t>
            </w:r>
          </w:p>
        </w:tc>
        <w:tc>
          <w:tcPr>
            <w:tcW w:w="1512" w:type="dxa"/>
            <w:vMerge w:val="restart"/>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High toxicity</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Storage</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$10 000+</w:t>
            </w:r>
          </w:p>
        </w:tc>
      </w:tr>
      <w:tr w:rsidR="009D5C61" w:rsidRPr="009D5C61" w:rsidTr="004671E2">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Specialist treatment</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$4 100 to $4 500</w:t>
            </w:r>
          </w:p>
        </w:tc>
      </w:tr>
      <w:tr w:rsidR="009D5C61" w:rsidRPr="009D5C61" w:rsidTr="004671E2">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val="restart"/>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Hydrocarbon</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Immobilisation</w:t>
            </w:r>
            <w:proofErr w:type="spellEnd"/>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$160 to $200</w:t>
            </w:r>
          </w:p>
        </w:tc>
      </w:tr>
      <w:tr w:rsidR="009D5C61" w:rsidRPr="009D5C61" w:rsidTr="004671E2">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Waste to energy</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$500 to $550</w:t>
            </w:r>
          </w:p>
        </w:tc>
      </w:tr>
      <w:tr w:rsidR="009D5C61" w:rsidRPr="009D5C61" w:rsidTr="004671E2">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val="restart"/>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Metal</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Immobilisation</w:t>
            </w:r>
            <w:proofErr w:type="spellEnd"/>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$160 to $200</w:t>
            </w:r>
          </w:p>
        </w:tc>
      </w:tr>
      <w:tr w:rsidR="009D5C61" w:rsidRPr="009D5C61" w:rsidTr="004671E2">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Thermal</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$500 to $650</w:t>
            </w:r>
          </w:p>
        </w:tc>
      </w:tr>
      <w:tr w:rsidR="009D5C61" w:rsidRPr="009D5C61" w:rsidTr="004671E2">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val="restart"/>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Other</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Bioremediation</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$30 to $70</w:t>
            </w:r>
          </w:p>
        </w:tc>
      </w:tr>
      <w:tr w:rsidR="009D5C61" w:rsidRPr="009D5C61" w:rsidTr="004671E2">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Immobilisation</w:t>
            </w:r>
            <w:proofErr w:type="spellEnd"/>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$200 to $300</w:t>
            </w:r>
          </w:p>
        </w:tc>
      </w:tr>
      <w:tr w:rsidR="009D5C61" w:rsidRPr="009D5C61" w:rsidTr="004671E2">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Thermal</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$650 to $850</w:t>
            </w:r>
          </w:p>
        </w:tc>
      </w:tr>
      <w:tr w:rsidR="009D5C61" w:rsidRPr="009D5C61" w:rsidTr="004671E2">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Consolidation</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Thermal</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$700 to $900</w:t>
            </w:r>
          </w:p>
        </w:tc>
      </w:tr>
      <w:tr w:rsidR="009D5C61" w:rsidRPr="009D5C61" w:rsidTr="009D5C61">
        <w:tc>
          <w:tcPr>
            <w:tcW w:w="1511" w:type="dxa"/>
            <w:vMerge/>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Neutralisation</w:t>
            </w:r>
            <w:proofErr w:type="spellEnd"/>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Thermal</w:t>
            </w:r>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$700 to $900</w:t>
            </w:r>
          </w:p>
        </w:tc>
      </w:tr>
      <w:tr w:rsidR="009D5C61" w:rsidRPr="009D5C61" w:rsidTr="009D5C61">
        <w:tc>
          <w:tcPr>
            <w:tcW w:w="1511" w:type="dxa"/>
            <w:vMerge w:val="restart"/>
            <w:tcBorders>
              <w:top w:val="single" w:sz="4" w:space="0" w:color="0093D0"/>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Soil</w:t>
            </w:r>
          </w:p>
        </w:tc>
        <w:tc>
          <w:tcPr>
            <w:tcW w:w="1512" w:type="dxa"/>
            <w:vMerge w:val="restart"/>
            <w:tcBorders>
              <w:top w:val="single" w:sz="4" w:space="0" w:color="0093D0"/>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High toxicity</w:t>
            </w:r>
          </w:p>
        </w:tc>
        <w:tc>
          <w:tcPr>
            <w:tcW w:w="1512" w:type="dxa"/>
            <w:tcBorders>
              <w:top w:val="single" w:sz="4" w:space="0" w:color="0093D0"/>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Storage</w:t>
            </w:r>
          </w:p>
        </w:tc>
        <w:tc>
          <w:tcPr>
            <w:tcW w:w="1512" w:type="dxa"/>
            <w:tcBorders>
              <w:top w:val="single" w:sz="4" w:space="0" w:color="0093D0"/>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single" w:sz="4" w:space="0" w:color="0093D0"/>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single" w:sz="4" w:space="0" w:color="0093D0"/>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$10 000+</w:t>
            </w:r>
          </w:p>
        </w:tc>
      </w:tr>
      <w:tr w:rsidR="009D5C61" w:rsidRPr="009D5C61" w:rsidTr="009D5C61">
        <w:tc>
          <w:tcPr>
            <w:tcW w:w="1511" w:type="dxa"/>
            <w:vMerge/>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Specialist treatment</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$4 100 to $4 500</w:t>
            </w:r>
          </w:p>
        </w:tc>
      </w:tr>
      <w:tr w:rsidR="009D5C61" w:rsidRPr="009D5C61" w:rsidTr="009D5C61">
        <w:tc>
          <w:tcPr>
            <w:tcW w:w="1511" w:type="dxa"/>
            <w:vMerge/>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Hydrocarbon</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Bioremediation</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$120 to $180</w:t>
            </w:r>
          </w:p>
        </w:tc>
      </w:tr>
      <w:tr w:rsidR="009D5C61" w:rsidRPr="009D5C61" w:rsidTr="009D5C61">
        <w:tc>
          <w:tcPr>
            <w:tcW w:w="1511" w:type="dxa"/>
            <w:vMerge/>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val="restart"/>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Metal</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Immobilisation</w:t>
            </w:r>
            <w:proofErr w:type="spellEnd"/>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$160 to $200</w:t>
            </w:r>
          </w:p>
        </w:tc>
      </w:tr>
      <w:tr w:rsidR="009D5C61" w:rsidRPr="009D5C61" w:rsidTr="009D5C61">
        <w:tc>
          <w:tcPr>
            <w:tcW w:w="1511" w:type="dxa"/>
            <w:vMerge/>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Thermal</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$500 to $650</w:t>
            </w:r>
          </w:p>
        </w:tc>
      </w:tr>
      <w:tr w:rsidR="009D5C61" w:rsidRPr="009D5C61" w:rsidTr="009D5C61">
        <w:tc>
          <w:tcPr>
            <w:tcW w:w="1511" w:type="dxa"/>
            <w:vMerge/>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val="restart"/>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Other</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Immobilisation</w:t>
            </w:r>
            <w:proofErr w:type="spellEnd"/>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$150 to $250</w:t>
            </w:r>
          </w:p>
        </w:tc>
      </w:tr>
      <w:tr w:rsidR="009D5C61" w:rsidRPr="009D5C61" w:rsidTr="009D5C61">
        <w:tc>
          <w:tcPr>
            <w:tcW w:w="1511" w:type="dxa"/>
            <w:vMerge/>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Neutralisation</w:t>
            </w:r>
            <w:proofErr w:type="spellEnd"/>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Thermal</w:t>
            </w:r>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$1 100 to $1 500</w:t>
            </w:r>
          </w:p>
        </w:tc>
      </w:tr>
      <w:tr w:rsidR="009D5C61" w:rsidRPr="009D5C61" w:rsidTr="009D5C61">
        <w:tc>
          <w:tcPr>
            <w:tcW w:w="1511" w:type="dxa"/>
            <w:vMerge w:val="restart"/>
            <w:tcBorders>
              <w:top w:val="single" w:sz="4" w:space="0" w:color="0093D0"/>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Liquid</w:t>
            </w:r>
          </w:p>
        </w:tc>
        <w:tc>
          <w:tcPr>
            <w:tcW w:w="1512" w:type="dxa"/>
            <w:vMerge w:val="restart"/>
            <w:tcBorders>
              <w:top w:val="single" w:sz="4" w:space="0" w:color="0093D0"/>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High toxicity</w:t>
            </w:r>
          </w:p>
        </w:tc>
        <w:tc>
          <w:tcPr>
            <w:tcW w:w="1512" w:type="dxa"/>
            <w:tcBorders>
              <w:top w:val="single" w:sz="4" w:space="0" w:color="0093D0"/>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Storage</w:t>
            </w:r>
          </w:p>
        </w:tc>
        <w:tc>
          <w:tcPr>
            <w:tcW w:w="1512" w:type="dxa"/>
            <w:tcBorders>
              <w:top w:val="single" w:sz="4" w:space="0" w:color="0093D0"/>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single" w:sz="4" w:space="0" w:color="0093D0"/>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single" w:sz="4" w:space="0" w:color="0093D0"/>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$10 000+</w:t>
            </w:r>
          </w:p>
        </w:tc>
      </w:tr>
      <w:tr w:rsidR="009D5C61" w:rsidRPr="009D5C61" w:rsidTr="009D5C61">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Specialist treatment</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$4 000 to $4 500</w:t>
            </w:r>
          </w:p>
        </w:tc>
      </w:tr>
      <w:tr w:rsidR="009D5C61" w:rsidRPr="009D5C61" w:rsidTr="009D5C61">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val="restart"/>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Hydrocarbon (High calorific value)</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Consolidation</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Energy recovery</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$30 to $110</w:t>
            </w:r>
          </w:p>
        </w:tc>
      </w:tr>
      <w:tr w:rsidR="009D5C61" w:rsidRPr="009D5C61" w:rsidTr="009D5C61">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Energy recovery</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$10 to $30</w:t>
            </w:r>
          </w:p>
        </w:tc>
      </w:tr>
      <w:tr w:rsidR="009D5C61" w:rsidRPr="009D5C61" w:rsidTr="009D5C61">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val="restart"/>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Hydrocarbon (Low calorific value)</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Consolidation</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Energy recovery</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$3 500 to $5 100</w:t>
            </w:r>
          </w:p>
        </w:tc>
      </w:tr>
      <w:tr w:rsidR="009D5C61" w:rsidRPr="009D5C61" w:rsidTr="009D5C61">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Energy recovery</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$3 500 to $5 000</w:t>
            </w:r>
          </w:p>
        </w:tc>
      </w:tr>
      <w:tr w:rsidR="009D5C61" w:rsidRPr="009D5C61" w:rsidTr="009D5C61">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Waste water treatment</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$8 to $16</w:t>
            </w:r>
          </w:p>
        </w:tc>
      </w:tr>
      <w:tr w:rsidR="009D5C61" w:rsidRPr="009D5C61" w:rsidTr="009D5C61">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val="restart"/>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Other</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Energy recovery</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$3 000 to $4 000</w:t>
            </w:r>
          </w:p>
        </w:tc>
      </w:tr>
      <w:tr w:rsidR="009D5C61" w:rsidRPr="009D5C61" w:rsidTr="009D5C61">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Neutralisation</w:t>
            </w:r>
            <w:proofErr w:type="spellEnd"/>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$20 to $80</w:t>
            </w:r>
          </w:p>
        </w:tc>
      </w:tr>
      <w:tr w:rsidR="009D5C61" w:rsidRPr="009D5C61" w:rsidTr="009D5C61">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Consolidation</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Neutralisation</w:t>
            </w:r>
            <w:proofErr w:type="spellEnd"/>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$80 to $120</w:t>
            </w:r>
          </w:p>
        </w:tc>
      </w:tr>
      <w:tr w:rsidR="009D5C61" w:rsidRPr="009D5C61" w:rsidTr="009D5C61">
        <w:tc>
          <w:tcPr>
            <w:tcW w:w="1511"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Neutralisation</w:t>
            </w:r>
            <w:proofErr w:type="spellEnd"/>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Energy recovery</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$3 100 to $5 500</w:t>
            </w:r>
          </w:p>
        </w:tc>
      </w:tr>
      <w:tr w:rsidR="009D5C61" w:rsidRPr="009D5C61" w:rsidTr="009D5C61">
        <w:tc>
          <w:tcPr>
            <w:tcW w:w="1511" w:type="dxa"/>
            <w:vMerge/>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Waste water treatment</w:t>
            </w:r>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$8 to $16</w:t>
            </w:r>
          </w:p>
        </w:tc>
      </w:tr>
      <w:tr w:rsidR="009D5C61" w:rsidRPr="009D5C61" w:rsidTr="009D5C61">
        <w:tc>
          <w:tcPr>
            <w:tcW w:w="1511" w:type="dxa"/>
            <w:vMerge/>
            <w:tcBorders>
              <w:top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Waste water treatment</w:t>
            </w:r>
          </w:p>
        </w:tc>
        <w:tc>
          <w:tcPr>
            <w:tcW w:w="1512" w:type="dxa"/>
            <w:tcBorders>
              <w:top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Immobilisation</w:t>
            </w:r>
            <w:proofErr w:type="spellEnd"/>
          </w:p>
        </w:tc>
        <w:tc>
          <w:tcPr>
            <w:tcW w:w="1512" w:type="dxa"/>
            <w:tcBorders>
              <w:top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top w:val="single" w:sz="4" w:space="0" w:color="0093D0"/>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$20 to $50</w:t>
            </w:r>
          </w:p>
        </w:tc>
      </w:tr>
      <w:tr w:rsidR="009D5C61" w:rsidRPr="009D5C61" w:rsidTr="009D5C61">
        <w:tc>
          <w:tcPr>
            <w:tcW w:w="1511" w:type="dxa"/>
            <w:vMerge/>
            <w:tcBorders>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Neutralisation</w:t>
            </w:r>
            <w:proofErr w:type="spellEnd"/>
          </w:p>
        </w:tc>
        <w:tc>
          <w:tcPr>
            <w:tcW w:w="1512" w:type="dxa"/>
            <w:tcBorders>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Waste water treatment</w:t>
            </w:r>
          </w:p>
        </w:tc>
        <w:tc>
          <w:tcPr>
            <w:tcW w:w="1512" w:type="dxa"/>
            <w:tcBorders>
              <w:bottom w:val="nil"/>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N/A</w:t>
            </w:r>
          </w:p>
        </w:tc>
        <w:tc>
          <w:tcPr>
            <w:tcW w:w="1512" w:type="dxa"/>
            <w:tcBorders>
              <w:bottom w:val="nil"/>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$15 to $40</w:t>
            </w:r>
          </w:p>
        </w:tc>
      </w:tr>
      <w:tr w:rsidR="009D5C61" w:rsidRPr="009D5C61" w:rsidTr="009D5C61">
        <w:tc>
          <w:tcPr>
            <w:tcW w:w="1511" w:type="dxa"/>
            <w:vMerge/>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vMerge/>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Neutralisation</w:t>
            </w:r>
            <w:proofErr w:type="spellEnd"/>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r w:rsidRPr="009D5C61">
              <w:rPr>
                <w:rFonts w:asciiTheme="minorHAnsi" w:hAnsiTheme="minorHAnsi" w:cstheme="minorHAnsi"/>
                <w:sz w:val="18"/>
                <w:szCs w:val="18"/>
                <w:lang w:val="en-US"/>
              </w:rPr>
              <w:t>Waste water treatment</w:t>
            </w:r>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rPr>
                <w:rFonts w:asciiTheme="minorHAnsi" w:hAnsiTheme="minorHAnsi" w:cstheme="minorHAnsi"/>
                <w:sz w:val="18"/>
                <w:szCs w:val="18"/>
                <w:lang w:val="en-US"/>
              </w:rPr>
            </w:pPr>
            <w:proofErr w:type="spellStart"/>
            <w:r w:rsidRPr="009D5C61">
              <w:rPr>
                <w:rFonts w:asciiTheme="minorHAnsi" w:hAnsiTheme="minorHAnsi" w:cstheme="minorHAnsi"/>
                <w:sz w:val="18"/>
                <w:szCs w:val="18"/>
                <w:lang w:val="en-US"/>
              </w:rPr>
              <w:t>Immobilisation</w:t>
            </w:r>
            <w:proofErr w:type="spellEnd"/>
          </w:p>
        </w:tc>
        <w:tc>
          <w:tcPr>
            <w:tcW w:w="1512" w:type="dxa"/>
            <w:tcBorders>
              <w:top w:val="nil"/>
              <w:bottom w:val="single" w:sz="4" w:space="0" w:color="0093D0"/>
            </w:tcBorders>
            <w:vAlign w:val="center"/>
          </w:tcPr>
          <w:p w:rsidR="009D5C61" w:rsidRPr="009D5C61" w:rsidRDefault="009D5C61" w:rsidP="009D5C61">
            <w:pPr>
              <w:spacing w:before="100" w:beforeAutospacing="1" w:after="100" w:afterAutospacing="1" w:line="260" w:lineRule="atLeast"/>
              <w:jc w:val="right"/>
              <w:rPr>
                <w:rFonts w:asciiTheme="minorHAnsi" w:hAnsiTheme="minorHAnsi" w:cstheme="minorHAnsi"/>
                <w:sz w:val="18"/>
                <w:szCs w:val="18"/>
                <w:lang w:val="en-US"/>
              </w:rPr>
            </w:pPr>
            <w:r w:rsidRPr="009D5C61">
              <w:rPr>
                <w:rFonts w:asciiTheme="minorHAnsi" w:hAnsiTheme="minorHAnsi" w:cstheme="minorHAnsi"/>
                <w:sz w:val="18"/>
                <w:szCs w:val="18"/>
                <w:lang w:val="en-US"/>
              </w:rPr>
              <w:t>$75 to $100</w:t>
            </w:r>
          </w:p>
        </w:tc>
      </w:tr>
    </w:tbl>
    <w:p w:rsidR="008637A1" w:rsidRDefault="008637A1" w:rsidP="008637A1">
      <w:pPr>
        <w:pStyle w:val="MJAnormal"/>
      </w:pPr>
    </w:p>
    <w:p w:rsidR="008637A1" w:rsidRDefault="008637A1" w:rsidP="008637A1">
      <w:pPr>
        <w:pStyle w:val="MJAnormal"/>
      </w:pPr>
    </w:p>
    <w:p w:rsidR="008637A1" w:rsidRDefault="008637A1" w:rsidP="008637A1">
      <w:pPr>
        <w:pStyle w:val="MJAheading3"/>
        <w:ind w:hanging="1080"/>
      </w:pPr>
      <w:r>
        <w:lastRenderedPageBreak/>
        <w:t>Disposal costs</w:t>
      </w:r>
    </w:p>
    <w:p w:rsidR="008637A1" w:rsidRDefault="008637A1" w:rsidP="008637A1">
      <w:pPr>
        <w:pStyle w:val="MJAnormal"/>
      </w:pPr>
      <w:r>
        <w:t xml:space="preserve">Disposal destinations for hazardous waste depend on the hazard of the material and/or the treatment processes undertaken prior to final disposal. Each jurisdiction deals with hazardous waste disposal slightly differently, with different design specifications for landfills and different regulations about which material can be disposed to landfill. This impacts disposal costs and as such landfill availability and disposal costs vary from state to state. </w:t>
      </w:r>
    </w:p>
    <w:p w:rsidR="008637A1" w:rsidRDefault="008637A1" w:rsidP="008637A1">
      <w:pPr>
        <w:pStyle w:val="MJAnormal"/>
      </w:pPr>
      <w:r>
        <w:t>Additional to landfill costs are the jurisdictional landfill levies. These also vary by location in both scale and application. Differences in levies can create flows of waste between jurisdiction</w:t>
      </w:r>
      <w:r w:rsidR="00DB0F68">
        <w:t>s. It is well reported (</w:t>
      </w:r>
      <w:proofErr w:type="spellStart"/>
      <w:r w:rsidR="00DB0F68">
        <w:t>McKenny</w:t>
      </w:r>
      <w:proofErr w:type="spellEnd"/>
      <w:r>
        <w:t xml:space="preserve"> 2013) that the lack of a landfill levy in Queensland has led to conventional waste being transported interstate from New South Wales and anecdotally the same happens with hazardous waste. </w:t>
      </w:r>
      <w:r w:rsidR="00D21C07" w:rsidRPr="00D21C07">
        <w:t xml:space="preserve"> This is borne out in the NEPM reporting for 2012–13 (NEPC, 2014) that shows over 15,000 tonnes of controlled waste flowing north. The detailed interstate movements have not been included in the overall analysis as the available data was only reported at the NEPM15 level and without destination information.</w:t>
      </w:r>
    </w:p>
    <w:p w:rsidR="008637A1" w:rsidRDefault="008637A1" w:rsidP="008637A1">
      <w:pPr>
        <w:pStyle w:val="MJAheading4"/>
      </w:pPr>
      <w:r>
        <w:t>ACT</w:t>
      </w:r>
    </w:p>
    <w:p w:rsidR="008637A1" w:rsidRDefault="00D21C07" w:rsidP="008637A1">
      <w:pPr>
        <w:pStyle w:val="MJAnormal"/>
      </w:pPr>
      <w:r w:rsidRPr="00D21C07">
        <w:t>There are no landfills located within the ACT that accept hazardous waste (excluding asbestos and low level contaminated soil which can be accepted at the Mugga Lane Landfill and the West Belconnen Resource Management Centre) and all waste is sent for disposal is exported to NSW.</w:t>
      </w:r>
    </w:p>
    <w:p w:rsidR="008637A1" w:rsidRDefault="008637A1" w:rsidP="008637A1">
      <w:pPr>
        <w:pStyle w:val="MJAheading4"/>
      </w:pPr>
      <w:r>
        <w:t>New South Wales</w:t>
      </w:r>
    </w:p>
    <w:p w:rsidR="008637A1" w:rsidRDefault="008637A1" w:rsidP="008637A1">
      <w:pPr>
        <w:pStyle w:val="MJAnormal"/>
      </w:pPr>
      <w:r>
        <w:t>New South Wales does not permit landfilling of any untreated hazardous waste. In New South Wales, “Restricted Solid Waste” is that requiring disposal at a high containment landfill, of which there is only one facility in the state. This is located at Kemps Creek in Western Sydney at the Elizabeth Drive precinct and is operated by SITA. Industry advice is that gate fees for this landfill are between $250/tonne and $500/tonne depending on a range of factors including demand and size of consignment.</w:t>
      </w:r>
    </w:p>
    <w:p w:rsidR="00B4649D" w:rsidRDefault="00B4649D" w:rsidP="00B4649D">
      <w:pPr>
        <w:pStyle w:val="MJAnormal"/>
      </w:pPr>
      <w:r>
        <w:t xml:space="preserve">Waste that has been treated to an acceptable standard is referred to as within the New South Wales EPA as “Immobilised Solid Waste” and can be disposed at a number of landfills around the state. The official designation for immobilised solid waste is either General Solid Waste (putrescible) or General Solid Waste (non-putrescible). These generally charge a gate fee from $180/tonne to $300/tonne.  </w:t>
      </w:r>
    </w:p>
    <w:p w:rsidR="008637A1" w:rsidRDefault="00B4649D" w:rsidP="008637A1">
      <w:pPr>
        <w:pStyle w:val="MJAnormal"/>
      </w:pPr>
      <w:r>
        <w:t xml:space="preserve">New South Wales administers a location based landfill levy based on three broad areas, the Sydney Metropolitan Area ($95.20/tonne), the Extended Regulated Area ($93.00/tonne) and the Regional Regulated Area ($42.40/tonne). There is also a levy on </w:t>
      </w:r>
      <w:proofErr w:type="spellStart"/>
      <w:r>
        <w:t>trackable</w:t>
      </w:r>
      <w:proofErr w:type="spellEnd"/>
      <w:r>
        <w:t xml:space="preserve"> liquids (liquid waste that fits the NEPM classification) of $66.60/tonne. An additional levy on coal </w:t>
      </w:r>
      <w:proofErr w:type="spellStart"/>
      <w:r>
        <w:t>washery</w:t>
      </w:r>
      <w:proofErr w:type="spellEnd"/>
      <w:r>
        <w:t xml:space="preserve"> reject material has not been applied in this study.  </w:t>
      </w:r>
    </w:p>
    <w:p w:rsidR="008637A1" w:rsidRDefault="008637A1" w:rsidP="008637A1">
      <w:pPr>
        <w:pStyle w:val="MJAheading4"/>
      </w:pPr>
      <w:r>
        <w:t>Northern Territory</w:t>
      </w:r>
    </w:p>
    <w:p w:rsidR="00577828" w:rsidRDefault="00577828" w:rsidP="008637A1">
      <w:pPr>
        <w:pStyle w:val="MJAnormal"/>
      </w:pPr>
      <w:r w:rsidRPr="00577828">
        <w:t>As for the ACT, the NT has no waste tracking system beyond collecting data on inters</w:t>
      </w:r>
      <w:r>
        <w:t xml:space="preserve">tate waste transport. The NT </w:t>
      </w:r>
      <w:r w:rsidRPr="00577828">
        <w:t xml:space="preserve">does not have any landfills or treatment facilities licensed to accept hazardous waste. As such, all waste has been assumed to be exported to South Australia for treatment and disposal.  </w:t>
      </w:r>
    </w:p>
    <w:p w:rsidR="008637A1" w:rsidRDefault="008637A1" w:rsidP="008637A1">
      <w:pPr>
        <w:pStyle w:val="MJAnormal"/>
      </w:pPr>
    </w:p>
    <w:p w:rsidR="008637A1" w:rsidRDefault="008637A1" w:rsidP="008637A1">
      <w:pPr>
        <w:pStyle w:val="MJAheading4"/>
      </w:pPr>
      <w:r>
        <w:lastRenderedPageBreak/>
        <w:t>Queensland</w:t>
      </w:r>
    </w:p>
    <w:p w:rsidR="008637A1" w:rsidRDefault="008637A1" w:rsidP="008637A1">
      <w:pPr>
        <w:pStyle w:val="MJAnormal"/>
      </w:pPr>
      <w:r>
        <w:t xml:space="preserve">Queensland has one high containment landfill facility located at Swanbank, west of Brisbane. The Swanbank facility is operated by </w:t>
      </w:r>
      <w:proofErr w:type="spellStart"/>
      <w:r>
        <w:t>Remondis</w:t>
      </w:r>
      <w:proofErr w:type="spellEnd"/>
      <w:r>
        <w:t xml:space="preserve"> and industry consultation suggests that landfill gate fees for high containment waste are between $80/tonne and $120/tonne. There are a number of other landfills in the state able to accept conventional waste, charging from $25/tonne to $55/tonne.</w:t>
      </w:r>
    </w:p>
    <w:p w:rsidR="008637A1" w:rsidRDefault="008637A1" w:rsidP="008637A1">
      <w:pPr>
        <w:pStyle w:val="MJAnormal"/>
      </w:pPr>
      <w:r>
        <w:t xml:space="preserve"> In 2012 the new Queensland state government repealed the state’s landfill levy, effective 1 July of that year. As such, landfill levies were only applied in this study to waste generated for half of 2012. Prior to the repeal, the levy for high hazard waste was $150/tonne and lower hazard waste $50/tonne.</w:t>
      </w:r>
    </w:p>
    <w:p w:rsidR="008637A1" w:rsidRDefault="008637A1" w:rsidP="008637A1">
      <w:pPr>
        <w:pStyle w:val="MJAheading4"/>
      </w:pPr>
      <w:r>
        <w:t>South Australia</w:t>
      </w:r>
    </w:p>
    <w:p w:rsidR="008637A1" w:rsidRDefault="008637A1" w:rsidP="008637A1">
      <w:pPr>
        <w:pStyle w:val="MJAnormal"/>
      </w:pPr>
      <w:r>
        <w:t xml:space="preserve">Transpacific Industries operates South Australia’s only high containment landfill at </w:t>
      </w:r>
      <w:proofErr w:type="spellStart"/>
      <w:r>
        <w:t>Inkerman</w:t>
      </w:r>
      <w:proofErr w:type="spellEnd"/>
      <w:r>
        <w:t>, approximately 1 hour north of Adelaide. It is understood that gate fees for this facility range from $200/tonne to $300/tonne for high containment waste. There are best practice engineered landfills in the state that can accept low level waste at a gate fee of $110/tonne to $170/tonne.</w:t>
      </w:r>
    </w:p>
    <w:p w:rsidR="008637A1" w:rsidRDefault="008637A1" w:rsidP="008637A1">
      <w:pPr>
        <w:pStyle w:val="MJAnormal"/>
      </w:pPr>
      <w:r>
        <w:t xml:space="preserve">Similarly to NSW, SA operates a location based landfill levy alongside a </w:t>
      </w:r>
      <w:proofErr w:type="spellStart"/>
      <w:r>
        <w:t>trackable</w:t>
      </w:r>
      <w:proofErr w:type="spellEnd"/>
      <w:r>
        <w:t xml:space="preserve"> liquid levy. For waste generated and/or disposed in the Adelaide metropolitan area a levy of $47/tonne is applied, and $23.50/tonne for waste generated and disposed in non-metro areas. All </w:t>
      </w:r>
      <w:proofErr w:type="spellStart"/>
      <w:r>
        <w:t>trackable</w:t>
      </w:r>
      <w:proofErr w:type="spellEnd"/>
      <w:r>
        <w:t xml:space="preserve"> wastes in liquid form attract a levy of $17.95/tonne. </w:t>
      </w:r>
    </w:p>
    <w:p w:rsidR="008637A1" w:rsidRDefault="008637A1" w:rsidP="008637A1">
      <w:pPr>
        <w:pStyle w:val="MJAheading4"/>
      </w:pPr>
      <w:r>
        <w:t>Tasmania</w:t>
      </w:r>
    </w:p>
    <w:p w:rsidR="008637A1" w:rsidRDefault="008637A1" w:rsidP="008637A1">
      <w:pPr>
        <w:pStyle w:val="MJAnormal"/>
      </w:pPr>
      <w:r>
        <w:t xml:space="preserve">Tasmania does not have a high containment landfill or treatment facilities for hazardous waste within the state and </w:t>
      </w:r>
      <w:r w:rsidR="006C72CD">
        <w:t xml:space="preserve">almost </w:t>
      </w:r>
      <w:r>
        <w:t xml:space="preserve">all waste is exported to </w:t>
      </w:r>
      <w:r w:rsidR="006C72CD">
        <w:t xml:space="preserve">the </w:t>
      </w:r>
      <w:proofErr w:type="gramStart"/>
      <w:r w:rsidR="006C72CD">
        <w:t xml:space="preserve">mainland </w:t>
      </w:r>
      <w:r>
        <w:t xml:space="preserve"> for</w:t>
      </w:r>
      <w:proofErr w:type="gramEnd"/>
      <w:r>
        <w:t xml:space="preserve"> treatment or disposal at a cost additional to the gate fee of approximately $200/tonne.</w:t>
      </w:r>
    </w:p>
    <w:p w:rsidR="008637A1" w:rsidRDefault="008637A1" w:rsidP="008637A1">
      <w:pPr>
        <w:pStyle w:val="MJAheading4"/>
      </w:pPr>
      <w:r>
        <w:t>Victoria</w:t>
      </w:r>
    </w:p>
    <w:p w:rsidR="008637A1" w:rsidRDefault="006C72CD" w:rsidP="008637A1">
      <w:pPr>
        <w:pStyle w:val="MJAnormal"/>
      </w:pPr>
      <w:r w:rsidRPr="006C72CD">
        <w:t xml:space="preserve">Victoria refers to hazardous waste as Prescribed Industrial Waste (PIW). PIW categorisation ranges from Category </w:t>
      </w:r>
      <w:proofErr w:type="gramStart"/>
      <w:r w:rsidRPr="006C72CD">
        <w:t>A</w:t>
      </w:r>
      <w:proofErr w:type="gramEnd"/>
      <w:r w:rsidRPr="006C72CD">
        <w:t xml:space="preserve"> (highest hazard) to Category C. Category A waste cannot be landfilled and must be sent for treatment or destruction. Category B waste can be sent to Victoria’s only </w:t>
      </w:r>
      <w:r w:rsidR="008637A1">
        <w:t>high containment landfill</w:t>
      </w:r>
      <w:r>
        <w:t>,</w:t>
      </w:r>
      <w:r w:rsidR="008637A1">
        <w:t xml:space="preserve"> which is located at Lyndhurst, south east of Melbourne. The facility is operated by SITA and industry advice is that gate fees for this landfill are between $250/tonne and $500/tonne. As per the Elizabeth Drive landfill in NSW, the actual gate fee varies according to consignment type, size and current demand at the facility. Best practice landfills in Victoria charge a gate fee of $50/tonne to $100/tonne for conventional and low level waste.</w:t>
      </w:r>
    </w:p>
    <w:p w:rsidR="008637A1" w:rsidRDefault="008637A1" w:rsidP="008637A1">
      <w:pPr>
        <w:pStyle w:val="MJAnormal"/>
      </w:pPr>
      <w:r>
        <w:t>Victoria charges landfill levies based on the hazard category of waste being disposed. Category B waste, the highest hazard category for disposal, attracted a levy of $250/tonne in 2012. The Category C waste levy was $70/tonne. Packaged asbestos also attracted a levy of $30/tonne.</w:t>
      </w:r>
    </w:p>
    <w:p w:rsidR="008637A1" w:rsidRDefault="008637A1" w:rsidP="008637A1">
      <w:pPr>
        <w:pStyle w:val="MJAheading4"/>
      </w:pPr>
      <w:r>
        <w:t>Western Australia</w:t>
      </w:r>
    </w:p>
    <w:p w:rsidR="008637A1" w:rsidRDefault="008637A1" w:rsidP="008637A1">
      <w:pPr>
        <w:pStyle w:val="MJAnormal"/>
      </w:pPr>
      <w:r>
        <w:t>WA’s high containment landfill is located near to the Kwinana industrial precinct south of Perth. Industry advice suggests a gate fee of $200 to $450 per tonne for this landfill and $50 to $90 per tonne for best practice landfills elsewhere in the state.</w:t>
      </w:r>
    </w:p>
    <w:p w:rsidR="008637A1" w:rsidRDefault="008637A1" w:rsidP="008637A1">
      <w:pPr>
        <w:pStyle w:val="MJAnormal"/>
      </w:pPr>
      <w:r>
        <w:lastRenderedPageBreak/>
        <w:t>Similarly to Victoria, WA charges a landfill levy based on the hazard category of waste. “Controlled Waste” attracted a levy of $28/tonne in 2012, whilst “Inert Waste” and packaged asbestos attracted a levy of $12/tonne.</w:t>
      </w:r>
    </w:p>
    <w:p w:rsidR="00C6402C" w:rsidRDefault="00C6402C" w:rsidP="00C6402C">
      <w:pPr>
        <w:pStyle w:val="MJAheading3"/>
        <w:ind w:hanging="1080"/>
      </w:pPr>
      <w:bookmarkStart w:id="45" w:name="_Ref391677715"/>
      <w:r>
        <w:t>On-site waste treatment</w:t>
      </w:r>
      <w:bookmarkEnd w:id="45"/>
    </w:p>
    <w:p w:rsidR="00C6402C" w:rsidRDefault="00C6402C" w:rsidP="00C6402C">
      <w:pPr>
        <w:pStyle w:val="MJAnormal"/>
      </w:pPr>
      <w:r>
        <w:t xml:space="preserve">Some hazardous and contaminated materials may be treated or destroyed onsite and as such are not included in waste tracking systems. </w:t>
      </w:r>
    </w:p>
    <w:p w:rsidR="00C6402C" w:rsidRDefault="00C6402C" w:rsidP="00C6402C">
      <w:pPr>
        <w:pStyle w:val="MJAnormal"/>
      </w:pPr>
      <w:r>
        <w:t>Contaminated soils are the largest of these material types and in an effort to save on transport and treatment costs much is treated at the construction or demolition site. Industry consultations have suggested that as much as 75% of all contaminated soils are treated onsite. These quantiti</w:t>
      </w:r>
      <w:r w:rsidR="00307DD2">
        <w:t>es are highly uncertain and the direct and indirect costs associated with</w:t>
      </w:r>
      <w:r>
        <w:t xml:space="preserve"> </w:t>
      </w:r>
      <w:r w:rsidR="00307DD2">
        <w:t xml:space="preserve">their treatment are </w:t>
      </w:r>
      <w:r>
        <w:t xml:space="preserve">therefore not been included in this analysis. Given offsite treatment of soils is estimated at 1.5 million tonnes for 2012 however, onsite treatment could </w:t>
      </w:r>
      <w:r w:rsidR="00307DD2">
        <w:t xml:space="preserve">feasibly </w:t>
      </w:r>
      <w:proofErr w:type="gramStart"/>
      <w:r>
        <w:t>be  up</w:t>
      </w:r>
      <w:proofErr w:type="gramEnd"/>
      <w:r>
        <w:t xml:space="preserve"> to 4.5 million tonnes. Soils suitable for onsite treatment are typically those contaminated with hydrocarbons as these can be treated with bioremediation. Whilst onsite treatment is generally cheaper than offsite at $35/tonne to $50/tonne compared with $100/ to $200/tonne, it is a slow process. This means that land where contaminated soil is being treated cannot be used for six to twelve months.</w:t>
      </w:r>
      <w:r w:rsidR="009746C3">
        <w:t xml:space="preserve">  Applying the upper bound estimates of treatment costs to volumes would imply </w:t>
      </w:r>
      <w:r w:rsidR="009746C3" w:rsidRPr="00897CE5">
        <w:rPr>
          <w:u w:val="single"/>
        </w:rPr>
        <w:t>maximum</w:t>
      </w:r>
      <w:r w:rsidR="009746C3">
        <w:t xml:space="preserve"> additional direct costs of $225 million for contaminated soils treated on site, plus some additional costs for short term quarantining of land.</w:t>
      </w:r>
    </w:p>
    <w:p w:rsidR="00C6402C" w:rsidRPr="00CD377D" w:rsidRDefault="00C6402C" w:rsidP="00C6402C">
      <w:pPr>
        <w:pStyle w:val="MJAnormal"/>
      </w:pPr>
      <w:r>
        <w:t>Clinical waste is often destroyed onsite at hospital incinerators. As these wastes are not subject to a tracking, much of this waste is also not included in this analysis. Many major hospitals run incinerators to dispose of bio</w:t>
      </w:r>
      <w:r w:rsidR="003F4B57">
        <w:t>-</w:t>
      </w:r>
      <w:r>
        <w:t>hazardous waste onsite.</w:t>
      </w:r>
    </w:p>
    <w:p w:rsidR="002802F3" w:rsidRPr="002802F3" w:rsidRDefault="002802F3" w:rsidP="002802F3">
      <w:pPr>
        <w:pStyle w:val="MJAheading2"/>
        <w:ind w:hanging="720"/>
      </w:pPr>
      <w:bookmarkStart w:id="46" w:name="_Toc391729958"/>
      <w:r>
        <w:t>Indirect and non-market costs</w:t>
      </w:r>
      <w:bookmarkEnd w:id="46"/>
    </w:p>
    <w:p w:rsidR="00A823ED" w:rsidRDefault="003F4B57">
      <w:pPr>
        <w:rPr>
          <w:rFonts w:ascii="Times New Roman" w:eastAsia="Times New Roman" w:hAnsi="Times New Roman" w:cs="Times New Roman"/>
        </w:rPr>
      </w:pPr>
      <w:r w:rsidRPr="003F4B57">
        <w:rPr>
          <w:rFonts w:ascii="Times New Roman" w:eastAsia="Times New Roman" w:hAnsi="Times New Roman" w:cs="Times New Roman"/>
        </w:rPr>
        <w:t xml:space="preserve">Indirect and non-market costs assessed for the cost analysis fall into three </w:t>
      </w:r>
      <w:r>
        <w:rPr>
          <w:rFonts w:ascii="Times New Roman" w:eastAsia="Times New Roman" w:hAnsi="Times New Roman" w:cs="Times New Roman"/>
        </w:rPr>
        <w:t>broad areas:</w:t>
      </w:r>
    </w:p>
    <w:p w:rsidR="003F4B57" w:rsidRPr="008B1003" w:rsidRDefault="008B1003" w:rsidP="008B1003">
      <w:pPr>
        <w:pStyle w:val="MJAbulletnormal"/>
        <w:numPr>
          <w:ilvl w:val="0"/>
          <w:numId w:val="2"/>
        </w:numPr>
        <w:rPr>
          <w:szCs w:val="20"/>
        </w:rPr>
      </w:pPr>
      <w:r>
        <w:rPr>
          <w:szCs w:val="20"/>
        </w:rPr>
        <w:t>g</w:t>
      </w:r>
      <w:r w:rsidR="003F4B57" w:rsidRPr="008B1003">
        <w:rPr>
          <w:szCs w:val="20"/>
        </w:rPr>
        <w:t>overnment costs associated with regulating and administering hazardous wastes;</w:t>
      </w:r>
    </w:p>
    <w:p w:rsidR="008B1003" w:rsidRPr="008B1003" w:rsidRDefault="008B1003" w:rsidP="008B1003">
      <w:pPr>
        <w:pStyle w:val="MJAbulletnormal"/>
        <w:numPr>
          <w:ilvl w:val="0"/>
          <w:numId w:val="2"/>
        </w:numPr>
        <w:rPr>
          <w:szCs w:val="20"/>
        </w:rPr>
      </w:pPr>
      <w:r>
        <w:rPr>
          <w:szCs w:val="20"/>
        </w:rPr>
        <w:t>c</w:t>
      </w:r>
      <w:r w:rsidRPr="008B1003">
        <w:rPr>
          <w:szCs w:val="20"/>
        </w:rPr>
        <w:t>osts associated with injuries and illnesses to workers who handle hazardous wastes; and</w:t>
      </w:r>
    </w:p>
    <w:p w:rsidR="008B1003" w:rsidRPr="008B1003" w:rsidRDefault="0082496B" w:rsidP="008B1003">
      <w:pPr>
        <w:pStyle w:val="MJAbulletnormal"/>
        <w:numPr>
          <w:ilvl w:val="0"/>
          <w:numId w:val="2"/>
        </w:numPr>
        <w:rPr>
          <w:szCs w:val="20"/>
        </w:rPr>
      </w:pPr>
      <w:proofErr w:type="gramStart"/>
      <w:r>
        <w:rPr>
          <w:szCs w:val="20"/>
        </w:rPr>
        <w:t>residual</w:t>
      </w:r>
      <w:proofErr w:type="gramEnd"/>
      <w:r>
        <w:rPr>
          <w:szCs w:val="20"/>
        </w:rPr>
        <w:t xml:space="preserve"> </w:t>
      </w:r>
      <w:r w:rsidR="008B1003">
        <w:rPr>
          <w:szCs w:val="20"/>
        </w:rPr>
        <w:t>e</w:t>
      </w:r>
      <w:r w:rsidR="008B1003" w:rsidRPr="008B1003">
        <w:rPr>
          <w:szCs w:val="20"/>
        </w:rPr>
        <w:t>nvironmental and social externalities associated with hazardous wastes disposed to landfill</w:t>
      </w:r>
      <w:r w:rsidR="00B93483">
        <w:rPr>
          <w:rStyle w:val="FootnoteReference"/>
          <w:szCs w:val="20"/>
        </w:rPr>
        <w:footnoteReference w:id="6"/>
      </w:r>
      <w:r w:rsidR="008B1003" w:rsidRPr="008B1003">
        <w:rPr>
          <w:szCs w:val="20"/>
        </w:rPr>
        <w:t>.</w:t>
      </w:r>
    </w:p>
    <w:p w:rsidR="008B1003" w:rsidRDefault="008B1003">
      <w:pPr>
        <w:rPr>
          <w:rFonts w:ascii="Times New Roman" w:eastAsia="Times New Roman" w:hAnsi="Times New Roman" w:cs="Times New Roman"/>
        </w:rPr>
      </w:pPr>
      <w:r>
        <w:rPr>
          <w:rFonts w:ascii="Times New Roman" w:eastAsia="Times New Roman" w:hAnsi="Times New Roman" w:cs="Times New Roman"/>
        </w:rPr>
        <w:t>Methods and assumptions associated with estimating these costs are discussed in turn below.</w:t>
      </w:r>
    </w:p>
    <w:p w:rsidR="003F4B57" w:rsidRDefault="008B1003" w:rsidP="008B1003">
      <w:pPr>
        <w:pStyle w:val="MJAheading4"/>
      </w:pPr>
      <w:r>
        <w:t>Regulatory and administration costs</w:t>
      </w:r>
    </w:p>
    <w:p w:rsidR="008B1003" w:rsidRDefault="008B1003" w:rsidP="008B1003">
      <w:pPr>
        <w:pStyle w:val="MJAnormal"/>
      </w:pPr>
      <w:r>
        <w:t xml:space="preserve">As discussed in section </w:t>
      </w:r>
      <w:r w:rsidR="00732F35">
        <w:fldChar w:fldCharType="begin"/>
      </w:r>
      <w:r>
        <w:instrText xml:space="preserve"> REF _Ref391294759 \r \h </w:instrText>
      </w:r>
      <w:r w:rsidR="00732F35">
        <w:fldChar w:fldCharType="separate"/>
      </w:r>
      <w:r w:rsidR="00D54C27">
        <w:t>2.2</w:t>
      </w:r>
      <w:r w:rsidR="00732F35">
        <w:fldChar w:fldCharType="end"/>
      </w:r>
      <w:r>
        <w:t xml:space="preserve">, each </w:t>
      </w:r>
      <w:r w:rsidRPr="008B1003">
        <w:t xml:space="preserve">jurisdiction is responsible for </w:t>
      </w:r>
      <w:r>
        <w:t xml:space="preserve">regulating and administering </w:t>
      </w:r>
      <w:r w:rsidRPr="008B1003">
        <w:t>hazardous waste within its boundaries</w:t>
      </w:r>
      <w:r>
        <w:t xml:space="preserve">.  The time and money spent on these regulatory functions fall into two </w:t>
      </w:r>
      <w:r w:rsidR="00DA3820">
        <w:t>areas.</w:t>
      </w:r>
    </w:p>
    <w:p w:rsidR="00E140F8" w:rsidRDefault="008B1003" w:rsidP="00DA3820">
      <w:pPr>
        <w:pStyle w:val="MJAnormal"/>
      </w:pPr>
      <w:r w:rsidRPr="00DA3820">
        <w:rPr>
          <w:b/>
        </w:rPr>
        <w:t xml:space="preserve">Costs associated with hazardous waste data tracking </w:t>
      </w:r>
      <w:r w:rsidR="00E140F8">
        <w:rPr>
          <w:b/>
        </w:rPr>
        <w:t xml:space="preserve">and reporting </w:t>
      </w:r>
    </w:p>
    <w:p w:rsidR="00DA3820" w:rsidRDefault="00E140F8" w:rsidP="00DA3820">
      <w:pPr>
        <w:pStyle w:val="MJAnormal"/>
      </w:pPr>
      <w:r>
        <w:t xml:space="preserve">These costs include administration costs associated with data tracking and reporting </w:t>
      </w:r>
      <w:r w:rsidRPr="00E140F8">
        <w:t>under jurisdictional legislation and national and international obligations such as the Controlled Waste NEPM and the Base Convention</w:t>
      </w:r>
      <w:r>
        <w:t>. Jurisdictions were</w:t>
      </w:r>
      <w:r w:rsidR="00DA3820">
        <w:t xml:space="preserve"> able to provide estimates of these </w:t>
      </w:r>
      <w:r>
        <w:t xml:space="preserve">costs </w:t>
      </w:r>
      <w:r w:rsidRPr="00E140F8">
        <w:lastRenderedPageBreak/>
        <w:t xml:space="preserve">which </w:t>
      </w:r>
      <w:r w:rsidR="00DA3820" w:rsidRPr="00E140F8">
        <w:t xml:space="preserve">are summarised in </w:t>
      </w:r>
      <w:fldSimple w:instr=" REF _Ref391297147 \h  \* MERGEFORMAT ">
        <w:r w:rsidR="00D54C27" w:rsidRPr="00D54C27">
          <w:t>Table 15</w:t>
        </w:r>
      </w:fldSimple>
      <w:r w:rsidR="00DA3820" w:rsidRPr="00E140F8">
        <w:t>.</w:t>
      </w:r>
      <w:r>
        <w:t xml:space="preserve"> </w:t>
      </w:r>
      <w:r w:rsidR="005155EA">
        <w:t>As can be seen, t</w:t>
      </w:r>
      <w:r w:rsidR="00DA3820">
        <w:t>hey are relatively minor</w:t>
      </w:r>
      <w:r w:rsidR="005155EA">
        <w:t xml:space="preserve"> and reflect </w:t>
      </w:r>
      <w:r>
        <w:t>staff time devoted to data compilation and reporting.</w:t>
      </w:r>
    </w:p>
    <w:p w:rsidR="00DA3820" w:rsidRDefault="00DA3820" w:rsidP="00DF58E8">
      <w:pPr>
        <w:keepNext/>
        <w:keepLines/>
        <w:spacing w:before="120" w:after="120" w:line="240" w:lineRule="auto"/>
        <w:jc w:val="both"/>
        <w:rPr>
          <w:rFonts w:ascii="Calibri" w:eastAsia="Times New Roman" w:hAnsi="Calibri" w:cs="Calibri"/>
          <w:b/>
          <w:bCs/>
          <w:sz w:val="20"/>
          <w:szCs w:val="20"/>
          <w:lang w:eastAsia="en-AU"/>
        </w:rPr>
      </w:pPr>
      <w:bookmarkStart w:id="47" w:name="_Ref391297147"/>
      <w:r w:rsidRPr="00F6696F">
        <w:rPr>
          <w:rFonts w:ascii="Calibri" w:eastAsia="Times New Roman" w:hAnsi="Calibri" w:cs="Calibri"/>
          <w:b/>
          <w:bCs/>
          <w:sz w:val="20"/>
          <w:szCs w:val="20"/>
          <w:lang w:eastAsia="en-AU"/>
        </w:rPr>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15</w:t>
      </w:r>
      <w:r w:rsidR="00732F35" w:rsidRPr="00F6696F">
        <w:rPr>
          <w:rFonts w:ascii="Calibri" w:eastAsia="Times New Roman" w:hAnsi="Calibri" w:cs="Calibri"/>
          <w:b/>
          <w:bCs/>
          <w:sz w:val="20"/>
          <w:szCs w:val="20"/>
          <w:lang w:eastAsia="en-AU"/>
        </w:rPr>
        <w:fldChar w:fldCharType="end"/>
      </w:r>
      <w:bookmarkEnd w:id="47"/>
      <w:r w:rsidRPr="00F6696F">
        <w:rPr>
          <w:rFonts w:ascii="Calibri" w:eastAsia="Times New Roman" w:hAnsi="Calibri" w:cs="Calibri"/>
          <w:b/>
          <w:bCs/>
          <w:sz w:val="20"/>
          <w:szCs w:val="20"/>
          <w:lang w:eastAsia="en-AU"/>
        </w:rPr>
        <w:t xml:space="preserve">:  </w:t>
      </w:r>
      <w:r>
        <w:rPr>
          <w:rFonts w:ascii="Calibri" w:eastAsia="Times New Roman" w:hAnsi="Calibri" w:cs="Calibri"/>
          <w:b/>
          <w:bCs/>
          <w:sz w:val="20"/>
          <w:szCs w:val="20"/>
          <w:lang w:eastAsia="en-AU"/>
        </w:rPr>
        <w:t xml:space="preserve"> </w:t>
      </w:r>
      <w:r w:rsidR="00DF58E8">
        <w:rPr>
          <w:rFonts w:ascii="Calibri" w:eastAsia="Times New Roman" w:hAnsi="Calibri" w:cs="Calibri"/>
          <w:b/>
          <w:bCs/>
          <w:sz w:val="20"/>
          <w:szCs w:val="20"/>
          <w:lang w:eastAsia="en-AU"/>
        </w:rPr>
        <w:t>Jurisdictional a</w:t>
      </w:r>
      <w:r w:rsidR="00CA0BF3">
        <w:rPr>
          <w:rFonts w:ascii="Calibri" w:eastAsia="Times New Roman" w:hAnsi="Calibri" w:cs="Calibri"/>
          <w:b/>
          <w:bCs/>
          <w:sz w:val="20"/>
          <w:szCs w:val="20"/>
          <w:lang w:eastAsia="en-AU"/>
        </w:rPr>
        <w:t xml:space="preserve">dministration </w:t>
      </w:r>
      <w:r w:rsidR="00DF58E8">
        <w:rPr>
          <w:rFonts w:ascii="Calibri" w:eastAsia="Times New Roman" w:hAnsi="Calibri" w:cs="Calibri"/>
          <w:b/>
          <w:bCs/>
          <w:sz w:val="20"/>
          <w:szCs w:val="20"/>
          <w:lang w:eastAsia="en-AU"/>
        </w:rPr>
        <w:t xml:space="preserve">costs associated with </w:t>
      </w:r>
      <w:r w:rsidR="00CA0BF3">
        <w:rPr>
          <w:rFonts w:ascii="Calibri" w:eastAsia="Times New Roman" w:hAnsi="Calibri" w:cs="Calibri"/>
          <w:b/>
          <w:bCs/>
          <w:sz w:val="20"/>
          <w:szCs w:val="20"/>
          <w:lang w:eastAsia="en-AU"/>
        </w:rPr>
        <w:t>d</w:t>
      </w:r>
      <w:r w:rsidR="00E140F8">
        <w:rPr>
          <w:rFonts w:ascii="Calibri" w:eastAsia="Times New Roman" w:hAnsi="Calibri" w:cs="Calibri"/>
          <w:b/>
          <w:bCs/>
          <w:sz w:val="20"/>
          <w:szCs w:val="20"/>
          <w:lang w:eastAsia="en-AU"/>
        </w:rPr>
        <w:t xml:space="preserve">ata tracking and </w:t>
      </w:r>
      <w:r w:rsidR="00DF58E8">
        <w:rPr>
          <w:rFonts w:ascii="Calibri" w:eastAsia="Times New Roman" w:hAnsi="Calibri" w:cs="Calibri"/>
          <w:b/>
          <w:bCs/>
          <w:sz w:val="20"/>
          <w:szCs w:val="20"/>
          <w:lang w:eastAsia="en-AU"/>
        </w:rPr>
        <w:t xml:space="preserve">reporting </w:t>
      </w:r>
      <w:r w:rsidR="00812FD8">
        <w:rPr>
          <w:rFonts w:ascii="Calibri" w:eastAsia="Times New Roman" w:hAnsi="Calibri" w:cs="Calibri"/>
          <w:b/>
          <w:bCs/>
          <w:sz w:val="20"/>
          <w:szCs w:val="20"/>
          <w:lang w:eastAsia="en-AU"/>
        </w:rPr>
        <w:t>($)</w:t>
      </w:r>
    </w:p>
    <w:tbl>
      <w:tblPr>
        <w:tblW w:w="5000" w:type="pct"/>
        <w:tblBorders>
          <w:insideV w:val="single" w:sz="4" w:space="0" w:color="0093D0"/>
        </w:tblBorders>
        <w:tblLayout w:type="fixed"/>
        <w:tblLook w:val="04A0"/>
      </w:tblPr>
      <w:tblGrid>
        <w:gridCol w:w="1387"/>
        <w:gridCol w:w="916"/>
        <w:gridCol w:w="917"/>
        <w:gridCol w:w="917"/>
        <w:gridCol w:w="917"/>
        <w:gridCol w:w="916"/>
        <w:gridCol w:w="917"/>
        <w:gridCol w:w="917"/>
        <w:gridCol w:w="916"/>
      </w:tblGrid>
      <w:tr w:rsidR="00C0594D" w:rsidRPr="00DA3820" w:rsidTr="00C0594D">
        <w:trPr>
          <w:trHeight w:val="439"/>
        </w:trPr>
        <w:tc>
          <w:tcPr>
            <w:tcW w:w="795" w:type="pct"/>
            <w:tcBorders>
              <w:bottom w:val="nil"/>
              <w:right w:val="nil"/>
            </w:tcBorders>
            <w:shd w:val="clear" w:color="auto" w:fill="0093D0"/>
            <w:noWrap/>
            <w:vAlign w:val="center"/>
          </w:tcPr>
          <w:p w:rsidR="00C0594D" w:rsidRPr="00C0594D" w:rsidRDefault="00C0594D" w:rsidP="00DA3820">
            <w:pPr>
              <w:spacing w:after="0" w:line="240" w:lineRule="auto"/>
              <w:rPr>
                <w:rFonts w:ascii="Calibri" w:eastAsia="Times New Roman" w:hAnsi="Calibri" w:cs="Times New Roman"/>
                <w:b/>
                <w:bCs/>
                <w:color w:val="FFFFFF" w:themeColor="background1"/>
                <w:sz w:val="20"/>
                <w:szCs w:val="20"/>
                <w:lang w:eastAsia="en-AU"/>
              </w:rPr>
            </w:pPr>
            <w:r w:rsidRPr="00C0594D">
              <w:rPr>
                <w:rFonts w:ascii="Calibri" w:eastAsia="Times New Roman" w:hAnsi="Calibri" w:cs="Times New Roman"/>
                <w:b/>
                <w:bCs/>
                <w:color w:val="FFFFFF" w:themeColor="background1"/>
                <w:sz w:val="20"/>
                <w:szCs w:val="20"/>
                <w:lang w:eastAsia="en-AU"/>
              </w:rPr>
              <w:t>Cost</w:t>
            </w:r>
            <w:r w:rsidR="00D57E50">
              <w:rPr>
                <w:rFonts w:ascii="Calibri" w:eastAsia="Times New Roman" w:hAnsi="Calibri" w:cs="Times New Roman"/>
                <w:b/>
                <w:bCs/>
                <w:color w:val="FFFFFF" w:themeColor="background1"/>
                <w:sz w:val="20"/>
                <w:szCs w:val="20"/>
                <w:lang w:eastAsia="en-AU"/>
              </w:rPr>
              <w:t xml:space="preserve"> item</w:t>
            </w:r>
          </w:p>
        </w:tc>
        <w:tc>
          <w:tcPr>
            <w:tcW w:w="525" w:type="pct"/>
            <w:tcBorders>
              <w:left w:val="nil"/>
              <w:bottom w:val="nil"/>
              <w:right w:val="single" w:sz="8" w:space="0" w:color="0093D0"/>
            </w:tcBorders>
            <w:shd w:val="clear" w:color="auto" w:fill="0093D0"/>
            <w:noWrap/>
            <w:vAlign w:val="center"/>
          </w:tcPr>
          <w:p w:rsidR="00C0594D" w:rsidRPr="00C0594D" w:rsidRDefault="00C0594D" w:rsidP="00AE39F0">
            <w:pPr>
              <w:spacing w:after="0" w:line="240" w:lineRule="auto"/>
              <w:jc w:val="right"/>
              <w:rPr>
                <w:b/>
                <w:color w:val="FFFFFF" w:themeColor="background1"/>
                <w:sz w:val="16"/>
                <w:szCs w:val="16"/>
              </w:rPr>
            </w:pPr>
            <w:r w:rsidRPr="00C0594D">
              <w:rPr>
                <w:b/>
                <w:color w:val="FFFFFF" w:themeColor="background1"/>
                <w:sz w:val="16"/>
                <w:szCs w:val="16"/>
              </w:rPr>
              <w:t xml:space="preserve"> ACT </w:t>
            </w:r>
          </w:p>
        </w:tc>
        <w:tc>
          <w:tcPr>
            <w:tcW w:w="526" w:type="pct"/>
            <w:tcBorders>
              <w:left w:val="single" w:sz="8" w:space="0" w:color="0093D0"/>
              <w:bottom w:val="nil"/>
              <w:right w:val="single" w:sz="8" w:space="0" w:color="0093D0"/>
            </w:tcBorders>
            <w:shd w:val="clear" w:color="auto" w:fill="0093D0"/>
            <w:noWrap/>
            <w:vAlign w:val="center"/>
          </w:tcPr>
          <w:p w:rsidR="00C0594D" w:rsidRPr="00C0594D" w:rsidRDefault="00C0594D" w:rsidP="00AE39F0">
            <w:pPr>
              <w:spacing w:after="0" w:line="240" w:lineRule="auto"/>
              <w:jc w:val="right"/>
              <w:rPr>
                <w:b/>
                <w:color w:val="FFFFFF" w:themeColor="background1"/>
                <w:sz w:val="16"/>
                <w:szCs w:val="16"/>
              </w:rPr>
            </w:pPr>
            <w:r w:rsidRPr="00C0594D">
              <w:rPr>
                <w:b/>
                <w:color w:val="FFFFFF" w:themeColor="background1"/>
                <w:sz w:val="16"/>
                <w:szCs w:val="16"/>
              </w:rPr>
              <w:t xml:space="preserve"> NSW </w:t>
            </w:r>
          </w:p>
        </w:tc>
        <w:tc>
          <w:tcPr>
            <w:tcW w:w="526" w:type="pct"/>
            <w:tcBorders>
              <w:left w:val="single" w:sz="8" w:space="0" w:color="0093D0"/>
              <w:bottom w:val="nil"/>
              <w:right w:val="single" w:sz="8" w:space="0" w:color="0093D0"/>
            </w:tcBorders>
            <w:shd w:val="clear" w:color="auto" w:fill="0093D0"/>
            <w:noWrap/>
            <w:vAlign w:val="center"/>
          </w:tcPr>
          <w:p w:rsidR="00C0594D" w:rsidRPr="00C0594D" w:rsidRDefault="00C0594D" w:rsidP="00AE39F0">
            <w:pPr>
              <w:spacing w:after="0" w:line="240" w:lineRule="auto"/>
              <w:jc w:val="right"/>
              <w:rPr>
                <w:b/>
                <w:color w:val="FFFFFF" w:themeColor="background1"/>
                <w:sz w:val="16"/>
                <w:szCs w:val="16"/>
              </w:rPr>
            </w:pPr>
            <w:r w:rsidRPr="00C0594D">
              <w:rPr>
                <w:b/>
                <w:color w:val="FFFFFF" w:themeColor="background1"/>
                <w:sz w:val="16"/>
                <w:szCs w:val="16"/>
              </w:rPr>
              <w:t xml:space="preserve"> NT </w:t>
            </w:r>
          </w:p>
        </w:tc>
        <w:tc>
          <w:tcPr>
            <w:tcW w:w="526" w:type="pct"/>
            <w:tcBorders>
              <w:left w:val="single" w:sz="8" w:space="0" w:color="0093D0"/>
              <w:bottom w:val="nil"/>
              <w:right w:val="single" w:sz="8" w:space="0" w:color="0093D0"/>
            </w:tcBorders>
            <w:shd w:val="clear" w:color="auto" w:fill="0093D0"/>
            <w:noWrap/>
            <w:vAlign w:val="center"/>
          </w:tcPr>
          <w:p w:rsidR="00C0594D" w:rsidRPr="00C0594D" w:rsidRDefault="00C0594D" w:rsidP="00AE39F0">
            <w:pPr>
              <w:spacing w:after="0" w:line="240" w:lineRule="auto"/>
              <w:jc w:val="right"/>
              <w:rPr>
                <w:b/>
                <w:color w:val="FFFFFF" w:themeColor="background1"/>
                <w:sz w:val="16"/>
                <w:szCs w:val="16"/>
              </w:rPr>
            </w:pPr>
            <w:r w:rsidRPr="00C0594D">
              <w:rPr>
                <w:b/>
                <w:color w:val="FFFFFF" w:themeColor="background1"/>
                <w:sz w:val="16"/>
                <w:szCs w:val="16"/>
              </w:rPr>
              <w:t xml:space="preserve"> Qld </w:t>
            </w:r>
          </w:p>
        </w:tc>
        <w:tc>
          <w:tcPr>
            <w:tcW w:w="525" w:type="pct"/>
            <w:tcBorders>
              <w:left w:val="single" w:sz="8" w:space="0" w:color="0093D0"/>
              <w:bottom w:val="nil"/>
              <w:right w:val="single" w:sz="8" w:space="0" w:color="0093D0"/>
            </w:tcBorders>
            <w:shd w:val="clear" w:color="auto" w:fill="0093D0"/>
            <w:noWrap/>
            <w:vAlign w:val="center"/>
          </w:tcPr>
          <w:p w:rsidR="00C0594D" w:rsidRPr="00C0594D" w:rsidRDefault="00C0594D" w:rsidP="00AE39F0">
            <w:pPr>
              <w:spacing w:after="0" w:line="240" w:lineRule="auto"/>
              <w:jc w:val="right"/>
              <w:rPr>
                <w:b/>
                <w:color w:val="FFFFFF" w:themeColor="background1"/>
                <w:sz w:val="16"/>
                <w:szCs w:val="16"/>
              </w:rPr>
            </w:pPr>
            <w:r w:rsidRPr="00C0594D">
              <w:rPr>
                <w:b/>
                <w:color w:val="FFFFFF" w:themeColor="background1"/>
                <w:sz w:val="16"/>
                <w:szCs w:val="16"/>
              </w:rPr>
              <w:t xml:space="preserve"> SA </w:t>
            </w:r>
          </w:p>
        </w:tc>
        <w:tc>
          <w:tcPr>
            <w:tcW w:w="526" w:type="pct"/>
            <w:tcBorders>
              <w:left w:val="single" w:sz="8" w:space="0" w:color="0093D0"/>
              <w:bottom w:val="nil"/>
              <w:right w:val="single" w:sz="8" w:space="0" w:color="0093D0"/>
            </w:tcBorders>
            <w:shd w:val="clear" w:color="auto" w:fill="0093D0"/>
            <w:noWrap/>
            <w:vAlign w:val="center"/>
          </w:tcPr>
          <w:p w:rsidR="00C0594D" w:rsidRPr="00C0594D" w:rsidRDefault="00C0594D" w:rsidP="00AE39F0">
            <w:pPr>
              <w:spacing w:after="0" w:line="240" w:lineRule="auto"/>
              <w:jc w:val="right"/>
              <w:rPr>
                <w:b/>
                <w:color w:val="FFFFFF" w:themeColor="background1"/>
                <w:sz w:val="16"/>
                <w:szCs w:val="16"/>
              </w:rPr>
            </w:pPr>
            <w:r w:rsidRPr="00C0594D">
              <w:rPr>
                <w:b/>
                <w:color w:val="FFFFFF" w:themeColor="background1"/>
                <w:sz w:val="16"/>
                <w:szCs w:val="16"/>
              </w:rPr>
              <w:t xml:space="preserve"> Tas </w:t>
            </w:r>
          </w:p>
        </w:tc>
        <w:tc>
          <w:tcPr>
            <w:tcW w:w="526" w:type="pct"/>
            <w:tcBorders>
              <w:left w:val="single" w:sz="8" w:space="0" w:color="0093D0"/>
              <w:bottom w:val="nil"/>
              <w:right w:val="single" w:sz="8" w:space="0" w:color="0093D0"/>
            </w:tcBorders>
            <w:shd w:val="clear" w:color="auto" w:fill="0093D0"/>
            <w:noWrap/>
            <w:vAlign w:val="center"/>
          </w:tcPr>
          <w:p w:rsidR="00C0594D" w:rsidRPr="00C0594D" w:rsidRDefault="00C0594D" w:rsidP="00AE39F0">
            <w:pPr>
              <w:spacing w:after="0" w:line="240" w:lineRule="auto"/>
              <w:jc w:val="right"/>
              <w:rPr>
                <w:b/>
                <w:color w:val="FFFFFF" w:themeColor="background1"/>
                <w:sz w:val="16"/>
                <w:szCs w:val="16"/>
              </w:rPr>
            </w:pPr>
            <w:r w:rsidRPr="00C0594D">
              <w:rPr>
                <w:b/>
                <w:color w:val="FFFFFF" w:themeColor="background1"/>
                <w:sz w:val="16"/>
                <w:szCs w:val="16"/>
              </w:rPr>
              <w:t xml:space="preserve"> Vic </w:t>
            </w:r>
          </w:p>
        </w:tc>
        <w:tc>
          <w:tcPr>
            <w:tcW w:w="526" w:type="pct"/>
            <w:tcBorders>
              <w:left w:val="single" w:sz="8" w:space="0" w:color="0093D0"/>
              <w:bottom w:val="nil"/>
            </w:tcBorders>
            <w:shd w:val="clear" w:color="auto" w:fill="0093D0"/>
            <w:noWrap/>
            <w:vAlign w:val="center"/>
          </w:tcPr>
          <w:p w:rsidR="00C0594D" w:rsidRPr="00C0594D" w:rsidRDefault="00C0594D" w:rsidP="00AE39F0">
            <w:pPr>
              <w:spacing w:after="0" w:line="240" w:lineRule="auto"/>
              <w:jc w:val="right"/>
              <w:rPr>
                <w:b/>
                <w:color w:val="FFFFFF" w:themeColor="background1"/>
                <w:sz w:val="16"/>
                <w:szCs w:val="16"/>
              </w:rPr>
            </w:pPr>
            <w:r w:rsidRPr="00C0594D">
              <w:rPr>
                <w:b/>
                <w:color w:val="FFFFFF" w:themeColor="background1"/>
                <w:sz w:val="16"/>
                <w:szCs w:val="16"/>
              </w:rPr>
              <w:t xml:space="preserve"> WA </w:t>
            </w:r>
          </w:p>
        </w:tc>
      </w:tr>
      <w:tr w:rsidR="00C0594D" w:rsidRPr="00C0594D" w:rsidTr="00AE39F0">
        <w:trPr>
          <w:trHeight w:val="300"/>
        </w:trPr>
        <w:tc>
          <w:tcPr>
            <w:tcW w:w="795" w:type="pct"/>
            <w:tcBorders>
              <w:bottom w:val="dotted" w:sz="4" w:space="0" w:color="0093D0"/>
              <w:right w:val="single" w:sz="8" w:space="0" w:color="0093D0"/>
            </w:tcBorders>
            <w:shd w:val="clear" w:color="000000" w:fill="FFFFFF"/>
            <w:noWrap/>
            <w:vAlign w:val="center"/>
            <w:hideMark/>
          </w:tcPr>
          <w:p w:rsidR="00C0594D" w:rsidRPr="00DA3820" w:rsidRDefault="00D57E50" w:rsidP="00C0594D">
            <w:pPr>
              <w:spacing w:after="0" w:line="240" w:lineRule="auto"/>
              <w:rPr>
                <w:rFonts w:ascii="Calibri" w:eastAsia="Times New Roman" w:hAnsi="Calibri" w:cs="Times New Roman"/>
                <w:bCs/>
                <w:color w:val="000000"/>
                <w:sz w:val="16"/>
                <w:szCs w:val="16"/>
                <w:lang w:eastAsia="en-AU"/>
              </w:rPr>
            </w:pPr>
            <w:r>
              <w:rPr>
                <w:rFonts w:ascii="Calibri" w:eastAsia="Times New Roman" w:hAnsi="Calibri" w:cs="Times New Roman"/>
                <w:bCs/>
                <w:color w:val="000000"/>
                <w:sz w:val="16"/>
                <w:szCs w:val="16"/>
                <w:lang w:eastAsia="en-AU"/>
              </w:rPr>
              <w:t>A</w:t>
            </w:r>
            <w:r w:rsidR="00C0594D" w:rsidRPr="00DA3820">
              <w:rPr>
                <w:rFonts w:ascii="Calibri" w:eastAsia="Times New Roman" w:hAnsi="Calibri" w:cs="Times New Roman"/>
                <w:bCs/>
                <w:color w:val="000000"/>
                <w:sz w:val="16"/>
                <w:szCs w:val="16"/>
                <w:lang w:eastAsia="en-AU"/>
              </w:rPr>
              <w:t>dministering the controlled waste NEPM</w:t>
            </w:r>
          </w:p>
        </w:tc>
        <w:tc>
          <w:tcPr>
            <w:tcW w:w="525" w:type="pct"/>
            <w:tcBorders>
              <w:left w:val="single" w:sz="8"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sz w:val="16"/>
                <w:szCs w:val="16"/>
              </w:rPr>
            </w:pPr>
            <w:r>
              <w:rPr>
                <w:sz w:val="16"/>
                <w:szCs w:val="16"/>
              </w:rPr>
              <w:t xml:space="preserve"> </w:t>
            </w:r>
            <w:r w:rsidRPr="00C0594D">
              <w:rPr>
                <w:sz w:val="16"/>
                <w:szCs w:val="16"/>
              </w:rPr>
              <w:t xml:space="preserve">540 </w:t>
            </w:r>
          </w:p>
        </w:tc>
        <w:tc>
          <w:tcPr>
            <w:tcW w:w="526" w:type="pct"/>
            <w:tcBorders>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15,000 </w:t>
            </w:r>
          </w:p>
        </w:tc>
        <w:tc>
          <w:tcPr>
            <w:tcW w:w="526" w:type="pct"/>
            <w:tcBorders>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339 </w:t>
            </w:r>
          </w:p>
        </w:tc>
        <w:tc>
          <w:tcPr>
            <w:tcW w:w="526" w:type="pct"/>
            <w:tcBorders>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6,573 </w:t>
            </w:r>
          </w:p>
        </w:tc>
        <w:tc>
          <w:tcPr>
            <w:tcW w:w="525" w:type="pct"/>
            <w:tcBorders>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2,250 </w:t>
            </w:r>
          </w:p>
        </w:tc>
        <w:tc>
          <w:tcPr>
            <w:tcW w:w="526" w:type="pct"/>
            <w:tcBorders>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737 </w:t>
            </w:r>
          </w:p>
        </w:tc>
        <w:tc>
          <w:tcPr>
            <w:tcW w:w="526" w:type="pct"/>
            <w:tcBorders>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3,750 </w:t>
            </w:r>
          </w:p>
        </w:tc>
        <w:tc>
          <w:tcPr>
            <w:tcW w:w="526" w:type="pct"/>
            <w:tcBorders>
              <w:left w:val="dotted" w:sz="4" w:space="0" w:color="0093D0"/>
              <w:bottom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3,508 </w:t>
            </w:r>
          </w:p>
        </w:tc>
      </w:tr>
      <w:tr w:rsidR="00C0594D" w:rsidRPr="00C0594D" w:rsidTr="00AE39F0">
        <w:trPr>
          <w:trHeight w:val="300"/>
        </w:trPr>
        <w:tc>
          <w:tcPr>
            <w:tcW w:w="795" w:type="pct"/>
            <w:tcBorders>
              <w:top w:val="dotted" w:sz="4" w:space="0" w:color="0093D0"/>
              <w:bottom w:val="dotted" w:sz="4" w:space="0" w:color="0093D0"/>
              <w:right w:val="single" w:sz="8" w:space="0" w:color="0093D0"/>
            </w:tcBorders>
            <w:shd w:val="clear" w:color="000000" w:fill="FFFFFF"/>
            <w:noWrap/>
            <w:vAlign w:val="center"/>
            <w:hideMark/>
          </w:tcPr>
          <w:p w:rsidR="00C0594D" w:rsidRPr="00DA3820" w:rsidRDefault="00D57E50" w:rsidP="00C0594D">
            <w:pPr>
              <w:spacing w:after="0" w:line="240" w:lineRule="auto"/>
              <w:rPr>
                <w:rFonts w:ascii="Calibri" w:eastAsia="Times New Roman" w:hAnsi="Calibri" w:cs="Times New Roman"/>
                <w:bCs/>
                <w:color w:val="000000"/>
                <w:sz w:val="16"/>
                <w:szCs w:val="16"/>
                <w:lang w:eastAsia="en-AU"/>
              </w:rPr>
            </w:pPr>
            <w:r>
              <w:rPr>
                <w:rFonts w:ascii="Calibri" w:eastAsia="Times New Roman" w:hAnsi="Calibri" w:cs="Times New Roman"/>
                <w:bCs/>
                <w:color w:val="000000"/>
                <w:sz w:val="16"/>
                <w:szCs w:val="16"/>
                <w:lang w:eastAsia="en-AU"/>
              </w:rPr>
              <w:t>M</w:t>
            </w:r>
            <w:r w:rsidR="00C0594D" w:rsidRPr="00DA3820">
              <w:rPr>
                <w:rFonts w:ascii="Calibri" w:eastAsia="Times New Roman" w:hAnsi="Calibri" w:cs="Times New Roman"/>
                <w:bCs/>
                <w:color w:val="000000"/>
                <w:sz w:val="16"/>
                <w:szCs w:val="16"/>
                <w:lang w:eastAsia="en-AU"/>
              </w:rPr>
              <w:t>onitoring and reporting for the NEPM</w:t>
            </w:r>
          </w:p>
        </w:tc>
        <w:tc>
          <w:tcPr>
            <w:tcW w:w="525" w:type="pct"/>
            <w:tcBorders>
              <w:top w:val="dotted" w:sz="4" w:space="0" w:color="0093D0"/>
              <w:left w:val="single" w:sz="8"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sz w:val="16"/>
                <w:szCs w:val="16"/>
              </w:rPr>
            </w:pPr>
            <w:r w:rsidRPr="00C0594D">
              <w:rPr>
                <w:sz w:val="16"/>
                <w:szCs w:val="16"/>
              </w:rPr>
              <w:t xml:space="preserve">296 </w:t>
            </w:r>
          </w:p>
        </w:tc>
        <w:tc>
          <w:tcPr>
            <w:tcW w:w="526" w:type="pct"/>
            <w:tcBorders>
              <w:top w:val="dotted" w:sz="4" w:space="0" w:color="0093D0"/>
              <w:left w:val="dotted" w:sz="4" w:space="0" w:color="0093D0"/>
              <w:bottom w:val="dotted" w:sz="4" w:space="0" w:color="0093D0"/>
              <w:right w:val="dotted" w:sz="4" w:space="0" w:color="0093D0"/>
            </w:tcBorders>
            <w:shd w:val="clear" w:color="000000" w:fill="FFFFFF"/>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10,000 </w:t>
            </w:r>
          </w:p>
        </w:tc>
        <w:tc>
          <w:tcPr>
            <w:tcW w:w="526" w:type="pct"/>
            <w:tcBorders>
              <w:top w:val="dotted" w:sz="4" w:space="0" w:color="0093D0"/>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186 </w:t>
            </w:r>
          </w:p>
        </w:tc>
        <w:tc>
          <w:tcPr>
            <w:tcW w:w="526" w:type="pct"/>
            <w:tcBorders>
              <w:top w:val="dotted" w:sz="4" w:space="0" w:color="0093D0"/>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3,599 </w:t>
            </w:r>
          </w:p>
        </w:tc>
        <w:tc>
          <w:tcPr>
            <w:tcW w:w="525" w:type="pct"/>
            <w:tcBorders>
              <w:top w:val="dotted" w:sz="4" w:space="0" w:color="0093D0"/>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1,500 </w:t>
            </w:r>
          </w:p>
        </w:tc>
        <w:tc>
          <w:tcPr>
            <w:tcW w:w="526" w:type="pct"/>
            <w:tcBorders>
              <w:top w:val="dotted" w:sz="4" w:space="0" w:color="0093D0"/>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403 </w:t>
            </w:r>
          </w:p>
        </w:tc>
        <w:tc>
          <w:tcPr>
            <w:tcW w:w="526" w:type="pct"/>
            <w:tcBorders>
              <w:top w:val="dotted" w:sz="4" w:space="0" w:color="0093D0"/>
              <w:left w:val="dotted" w:sz="4" w:space="0" w:color="0093D0"/>
              <w:bottom w:val="dotted" w:sz="4" w:space="0" w:color="0093D0"/>
              <w:right w:val="dotted" w:sz="4" w:space="0" w:color="0093D0"/>
            </w:tcBorders>
            <w:shd w:val="clear" w:color="000000" w:fill="FFFFFF"/>
            <w:vAlign w:val="center"/>
          </w:tcPr>
          <w:p w:rsidR="00C0594D" w:rsidRPr="00C0594D" w:rsidRDefault="005155EA" w:rsidP="00AE39F0">
            <w:pPr>
              <w:spacing w:after="0" w:line="240" w:lineRule="auto"/>
              <w:jc w:val="right"/>
              <w:rPr>
                <w:rFonts w:ascii="Calibri" w:hAnsi="Calibri"/>
                <w:color w:val="000000"/>
                <w:sz w:val="16"/>
                <w:szCs w:val="16"/>
              </w:rPr>
            </w:pPr>
            <w:r>
              <w:rPr>
                <w:rFonts w:ascii="Calibri" w:hAnsi="Calibri"/>
                <w:color w:val="000000"/>
                <w:sz w:val="16"/>
                <w:szCs w:val="16"/>
              </w:rPr>
              <w:t>-</w:t>
            </w:r>
            <w:r w:rsidR="00C0594D" w:rsidRPr="00C0594D">
              <w:rPr>
                <w:rFonts w:ascii="Calibri" w:hAnsi="Calibri"/>
                <w:color w:val="000000"/>
                <w:sz w:val="16"/>
                <w:szCs w:val="16"/>
              </w:rPr>
              <w:t> </w:t>
            </w:r>
          </w:p>
        </w:tc>
        <w:tc>
          <w:tcPr>
            <w:tcW w:w="526" w:type="pct"/>
            <w:tcBorders>
              <w:top w:val="dotted" w:sz="4" w:space="0" w:color="0093D0"/>
              <w:left w:val="dotted" w:sz="4" w:space="0" w:color="0093D0"/>
              <w:bottom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1,921 </w:t>
            </w:r>
          </w:p>
        </w:tc>
      </w:tr>
      <w:tr w:rsidR="00C0594D" w:rsidRPr="00C0594D" w:rsidTr="00AE39F0">
        <w:trPr>
          <w:trHeight w:val="300"/>
        </w:trPr>
        <w:tc>
          <w:tcPr>
            <w:tcW w:w="795" w:type="pct"/>
            <w:tcBorders>
              <w:top w:val="dotted" w:sz="4" w:space="0" w:color="0093D0"/>
              <w:bottom w:val="dotted" w:sz="4" w:space="0" w:color="0093D0"/>
              <w:right w:val="single" w:sz="8" w:space="0" w:color="0093D0"/>
            </w:tcBorders>
            <w:shd w:val="clear" w:color="000000" w:fill="FFFFFF"/>
            <w:noWrap/>
            <w:vAlign w:val="center"/>
            <w:hideMark/>
          </w:tcPr>
          <w:p w:rsidR="00C0594D" w:rsidRPr="00DA3820" w:rsidRDefault="00C0594D" w:rsidP="00C0594D">
            <w:pPr>
              <w:spacing w:after="0" w:line="240" w:lineRule="auto"/>
              <w:rPr>
                <w:rFonts w:ascii="Calibri" w:eastAsia="Times New Roman" w:hAnsi="Calibri" w:cs="Times New Roman"/>
                <w:bCs/>
                <w:color w:val="000000"/>
                <w:sz w:val="16"/>
                <w:szCs w:val="16"/>
                <w:lang w:eastAsia="en-AU"/>
              </w:rPr>
            </w:pPr>
            <w:r w:rsidRPr="00DA3820">
              <w:rPr>
                <w:rFonts w:ascii="Calibri" w:eastAsia="Times New Roman" w:hAnsi="Calibri" w:cs="Times New Roman"/>
                <w:bCs/>
                <w:color w:val="000000"/>
                <w:sz w:val="16"/>
                <w:szCs w:val="16"/>
                <w:lang w:eastAsia="en-AU"/>
              </w:rPr>
              <w:t>Basel monitoring and reporting</w:t>
            </w:r>
          </w:p>
        </w:tc>
        <w:tc>
          <w:tcPr>
            <w:tcW w:w="525" w:type="pct"/>
            <w:tcBorders>
              <w:top w:val="dotted" w:sz="4" w:space="0" w:color="0093D0"/>
              <w:left w:val="single" w:sz="8"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sz w:val="16"/>
                <w:szCs w:val="16"/>
              </w:rPr>
            </w:pPr>
            <w:r w:rsidRPr="00C0594D">
              <w:rPr>
                <w:sz w:val="16"/>
                <w:szCs w:val="16"/>
              </w:rPr>
              <w:t xml:space="preserve"> 747 </w:t>
            </w:r>
          </w:p>
        </w:tc>
        <w:tc>
          <w:tcPr>
            <w:tcW w:w="526" w:type="pct"/>
            <w:tcBorders>
              <w:top w:val="dotted" w:sz="4" w:space="0" w:color="0093D0"/>
              <w:left w:val="dotted" w:sz="4" w:space="0" w:color="0093D0"/>
              <w:bottom w:val="dotted" w:sz="4" w:space="0" w:color="0093D0"/>
              <w:right w:val="dotted" w:sz="4" w:space="0" w:color="0093D0"/>
            </w:tcBorders>
            <w:shd w:val="clear" w:color="000000" w:fill="FFFFFF"/>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25,000 </w:t>
            </w:r>
          </w:p>
        </w:tc>
        <w:tc>
          <w:tcPr>
            <w:tcW w:w="526" w:type="pct"/>
            <w:tcBorders>
              <w:top w:val="dotted" w:sz="4" w:space="0" w:color="0093D0"/>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469 </w:t>
            </w:r>
          </w:p>
        </w:tc>
        <w:tc>
          <w:tcPr>
            <w:tcW w:w="526" w:type="pct"/>
            <w:tcBorders>
              <w:top w:val="dotted" w:sz="4" w:space="0" w:color="0093D0"/>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9,092 </w:t>
            </w:r>
          </w:p>
        </w:tc>
        <w:tc>
          <w:tcPr>
            <w:tcW w:w="525" w:type="pct"/>
            <w:tcBorders>
              <w:top w:val="dotted" w:sz="4" w:space="0" w:color="0093D0"/>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3,749 </w:t>
            </w:r>
          </w:p>
        </w:tc>
        <w:tc>
          <w:tcPr>
            <w:tcW w:w="526" w:type="pct"/>
            <w:tcBorders>
              <w:top w:val="dotted" w:sz="4" w:space="0" w:color="0093D0"/>
              <w:left w:val="dotted" w:sz="4" w:space="0" w:color="0093D0"/>
              <w:bottom w:val="dotted" w:sz="4"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1,019 </w:t>
            </w:r>
          </w:p>
        </w:tc>
        <w:tc>
          <w:tcPr>
            <w:tcW w:w="526" w:type="pct"/>
            <w:tcBorders>
              <w:top w:val="dotted" w:sz="4" w:space="0" w:color="0093D0"/>
              <w:left w:val="dotted" w:sz="4" w:space="0" w:color="0093D0"/>
              <w:bottom w:val="dotted" w:sz="4" w:space="0" w:color="0093D0"/>
              <w:right w:val="dotted" w:sz="4" w:space="0" w:color="0093D0"/>
            </w:tcBorders>
            <w:shd w:val="clear" w:color="000000" w:fill="FFFFFF"/>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300 </w:t>
            </w:r>
          </w:p>
        </w:tc>
        <w:tc>
          <w:tcPr>
            <w:tcW w:w="526" w:type="pct"/>
            <w:tcBorders>
              <w:top w:val="dotted" w:sz="4" w:space="0" w:color="0093D0"/>
              <w:left w:val="dotted" w:sz="4" w:space="0" w:color="0093D0"/>
              <w:bottom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4,852 </w:t>
            </w:r>
          </w:p>
        </w:tc>
      </w:tr>
      <w:tr w:rsidR="00C0594D" w:rsidRPr="00C0594D" w:rsidTr="00AE39F0">
        <w:trPr>
          <w:trHeight w:val="300"/>
        </w:trPr>
        <w:tc>
          <w:tcPr>
            <w:tcW w:w="795" w:type="pct"/>
            <w:tcBorders>
              <w:top w:val="dotted" w:sz="4" w:space="0" w:color="0093D0"/>
              <w:bottom w:val="single" w:sz="8" w:space="0" w:color="0093D0"/>
              <w:right w:val="single" w:sz="8" w:space="0" w:color="0093D0"/>
            </w:tcBorders>
            <w:shd w:val="clear" w:color="000000" w:fill="FFFFFF"/>
            <w:noWrap/>
            <w:vAlign w:val="center"/>
          </w:tcPr>
          <w:p w:rsidR="00C0594D" w:rsidRPr="00C0594D" w:rsidRDefault="00C0594D" w:rsidP="00C0594D">
            <w:pPr>
              <w:spacing w:after="0" w:line="240" w:lineRule="auto"/>
              <w:rPr>
                <w:rFonts w:ascii="Calibri" w:eastAsia="Times New Roman" w:hAnsi="Calibri" w:cs="Times New Roman"/>
                <w:bCs/>
                <w:color w:val="000000"/>
                <w:sz w:val="16"/>
                <w:szCs w:val="16"/>
                <w:lang w:eastAsia="en-AU"/>
              </w:rPr>
            </w:pPr>
            <w:r w:rsidRPr="00DA3820">
              <w:rPr>
                <w:rFonts w:ascii="Calibri" w:eastAsia="Times New Roman" w:hAnsi="Calibri" w:cs="Times New Roman"/>
                <w:bCs/>
                <w:color w:val="000000"/>
                <w:sz w:val="16"/>
                <w:szCs w:val="16"/>
                <w:lang w:eastAsia="en-AU"/>
              </w:rPr>
              <w:t>Jurisdictional specific administration</w:t>
            </w:r>
          </w:p>
        </w:tc>
        <w:tc>
          <w:tcPr>
            <w:tcW w:w="525" w:type="pct"/>
            <w:tcBorders>
              <w:top w:val="dotted" w:sz="4" w:space="0" w:color="0093D0"/>
              <w:left w:val="single" w:sz="8" w:space="0" w:color="0093D0"/>
              <w:bottom w:val="single" w:sz="8"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sz w:val="16"/>
                <w:szCs w:val="16"/>
              </w:rPr>
            </w:pPr>
            <w:r w:rsidRPr="00C0594D">
              <w:rPr>
                <w:sz w:val="16"/>
                <w:szCs w:val="16"/>
              </w:rPr>
              <w:t>18,681</w:t>
            </w:r>
          </w:p>
        </w:tc>
        <w:tc>
          <w:tcPr>
            <w:tcW w:w="526" w:type="pct"/>
            <w:tcBorders>
              <w:top w:val="dotted" w:sz="4" w:space="0" w:color="0093D0"/>
              <w:left w:val="dotted" w:sz="4" w:space="0" w:color="0093D0"/>
              <w:bottom w:val="single" w:sz="8" w:space="0" w:color="0093D0"/>
              <w:right w:val="dotted" w:sz="4" w:space="0" w:color="0093D0"/>
            </w:tcBorders>
            <w:shd w:val="clear" w:color="000000" w:fill="FFFFFF"/>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450,000 </w:t>
            </w:r>
          </w:p>
        </w:tc>
        <w:tc>
          <w:tcPr>
            <w:tcW w:w="526" w:type="pct"/>
            <w:tcBorders>
              <w:top w:val="dotted" w:sz="4" w:space="0" w:color="0093D0"/>
              <w:left w:val="dotted" w:sz="4" w:space="0" w:color="0093D0"/>
              <w:bottom w:val="single" w:sz="8"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11,745 </w:t>
            </w:r>
          </w:p>
        </w:tc>
        <w:tc>
          <w:tcPr>
            <w:tcW w:w="526" w:type="pct"/>
            <w:tcBorders>
              <w:top w:val="dotted" w:sz="4" w:space="0" w:color="0093D0"/>
              <w:left w:val="dotted" w:sz="4" w:space="0" w:color="0093D0"/>
              <w:bottom w:val="single" w:sz="8"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227,457 </w:t>
            </w:r>
          </w:p>
        </w:tc>
        <w:tc>
          <w:tcPr>
            <w:tcW w:w="525" w:type="pct"/>
            <w:tcBorders>
              <w:top w:val="dotted" w:sz="4" w:space="0" w:color="0093D0"/>
              <w:left w:val="dotted" w:sz="4" w:space="0" w:color="0093D0"/>
              <w:bottom w:val="single" w:sz="8"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67,490 </w:t>
            </w:r>
          </w:p>
        </w:tc>
        <w:tc>
          <w:tcPr>
            <w:tcW w:w="526" w:type="pct"/>
            <w:tcBorders>
              <w:top w:val="dotted" w:sz="4" w:space="0" w:color="0093D0"/>
              <w:left w:val="dotted" w:sz="4" w:space="0" w:color="0093D0"/>
              <w:bottom w:val="single" w:sz="8" w:space="0" w:color="0093D0"/>
              <w:right w:val="dotted" w:sz="4"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25,498 </w:t>
            </w:r>
          </w:p>
        </w:tc>
        <w:tc>
          <w:tcPr>
            <w:tcW w:w="526" w:type="pct"/>
            <w:tcBorders>
              <w:top w:val="dotted" w:sz="4" w:space="0" w:color="0093D0"/>
              <w:left w:val="dotted" w:sz="4" w:space="0" w:color="0093D0"/>
              <w:bottom w:val="single" w:sz="8" w:space="0" w:color="0093D0"/>
              <w:right w:val="dotted" w:sz="4" w:space="0" w:color="0093D0"/>
            </w:tcBorders>
            <w:shd w:val="clear" w:color="000000" w:fill="FFFFFF"/>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 209,250 </w:t>
            </w:r>
          </w:p>
        </w:tc>
        <w:tc>
          <w:tcPr>
            <w:tcW w:w="526" w:type="pct"/>
            <w:tcBorders>
              <w:top w:val="dotted" w:sz="4" w:space="0" w:color="0093D0"/>
              <w:left w:val="dotted" w:sz="4" w:space="0" w:color="0093D0"/>
              <w:bottom w:val="single" w:sz="8" w:space="0" w:color="0093D0"/>
            </w:tcBorders>
            <w:shd w:val="clear" w:color="000000" w:fill="FFFFFF"/>
            <w:noWrap/>
            <w:vAlign w:val="center"/>
          </w:tcPr>
          <w:p w:rsidR="00C0594D" w:rsidRPr="00C0594D" w:rsidRDefault="00C0594D" w:rsidP="00AE39F0">
            <w:pPr>
              <w:spacing w:after="0" w:line="240" w:lineRule="auto"/>
              <w:jc w:val="right"/>
              <w:rPr>
                <w:rFonts w:ascii="Calibri" w:hAnsi="Calibri"/>
                <w:color w:val="000000"/>
                <w:sz w:val="16"/>
                <w:szCs w:val="16"/>
              </w:rPr>
            </w:pPr>
            <w:r w:rsidRPr="00C0594D">
              <w:rPr>
                <w:rFonts w:ascii="Calibri" w:hAnsi="Calibri"/>
                <w:color w:val="000000"/>
                <w:sz w:val="16"/>
                <w:szCs w:val="16"/>
              </w:rPr>
              <w:t xml:space="preserve">121,391 </w:t>
            </w:r>
          </w:p>
        </w:tc>
      </w:tr>
      <w:tr w:rsidR="00C0594D" w:rsidRPr="00C0594D" w:rsidTr="00AE39F0">
        <w:trPr>
          <w:trHeight w:val="300"/>
        </w:trPr>
        <w:tc>
          <w:tcPr>
            <w:tcW w:w="795" w:type="pct"/>
            <w:tcBorders>
              <w:top w:val="single" w:sz="8" w:space="0" w:color="0093D0"/>
              <w:bottom w:val="single" w:sz="8" w:space="0" w:color="0093D0"/>
              <w:right w:val="single" w:sz="8" w:space="0" w:color="0093D0"/>
            </w:tcBorders>
            <w:shd w:val="clear" w:color="auto" w:fill="DBE5F1" w:themeFill="accent1" w:themeFillTint="33"/>
            <w:noWrap/>
            <w:vAlign w:val="center"/>
            <w:hideMark/>
          </w:tcPr>
          <w:p w:rsidR="00C0594D" w:rsidRPr="00DA3820" w:rsidRDefault="00C0594D" w:rsidP="00C0594D">
            <w:pPr>
              <w:spacing w:after="0" w:line="240" w:lineRule="auto"/>
              <w:rPr>
                <w:rFonts w:ascii="Calibri" w:eastAsia="Times New Roman" w:hAnsi="Calibri" w:cs="Times New Roman"/>
                <w:b/>
                <w:bCs/>
                <w:color w:val="000000"/>
                <w:sz w:val="16"/>
                <w:szCs w:val="16"/>
                <w:lang w:eastAsia="en-AU"/>
              </w:rPr>
            </w:pPr>
            <w:r w:rsidRPr="00C0594D">
              <w:rPr>
                <w:rFonts w:ascii="Calibri" w:eastAsia="Times New Roman" w:hAnsi="Calibri" w:cs="Times New Roman"/>
                <w:b/>
                <w:bCs/>
                <w:color w:val="000000"/>
                <w:sz w:val="16"/>
                <w:szCs w:val="16"/>
                <w:lang w:eastAsia="en-AU"/>
              </w:rPr>
              <w:t>Total</w:t>
            </w:r>
          </w:p>
        </w:tc>
        <w:tc>
          <w:tcPr>
            <w:tcW w:w="525" w:type="pct"/>
            <w:tcBorders>
              <w:top w:val="single" w:sz="8" w:space="0" w:color="0093D0"/>
              <w:left w:val="single" w:sz="8" w:space="0" w:color="0093D0"/>
              <w:bottom w:val="single" w:sz="8" w:space="0" w:color="0093D0"/>
              <w:right w:val="dotted" w:sz="4" w:space="0" w:color="0093D0"/>
            </w:tcBorders>
            <w:shd w:val="clear" w:color="auto" w:fill="DBE5F1" w:themeFill="accent1" w:themeFillTint="33"/>
            <w:noWrap/>
            <w:vAlign w:val="center"/>
          </w:tcPr>
          <w:p w:rsidR="00C0594D" w:rsidRPr="00C0594D" w:rsidRDefault="00C0594D" w:rsidP="00AE39F0">
            <w:pPr>
              <w:spacing w:after="0" w:line="240" w:lineRule="auto"/>
              <w:jc w:val="right"/>
              <w:rPr>
                <w:b/>
                <w:sz w:val="16"/>
                <w:szCs w:val="16"/>
              </w:rPr>
            </w:pPr>
            <w:r w:rsidRPr="00C0594D">
              <w:rPr>
                <w:b/>
                <w:sz w:val="16"/>
                <w:szCs w:val="16"/>
              </w:rPr>
              <w:t xml:space="preserve">20,263 </w:t>
            </w:r>
          </w:p>
        </w:tc>
        <w:tc>
          <w:tcPr>
            <w:tcW w:w="526" w:type="pct"/>
            <w:tcBorders>
              <w:top w:val="single" w:sz="8" w:space="0" w:color="0093D0"/>
              <w:left w:val="dotted" w:sz="4" w:space="0" w:color="0093D0"/>
              <w:bottom w:val="single" w:sz="8" w:space="0" w:color="0093D0"/>
              <w:right w:val="dotted" w:sz="4" w:space="0" w:color="0093D0"/>
            </w:tcBorders>
            <w:shd w:val="clear" w:color="auto" w:fill="DBE5F1" w:themeFill="accent1" w:themeFillTint="33"/>
            <w:vAlign w:val="center"/>
          </w:tcPr>
          <w:p w:rsidR="00C0594D" w:rsidRPr="00C0594D" w:rsidRDefault="00AE39F0" w:rsidP="00AE39F0">
            <w:pPr>
              <w:spacing w:after="0" w:line="240" w:lineRule="auto"/>
              <w:jc w:val="right"/>
              <w:rPr>
                <w:rFonts w:ascii="Calibri" w:hAnsi="Calibri"/>
                <w:b/>
                <w:color w:val="000000"/>
                <w:sz w:val="16"/>
                <w:szCs w:val="16"/>
              </w:rPr>
            </w:pPr>
            <w:r>
              <w:rPr>
                <w:rFonts w:ascii="Calibri" w:hAnsi="Calibri"/>
                <w:b/>
                <w:color w:val="000000"/>
                <w:sz w:val="16"/>
                <w:szCs w:val="16"/>
              </w:rPr>
              <w:t xml:space="preserve">    </w:t>
            </w:r>
            <w:r w:rsidR="00C0594D" w:rsidRPr="00C0594D">
              <w:rPr>
                <w:rFonts w:ascii="Calibri" w:hAnsi="Calibri"/>
                <w:b/>
                <w:color w:val="000000"/>
                <w:sz w:val="16"/>
                <w:szCs w:val="16"/>
              </w:rPr>
              <w:t xml:space="preserve">500,000 </w:t>
            </w:r>
          </w:p>
        </w:tc>
        <w:tc>
          <w:tcPr>
            <w:tcW w:w="526" w:type="pct"/>
            <w:tcBorders>
              <w:top w:val="single" w:sz="8" w:space="0" w:color="0093D0"/>
              <w:left w:val="dotted" w:sz="4" w:space="0" w:color="0093D0"/>
              <w:bottom w:val="single" w:sz="8" w:space="0" w:color="0093D0"/>
              <w:right w:val="dotted" w:sz="4" w:space="0" w:color="0093D0"/>
            </w:tcBorders>
            <w:shd w:val="clear" w:color="auto" w:fill="DBE5F1" w:themeFill="accent1" w:themeFillTint="33"/>
            <w:noWrap/>
            <w:vAlign w:val="center"/>
          </w:tcPr>
          <w:p w:rsidR="00C0594D" w:rsidRPr="00C0594D" w:rsidRDefault="00C0594D" w:rsidP="00AE39F0">
            <w:pPr>
              <w:spacing w:after="0" w:line="240" w:lineRule="auto"/>
              <w:jc w:val="right"/>
              <w:rPr>
                <w:rFonts w:ascii="Calibri" w:hAnsi="Calibri"/>
                <w:b/>
                <w:color w:val="000000"/>
                <w:sz w:val="16"/>
                <w:szCs w:val="16"/>
              </w:rPr>
            </w:pPr>
            <w:r w:rsidRPr="00C0594D">
              <w:rPr>
                <w:rFonts w:ascii="Calibri" w:hAnsi="Calibri"/>
                <w:b/>
                <w:color w:val="000000"/>
                <w:sz w:val="16"/>
                <w:szCs w:val="16"/>
              </w:rPr>
              <w:t xml:space="preserve">  12,740 </w:t>
            </w:r>
          </w:p>
        </w:tc>
        <w:tc>
          <w:tcPr>
            <w:tcW w:w="526" w:type="pct"/>
            <w:tcBorders>
              <w:top w:val="single" w:sz="8" w:space="0" w:color="0093D0"/>
              <w:left w:val="dotted" w:sz="4" w:space="0" w:color="0093D0"/>
              <w:bottom w:val="single" w:sz="8" w:space="0" w:color="0093D0"/>
              <w:right w:val="dotted" w:sz="4" w:space="0" w:color="0093D0"/>
            </w:tcBorders>
            <w:shd w:val="clear" w:color="auto" w:fill="DBE5F1" w:themeFill="accent1" w:themeFillTint="33"/>
            <w:noWrap/>
            <w:vAlign w:val="center"/>
          </w:tcPr>
          <w:p w:rsidR="00C0594D" w:rsidRPr="00C0594D" w:rsidRDefault="00C0594D" w:rsidP="00AE39F0">
            <w:pPr>
              <w:spacing w:after="0" w:line="240" w:lineRule="auto"/>
              <w:jc w:val="right"/>
              <w:rPr>
                <w:rFonts w:ascii="Calibri" w:hAnsi="Calibri"/>
                <w:b/>
                <w:color w:val="000000"/>
                <w:sz w:val="16"/>
                <w:szCs w:val="16"/>
              </w:rPr>
            </w:pPr>
            <w:r w:rsidRPr="00C0594D">
              <w:rPr>
                <w:rFonts w:ascii="Calibri" w:hAnsi="Calibri"/>
                <w:b/>
                <w:color w:val="000000"/>
                <w:sz w:val="16"/>
                <w:szCs w:val="16"/>
              </w:rPr>
              <w:t xml:space="preserve"> 246,720 </w:t>
            </w:r>
          </w:p>
        </w:tc>
        <w:tc>
          <w:tcPr>
            <w:tcW w:w="525" w:type="pct"/>
            <w:tcBorders>
              <w:top w:val="single" w:sz="8" w:space="0" w:color="0093D0"/>
              <w:left w:val="dotted" w:sz="4" w:space="0" w:color="0093D0"/>
              <w:bottom w:val="single" w:sz="8" w:space="0" w:color="0093D0"/>
              <w:right w:val="dotted" w:sz="4" w:space="0" w:color="0093D0"/>
            </w:tcBorders>
            <w:shd w:val="clear" w:color="auto" w:fill="DBE5F1" w:themeFill="accent1" w:themeFillTint="33"/>
            <w:noWrap/>
            <w:vAlign w:val="center"/>
          </w:tcPr>
          <w:p w:rsidR="00C0594D" w:rsidRPr="00C0594D" w:rsidRDefault="00C0594D" w:rsidP="00AE39F0">
            <w:pPr>
              <w:spacing w:after="0" w:line="240" w:lineRule="auto"/>
              <w:jc w:val="right"/>
              <w:rPr>
                <w:rFonts w:ascii="Calibri" w:hAnsi="Calibri"/>
                <w:b/>
                <w:color w:val="000000"/>
                <w:sz w:val="16"/>
                <w:szCs w:val="16"/>
              </w:rPr>
            </w:pPr>
            <w:r w:rsidRPr="00C0594D">
              <w:rPr>
                <w:rFonts w:ascii="Calibri" w:hAnsi="Calibri"/>
                <w:b/>
                <w:color w:val="000000"/>
                <w:sz w:val="16"/>
                <w:szCs w:val="16"/>
              </w:rPr>
              <w:t xml:space="preserve">74,989 </w:t>
            </w:r>
          </w:p>
        </w:tc>
        <w:tc>
          <w:tcPr>
            <w:tcW w:w="526" w:type="pct"/>
            <w:tcBorders>
              <w:top w:val="single" w:sz="8" w:space="0" w:color="0093D0"/>
              <w:left w:val="dotted" w:sz="4" w:space="0" w:color="0093D0"/>
              <w:bottom w:val="single" w:sz="8" w:space="0" w:color="0093D0"/>
              <w:right w:val="dotted" w:sz="4" w:space="0" w:color="0093D0"/>
            </w:tcBorders>
            <w:shd w:val="clear" w:color="auto" w:fill="DBE5F1" w:themeFill="accent1" w:themeFillTint="33"/>
            <w:noWrap/>
            <w:vAlign w:val="center"/>
          </w:tcPr>
          <w:p w:rsidR="00C0594D" w:rsidRPr="00C0594D" w:rsidRDefault="00C0594D" w:rsidP="00AE39F0">
            <w:pPr>
              <w:spacing w:after="0" w:line="240" w:lineRule="auto"/>
              <w:jc w:val="right"/>
              <w:rPr>
                <w:rFonts w:ascii="Calibri" w:hAnsi="Calibri"/>
                <w:b/>
                <w:color w:val="000000"/>
                <w:sz w:val="16"/>
                <w:szCs w:val="16"/>
              </w:rPr>
            </w:pPr>
            <w:r w:rsidRPr="00C0594D">
              <w:rPr>
                <w:rFonts w:ascii="Calibri" w:hAnsi="Calibri"/>
                <w:b/>
                <w:color w:val="000000"/>
                <w:sz w:val="16"/>
                <w:szCs w:val="16"/>
              </w:rPr>
              <w:t xml:space="preserve">   27,658 </w:t>
            </w:r>
          </w:p>
        </w:tc>
        <w:tc>
          <w:tcPr>
            <w:tcW w:w="526" w:type="pct"/>
            <w:tcBorders>
              <w:top w:val="single" w:sz="8" w:space="0" w:color="0093D0"/>
              <w:left w:val="dotted" w:sz="4" w:space="0" w:color="0093D0"/>
              <w:bottom w:val="single" w:sz="8" w:space="0" w:color="0093D0"/>
              <w:right w:val="dotted" w:sz="4" w:space="0" w:color="0093D0"/>
            </w:tcBorders>
            <w:shd w:val="clear" w:color="auto" w:fill="DBE5F1" w:themeFill="accent1" w:themeFillTint="33"/>
            <w:vAlign w:val="center"/>
          </w:tcPr>
          <w:p w:rsidR="00C0594D" w:rsidRPr="00C0594D" w:rsidRDefault="00C0594D" w:rsidP="00AE39F0">
            <w:pPr>
              <w:spacing w:after="0" w:line="240" w:lineRule="auto"/>
              <w:jc w:val="right"/>
              <w:rPr>
                <w:rFonts w:ascii="Calibri" w:hAnsi="Calibri"/>
                <w:b/>
                <w:color w:val="000000"/>
                <w:sz w:val="16"/>
                <w:szCs w:val="16"/>
              </w:rPr>
            </w:pPr>
            <w:r w:rsidRPr="00C0594D">
              <w:rPr>
                <w:rFonts w:ascii="Calibri" w:hAnsi="Calibri"/>
                <w:b/>
                <w:color w:val="000000"/>
                <w:sz w:val="16"/>
                <w:szCs w:val="16"/>
              </w:rPr>
              <w:t xml:space="preserve">   213,300 </w:t>
            </w:r>
          </w:p>
        </w:tc>
        <w:tc>
          <w:tcPr>
            <w:tcW w:w="526" w:type="pct"/>
            <w:tcBorders>
              <w:top w:val="single" w:sz="8" w:space="0" w:color="0093D0"/>
              <w:left w:val="dotted" w:sz="4" w:space="0" w:color="0093D0"/>
              <w:bottom w:val="single" w:sz="8" w:space="0" w:color="0093D0"/>
            </w:tcBorders>
            <w:shd w:val="clear" w:color="auto" w:fill="DBE5F1" w:themeFill="accent1" w:themeFillTint="33"/>
            <w:noWrap/>
            <w:vAlign w:val="center"/>
          </w:tcPr>
          <w:p w:rsidR="00C0594D" w:rsidRPr="00C0594D" w:rsidRDefault="00C0594D" w:rsidP="00AE39F0">
            <w:pPr>
              <w:spacing w:after="0" w:line="240" w:lineRule="auto"/>
              <w:jc w:val="right"/>
              <w:rPr>
                <w:rFonts w:ascii="Calibri" w:hAnsi="Calibri"/>
                <w:b/>
                <w:color w:val="000000"/>
                <w:sz w:val="16"/>
                <w:szCs w:val="16"/>
              </w:rPr>
            </w:pPr>
            <w:r w:rsidRPr="00C0594D">
              <w:rPr>
                <w:rFonts w:ascii="Calibri" w:hAnsi="Calibri"/>
                <w:b/>
                <w:color w:val="000000"/>
                <w:sz w:val="16"/>
                <w:szCs w:val="16"/>
              </w:rPr>
              <w:t xml:space="preserve">131,672 </w:t>
            </w:r>
          </w:p>
        </w:tc>
      </w:tr>
    </w:tbl>
    <w:p w:rsidR="00DA3820" w:rsidRDefault="00DA3820" w:rsidP="00DA3820">
      <w:pPr>
        <w:pStyle w:val="MJAnormal"/>
      </w:pPr>
    </w:p>
    <w:p w:rsidR="008B1003" w:rsidRDefault="008B1003" w:rsidP="00DA3820">
      <w:pPr>
        <w:pStyle w:val="MJAnormal"/>
        <w:rPr>
          <w:b/>
        </w:rPr>
      </w:pPr>
      <w:r w:rsidRPr="00DA3820">
        <w:rPr>
          <w:b/>
        </w:rPr>
        <w:t>Costs associated with regulating the</w:t>
      </w:r>
      <w:r w:rsidR="007339C7">
        <w:rPr>
          <w:b/>
        </w:rPr>
        <w:t xml:space="preserve"> management of hazardous wastes</w:t>
      </w:r>
    </w:p>
    <w:p w:rsidR="004A52ED" w:rsidRDefault="00E140F8" w:rsidP="00DA3820">
      <w:pPr>
        <w:pStyle w:val="MJAnormal"/>
      </w:pPr>
      <w:r>
        <w:t xml:space="preserve">These are costs associated with regulating the management of hazardous wastes and include licensing, approvals, site inspections and audits, monitoring </w:t>
      </w:r>
      <w:r w:rsidR="001D35AA">
        <w:t>and dealing with illegal dumping of hazardous wastes</w:t>
      </w:r>
      <w:r>
        <w:t xml:space="preserve">.  These costs were more difficult to establish. Discussions with jurisdictions indicated that budgeting and cost allocation within jurisdictional regulatory agencies (EPAs or equivalent) does not enable costs associated with hazardous regulation to be specifically identified.  This is understandable </w:t>
      </w:r>
      <w:r w:rsidR="004A52ED">
        <w:t>given</w:t>
      </w:r>
      <w:r>
        <w:t xml:space="preserve"> that the regulatory functions of agencies</w:t>
      </w:r>
      <w:r w:rsidR="004A52ED">
        <w:t xml:space="preserve"> are generally performed</w:t>
      </w:r>
      <w:r>
        <w:t xml:space="preserve"> at</w:t>
      </w:r>
      <w:r w:rsidR="004A52ED">
        <w:t xml:space="preserve"> the site and to some extent industry </w:t>
      </w:r>
      <w:r>
        <w:t>level</w:t>
      </w:r>
      <w:r w:rsidR="004A52ED">
        <w:t xml:space="preserve">s rather than being directed at particular wastes or pollutants. </w:t>
      </w:r>
    </w:p>
    <w:p w:rsidR="00E140F8" w:rsidRDefault="004A52ED" w:rsidP="00DA3820">
      <w:pPr>
        <w:pStyle w:val="MJAnormal"/>
      </w:pPr>
      <w:r>
        <w:t>To get around this problem and to make an estimate of the regulatory costs of hazardous wastes, the total operational budgets of each jurisdiction’s EPA or regulatory equivalent w</w:t>
      </w:r>
      <w:r w:rsidR="00101596">
        <w:t>ere</w:t>
      </w:r>
      <w:r>
        <w:t xml:space="preserve"> established (ignoring grants and other non-operational expenditures)</w:t>
      </w:r>
      <w:r w:rsidR="00101596" w:rsidRPr="00101596">
        <w:t xml:space="preserve"> drawing on annual reports and plans</w:t>
      </w:r>
      <w:r>
        <w:t xml:space="preserve">. The functions of each agency were then established and, depending on the range and nature of each agency’s functions, costs associated with the regulation for hazardous wastes were estimated as a proportion of its operational budget.  Apportionments were </w:t>
      </w:r>
      <w:r w:rsidR="003A4943">
        <w:t xml:space="preserve">estimated to be </w:t>
      </w:r>
      <w:r>
        <w:t>generally in the order of 15% to 20% of total operating budgets (</w:t>
      </w:r>
      <w:r w:rsidR="003A4943" w:rsidRPr="003A4943">
        <w:t xml:space="preserve">see </w:t>
      </w:r>
      <w:fldSimple w:instr=" REF _Ref391298631 \h  \* MERGEFORMAT ">
        <w:r w:rsidR="00D54C27" w:rsidRPr="00D54C27">
          <w:t>Table 16</w:t>
        </w:r>
      </w:fldSimple>
      <w:r w:rsidRPr="003A4943">
        <w:t>).</w:t>
      </w:r>
      <w:r>
        <w:t xml:space="preserve"> </w:t>
      </w:r>
      <w:r w:rsidR="004671E2">
        <w:t xml:space="preserve">Reflecting the uncertainty of these apportionments, estimates of these costs are considered to have an error margin of +/- 40% around the central estimate. </w:t>
      </w:r>
    </w:p>
    <w:p w:rsidR="003A4943" w:rsidRPr="003A4943" w:rsidRDefault="003A4943" w:rsidP="003A4943">
      <w:pPr>
        <w:keepNext/>
        <w:keepLines/>
        <w:spacing w:before="120" w:after="120" w:line="240" w:lineRule="auto"/>
        <w:rPr>
          <w:rFonts w:ascii="Calibri" w:eastAsia="Times New Roman" w:hAnsi="Calibri" w:cs="Calibri"/>
          <w:b/>
          <w:bCs/>
          <w:sz w:val="20"/>
          <w:szCs w:val="20"/>
          <w:lang w:eastAsia="en-AU"/>
        </w:rPr>
      </w:pPr>
      <w:bookmarkStart w:id="48" w:name="_Ref391298631"/>
      <w:r w:rsidRPr="00F6696F">
        <w:rPr>
          <w:rFonts w:ascii="Calibri" w:eastAsia="Times New Roman" w:hAnsi="Calibri" w:cs="Calibri"/>
          <w:b/>
          <w:bCs/>
          <w:sz w:val="20"/>
          <w:szCs w:val="20"/>
          <w:lang w:eastAsia="en-AU"/>
        </w:rPr>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16</w:t>
      </w:r>
      <w:r w:rsidR="00732F35" w:rsidRPr="00F6696F">
        <w:rPr>
          <w:rFonts w:ascii="Calibri" w:eastAsia="Times New Roman" w:hAnsi="Calibri" w:cs="Calibri"/>
          <w:b/>
          <w:bCs/>
          <w:sz w:val="20"/>
          <w:szCs w:val="20"/>
          <w:lang w:eastAsia="en-AU"/>
        </w:rPr>
        <w:fldChar w:fldCharType="end"/>
      </w:r>
      <w:bookmarkEnd w:id="48"/>
      <w:r w:rsidRPr="00F6696F">
        <w:rPr>
          <w:rFonts w:ascii="Calibri" w:eastAsia="Times New Roman" w:hAnsi="Calibri" w:cs="Calibri"/>
          <w:b/>
          <w:bCs/>
          <w:sz w:val="20"/>
          <w:szCs w:val="20"/>
          <w:lang w:eastAsia="en-AU"/>
        </w:rPr>
        <w:t xml:space="preserve">:  </w:t>
      </w:r>
      <w:r>
        <w:rPr>
          <w:rFonts w:ascii="Calibri" w:eastAsia="Times New Roman" w:hAnsi="Calibri" w:cs="Calibri"/>
          <w:b/>
          <w:bCs/>
          <w:sz w:val="20"/>
          <w:szCs w:val="20"/>
          <w:lang w:eastAsia="en-AU"/>
        </w:rPr>
        <w:t xml:space="preserve"> </w:t>
      </w:r>
      <w:r w:rsidR="001D35AA">
        <w:rPr>
          <w:rFonts w:ascii="Calibri" w:eastAsia="Times New Roman" w:hAnsi="Calibri" w:cs="Calibri"/>
          <w:b/>
          <w:bCs/>
          <w:sz w:val="20"/>
          <w:szCs w:val="20"/>
          <w:lang w:eastAsia="en-AU"/>
        </w:rPr>
        <w:t>Total o</w:t>
      </w:r>
      <w:r w:rsidRPr="003A4943">
        <w:rPr>
          <w:rFonts w:ascii="Calibri" w:eastAsia="Times New Roman" w:hAnsi="Calibri" w:cs="Calibri"/>
          <w:b/>
          <w:bCs/>
          <w:sz w:val="20"/>
          <w:szCs w:val="20"/>
          <w:lang w:eastAsia="en-AU"/>
        </w:rPr>
        <w:t>perati</w:t>
      </w:r>
      <w:r w:rsidR="001D35AA">
        <w:rPr>
          <w:rFonts w:ascii="Calibri" w:eastAsia="Times New Roman" w:hAnsi="Calibri" w:cs="Calibri"/>
          <w:b/>
          <w:bCs/>
          <w:sz w:val="20"/>
          <w:szCs w:val="20"/>
          <w:lang w:eastAsia="en-AU"/>
        </w:rPr>
        <w:t>ng</w:t>
      </w:r>
      <w:r w:rsidRPr="003A4943">
        <w:rPr>
          <w:rFonts w:ascii="Calibri" w:eastAsia="Times New Roman" w:hAnsi="Calibri" w:cs="Calibri"/>
          <w:b/>
          <w:bCs/>
          <w:sz w:val="20"/>
          <w:szCs w:val="20"/>
          <w:lang w:eastAsia="en-AU"/>
        </w:rPr>
        <w:t xml:space="preserve"> budgets of jurisdictional EPAs or equivalent</w:t>
      </w:r>
      <w:r>
        <w:rPr>
          <w:rFonts w:ascii="Calibri" w:eastAsia="Times New Roman" w:hAnsi="Calibri" w:cs="Calibri"/>
          <w:b/>
          <w:bCs/>
          <w:sz w:val="20"/>
          <w:szCs w:val="20"/>
          <w:lang w:eastAsia="en-AU"/>
        </w:rPr>
        <w:t xml:space="preserve">, </w:t>
      </w:r>
      <w:r w:rsidR="001D35AA">
        <w:rPr>
          <w:rFonts w:ascii="Calibri" w:eastAsia="Times New Roman" w:hAnsi="Calibri" w:cs="Calibri"/>
          <w:b/>
          <w:bCs/>
          <w:sz w:val="20"/>
          <w:szCs w:val="20"/>
          <w:lang w:eastAsia="en-AU"/>
        </w:rPr>
        <w:t xml:space="preserve">and estimated costs allocated to regulating hazardous wastes </w:t>
      </w:r>
      <w:r>
        <w:rPr>
          <w:rFonts w:ascii="Calibri" w:eastAsia="Times New Roman" w:hAnsi="Calibri" w:cs="Calibri"/>
          <w:b/>
          <w:bCs/>
          <w:sz w:val="20"/>
          <w:szCs w:val="20"/>
          <w:lang w:eastAsia="en-AU"/>
        </w:rPr>
        <w:t>2012-13 ($</w:t>
      </w:r>
      <w:r w:rsidR="00DB36EE">
        <w:rPr>
          <w:rFonts w:ascii="Calibri" w:eastAsia="Times New Roman" w:hAnsi="Calibri" w:cs="Calibri"/>
          <w:b/>
          <w:bCs/>
          <w:sz w:val="20"/>
          <w:szCs w:val="20"/>
          <w:lang w:eastAsia="en-AU"/>
        </w:rPr>
        <w:t>m</w:t>
      </w:r>
      <w:r>
        <w:rPr>
          <w:rFonts w:ascii="Calibri" w:eastAsia="Times New Roman" w:hAnsi="Calibri" w:cs="Calibri"/>
          <w:b/>
          <w:bCs/>
          <w:sz w:val="20"/>
          <w:szCs w:val="20"/>
          <w:lang w:eastAsia="en-AU"/>
        </w:rPr>
        <w:t>)</w:t>
      </w:r>
    </w:p>
    <w:tbl>
      <w:tblPr>
        <w:tblW w:w="5000" w:type="pct"/>
        <w:tblLook w:val="04A0"/>
      </w:tblPr>
      <w:tblGrid>
        <w:gridCol w:w="3149"/>
        <w:gridCol w:w="861"/>
        <w:gridCol w:w="698"/>
        <w:gridCol w:w="702"/>
        <w:gridCol w:w="680"/>
        <w:gridCol w:w="680"/>
        <w:gridCol w:w="680"/>
        <w:gridCol w:w="612"/>
        <w:gridCol w:w="658"/>
      </w:tblGrid>
      <w:tr w:rsidR="00DB36EE" w:rsidRPr="00DB36EE" w:rsidTr="00DB36EE">
        <w:trPr>
          <w:trHeight w:val="300"/>
        </w:trPr>
        <w:tc>
          <w:tcPr>
            <w:tcW w:w="791" w:type="pct"/>
            <w:tcBorders>
              <w:top w:val="nil"/>
              <w:left w:val="nil"/>
              <w:right w:val="nil"/>
            </w:tcBorders>
            <w:shd w:val="clear" w:color="auto" w:fill="0093D0"/>
            <w:noWrap/>
            <w:vAlign w:val="bottom"/>
            <w:hideMark/>
          </w:tcPr>
          <w:p w:rsidR="00DB36EE" w:rsidRPr="00DB36EE" w:rsidRDefault="00DB36EE" w:rsidP="00DB36EE">
            <w:pPr>
              <w:spacing w:after="0" w:line="240" w:lineRule="auto"/>
              <w:rPr>
                <w:rFonts w:ascii="Calibri" w:eastAsia="Times New Roman" w:hAnsi="Calibri" w:cs="Times New Roman"/>
                <w:b/>
                <w:color w:val="FFFFFF" w:themeColor="background1"/>
                <w:sz w:val="18"/>
                <w:szCs w:val="18"/>
                <w:lang w:eastAsia="en-AU"/>
              </w:rPr>
            </w:pPr>
          </w:p>
        </w:tc>
        <w:tc>
          <w:tcPr>
            <w:tcW w:w="607" w:type="pct"/>
            <w:tcBorders>
              <w:top w:val="nil"/>
              <w:left w:val="nil"/>
              <w:right w:val="nil"/>
            </w:tcBorders>
            <w:shd w:val="clear" w:color="auto" w:fill="0093D0"/>
            <w:noWrap/>
            <w:vAlign w:val="bottom"/>
            <w:hideMark/>
          </w:tcPr>
          <w:p w:rsidR="00DB36EE" w:rsidRPr="00DB36EE" w:rsidRDefault="00DB36EE" w:rsidP="00DB36EE">
            <w:pPr>
              <w:spacing w:after="0" w:line="240" w:lineRule="auto"/>
              <w:jc w:val="right"/>
              <w:rPr>
                <w:rFonts w:ascii="Calibri" w:eastAsia="Times New Roman" w:hAnsi="Calibri" w:cs="Times New Roman"/>
                <w:b/>
                <w:color w:val="FFFFFF" w:themeColor="background1"/>
                <w:sz w:val="18"/>
                <w:szCs w:val="18"/>
                <w:lang w:eastAsia="en-AU"/>
              </w:rPr>
            </w:pPr>
            <w:r w:rsidRPr="00DB36EE">
              <w:rPr>
                <w:rFonts w:ascii="Calibri" w:eastAsia="Times New Roman" w:hAnsi="Calibri" w:cs="Times New Roman"/>
                <w:b/>
                <w:color w:val="FFFFFF" w:themeColor="background1"/>
                <w:sz w:val="18"/>
                <w:szCs w:val="18"/>
                <w:lang w:eastAsia="en-AU"/>
              </w:rPr>
              <w:t>NSW</w:t>
            </w:r>
          </w:p>
        </w:tc>
        <w:tc>
          <w:tcPr>
            <w:tcW w:w="538" w:type="pct"/>
            <w:tcBorders>
              <w:top w:val="nil"/>
              <w:left w:val="nil"/>
              <w:right w:val="nil"/>
            </w:tcBorders>
            <w:shd w:val="clear" w:color="auto" w:fill="0093D0"/>
            <w:noWrap/>
            <w:vAlign w:val="bottom"/>
            <w:hideMark/>
          </w:tcPr>
          <w:p w:rsidR="00DB36EE" w:rsidRPr="00DB36EE" w:rsidRDefault="00DB36EE" w:rsidP="00DB36EE">
            <w:pPr>
              <w:spacing w:after="0" w:line="240" w:lineRule="auto"/>
              <w:jc w:val="right"/>
              <w:rPr>
                <w:rFonts w:ascii="Calibri" w:eastAsia="Times New Roman" w:hAnsi="Calibri" w:cs="Times New Roman"/>
                <w:b/>
                <w:color w:val="FFFFFF" w:themeColor="background1"/>
                <w:sz w:val="18"/>
                <w:szCs w:val="18"/>
                <w:lang w:eastAsia="en-AU"/>
              </w:rPr>
            </w:pPr>
            <w:r w:rsidRPr="00DB36EE">
              <w:rPr>
                <w:rFonts w:ascii="Calibri" w:eastAsia="Times New Roman" w:hAnsi="Calibri" w:cs="Times New Roman"/>
                <w:b/>
                <w:color w:val="FFFFFF" w:themeColor="background1"/>
                <w:sz w:val="18"/>
                <w:szCs w:val="18"/>
                <w:lang w:eastAsia="en-AU"/>
              </w:rPr>
              <w:t>Vic</w:t>
            </w:r>
          </w:p>
        </w:tc>
        <w:tc>
          <w:tcPr>
            <w:tcW w:w="538" w:type="pct"/>
            <w:tcBorders>
              <w:top w:val="nil"/>
              <w:left w:val="nil"/>
              <w:right w:val="nil"/>
            </w:tcBorders>
            <w:shd w:val="clear" w:color="auto" w:fill="0093D0"/>
            <w:noWrap/>
            <w:vAlign w:val="bottom"/>
            <w:hideMark/>
          </w:tcPr>
          <w:p w:rsidR="00DB36EE" w:rsidRPr="00DB36EE" w:rsidRDefault="00DB36EE" w:rsidP="00DB36EE">
            <w:pPr>
              <w:spacing w:after="0" w:line="240" w:lineRule="auto"/>
              <w:jc w:val="right"/>
              <w:rPr>
                <w:rFonts w:ascii="Calibri" w:eastAsia="Times New Roman" w:hAnsi="Calibri" w:cs="Times New Roman"/>
                <w:b/>
                <w:color w:val="FFFFFF" w:themeColor="background1"/>
                <w:sz w:val="18"/>
                <w:szCs w:val="18"/>
                <w:lang w:eastAsia="en-AU"/>
              </w:rPr>
            </w:pPr>
            <w:r w:rsidRPr="00DB36EE">
              <w:rPr>
                <w:rFonts w:ascii="Calibri" w:eastAsia="Times New Roman" w:hAnsi="Calibri" w:cs="Times New Roman"/>
                <w:b/>
                <w:color w:val="FFFFFF" w:themeColor="background1"/>
                <w:sz w:val="18"/>
                <w:szCs w:val="18"/>
                <w:lang w:eastAsia="en-AU"/>
              </w:rPr>
              <w:t>Qld</w:t>
            </w:r>
          </w:p>
        </w:tc>
        <w:tc>
          <w:tcPr>
            <w:tcW w:w="521" w:type="pct"/>
            <w:tcBorders>
              <w:top w:val="nil"/>
              <w:left w:val="nil"/>
              <w:right w:val="nil"/>
            </w:tcBorders>
            <w:shd w:val="clear" w:color="auto" w:fill="0093D0"/>
            <w:noWrap/>
            <w:vAlign w:val="bottom"/>
            <w:hideMark/>
          </w:tcPr>
          <w:p w:rsidR="00DB36EE" w:rsidRPr="00DB36EE" w:rsidRDefault="00DB36EE" w:rsidP="00DB36EE">
            <w:pPr>
              <w:spacing w:after="0" w:line="240" w:lineRule="auto"/>
              <w:jc w:val="right"/>
              <w:rPr>
                <w:rFonts w:ascii="Calibri" w:eastAsia="Times New Roman" w:hAnsi="Calibri" w:cs="Times New Roman"/>
                <w:b/>
                <w:color w:val="FFFFFF" w:themeColor="background1"/>
                <w:sz w:val="18"/>
                <w:szCs w:val="18"/>
                <w:lang w:eastAsia="en-AU"/>
              </w:rPr>
            </w:pPr>
            <w:r w:rsidRPr="00DB36EE">
              <w:rPr>
                <w:rFonts w:ascii="Calibri" w:eastAsia="Times New Roman" w:hAnsi="Calibri" w:cs="Times New Roman"/>
                <w:b/>
                <w:color w:val="FFFFFF" w:themeColor="background1"/>
                <w:sz w:val="18"/>
                <w:szCs w:val="18"/>
                <w:lang w:eastAsia="en-AU"/>
              </w:rPr>
              <w:t>SA</w:t>
            </w:r>
          </w:p>
        </w:tc>
        <w:tc>
          <w:tcPr>
            <w:tcW w:w="521" w:type="pct"/>
            <w:tcBorders>
              <w:top w:val="nil"/>
              <w:left w:val="nil"/>
              <w:right w:val="nil"/>
            </w:tcBorders>
            <w:shd w:val="clear" w:color="auto" w:fill="0093D0"/>
            <w:noWrap/>
            <w:vAlign w:val="bottom"/>
            <w:hideMark/>
          </w:tcPr>
          <w:p w:rsidR="00DB36EE" w:rsidRPr="00DB36EE" w:rsidRDefault="00DB36EE" w:rsidP="00DB36EE">
            <w:pPr>
              <w:spacing w:after="0" w:line="240" w:lineRule="auto"/>
              <w:jc w:val="right"/>
              <w:rPr>
                <w:rFonts w:ascii="Calibri" w:eastAsia="Times New Roman" w:hAnsi="Calibri" w:cs="Times New Roman"/>
                <w:b/>
                <w:color w:val="FFFFFF" w:themeColor="background1"/>
                <w:sz w:val="18"/>
                <w:szCs w:val="18"/>
                <w:lang w:eastAsia="en-AU"/>
              </w:rPr>
            </w:pPr>
            <w:r w:rsidRPr="00DB36EE">
              <w:rPr>
                <w:rFonts w:ascii="Calibri" w:eastAsia="Times New Roman" w:hAnsi="Calibri" w:cs="Times New Roman"/>
                <w:b/>
                <w:color w:val="FFFFFF" w:themeColor="background1"/>
                <w:sz w:val="18"/>
                <w:szCs w:val="18"/>
                <w:lang w:eastAsia="en-AU"/>
              </w:rPr>
              <w:t>WA</w:t>
            </w:r>
          </w:p>
        </w:tc>
        <w:tc>
          <w:tcPr>
            <w:tcW w:w="521" w:type="pct"/>
            <w:tcBorders>
              <w:top w:val="nil"/>
              <w:left w:val="nil"/>
              <w:right w:val="nil"/>
            </w:tcBorders>
            <w:shd w:val="clear" w:color="auto" w:fill="0093D0"/>
            <w:noWrap/>
            <w:vAlign w:val="bottom"/>
            <w:hideMark/>
          </w:tcPr>
          <w:p w:rsidR="00DB36EE" w:rsidRPr="00DB36EE" w:rsidRDefault="00DB36EE" w:rsidP="00DB36EE">
            <w:pPr>
              <w:spacing w:after="0" w:line="240" w:lineRule="auto"/>
              <w:jc w:val="right"/>
              <w:rPr>
                <w:rFonts w:ascii="Calibri" w:eastAsia="Times New Roman" w:hAnsi="Calibri" w:cs="Times New Roman"/>
                <w:b/>
                <w:color w:val="FFFFFF" w:themeColor="background1"/>
                <w:sz w:val="18"/>
                <w:szCs w:val="18"/>
                <w:lang w:eastAsia="en-AU"/>
              </w:rPr>
            </w:pPr>
            <w:r w:rsidRPr="00DB36EE">
              <w:rPr>
                <w:rFonts w:ascii="Calibri" w:eastAsia="Times New Roman" w:hAnsi="Calibri" w:cs="Times New Roman"/>
                <w:b/>
                <w:color w:val="FFFFFF" w:themeColor="background1"/>
                <w:sz w:val="18"/>
                <w:szCs w:val="18"/>
                <w:lang w:eastAsia="en-AU"/>
              </w:rPr>
              <w:t>Tas</w:t>
            </w:r>
          </w:p>
        </w:tc>
        <w:tc>
          <w:tcPr>
            <w:tcW w:w="482" w:type="pct"/>
            <w:tcBorders>
              <w:top w:val="nil"/>
              <w:left w:val="nil"/>
              <w:right w:val="nil"/>
            </w:tcBorders>
            <w:shd w:val="clear" w:color="auto" w:fill="0093D0"/>
            <w:noWrap/>
            <w:vAlign w:val="bottom"/>
            <w:hideMark/>
          </w:tcPr>
          <w:p w:rsidR="00DB36EE" w:rsidRPr="00DB36EE" w:rsidRDefault="00DB36EE" w:rsidP="00DB36EE">
            <w:pPr>
              <w:spacing w:after="0" w:line="240" w:lineRule="auto"/>
              <w:jc w:val="right"/>
              <w:rPr>
                <w:rFonts w:ascii="Calibri" w:eastAsia="Times New Roman" w:hAnsi="Calibri" w:cs="Times New Roman"/>
                <w:b/>
                <w:color w:val="FFFFFF" w:themeColor="background1"/>
                <w:sz w:val="18"/>
                <w:szCs w:val="18"/>
                <w:lang w:eastAsia="en-AU"/>
              </w:rPr>
            </w:pPr>
            <w:r w:rsidRPr="00DB36EE">
              <w:rPr>
                <w:rFonts w:ascii="Calibri" w:eastAsia="Times New Roman" w:hAnsi="Calibri" w:cs="Times New Roman"/>
                <w:b/>
                <w:color w:val="FFFFFF" w:themeColor="background1"/>
                <w:sz w:val="18"/>
                <w:szCs w:val="18"/>
                <w:lang w:eastAsia="en-AU"/>
              </w:rPr>
              <w:t>ACT</w:t>
            </w:r>
          </w:p>
        </w:tc>
        <w:tc>
          <w:tcPr>
            <w:tcW w:w="482" w:type="pct"/>
            <w:tcBorders>
              <w:top w:val="nil"/>
              <w:left w:val="nil"/>
              <w:right w:val="nil"/>
            </w:tcBorders>
            <w:shd w:val="clear" w:color="auto" w:fill="0093D0"/>
            <w:noWrap/>
            <w:vAlign w:val="bottom"/>
            <w:hideMark/>
          </w:tcPr>
          <w:p w:rsidR="00DB36EE" w:rsidRPr="00DB36EE" w:rsidRDefault="00DB36EE" w:rsidP="00DB36EE">
            <w:pPr>
              <w:spacing w:after="0" w:line="240" w:lineRule="auto"/>
              <w:jc w:val="right"/>
              <w:rPr>
                <w:rFonts w:ascii="Calibri" w:eastAsia="Times New Roman" w:hAnsi="Calibri" w:cs="Times New Roman"/>
                <w:b/>
                <w:color w:val="FFFFFF" w:themeColor="background1"/>
                <w:sz w:val="18"/>
                <w:szCs w:val="18"/>
                <w:lang w:eastAsia="en-AU"/>
              </w:rPr>
            </w:pPr>
            <w:r w:rsidRPr="00DB36EE">
              <w:rPr>
                <w:rFonts w:ascii="Calibri" w:eastAsia="Times New Roman" w:hAnsi="Calibri" w:cs="Times New Roman"/>
                <w:b/>
                <w:color w:val="FFFFFF" w:themeColor="background1"/>
                <w:sz w:val="18"/>
                <w:szCs w:val="18"/>
                <w:lang w:eastAsia="en-AU"/>
              </w:rPr>
              <w:t>NT</w:t>
            </w:r>
          </w:p>
        </w:tc>
      </w:tr>
      <w:tr w:rsidR="00DB36EE" w:rsidRPr="00DB36EE" w:rsidTr="00DB36EE">
        <w:trPr>
          <w:trHeight w:val="645"/>
        </w:trPr>
        <w:tc>
          <w:tcPr>
            <w:tcW w:w="791" w:type="pct"/>
            <w:tcBorders>
              <w:top w:val="nil"/>
              <w:left w:val="nil"/>
              <w:bottom w:val="nil"/>
              <w:right w:val="nil"/>
            </w:tcBorders>
            <w:shd w:val="clear" w:color="auto" w:fill="auto"/>
            <w:vAlign w:val="bottom"/>
            <w:hideMark/>
          </w:tcPr>
          <w:p w:rsidR="00DB36EE" w:rsidRPr="00DB36EE" w:rsidRDefault="00DB36EE" w:rsidP="00DB36EE">
            <w:pPr>
              <w:spacing w:after="0" w:line="240" w:lineRule="auto"/>
              <w:rPr>
                <w:rFonts w:ascii="Calibri" w:eastAsia="Times New Roman" w:hAnsi="Calibri" w:cs="Times New Roman"/>
                <w:color w:val="000000"/>
                <w:sz w:val="18"/>
                <w:szCs w:val="18"/>
                <w:lang w:eastAsia="en-AU"/>
              </w:rPr>
            </w:pPr>
            <w:r w:rsidRPr="00DB36EE">
              <w:rPr>
                <w:rFonts w:ascii="Calibri" w:eastAsia="Times New Roman" w:hAnsi="Calibri" w:cs="Times New Roman"/>
                <w:color w:val="000000"/>
                <w:sz w:val="18"/>
                <w:szCs w:val="18"/>
                <w:lang w:eastAsia="en-AU"/>
              </w:rPr>
              <w:t xml:space="preserve">Total operational budget, EPA or equivalent </w:t>
            </w:r>
          </w:p>
        </w:tc>
        <w:tc>
          <w:tcPr>
            <w:tcW w:w="607" w:type="pct"/>
            <w:tcBorders>
              <w:top w:val="nil"/>
              <w:left w:val="nil"/>
              <w:bottom w:val="nil"/>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86.1</w:t>
            </w:r>
            <w:r w:rsidRPr="00DB36EE">
              <w:rPr>
                <w:rFonts w:ascii="Calibri" w:eastAsia="Times New Roman" w:hAnsi="Calibri" w:cs="Times New Roman"/>
                <w:color w:val="000000"/>
                <w:sz w:val="18"/>
                <w:szCs w:val="18"/>
                <w:lang w:eastAsia="en-AU"/>
              </w:rPr>
              <w:t xml:space="preserve"> </w:t>
            </w:r>
          </w:p>
        </w:tc>
        <w:tc>
          <w:tcPr>
            <w:tcW w:w="538" w:type="pct"/>
            <w:tcBorders>
              <w:top w:val="nil"/>
              <w:left w:val="nil"/>
              <w:bottom w:val="nil"/>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65.8</w:t>
            </w:r>
          </w:p>
        </w:tc>
        <w:tc>
          <w:tcPr>
            <w:tcW w:w="538" w:type="pct"/>
            <w:tcBorders>
              <w:top w:val="nil"/>
              <w:left w:val="nil"/>
              <w:bottom w:val="nil"/>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76.7</w:t>
            </w:r>
          </w:p>
        </w:tc>
        <w:tc>
          <w:tcPr>
            <w:tcW w:w="521" w:type="pct"/>
            <w:tcBorders>
              <w:top w:val="nil"/>
              <w:left w:val="nil"/>
              <w:bottom w:val="nil"/>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28.9</w:t>
            </w:r>
          </w:p>
        </w:tc>
        <w:tc>
          <w:tcPr>
            <w:tcW w:w="521" w:type="pct"/>
            <w:tcBorders>
              <w:top w:val="nil"/>
              <w:left w:val="nil"/>
              <w:bottom w:val="nil"/>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42.2</w:t>
            </w:r>
            <w:r w:rsidRPr="00DB36EE">
              <w:rPr>
                <w:rFonts w:ascii="Calibri" w:eastAsia="Times New Roman" w:hAnsi="Calibri" w:cs="Times New Roman"/>
                <w:color w:val="000000"/>
                <w:sz w:val="18"/>
                <w:szCs w:val="18"/>
                <w:lang w:eastAsia="en-AU"/>
              </w:rPr>
              <w:t xml:space="preserve"> </w:t>
            </w:r>
          </w:p>
        </w:tc>
        <w:tc>
          <w:tcPr>
            <w:tcW w:w="521" w:type="pct"/>
            <w:tcBorders>
              <w:top w:val="nil"/>
              <w:left w:val="nil"/>
              <w:bottom w:val="nil"/>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18.0</w:t>
            </w:r>
            <w:r w:rsidRPr="00DB36EE">
              <w:rPr>
                <w:rFonts w:ascii="Calibri" w:eastAsia="Times New Roman" w:hAnsi="Calibri" w:cs="Times New Roman"/>
                <w:color w:val="000000"/>
                <w:sz w:val="18"/>
                <w:szCs w:val="18"/>
                <w:lang w:eastAsia="en-AU"/>
              </w:rPr>
              <w:t xml:space="preserve"> </w:t>
            </w:r>
          </w:p>
        </w:tc>
        <w:tc>
          <w:tcPr>
            <w:tcW w:w="482" w:type="pct"/>
            <w:tcBorders>
              <w:top w:val="nil"/>
              <w:left w:val="nil"/>
              <w:bottom w:val="nil"/>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5.6</w:t>
            </w:r>
            <w:r w:rsidRPr="00DB36EE">
              <w:rPr>
                <w:rFonts w:ascii="Calibri" w:eastAsia="Times New Roman" w:hAnsi="Calibri" w:cs="Times New Roman"/>
                <w:color w:val="000000"/>
                <w:sz w:val="18"/>
                <w:szCs w:val="18"/>
                <w:lang w:eastAsia="en-AU"/>
              </w:rPr>
              <w:t xml:space="preserve"> </w:t>
            </w:r>
          </w:p>
        </w:tc>
        <w:tc>
          <w:tcPr>
            <w:tcW w:w="482" w:type="pct"/>
            <w:tcBorders>
              <w:top w:val="nil"/>
              <w:left w:val="nil"/>
              <w:bottom w:val="nil"/>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10.0</w:t>
            </w:r>
          </w:p>
        </w:tc>
      </w:tr>
      <w:tr w:rsidR="00DB36EE" w:rsidRPr="00DB36EE" w:rsidTr="00DB36EE">
        <w:trPr>
          <w:trHeight w:val="450"/>
        </w:trPr>
        <w:tc>
          <w:tcPr>
            <w:tcW w:w="791" w:type="pct"/>
            <w:tcBorders>
              <w:top w:val="nil"/>
              <w:left w:val="nil"/>
              <w:bottom w:val="single" w:sz="4" w:space="0" w:color="0093D0"/>
              <w:right w:val="nil"/>
            </w:tcBorders>
            <w:shd w:val="clear" w:color="auto" w:fill="auto"/>
            <w:noWrap/>
            <w:vAlign w:val="bottom"/>
            <w:hideMark/>
          </w:tcPr>
          <w:p w:rsidR="00DB36EE" w:rsidRPr="00DB36EE" w:rsidRDefault="00DB36EE" w:rsidP="00DB36EE">
            <w:pPr>
              <w:spacing w:after="0" w:line="240" w:lineRule="auto"/>
              <w:rPr>
                <w:rFonts w:ascii="Calibri" w:eastAsia="Times New Roman" w:hAnsi="Calibri" w:cs="Times New Roman"/>
                <w:color w:val="000000"/>
                <w:sz w:val="18"/>
                <w:szCs w:val="18"/>
                <w:lang w:eastAsia="en-AU"/>
              </w:rPr>
            </w:pPr>
            <w:r w:rsidRPr="00DB36EE">
              <w:rPr>
                <w:rFonts w:ascii="Calibri" w:eastAsia="Times New Roman" w:hAnsi="Calibri" w:cs="Times New Roman"/>
                <w:color w:val="000000"/>
                <w:sz w:val="18"/>
                <w:szCs w:val="18"/>
                <w:lang w:eastAsia="en-AU"/>
              </w:rPr>
              <w:t>Hazardous waste regulatory component</w:t>
            </w:r>
          </w:p>
        </w:tc>
        <w:tc>
          <w:tcPr>
            <w:tcW w:w="607" w:type="pct"/>
            <w:tcBorders>
              <w:top w:val="nil"/>
              <w:left w:val="nil"/>
              <w:bottom w:val="single" w:sz="4" w:space="0" w:color="0093D0"/>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14.3</w:t>
            </w:r>
            <w:r w:rsidRPr="00DB36EE">
              <w:rPr>
                <w:rFonts w:ascii="Calibri" w:eastAsia="Times New Roman" w:hAnsi="Calibri" w:cs="Times New Roman"/>
                <w:color w:val="000000"/>
                <w:sz w:val="18"/>
                <w:szCs w:val="18"/>
                <w:lang w:eastAsia="en-AU"/>
              </w:rPr>
              <w:t xml:space="preserve"> </w:t>
            </w:r>
          </w:p>
        </w:tc>
        <w:tc>
          <w:tcPr>
            <w:tcW w:w="538" w:type="pct"/>
            <w:tcBorders>
              <w:top w:val="nil"/>
              <w:left w:val="nil"/>
              <w:bottom w:val="single" w:sz="4" w:space="0" w:color="0093D0"/>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11.0</w:t>
            </w:r>
            <w:r w:rsidRPr="00DB36EE">
              <w:rPr>
                <w:rFonts w:ascii="Calibri" w:eastAsia="Times New Roman" w:hAnsi="Calibri" w:cs="Times New Roman"/>
                <w:color w:val="000000"/>
                <w:sz w:val="18"/>
                <w:szCs w:val="18"/>
                <w:lang w:eastAsia="en-AU"/>
              </w:rPr>
              <w:t xml:space="preserve"> </w:t>
            </w:r>
          </w:p>
        </w:tc>
        <w:tc>
          <w:tcPr>
            <w:tcW w:w="538" w:type="pct"/>
            <w:tcBorders>
              <w:top w:val="nil"/>
              <w:left w:val="nil"/>
              <w:bottom w:val="single" w:sz="4" w:space="0" w:color="0093D0"/>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12.8</w:t>
            </w:r>
            <w:r w:rsidRPr="00DB36EE">
              <w:rPr>
                <w:rFonts w:ascii="Calibri" w:eastAsia="Times New Roman" w:hAnsi="Calibri" w:cs="Times New Roman"/>
                <w:color w:val="000000"/>
                <w:sz w:val="18"/>
                <w:szCs w:val="18"/>
                <w:lang w:eastAsia="en-AU"/>
              </w:rPr>
              <w:t xml:space="preserve"> </w:t>
            </w:r>
          </w:p>
        </w:tc>
        <w:tc>
          <w:tcPr>
            <w:tcW w:w="521" w:type="pct"/>
            <w:tcBorders>
              <w:top w:val="nil"/>
              <w:left w:val="nil"/>
              <w:bottom w:val="single" w:sz="4" w:space="0" w:color="0093D0"/>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4.8</w:t>
            </w:r>
          </w:p>
        </w:tc>
        <w:tc>
          <w:tcPr>
            <w:tcW w:w="521" w:type="pct"/>
            <w:tcBorders>
              <w:top w:val="nil"/>
              <w:left w:val="nil"/>
              <w:bottom w:val="single" w:sz="4" w:space="0" w:color="0093D0"/>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7.0</w:t>
            </w:r>
            <w:r w:rsidRPr="00DB36EE">
              <w:rPr>
                <w:rFonts w:ascii="Calibri" w:eastAsia="Times New Roman" w:hAnsi="Calibri" w:cs="Times New Roman"/>
                <w:color w:val="000000"/>
                <w:sz w:val="18"/>
                <w:szCs w:val="18"/>
                <w:lang w:eastAsia="en-AU"/>
              </w:rPr>
              <w:t xml:space="preserve"> </w:t>
            </w:r>
          </w:p>
        </w:tc>
        <w:tc>
          <w:tcPr>
            <w:tcW w:w="521" w:type="pct"/>
            <w:tcBorders>
              <w:top w:val="nil"/>
              <w:left w:val="nil"/>
              <w:bottom w:val="single" w:sz="4" w:space="0" w:color="0093D0"/>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3.6</w:t>
            </w:r>
            <w:r w:rsidRPr="00DB36EE">
              <w:rPr>
                <w:rFonts w:ascii="Calibri" w:eastAsia="Times New Roman" w:hAnsi="Calibri" w:cs="Times New Roman"/>
                <w:color w:val="000000"/>
                <w:sz w:val="18"/>
                <w:szCs w:val="18"/>
                <w:lang w:eastAsia="en-AU"/>
              </w:rPr>
              <w:t xml:space="preserve"> </w:t>
            </w:r>
          </w:p>
        </w:tc>
        <w:tc>
          <w:tcPr>
            <w:tcW w:w="482" w:type="pct"/>
            <w:tcBorders>
              <w:top w:val="nil"/>
              <w:left w:val="nil"/>
              <w:bottom w:val="single" w:sz="4" w:space="0" w:color="0093D0"/>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1.1</w:t>
            </w:r>
            <w:r w:rsidRPr="00DB36EE">
              <w:rPr>
                <w:rFonts w:ascii="Calibri" w:eastAsia="Times New Roman" w:hAnsi="Calibri" w:cs="Times New Roman"/>
                <w:color w:val="000000"/>
                <w:sz w:val="18"/>
                <w:szCs w:val="18"/>
                <w:lang w:eastAsia="en-AU"/>
              </w:rPr>
              <w:t xml:space="preserve"> </w:t>
            </w:r>
          </w:p>
        </w:tc>
        <w:tc>
          <w:tcPr>
            <w:tcW w:w="482" w:type="pct"/>
            <w:tcBorders>
              <w:top w:val="nil"/>
              <w:left w:val="nil"/>
              <w:bottom w:val="single" w:sz="4" w:space="0" w:color="0093D0"/>
              <w:right w:val="nil"/>
            </w:tcBorders>
            <w:shd w:val="clear" w:color="auto" w:fill="auto"/>
            <w:noWrap/>
            <w:vAlign w:val="bottom"/>
            <w:hideMark/>
          </w:tcPr>
          <w:p w:rsidR="00DB36EE" w:rsidRPr="00DB36EE" w:rsidRDefault="00DB36EE" w:rsidP="00DB36EE">
            <w:pPr>
              <w:spacing w:after="0" w:line="240" w:lineRule="auto"/>
              <w:jc w:val="right"/>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 xml:space="preserve">   1.6</w:t>
            </w:r>
            <w:r w:rsidRPr="00DB36EE">
              <w:rPr>
                <w:rFonts w:ascii="Calibri" w:eastAsia="Times New Roman" w:hAnsi="Calibri" w:cs="Times New Roman"/>
                <w:color w:val="000000"/>
                <w:sz w:val="18"/>
                <w:szCs w:val="18"/>
                <w:lang w:eastAsia="en-AU"/>
              </w:rPr>
              <w:t xml:space="preserve"> </w:t>
            </w:r>
          </w:p>
        </w:tc>
      </w:tr>
    </w:tbl>
    <w:p w:rsidR="003A4943" w:rsidRDefault="00146223" w:rsidP="00146223">
      <w:pPr>
        <w:pStyle w:val="MJAheading4"/>
      </w:pPr>
      <w:r>
        <w:t>Costs associa</w:t>
      </w:r>
      <w:r w:rsidR="004671E2">
        <w:t>ted with workplace injuries and illnesses</w:t>
      </w:r>
    </w:p>
    <w:p w:rsidR="00DA75DE" w:rsidRDefault="004671E2" w:rsidP="0033574D">
      <w:pPr>
        <w:pStyle w:val="MJAnormal"/>
      </w:pPr>
      <w:r>
        <w:t xml:space="preserve">The handling of hazardous wastes, either </w:t>
      </w:r>
      <w:r w:rsidR="00BA0CBE">
        <w:t>in-situ or off site may</w:t>
      </w:r>
      <w:r>
        <w:t xml:space="preserve"> lead </w:t>
      </w:r>
      <w:r w:rsidR="00BA0CBE">
        <w:t>to workplace related illness and injur</w:t>
      </w:r>
      <w:r w:rsidR="0009271F">
        <w:t>y</w:t>
      </w:r>
      <w:r w:rsidR="00BA0CBE">
        <w:t xml:space="preserve"> (including </w:t>
      </w:r>
      <w:r w:rsidR="0009271F">
        <w:t>death</w:t>
      </w:r>
      <w:r w:rsidR="00BA0CBE">
        <w:t xml:space="preserve"> in extreme</w:t>
      </w:r>
      <w:r>
        <w:t xml:space="preserve"> </w:t>
      </w:r>
      <w:r w:rsidR="00BA0CBE">
        <w:t xml:space="preserve">circumstances).  </w:t>
      </w:r>
    </w:p>
    <w:p w:rsidR="00DA75DE" w:rsidRPr="00755B45" w:rsidRDefault="00DA75DE" w:rsidP="00DA75DE">
      <w:pPr>
        <w:pStyle w:val="MJAnormal"/>
      </w:pPr>
      <w:r w:rsidRPr="00755B45">
        <w:t xml:space="preserve">Injury </w:t>
      </w:r>
      <w:r w:rsidR="000D76D9">
        <w:t xml:space="preserve">and illness </w:t>
      </w:r>
      <w:r w:rsidRPr="00755B45">
        <w:t>data is broadly classified at the highest level by industry, occupation, and by injury and disease classification</w:t>
      </w:r>
      <w:r w:rsidR="00A73116">
        <w:t xml:space="preserve"> (</w:t>
      </w:r>
      <w:r w:rsidR="00732F35">
        <w:fldChar w:fldCharType="begin"/>
      </w:r>
      <w:r w:rsidR="00A73116">
        <w:instrText xml:space="preserve"> REF _Ref391723297 \h </w:instrText>
      </w:r>
      <w:r w:rsidR="00732F35">
        <w:fldChar w:fldCharType="separate"/>
      </w:r>
      <w:r w:rsidR="00D54C27" w:rsidRPr="00755B45">
        <w:t xml:space="preserve">Table </w:t>
      </w:r>
      <w:r w:rsidR="00D54C27">
        <w:rPr>
          <w:noProof/>
        </w:rPr>
        <w:t>17</w:t>
      </w:r>
      <w:r w:rsidR="00732F35">
        <w:fldChar w:fldCharType="end"/>
      </w:r>
      <w:r w:rsidR="00A73116">
        <w:t>)</w:t>
      </w:r>
      <w:r w:rsidRPr="00755B45">
        <w:t>.</w:t>
      </w:r>
    </w:p>
    <w:p w:rsidR="00DA75DE" w:rsidRPr="00755B45" w:rsidRDefault="00DA75DE" w:rsidP="00DA75DE">
      <w:pPr>
        <w:pStyle w:val="Caption"/>
      </w:pPr>
      <w:bookmarkStart w:id="49" w:name="_Ref391723297"/>
      <w:bookmarkStart w:id="50" w:name="_Toc343866197"/>
      <w:r w:rsidRPr="00755B45">
        <w:lastRenderedPageBreak/>
        <w:t xml:space="preserve">Table </w:t>
      </w:r>
      <w:r w:rsidR="00732F35">
        <w:fldChar w:fldCharType="begin"/>
      </w:r>
      <w:r w:rsidR="006244E1">
        <w:instrText xml:space="preserve"> SEQ Table \* ARABIC </w:instrText>
      </w:r>
      <w:r w:rsidR="00732F35">
        <w:fldChar w:fldCharType="separate"/>
      </w:r>
      <w:r w:rsidR="00D54C27">
        <w:rPr>
          <w:noProof/>
        </w:rPr>
        <w:t>17</w:t>
      </w:r>
      <w:r w:rsidR="00732F35">
        <w:rPr>
          <w:noProof/>
        </w:rPr>
        <w:fldChar w:fldCharType="end"/>
      </w:r>
      <w:bookmarkEnd w:id="49"/>
      <w:r w:rsidRPr="00755B45">
        <w:t xml:space="preserve">: Injury </w:t>
      </w:r>
      <w:r w:rsidR="000D76D9">
        <w:t xml:space="preserve">and illness </w:t>
      </w:r>
      <w:r w:rsidRPr="00755B45">
        <w:t>data classifications</w:t>
      </w:r>
      <w:bookmarkEnd w:id="50"/>
    </w:p>
    <w:tbl>
      <w:tblPr>
        <w:tblStyle w:val="MJATable1"/>
        <w:tblW w:w="0" w:type="auto"/>
        <w:tblLook w:val="04E0"/>
      </w:tblPr>
      <w:tblGrid>
        <w:gridCol w:w="1951"/>
        <w:gridCol w:w="6769"/>
      </w:tblGrid>
      <w:tr w:rsidR="00DA75DE" w:rsidRPr="00755B45" w:rsidTr="00A73116">
        <w:trPr>
          <w:cnfStyle w:val="100000000000"/>
        </w:trPr>
        <w:tc>
          <w:tcPr>
            <w:cnfStyle w:val="001000000000"/>
            <w:tcW w:w="1951" w:type="dxa"/>
          </w:tcPr>
          <w:p w:rsidR="00DA75DE" w:rsidRPr="00755B45" w:rsidRDefault="00DA75DE" w:rsidP="00A73116">
            <w:pPr>
              <w:pStyle w:val="MJATableRow"/>
              <w:keepNext/>
              <w:keepLines/>
            </w:pPr>
            <w:r w:rsidRPr="00160B58">
              <w:t>Classification</w:t>
            </w:r>
          </w:p>
        </w:tc>
        <w:tc>
          <w:tcPr>
            <w:tcW w:w="6769" w:type="dxa"/>
          </w:tcPr>
          <w:p w:rsidR="00DA75DE" w:rsidRPr="00755B45" w:rsidRDefault="00DA75DE" w:rsidP="00A73116">
            <w:pPr>
              <w:pStyle w:val="MJATableRow"/>
              <w:keepNext/>
              <w:keepLines/>
              <w:cnfStyle w:val="100000000000"/>
            </w:pPr>
            <w:r w:rsidRPr="00160B58">
              <w:t>Details</w:t>
            </w:r>
          </w:p>
        </w:tc>
      </w:tr>
      <w:tr w:rsidR="00DA75DE" w:rsidRPr="00755B45" w:rsidTr="00A73116">
        <w:tc>
          <w:tcPr>
            <w:cnfStyle w:val="001000000000"/>
            <w:tcW w:w="1951" w:type="dxa"/>
            <w:vAlign w:val="top"/>
          </w:tcPr>
          <w:p w:rsidR="00DA75DE" w:rsidRPr="00A73116" w:rsidRDefault="00DA75DE" w:rsidP="00A73116">
            <w:pPr>
              <w:pStyle w:val="MJATableRow"/>
              <w:keepNext/>
              <w:keepLines/>
              <w:rPr>
                <w:b/>
              </w:rPr>
            </w:pPr>
            <w:r w:rsidRPr="00A73116">
              <w:rPr>
                <w:b/>
              </w:rPr>
              <w:t>Industry classification</w:t>
            </w:r>
          </w:p>
        </w:tc>
        <w:tc>
          <w:tcPr>
            <w:tcW w:w="6769" w:type="dxa"/>
          </w:tcPr>
          <w:p w:rsidR="00DA75DE" w:rsidRPr="00755B45" w:rsidRDefault="00DA75DE" w:rsidP="00CB333D">
            <w:pPr>
              <w:pStyle w:val="MJATableRow"/>
              <w:keepNext/>
              <w:keepLines/>
              <w:spacing w:before="120"/>
              <w:contextualSpacing/>
              <w:jc w:val="both"/>
              <w:cnfStyle w:val="000000000000"/>
            </w:pPr>
            <w:r w:rsidRPr="00160B58">
              <w:t xml:space="preserve">The industry classification codes are in accordance with the Australian and New Zealand Standard Industrial Classification (ANZSIC) published by the </w:t>
            </w:r>
            <w:r w:rsidRPr="00755B45">
              <w:t>Australian Bureau of Statistics. The classification codes are based on a hierarchal structure consisting of one digit codes (broadest level) down to four digit codes (finest level).</w:t>
            </w:r>
          </w:p>
        </w:tc>
      </w:tr>
      <w:tr w:rsidR="00DA75DE" w:rsidRPr="00755B45" w:rsidTr="00A73116">
        <w:tc>
          <w:tcPr>
            <w:cnfStyle w:val="001000000000"/>
            <w:tcW w:w="1951" w:type="dxa"/>
            <w:vAlign w:val="top"/>
          </w:tcPr>
          <w:p w:rsidR="00DA75DE" w:rsidRPr="00A73116" w:rsidRDefault="00DA75DE" w:rsidP="00A73116">
            <w:pPr>
              <w:pStyle w:val="MJATableRow"/>
              <w:keepNext/>
              <w:keepLines/>
              <w:contextualSpacing/>
              <w:rPr>
                <w:b/>
              </w:rPr>
            </w:pPr>
            <w:r w:rsidRPr="00A73116">
              <w:rPr>
                <w:b/>
              </w:rPr>
              <w:t>Occupation classifications</w:t>
            </w:r>
          </w:p>
        </w:tc>
        <w:tc>
          <w:tcPr>
            <w:tcW w:w="6769" w:type="dxa"/>
          </w:tcPr>
          <w:p w:rsidR="00DA75DE" w:rsidRPr="00755B45" w:rsidRDefault="00DA75DE" w:rsidP="00A73116">
            <w:pPr>
              <w:pStyle w:val="MJATableRow"/>
              <w:keepNext/>
              <w:keepLines/>
              <w:contextualSpacing/>
              <w:jc w:val="both"/>
              <w:cnfStyle w:val="000000000000"/>
            </w:pPr>
            <w:r w:rsidRPr="00755B45">
              <w:t>The occupation classifications are in accordance with the Australian Standard Classification of Occupations 2nd Edition (ASCO), for data reported up to and including the year 2008-09, and the Australian and New Zealand Standard Classification of Occupations First Edition (ANZSCO), for data reported from the year 2009-10 onward.</w:t>
            </w:r>
          </w:p>
        </w:tc>
      </w:tr>
      <w:tr w:rsidR="00DA75DE" w:rsidRPr="00755B45" w:rsidTr="00A73116">
        <w:trPr>
          <w:cnfStyle w:val="010000000000"/>
        </w:trPr>
        <w:tc>
          <w:tcPr>
            <w:cnfStyle w:val="001000000000"/>
            <w:tcW w:w="1951" w:type="dxa"/>
            <w:vAlign w:val="top"/>
          </w:tcPr>
          <w:p w:rsidR="00DA75DE" w:rsidRPr="00755B45" w:rsidRDefault="00DA75DE" w:rsidP="00A73116">
            <w:pPr>
              <w:pStyle w:val="MJATableRow"/>
              <w:keepNext/>
              <w:keepLines/>
              <w:contextualSpacing/>
            </w:pPr>
            <w:r w:rsidRPr="00160B58">
              <w:t>Injury and disease classification</w:t>
            </w:r>
          </w:p>
        </w:tc>
        <w:tc>
          <w:tcPr>
            <w:tcW w:w="6769" w:type="dxa"/>
          </w:tcPr>
          <w:p w:rsidR="00DA75DE" w:rsidRPr="00DA75DE" w:rsidRDefault="00DA75DE" w:rsidP="00A73116">
            <w:pPr>
              <w:pStyle w:val="MJATableRow"/>
              <w:keepNext/>
              <w:keepLines/>
              <w:contextualSpacing/>
              <w:jc w:val="both"/>
              <w:cnfStyle w:val="010000000000"/>
              <w:rPr>
                <w:b w:val="0"/>
              </w:rPr>
            </w:pPr>
            <w:r w:rsidRPr="00DA75DE">
              <w:rPr>
                <w:b w:val="0"/>
              </w:rPr>
              <w:t xml:space="preserve">The injury and disease classification groupings and descriptions are the standard terms </w:t>
            </w:r>
            <w:r w:rsidR="00656278">
              <w:rPr>
                <w:b w:val="0"/>
              </w:rPr>
              <w:t xml:space="preserve">taken from the Safe Work Australia (formerly Australian Safety and Compensation Council) </w:t>
            </w:r>
            <w:r w:rsidRPr="00DA75DE">
              <w:rPr>
                <w:b w:val="0"/>
              </w:rPr>
              <w:t>publication: Type of Occurrence Classification System (TOOCS</w:t>
            </w:r>
            <w:r w:rsidR="00656278">
              <w:rPr>
                <w:b w:val="0"/>
              </w:rPr>
              <w:t>, ASCC 2008</w:t>
            </w:r>
            <w:r w:rsidRPr="00DA75DE">
              <w:rPr>
                <w:b w:val="0"/>
              </w:rPr>
              <w:t>).</w:t>
            </w:r>
          </w:p>
          <w:p w:rsidR="00DA75DE" w:rsidRPr="00DA75DE" w:rsidRDefault="00DA75DE" w:rsidP="00A73116">
            <w:pPr>
              <w:pStyle w:val="MJATableRow"/>
              <w:keepNext/>
              <w:keepLines/>
              <w:jc w:val="both"/>
              <w:cnfStyle w:val="010000000000"/>
              <w:rPr>
                <w:b w:val="0"/>
              </w:rPr>
            </w:pPr>
            <w:r w:rsidRPr="00DA75DE">
              <w:rPr>
                <w:b w:val="0"/>
              </w:rPr>
              <w:t>The following four classifications are used to describe the type of injury or disease sustained by the worker and the way in which it was inflicted:</w:t>
            </w:r>
          </w:p>
          <w:p w:rsidR="00DA75DE" w:rsidRDefault="00DA75DE" w:rsidP="00DA75DE">
            <w:pPr>
              <w:pStyle w:val="MJATableRow"/>
              <w:keepNext/>
              <w:keepLines/>
              <w:numPr>
                <w:ilvl w:val="0"/>
                <w:numId w:val="24"/>
              </w:numPr>
              <w:jc w:val="both"/>
              <w:cnfStyle w:val="010000000000"/>
              <w:rPr>
                <w:b w:val="0"/>
              </w:rPr>
            </w:pPr>
            <w:r w:rsidRPr="00DA75DE">
              <w:rPr>
                <w:b w:val="0"/>
              </w:rPr>
              <w:t>Nature of Injury/Disease;</w:t>
            </w:r>
          </w:p>
          <w:p w:rsidR="00DA75DE" w:rsidRDefault="00DA75DE" w:rsidP="00DA75DE">
            <w:pPr>
              <w:pStyle w:val="MJATableRow"/>
              <w:keepNext/>
              <w:keepLines/>
              <w:numPr>
                <w:ilvl w:val="0"/>
                <w:numId w:val="24"/>
              </w:numPr>
              <w:jc w:val="both"/>
              <w:cnfStyle w:val="010000000000"/>
              <w:rPr>
                <w:b w:val="0"/>
              </w:rPr>
            </w:pPr>
            <w:r w:rsidRPr="00DA75DE">
              <w:rPr>
                <w:b w:val="0"/>
              </w:rPr>
              <w:t xml:space="preserve">Bodily Location of Injury/Disease; </w:t>
            </w:r>
          </w:p>
          <w:p w:rsidR="00DA75DE" w:rsidRDefault="00DA75DE" w:rsidP="00DA75DE">
            <w:pPr>
              <w:pStyle w:val="MJATableRow"/>
              <w:keepNext/>
              <w:keepLines/>
              <w:numPr>
                <w:ilvl w:val="0"/>
                <w:numId w:val="24"/>
              </w:numPr>
              <w:jc w:val="both"/>
              <w:cnfStyle w:val="010000000000"/>
              <w:rPr>
                <w:b w:val="0"/>
              </w:rPr>
            </w:pPr>
            <w:r w:rsidRPr="00DA75DE">
              <w:rPr>
                <w:b w:val="0"/>
              </w:rPr>
              <w:t>Mechanism of Injury/Disease; and</w:t>
            </w:r>
          </w:p>
          <w:p w:rsidR="00DA75DE" w:rsidRPr="00DA75DE" w:rsidRDefault="00DA75DE" w:rsidP="00DA75DE">
            <w:pPr>
              <w:pStyle w:val="MJATableRow"/>
              <w:keepNext/>
              <w:keepLines/>
              <w:numPr>
                <w:ilvl w:val="0"/>
                <w:numId w:val="24"/>
              </w:numPr>
              <w:jc w:val="both"/>
              <w:cnfStyle w:val="010000000000"/>
              <w:rPr>
                <w:b w:val="0"/>
              </w:rPr>
            </w:pPr>
            <w:r w:rsidRPr="00DA75DE">
              <w:rPr>
                <w:b w:val="0"/>
              </w:rPr>
              <w:t>Agency.</w:t>
            </w:r>
            <w:r w:rsidRPr="00DA75DE">
              <w:t xml:space="preserve"> </w:t>
            </w:r>
          </w:p>
        </w:tc>
      </w:tr>
    </w:tbl>
    <w:p w:rsidR="0033574D" w:rsidRDefault="00A73116" w:rsidP="0033574D">
      <w:pPr>
        <w:pStyle w:val="MJAnormal"/>
      </w:pPr>
      <w:r>
        <w:t xml:space="preserve">Depending on the classification, </w:t>
      </w:r>
      <w:r w:rsidR="000D76D9">
        <w:t>i</w:t>
      </w:r>
      <w:r w:rsidR="0009271F">
        <w:t>njuries and illnesses have economic costs including:</w:t>
      </w:r>
    </w:p>
    <w:p w:rsidR="00CB2996" w:rsidRPr="00CB2996" w:rsidRDefault="00CB2996" w:rsidP="00CB2996">
      <w:pPr>
        <w:pStyle w:val="MJAbulletnormal"/>
        <w:numPr>
          <w:ilvl w:val="0"/>
          <w:numId w:val="2"/>
        </w:numPr>
        <w:rPr>
          <w:szCs w:val="20"/>
        </w:rPr>
      </w:pPr>
      <w:r w:rsidRPr="00CB2996">
        <w:rPr>
          <w:szCs w:val="20"/>
        </w:rPr>
        <w:t>w</w:t>
      </w:r>
      <w:r w:rsidR="0009271F" w:rsidRPr="00CB2996">
        <w:rPr>
          <w:szCs w:val="20"/>
        </w:rPr>
        <w:t>orkers compensation</w:t>
      </w:r>
      <w:r w:rsidRPr="00CB2996">
        <w:rPr>
          <w:szCs w:val="20"/>
        </w:rPr>
        <w:t xml:space="preserve"> (for death or injury); </w:t>
      </w:r>
    </w:p>
    <w:p w:rsidR="00CB2996" w:rsidRPr="00CB2996" w:rsidRDefault="00CB2996" w:rsidP="00CB2996">
      <w:pPr>
        <w:pStyle w:val="MJAbulletnormal"/>
        <w:numPr>
          <w:ilvl w:val="0"/>
          <w:numId w:val="2"/>
        </w:numPr>
        <w:rPr>
          <w:szCs w:val="20"/>
        </w:rPr>
      </w:pPr>
      <w:r w:rsidRPr="00CB2996">
        <w:rPr>
          <w:szCs w:val="20"/>
        </w:rPr>
        <w:t>medical costs and rehabilitation costs;</w:t>
      </w:r>
    </w:p>
    <w:p w:rsidR="0009271F" w:rsidRPr="00CB2996" w:rsidRDefault="00CB2996" w:rsidP="00CB2996">
      <w:pPr>
        <w:pStyle w:val="MJAbulletnormal"/>
        <w:numPr>
          <w:ilvl w:val="0"/>
          <w:numId w:val="2"/>
        </w:numPr>
        <w:rPr>
          <w:szCs w:val="20"/>
        </w:rPr>
      </w:pPr>
      <w:proofErr w:type="spellStart"/>
      <w:r w:rsidRPr="00CB2996">
        <w:rPr>
          <w:szCs w:val="20"/>
        </w:rPr>
        <w:t>lost</w:t>
      </w:r>
      <w:proofErr w:type="spellEnd"/>
      <w:r w:rsidRPr="00CB2996">
        <w:rPr>
          <w:szCs w:val="20"/>
        </w:rPr>
        <w:t xml:space="preserve"> of future earnings by injured or killed workers;</w:t>
      </w:r>
    </w:p>
    <w:p w:rsidR="00CB2996" w:rsidRPr="00CB2996" w:rsidRDefault="00CB2996" w:rsidP="00CB2996">
      <w:pPr>
        <w:pStyle w:val="MJAbulletnormal"/>
        <w:numPr>
          <w:ilvl w:val="0"/>
          <w:numId w:val="2"/>
        </w:numPr>
        <w:rPr>
          <w:szCs w:val="20"/>
        </w:rPr>
      </w:pPr>
      <w:r w:rsidRPr="00CB2996">
        <w:rPr>
          <w:szCs w:val="20"/>
        </w:rPr>
        <w:t>lost production at work sites; and</w:t>
      </w:r>
    </w:p>
    <w:p w:rsidR="00CB2996" w:rsidRDefault="00CB2996" w:rsidP="00CB2996">
      <w:pPr>
        <w:pStyle w:val="MJAbulletnormal"/>
        <w:numPr>
          <w:ilvl w:val="0"/>
          <w:numId w:val="2"/>
        </w:numPr>
      </w:pPr>
      <w:proofErr w:type="gramStart"/>
      <w:r w:rsidRPr="00CB2996">
        <w:rPr>
          <w:szCs w:val="20"/>
        </w:rPr>
        <w:t>associated</w:t>
      </w:r>
      <w:proofErr w:type="gramEnd"/>
      <w:r w:rsidRPr="00CB2996">
        <w:rPr>
          <w:szCs w:val="20"/>
        </w:rPr>
        <w:t xml:space="preserve"> administration costs.</w:t>
      </w:r>
    </w:p>
    <w:p w:rsidR="009D391E" w:rsidRDefault="00933F1D" w:rsidP="0033574D">
      <w:pPr>
        <w:pStyle w:val="MJAnormal"/>
      </w:pPr>
      <w:r>
        <w:t>Safe Work Australia compiles data of workers compensation claims at industry (ANZSIC classification) level, according to the injury and illness classification.  Data is also compiled on specific c</w:t>
      </w:r>
      <w:r w:rsidRPr="007069BB">
        <w:t xml:space="preserve">hemicals and </w:t>
      </w:r>
      <w:r>
        <w:t>biological substances as agency of injury/d</w:t>
      </w:r>
      <w:r w:rsidRPr="007069BB">
        <w:t>isease</w:t>
      </w:r>
      <w:r>
        <w:t>.  However, Safe Work Australia notes</w:t>
      </w:r>
      <w:r w:rsidRPr="007069BB">
        <w:t xml:space="preserve"> that the quality of information held on disease causing agents </w:t>
      </w:r>
      <w:r>
        <w:t xml:space="preserve">in particular </w:t>
      </w:r>
      <w:r w:rsidRPr="007069BB">
        <w:t xml:space="preserve">tends to be of </w:t>
      </w:r>
      <w:r>
        <w:t xml:space="preserve">relatively poor </w:t>
      </w:r>
      <w:r w:rsidRPr="007069BB">
        <w:t>quality</w:t>
      </w:r>
      <w:r>
        <w:t xml:space="preserve"> </w:t>
      </w:r>
      <w:r w:rsidRPr="007069BB">
        <w:t>owing to difficulties in proving a lin</w:t>
      </w:r>
      <w:r>
        <w:t xml:space="preserve">k between exposure and disease, </w:t>
      </w:r>
      <w:r w:rsidRPr="007069BB">
        <w:t>exception</w:t>
      </w:r>
      <w:r>
        <w:t xml:space="preserve">s being </w:t>
      </w:r>
      <w:r w:rsidRPr="007069BB">
        <w:t xml:space="preserve">where there is a very specific cause </w:t>
      </w:r>
      <w:r>
        <w:t>(</w:t>
      </w:r>
      <w:r w:rsidRPr="007069BB">
        <w:t>e.g. mesothelioma and asbestos</w:t>
      </w:r>
      <w:r>
        <w:t>,</w:t>
      </w:r>
      <w:r w:rsidRPr="007069BB">
        <w:t xml:space="preserve"> </w:t>
      </w:r>
      <w:r>
        <w:t>ASCC 2008)</w:t>
      </w:r>
      <w:r w:rsidRPr="007069BB">
        <w:t>.</w:t>
      </w:r>
      <w:r>
        <w:t xml:space="preserve"> Furthermore, data is not compiled in a format that allows for direct calculation of work place deaths, injuries and illnesses that can be attributed to “hazardous wastes”.  Although there is data on workplace related injuries and illnesses in the “</w:t>
      </w:r>
      <w:r w:rsidRPr="007069BB">
        <w:t>Electricity, Gas, Water and Waste Services</w:t>
      </w:r>
      <w:r>
        <w:t xml:space="preserve">” sector, this data does not distinguish between hazardous and non-hazardous wastes.  More importantly, the data only reflects </w:t>
      </w:r>
      <w:r w:rsidRPr="003337E0">
        <w:t xml:space="preserve">injuries and illnesses </w:t>
      </w:r>
      <w:r>
        <w:t xml:space="preserve">specific to the waste management sector and does not cover </w:t>
      </w:r>
      <w:r w:rsidRPr="003337E0">
        <w:t>injuries and illnesses</w:t>
      </w:r>
      <w:r>
        <w:t xml:space="preserve"> related to hazardous waste that occur in sectors that are the sources of hazardous wastes such as mining and manufacturing.</w:t>
      </w:r>
    </w:p>
    <w:p w:rsidR="003337E0" w:rsidRDefault="009D391E" w:rsidP="0033574D">
      <w:pPr>
        <w:pStyle w:val="MJAnormal"/>
      </w:pPr>
      <w:r w:rsidRPr="00897CE5">
        <w:rPr>
          <w:rFonts w:eastAsia="Calibri"/>
        </w:rPr>
        <w:t>However, estimates can be derived by comparing the annual value of WorkCover payments with the total estimated cost of injury and illness reported by Safe Work Australia (2012a).</w:t>
      </w:r>
      <w:r>
        <w:t xml:space="preserve"> T</w:t>
      </w:r>
      <w:r w:rsidR="003337E0">
        <w:t>he following approach was taken</w:t>
      </w:r>
      <w:r>
        <w:t xml:space="preserve"> to derive these estimates</w:t>
      </w:r>
      <w:r w:rsidR="003337E0">
        <w:t>:</w:t>
      </w:r>
    </w:p>
    <w:p w:rsidR="003C3A21" w:rsidRDefault="003337E0" w:rsidP="006762ED">
      <w:pPr>
        <w:pStyle w:val="MJAbulletnormal"/>
        <w:numPr>
          <w:ilvl w:val="0"/>
          <w:numId w:val="2"/>
        </w:numPr>
        <w:rPr>
          <w:szCs w:val="20"/>
        </w:rPr>
      </w:pPr>
      <w:r w:rsidRPr="006762ED">
        <w:rPr>
          <w:szCs w:val="20"/>
        </w:rPr>
        <w:t>Information relating to the economic costs of ‘chemicals and other hazardous substances’ and ‘biological hazards’ was obtained from Safe Work Australia</w:t>
      </w:r>
      <w:r w:rsidR="003C3A21">
        <w:rPr>
          <w:szCs w:val="20"/>
        </w:rPr>
        <w:t xml:space="preserve"> databases.</w:t>
      </w:r>
      <w:r w:rsidRPr="006762ED">
        <w:rPr>
          <w:szCs w:val="20"/>
        </w:rPr>
        <w:t xml:space="preserve"> </w:t>
      </w:r>
    </w:p>
    <w:p w:rsidR="00E16E65" w:rsidRPr="006762ED" w:rsidRDefault="006E2FDD" w:rsidP="006762ED">
      <w:pPr>
        <w:pStyle w:val="MJAbulletnormal"/>
        <w:numPr>
          <w:ilvl w:val="0"/>
          <w:numId w:val="2"/>
        </w:numPr>
        <w:rPr>
          <w:szCs w:val="20"/>
        </w:rPr>
      </w:pPr>
      <w:r>
        <w:rPr>
          <w:szCs w:val="20"/>
        </w:rPr>
        <w:lastRenderedPageBreak/>
        <w:t>This data reveals that the costs of claims for serious accidents  relating to</w:t>
      </w:r>
      <w:r w:rsidR="00E16E65" w:rsidRPr="006762ED">
        <w:rPr>
          <w:szCs w:val="20"/>
        </w:rPr>
        <w:t xml:space="preserve"> ‘chemicals and other hazardous substances’ </w:t>
      </w:r>
      <w:r>
        <w:rPr>
          <w:szCs w:val="20"/>
        </w:rPr>
        <w:t xml:space="preserve">averaged </w:t>
      </w:r>
      <w:r w:rsidR="00765BCA">
        <w:rPr>
          <w:szCs w:val="20"/>
        </w:rPr>
        <w:t xml:space="preserve">about $125 million per year </w:t>
      </w:r>
      <w:r>
        <w:rPr>
          <w:szCs w:val="20"/>
        </w:rPr>
        <w:t>over the five year period 2008-2012</w:t>
      </w:r>
      <w:r w:rsidR="00765BCA">
        <w:rPr>
          <w:szCs w:val="20"/>
        </w:rPr>
        <w:t>.  Similarly, claims for serious accidents relating to</w:t>
      </w:r>
      <w:r w:rsidR="00765BCA" w:rsidRPr="006762ED">
        <w:rPr>
          <w:szCs w:val="20"/>
        </w:rPr>
        <w:t xml:space="preserve"> </w:t>
      </w:r>
      <w:r w:rsidR="00765BCA">
        <w:rPr>
          <w:szCs w:val="20"/>
        </w:rPr>
        <w:t>‘biological hazards’ averaged about $88 million</w:t>
      </w:r>
      <w:r w:rsidR="00E16E65" w:rsidRPr="006762ED">
        <w:rPr>
          <w:szCs w:val="20"/>
        </w:rPr>
        <w:t xml:space="preserve">. </w:t>
      </w:r>
    </w:p>
    <w:p w:rsidR="00765BCA" w:rsidRDefault="00E16E65" w:rsidP="006762ED">
      <w:pPr>
        <w:pStyle w:val="MJAbulletnormal"/>
        <w:numPr>
          <w:ilvl w:val="0"/>
          <w:numId w:val="2"/>
        </w:numPr>
        <w:rPr>
          <w:szCs w:val="20"/>
        </w:rPr>
      </w:pPr>
      <w:r w:rsidRPr="006762ED">
        <w:rPr>
          <w:szCs w:val="20"/>
        </w:rPr>
        <w:t xml:space="preserve">Data on </w:t>
      </w:r>
      <w:r w:rsidR="003337E0" w:rsidRPr="006762ED">
        <w:rPr>
          <w:szCs w:val="20"/>
        </w:rPr>
        <w:t>workers comp</w:t>
      </w:r>
      <w:r w:rsidRPr="006762ED">
        <w:rPr>
          <w:szCs w:val="20"/>
        </w:rPr>
        <w:t>ensa</w:t>
      </w:r>
      <w:r w:rsidR="003337E0" w:rsidRPr="006762ED">
        <w:rPr>
          <w:szCs w:val="20"/>
        </w:rPr>
        <w:t xml:space="preserve">tion </w:t>
      </w:r>
      <w:r w:rsidRPr="006762ED">
        <w:rPr>
          <w:szCs w:val="20"/>
        </w:rPr>
        <w:t>claims and costs relating to ‘chemicals and other hazardous substances’ and ‘biological hazards’ wa</w:t>
      </w:r>
      <w:r w:rsidR="00765BCA">
        <w:rPr>
          <w:szCs w:val="20"/>
        </w:rPr>
        <w:t>s used to cross-check this data.</w:t>
      </w:r>
      <w:r w:rsidRPr="006762ED">
        <w:rPr>
          <w:szCs w:val="20"/>
        </w:rPr>
        <w:t xml:space="preserve"> </w:t>
      </w:r>
    </w:p>
    <w:p w:rsidR="003337E0" w:rsidRPr="006762ED" w:rsidRDefault="00E16E65" w:rsidP="009D391E">
      <w:pPr>
        <w:pStyle w:val="MJAbulletnormal"/>
        <w:numPr>
          <w:ilvl w:val="0"/>
          <w:numId w:val="2"/>
        </w:numPr>
        <w:rPr>
          <w:szCs w:val="20"/>
        </w:rPr>
      </w:pPr>
      <w:r w:rsidRPr="006762ED">
        <w:rPr>
          <w:szCs w:val="20"/>
        </w:rPr>
        <w:t>Safe Work Australia uses a multiplier of 10.2 to determine economic costs of work-related injuries and ill</w:t>
      </w:r>
      <w:r w:rsidR="00765BCA">
        <w:rPr>
          <w:szCs w:val="20"/>
        </w:rPr>
        <w:t>nesses from workers claim</w:t>
      </w:r>
      <w:r w:rsidRPr="006762ED">
        <w:rPr>
          <w:szCs w:val="20"/>
        </w:rPr>
        <w:t xml:space="preserve"> costs</w:t>
      </w:r>
      <w:r w:rsidR="009D391E">
        <w:rPr>
          <w:szCs w:val="20"/>
        </w:rPr>
        <w:t xml:space="preserve"> (i.e. </w:t>
      </w:r>
      <w:r w:rsidR="009D391E" w:rsidRPr="009D391E">
        <w:rPr>
          <w:szCs w:val="20"/>
        </w:rPr>
        <w:t>on average</w:t>
      </w:r>
      <w:r w:rsidR="009D391E">
        <w:rPr>
          <w:szCs w:val="20"/>
        </w:rPr>
        <w:t>,</w:t>
      </w:r>
      <w:r w:rsidR="009D391E" w:rsidRPr="009D391E">
        <w:rPr>
          <w:szCs w:val="20"/>
        </w:rPr>
        <w:t xml:space="preserve"> the total </w:t>
      </w:r>
      <w:r w:rsidR="009D391E">
        <w:rPr>
          <w:szCs w:val="20"/>
        </w:rPr>
        <w:t xml:space="preserve">economic </w:t>
      </w:r>
      <w:r w:rsidR="009D391E" w:rsidRPr="009D391E">
        <w:rPr>
          <w:szCs w:val="20"/>
        </w:rPr>
        <w:t>cost of injury and illness is 10</w:t>
      </w:r>
      <w:r w:rsidR="009D391E">
        <w:rPr>
          <w:szCs w:val="20"/>
        </w:rPr>
        <w:t>.2</w:t>
      </w:r>
      <w:r w:rsidR="009D391E" w:rsidRPr="009D391E">
        <w:rPr>
          <w:szCs w:val="20"/>
        </w:rPr>
        <w:t xml:space="preserve"> times the compensation paid</w:t>
      </w:r>
      <w:r w:rsidR="009D391E">
        <w:rPr>
          <w:szCs w:val="20"/>
        </w:rPr>
        <w:t>)</w:t>
      </w:r>
      <w:r w:rsidRPr="006762ED">
        <w:rPr>
          <w:szCs w:val="20"/>
        </w:rPr>
        <w:t>.</w:t>
      </w:r>
      <w:r w:rsidR="00765BCA">
        <w:rPr>
          <w:szCs w:val="20"/>
        </w:rPr>
        <w:t xml:space="preserve">  This was applied to the </w:t>
      </w:r>
      <w:r w:rsidR="00765BCA" w:rsidRPr="006762ED">
        <w:rPr>
          <w:szCs w:val="20"/>
        </w:rPr>
        <w:t>chemicals</w:t>
      </w:r>
      <w:r w:rsidR="00765BCA">
        <w:rPr>
          <w:szCs w:val="20"/>
        </w:rPr>
        <w:t xml:space="preserve"> and other hazardous substances claims and biological hazards claims to come up with estimate</w:t>
      </w:r>
      <w:r w:rsidR="0018532D">
        <w:rPr>
          <w:szCs w:val="20"/>
        </w:rPr>
        <w:t>s</w:t>
      </w:r>
      <w:r w:rsidR="00765BCA">
        <w:rPr>
          <w:szCs w:val="20"/>
        </w:rPr>
        <w:t xml:space="preserve"> of the total economic costs relating to these substances for 2012</w:t>
      </w:r>
      <w:r w:rsidR="0018532D">
        <w:rPr>
          <w:szCs w:val="20"/>
        </w:rPr>
        <w:t xml:space="preserve"> of 1,276 million and </w:t>
      </w:r>
      <w:r w:rsidR="00AD1A9B">
        <w:rPr>
          <w:szCs w:val="20"/>
        </w:rPr>
        <w:t>897</w:t>
      </w:r>
      <w:r w:rsidR="0018532D">
        <w:rPr>
          <w:szCs w:val="20"/>
        </w:rPr>
        <w:t xml:space="preserve"> million respectively</w:t>
      </w:r>
      <w:r w:rsidR="00765BCA">
        <w:rPr>
          <w:szCs w:val="20"/>
        </w:rPr>
        <w:t xml:space="preserve">. </w:t>
      </w:r>
    </w:p>
    <w:p w:rsidR="006762ED" w:rsidRPr="006762ED" w:rsidRDefault="006762ED" w:rsidP="006762ED">
      <w:pPr>
        <w:pStyle w:val="MJAbulletnormal"/>
        <w:numPr>
          <w:ilvl w:val="0"/>
          <w:numId w:val="2"/>
        </w:numPr>
        <w:rPr>
          <w:szCs w:val="20"/>
        </w:rPr>
      </w:pPr>
      <w:r w:rsidRPr="006762ED">
        <w:rPr>
          <w:szCs w:val="20"/>
        </w:rPr>
        <w:t>S</w:t>
      </w:r>
      <w:r w:rsidR="00E16E65" w:rsidRPr="006762ED">
        <w:rPr>
          <w:szCs w:val="20"/>
        </w:rPr>
        <w:t>urve</w:t>
      </w:r>
      <w:r w:rsidRPr="006762ED">
        <w:rPr>
          <w:szCs w:val="20"/>
        </w:rPr>
        <w:t>y data</w:t>
      </w:r>
      <w:r w:rsidR="00E16E65" w:rsidRPr="006762ED">
        <w:rPr>
          <w:szCs w:val="20"/>
        </w:rPr>
        <w:t xml:space="preserve"> of workers exposed to hazardous chemicals (Safe Australia 2012b) and biological hazards </w:t>
      </w:r>
      <w:r w:rsidRPr="006762ED">
        <w:rPr>
          <w:szCs w:val="20"/>
        </w:rPr>
        <w:t xml:space="preserve">(Safe Work Australia 2011) </w:t>
      </w:r>
      <w:r w:rsidR="00E16E65" w:rsidRPr="006762ED">
        <w:rPr>
          <w:szCs w:val="20"/>
        </w:rPr>
        <w:t xml:space="preserve">was used to ascertain the proportion of </w:t>
      </w:r>
      <w:r w:rsidRPr="006762ED">
        <w:rPr>
          <w:szCs w:val="20"/>
        </w:rPr>
        <w:t>the economic costs of ‘chemicals and other hazardous substances’ and ‘biological hazards’</w:t>
      </w:r>
      <w:r w:rsidR="00E16E65" w:rsidRPr="006762ED">
        <w:rPr>
          <w:szCs w:val="20"/>
        </w:rPr>
        <w:t xml:space="preserve"> </w:t>
      </w:r>
      <w:r w:rsidRPr="006762ED">
        <w:rPr>
          <w:szCs w:val="20"/>
        </w:rPr>
        <w:t>that could be attributed to chemical wastes and biological wastes. These proportions are estimated to be 7% and 3.4% respectively, reflecting the survey data which refers to the proportion of workers exposed to these substances who reported being exposed to hazardous waste (chemical or biological).</w:t>
      </w:r>
    </w:p>
    <w:p w:rsidR="00F83B08" w:rsidRPr="00F83B08" w:rsidRDefault="006762ED" w:rsidP="00F83B08">
      <w:pPr>
        <w:pStyle w:val="MJAbulletnormal"/>
        <w:numPr>
          <w:ilvl w:val="0"/>
          <w:numId w:val="2"/>
        </w:numPr>
        <w:rPr>
          <w:szCs w:val="20"/>
        </w:rPr>
      </w:pPr>
      <w:r w:rsidRPr="006762ED">
        <w:rPr>
          <w:szCs w:val="20"/>
        </w:rPr>
        <w:t>These proportions were then applied to the economic costs of ‘chemicals and other hazardous substances’ and ‘biological hazards’ to estimate the costs of hazardous wastes.</w:t>
      </w:r>
    </w:p>
    <w:p w:rsidR="00E16E65" w:rsidRDefault="00765BCA" w:rsidP="006A0464">
      <w:pPr>
        <w:pStyle w:val="MJAbulletnormal"/>
        <w:numPr>
          <w:ilvl w:val="0"/>
          <w:numId w:val="2"/>
        </w:numPr>
        <w:rPr>
          <w:szCs w:val="20"/>
        </w:rPr>
      </w:pPr>
      <w:r>
        <w:rPr>
          <w:szCs w:val="20"/>
        </w:rPr>
        <w:t>Costs projections for subsequent years</w:t>
      </w:r>
      <w:r w:rsidR="006762ED" w:rsidRPr="006762ED">
        <w:rPr>
          <w:szCs w:val="20"/>
        </w:rPr>
        <w:t xml:space="preserve"> were ascertained taking into account increasing real health costs on the one hand and data indicating that the incidence of workers compensation claim</w:t>
      </w:r>
      <w:r w:rsidR="006A0464">
        <w:rPr>
          <w:szCs w:val="20"/>
        </w:rPr>
        <w:t xml:space="preserve">s is </w:t>
      </w:r>
      <w:r w:rsidR="006762ED" w:rsidRPr="006A0464">
        <w:rPr>
          <w:szCs w:val="20"/>
        </w:rPr>
        <w:t xml:space="preserve">declining by about 1.2% per year. </w:t>
      </w:r>
    </w:p>
    <w:p w:rsidR="006A0464" w:rsidRDefault="006A0464" w:rsidP="006A0464">
      <w:pPr>
        <w:pStyle w:val="MJAbulletnormal"/>
        <w:numPr>
          <w:ilvl w:val="0"/>
          <w:numId w:val="2"/>
        </w:numPr>
        <w:rPr>
          <w:szCs w:val="20"/>
        </w:rPr>
      </w:pPr>
      <w:r>
        <w:rPr>
          <w:szCs w:val="20"/>
        </w:rPr>
        <w:t>Workers compensation costs were netted</w:t>
      </w:r>
      <w:r w:rsidR="00765BCA">
        <w:rPr>
          <w:szCs w:val="20"/>
        </w:rPr>
        <w:t xml:space="preserve"> from </w:t>
      </w:r>
      <w:r>
        <w:rPr>
          <w:szCs w:val="20"/>
        </w:rPr>
        <w:t>total</w:t>
      </w:r>
      <w:r w:rsidR="00765BCA">
        <w:rPr>
          <w:szCs w:val="20"/>
        </w:rPr>
        <w:t>s</w:t>
      </w:r>
      <w:r>
        <w:rPr>
          <w:szCs w:val="20"/>
        </w:rPr>
        <w:t xml:space="preserve"> to avoid double counting as those costs are likely to be reflected in the direct market costs.</w:t>
      </w:r>
    </w:p>
    <w:p w:rsidR="006A0464" w:rsidRPr="000D76D9" w:rsidRDefault="006A0464" w:rsidP="0033574D">
      <w:pPr>
        <w:pStyle w:val="MJAbulletnormal"/>
        <w:numPr>
          <w:ilvl w:val="0"/>
          <w:numId w:val="2"/>
        </w:numPr>
        <w:rPr>
          <w:rStyle w:val="MJAnormalChar1"/>
          <w:szCs w:val="20"/>
        </w:rPr>
      </w:pPr>
      <w:r>
        <w:rPr>
          <w:szCs w:val="20"/>
        </w:rPr>
        <w:t xml:space="preserve">Costs were apportioned to jurisdictions based on volumes of hazardous </w:t>
      </w:r>
      <w:r w:rsidRPr="00ED0913">
        <w:rPr>
          <w:rStyle w:val="MJAnormalChar1"/>
        </w:rPr>
        <w:t xml:space="preserve">waste (see </w:t>
      </w:r>
      <w:fldSimple w:instr=" REF _Ref391386930 \h  \* MERGEFORMAT ">
        <w:r w:rsidR="00D54C27" w:rsidRPr="00D54C27">
          <w:rPr>
            <w:rStyle w:val="MJAnormalChar1"/>
          </w:rPr>
          <w:t>Table 18</w:t>
        </w:r>
      </w:fldSimple>
      <w:r w:rsidRPr="00ED0913">
        <w:rPr>
          <w:rStyle w:val="MJAnormalChar1"/>
        </w:rPr>
        <w:t>).</w:t>
      </w:r>
    </w:p>
    <w:p w:rsidR="0056160A" w:rsidRPr="0056160A" w:rsidRDefault="0056160A" w:rsidP="0056160A">
      <w:pPr>
        <w:keepNext/>
        <w:keepLines/>
        <w:spacing w:before="120" w:after="120" w:line="240" w:lineRule="auto"/>
        <w:rPr>
          <w:rFonts w:ascii="Calibri" w:eastAsia="Times New Roman" w:hAnsi="Calibri" w:cs="Calibri"/>
          <w:b/>
          <w:bCs/>
          <w:sz w:val="20"/>
          <w:szCs w:val="20"/>
          <w:lang w:eastAsia="en-AU"/>
        </w:rPr>
      </w:pPr>
      <w:bookmarkStart w:id="51" w:name="_Ref391386930"/>
      <w:r w:rsidRPr="00F6696F">
        <w:rPr>
          <w:rFonts w:ascii="Calibri" w:eastAsia="Times New Roman" w:hAnsi="Calibri" w:cs="Calibri"/>
          <w:b/>
          <w:bCs/>
          <w:sz w:val="20"/>
          <w:szCs w:val="20"/>
          <w:lang w:eastAsia="en-AU"/>
        </w:rPr>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18</w:t>
      </w:r>
      <w:r w:rsidR="00732F35" w:rsidRPr="00F6696F">
        <w:rPr>
          <w:rFonts w:ascii="Calibri" w:eastAsia="Times New Roman" w:hAnsi="Calibri" w:cs="Calibri"/>
          <w:b/>
          <w:bCs/>
          <w:sz w:val="20"/>
          <w:szCs w:val="20"/>
          <w:lang w:eastAsia="en-AU"/>
        </w:rPr>
        <w:fldChar w:fldCharType="end"/>
      </w:r>
      <w:bookmarkEnd w:id="51"/>
      <w:r w:rsidRPr="00F6696F">
        <w:rPr>
          <w:rFonts w:ascii="Calibri" w:eastAsia="Times New Roman" w:hAnsi="Calibri" w:cs="Calibri"/>
          <w:b/>
          <w:bCs/>
          <w:sz w:val="20"/>
          <w:szCs w:val="20"/>
          <w:lang w:eastAsia="en-AU"/>
        </w:rPr>
        <w:t xml:space="preserve">:  </w:t>
      </w:r>
      <w:r>
        <w:rPr>
          <w:rFonts w:ascii="Calibri" w:eastAsia="Times New Roman" w:hAnsi="Calibri" w:cs="Calibri"/>
          <w:b/>
          <w:bCs/>
          <w:sz w:val="20"/>
          <w:szCs w:val="20"/>
          <w:lang w:eastAsia="en-AU"/>
        </w:rPr>
        <w:t xml:space="preserve"> Apportionment of the economic costs of hazardous waste-related injuries and illnesses between jurisdictions, 2012 ($ million)</w:t>
      </w:r>
    </w:p>
    <w:tbl>
      <w:tblPr>
        <w:tblW w:w="5000" w:type="pct"/>
        <w:tblLook w:val="04A0"/>
      </w:tblPr>
      <w:tblGrid>
        <w:gridCol w:w="2122"/>
        <w:gridCol w:w="799"/>
        <w:gridCol w:w="696"/>
        <w:gridCol w:w="799"/>
        <w:gridCol w:w="730"/>
        <w:gridCol w:w="696"/>
        <w:gridCol w:w="662"/>
        <w:gridCol w:w="687"/>
        <w:gridCol w:w="755"/>
        <w:gridCol w:w="774"/>
      </w:tblGrid>
      <w:tr w:rsidR="00A92FBB" w:rsidRPr="00421D58" w:rsidTr="00A92FBB">
        <w:trPr>
          <w:trHeight w:val="300"/>
        </w:trPr>
        <w:tc>
          <w:tcPr>
            <w:tcW w:w="845" w:type="pct"/>
            <w:tcBorders>
              <w:top w:val="nil"/>
              <w:left w:val="nil"/>
              <w:bottom w:val="nil"/>
              <w:right w:val="nil"/>
            </w:tcBorders>
            <w:shd w:val="clear" w:color="000000" w:fill="0093D0"/>
            <w:noWrap/>
            <w:vAlign w:val="bottom"/>
            <w:hideMark/>
          </w:tcPr>
          <w:p w:rsidR="0056160A" w:rsidRPr="00421D58" w:rsidRDefault="0056160A" w:rsidP="0056160A">
            <w:pPr>
              <w:spacing w:after="0" w:line="240" w:lineRule="auto"/>
              <w:rPr>
                <w:rFonts w:eastAsia="Times New Roman" w:cs="Times New Roman"/>
                <w:b/>
                <w:bCs/>
                <w:color w:val="FFFFFF"/>
                <w:sz w:val="16"/>
                <w:szCs w:val="16"/>
                <w:lang w:eastAsia="en-AU"/>
              </w:rPr>
            </w:pPr>
          </w:p>
        </w:tc>
        <w:tc>
          <w:tcPr>
            <w:tcW w:w="500" w:type="pct"/>
            <w:tcBorders>
              <w:top w:val="nil"/>
              <w:left w:val="nil"/>
              <w:bottom w:val="nil"/>
              <w:right w:val="nil"/>
            </w:tcBorders>
            <w:shd w:val="clear" w:color="000000" w:fill="0093D0"/>
            <w:noWrap/>
            <w:vAlign w:val="bottom"/>
            <w:hideMark/>
          </w:tcPr>
          <w:p w:rsidR="0056160A" w:rsidRPr="00421D58" w:rsidRDefault="0056160A" w:rsidP="0056160A">
            <w:pPr>
              <w:spacing w:after="0" w:line="240" w:lineRule="auto"/>
              <w:jc w:val="right"/>
              <w:rPr>
                <w:rFonts w:eastAsia="Times New Roman" w:cs="Times New Roman"/>
                <w:b/>
                <w:bCs/>
                <w:color w:val="FFFFFF"/>
                <w:sz w:val="16"/>
                <w:szCs w:val="16"/>
                <w:lang w:eastAsia="en-AU"/>
              </w:rPr>
            </w:pPr>
            <w:r w:rsidRPr="00421D58">
              <w:rPr>
                <w:rFonts w:eastAsia="Times New Roman" w:cs="Times New Roman"/>
                <w:b/>
                <w:bCs/>
                <w:color w:val="FFFFFF"/>
                <w:sz w:val="16"/>
                <w:szCs w:val="16"/>
                <w:lang w:eastAsia="en-AU"/>
              </w:rPr>
              <w:t>NSW</w:t>
            </w:r>
          </w:p>
        </w:tc>
        <w:tc>
          <w:tcPr>
            <w:tcW w:w="461" w:type="pct"/>
            <w:tcBorders>
              <w:top w:val="nil"/>
              <w:left w:val="nil"/>
              <w:bottom w:val="nil"/>
              <w:right w:val="nil"/>
            </w:tcBorders>
            <w:shd w:val="clear" w:color="000000" w:fill="0093D0"/>
            <w:noWrap/>
            <w:vAlign w:val="bottom"/>
            <w:hideMark/>
          </w:tcPr>
          <w:p w:rsidR="0056160A" w:rsidRPr="00421D58" w:rsidRDefault="0056160A" w:rsidP="0056160A">
            <w:pPr>
              <w:spacing w:after="0" w:line="240" w:lineRule="auto"/>
              <w:jc w:val="right"/>
              <w:rPr>
                <w:rFonts w:eastAsia="Times New Roman" w:cs="Times New Roman"/>
                <w:b/>
                <w:bCs/>
                <w:color w:val="FFFFFF"/>
                <w:sz w:val="16"/>
                <w:szCs w:val="16"/>
                <w:lang w:eastAsia="en-AU"/>
              </w:rPr>
            </w:pPr>
            <w:r w:rsidRPr="00421D58">
              <w:rPr>
                <w:rFonts w:eastAsia="Times New Roman" w:cs="Times New Roman"/>
                <w:b/>
                <w:bCs/>
                <w:color w:val="FFFFFF"/>
                <w:sz w:val="16"/>
                <w:szCs w:val="16"/>
                <w:lang w:eastAsia="en-AU"/>
              </w:rPr>
              <w:t>Vic</w:t>
            </w:r>
          </w:p>
        </w:tc>
        <w:tc>
          <w:tcPr>
            <w:tcW w:w="487" w:type="pct"/>
            <w:tcBorders>
              <w:top w:val="nil"/>
              <w:left w:val="nil"/>
              <w:bottom w:val="nil"/>
              <w:right w:val="nil"/>
            </w:tcBorders>
            <w:shd w:val="clear" w:color="000000" w:fill="0093D0"/>
            <w:noWrap/>
            <w:vAlign w:val="bottom"/>
            <w:hideMark/>
          </w:tcPr>
          <w:p w:rsidR="0056160A" w:rsidRPr="00421D58" w:rsidRDefault="0056160A" w:rsidP="0056160A">
            <w:pPr>
              <w:spacing w:after="0" w:line="240" w:lineRule="auto"/>
              <w:jc w:val="right"/>
              <w:rPr>
                <w:rFonts w:eastAsia="Times New Roman" w:cs="Times New Roman"/>
                <w:b/>
                <w:bCs/>
                <w:color w:val="FFFFFF"/>
                <w:sz w:val="16"/>
                <w:szCs w:val="16"/>
                <w:lang w:eastAsia="en-AU"/>
              </w:rPr>
            </w:pPr>
            <w:r w:rsidRPr="00421D58">
              <w:rPr>
                <w:rFonts w:eastAsia="Times New Roman" w:cs="Times New Roman"/>
                <w:b/>
                <w:bCs/>
                <w:color w:val="FFFFFF"/>
                <w:sz w:val="16"/>
                <w:szCs w:val="16"/>
                <w:lang w:eastAsia="en-AU"/>
              </w:rPr>
              <w:t>Qld</w:t>
            </w:r>
          </w:p>
        </w:tc>
        <w:tc>
          <w:tcPr>
            <w:tcW w:w="474" w:type="pct"/>
            <w:tcBorders>
              <w:top w:val="nil"/>
              <w:left w:val="nil"/>
              <w:bottom w:val="nil"/>
              <w:right w:val="nil"/>
            </w:tcBorders>
            <w:shd w:val="clear" w:color="000000" w:fill="0093D0"/>
            <w:noWrap/>
            <w:vAlign w:val="bottom"/>
            <w:hideMark/>
          </w:tcPr>
          <w:p w:rsidR="0056160A" w:rsidRPr="00421D58" w:rsidRDefault="0056160A" w:rsidP="0056160A">
            <w:pPr>
              <w:spacing w:after="0" w:line="240" w:lineRule="auto"/>
              <w:jc w:val="right"/>
              <w:rPr>
                <w:rFonts w:eastAsia="Times New Roman" w:cs="Times New Roman"/>
                <w:b/>
                <w:bCs/>
                <w:color w:val="FFFFFF"/>
                <w:sz w:val="16"/>
                <w:szCs w:val="16"/>
                <w:lang w:eastAsia="en-AU"/>
              </w:rPr>
            </w:pPr>
            <w:r w:rsidRPr="00421D58">
              <w:rPr>
                <w:rFonts w:eastAsia="Times New Roman" w:cs="Times New Roman"/>
                <w:b/>
                <w:bCs/>
                <w:color w:val="FFFFFF"/>
                <w:sz w:val="16"/>
                <w:szCs w:val="16"/>
                <w:lang w:eastAsia="en-AU"/>
              </w:rPr>
              <w:t>SA</w:t>
            </w:r>
          </w:p>
        </w:tc>
        <w:tc>
          <w:tcPr>
            <w:tcW w:w="461" w:type="pct"/>
            <w:tcBorders>
              <w:top w:val="nil"/>
              <w:left w:val="nil"/>
              <w:bottom w:val="nil"/>
              <w:right w:val="nil"/>
            </w:tcBorders>
            <w:shd w:val="clear" w:color="000000" w:fill="0093D0"/>
            <w:noWrap/>
            <w:vAlign w:val="bottom"/>
            <w:hideMark/>
          </w:tcPr>
          <w:p w:rsidR="0056160A" w:rsidRPr="00421D58" w:rsidRDefault="0056160A" w:rsidP="0056160A">
            <w:pPr>
              <w:spacing w:after="0" w:line="240" w:lineRule="auto"/>
              <w:jc w:val="right"/>
              <w:rPr>
                <w:rFonts w:eastAsia="Times New Roman" w:cs="Times New Roman"/>
                <w:b/>
                <w:bCs/>
                <w:color w:val="FFFFFF"/>
                <w:sz w:val="16"/>
                <w:szCs w:val="16"/>
                <w:lang w:eastAsia="en-AU"/>
              </w:rPr>
            </w:pPr>
            <w:r w:rsidRPr="00421D58">
              <w:rPr>
                <w:rFonts w:eastAsia="Times New Roman" w:cs="Times New Roman"/>
                <w:b/>
                <w:bCs/>
                <w:color w:val="FFFFFF"/>
                <w:sz w:val="16"/>
                <w:szCs w:val="16"/>
                <w:lang w:eastAsia="en-AU"/>
              </w:rPr>
              <w:t>WA</w:t>
            </w:r>
          </w:p>
        </w:tc>
        <w:tc>
          <w:tcPr>
            <w:tcW w:w="432" w:type="pct"/>
            <w:tcBorders>
              <w:top w:val="nil"/>
              <w:left w:val="nil"/>
              <w:bottom w:val="nil"/>
              <w:right w:val="nil"/>
            </w:tcBorders>
            <w:shd w:val="clear" w:color="000000" w:fill="0093D0"/>
            <w:noWrap/>
            <w:vAlign w:val="bottom"/>
            <w:hideMark/>
          </w:tcPr>
          <w:p w:rsidR="0056160A" w:rsidRPr="00421D58" w:rsidRDefault="0056160A" w:rsidP="0056160A">
            <w:pPr>
              <w:spacing w:after="0" w:line="240" w:lineRule="auto"/>
              <w:jc w:val="right"/>
              <w:rPr>
                <w:rFonts w:eastAsia="Times New Roman" w:cs="Times New Roman"/>
                <w:b/>
                <w:bCs/>
                <w:color w:val="FFFFFF"/>
                <w:sz w:val="16"/>
                <w:szCs w:val="16"/>
                <w:lang w:eastAsia="en-AU"/>
              </w:rPr>
            </w:pPr>
            <w:r w:rsidRPr="00421D58">
              <w:rPr>
                <w:rFonts w:eastAsia="Times New Roman" w:cs="Times New Roman"/>
                <w:b/>
                <w:bCs/>
                <w:color w:val="FFFFFF"/>
                <w:sz w:val="16"/>
                <w:szCs w:val="16"/>
                <w:lang w:eastAsia="en-AU"/>
              </w:rPr>
              <w:t>Tas</w:t>
            </w:r>
          </w:p>
        </w:tc>
        <w:tc>
          <w:tcPr>
            <w:tcW w:w="419" w:type="pct"/>
            <w:tcBorders>
              <w:top w:val="nil"/>
              <w:left w:val="nil"/>
              <w:bottom w:val="nil"/>
              <w:right w:val="nil"/>
            </w:tcBorders>
            <w:shd w:val="clear" w:color="000000" w:fill="0093D0"/>
            <w:noWrap/>
            <w:vAlign w:val="bottom"/>
            <w:hideMark/>
          </w:tcPr>
          <w:p w:rsidR="0056160A" w:rsidRPr="00421D58" w:rsidRDefault="0056160A" w:rsidP="0056160A">
            <w:pPr>
              <w:spacing w:after="0" w:line="240" w:lineRule="auto"/>
              <w:jc w:val="right"/>
              <w:rPr>
                <w:rFonts w:eastAsia="Times New Roman" w:cs="Times New Roman"/>
                <w:b/>
                <w:bCs/>
                <w:color w:val="FFFFFF"/>
                <w:sz w:val="16"/>
                <w:szCs w:val="16"/>
                <w:lang w:eastAsia="en-AU"/>
              </w:rPr>
            </w:pPr>
            <w:r w:rsidRPr="00421D58">
              <w:rPr>
                <w:rFonts w:eastAsia="Times New Roman" w:cs="Times New Roman"/>
                <w:b/>
                <w:bCs/>
                <w:color w:val="FFFFFF"/>
                <w:sz w:val="16"/>
                <w:szCs w:val="16"/>
                <w:lang w:eastAsia="en-AU"/>
              </w:rPr>
              <w:t>NT</w:t>
            </w:r>
          </w:p>
        </w:tc>
        <w:tc>
          <w:tcPr>
            <w:tcW w:w="445" w:type="pct"/>
            <w:tcBorders>
              <w:top w:val="nil"/>
              <w:left w:val="nil"/>
              <w:bottom w:val="nil"/>
              <w:right w:val="nil"/>
            </w:tcBorders>
            <w:shd w:val="clear" w:color="000000" w:fill="0093D0"/>
            <w:noWrap/>
            <w:vAlign w:val="bottom"/>
            <w:hideMark/>
          </w:tcPr>
          <w:p w:rsidR="0056160A" w:rsidRPr="00421D58" w:rsidRDefault="0056160A" w:rsidP="0056160A">
            <w:pPr>
              <w:spacing w:after="0" w:line="240" w:lineRule="auto"/>
              <w:jc w:val="right"/>
              <w:rPr>
                <w:rFonts w:eastAsia="Times New Roman" w:cs="Times New Roman"/>
                <w:b/>
                <w:bCs/>
                <w:color w:val="FFFFFF"/>
                <w:sz w:val="16"/>
                <w:szCs w:val="16"/>
                <w:lang w:eastAsia="en-AU"/>
              </w:rPr>
            </w:pPr>
            <w:r w:rsidRPr="00421D58">
              <w:rPr>
                <w:rFonts w:eastAsia="Times New Roman" w:cs="Times New Roman"/>
                <w:b/>
                <w:bCs/>
                <w:color w:val="FFFFFF"/>
                <w:sz w:val="16"/>
                <w:szCs w:val="16"/>
                <w:lang w:eastAsia="en-AU"/>
              </w:rPr>
              <w:t>ACT</w:t>
            </w:r>
          </w:p>
        </w:tc>
        <w:tc>
          <w:tcPr>
            <w:tcW w:w="477" w:type="pct"/>
            <w:tcBorders>
              <w:top w:val="nil"/>
              <w:left w:val="nil"/>
              <w:bottom w:val="nil"/>
              <w:right w:val="nil"/>
            </w:tcBorders>
            <w:shd w:val="clear" w:color="000000" w:fill="0093D0"/>
            <w:noWrap/>
            <w:vAlign w:val="bottom"/>
            <w:hideMark/>
          </w:tcPr>
          <w:p w:rsidR="0056160A" w:rsidRPr="00421D58" w:rsidRDefault="0056160A" w:rsidP="0056160A">
            <w:pPr>
              <w:spacing w:after="0" w:line="240" w:lineRule="auto"/>
              <w:jc w:val="right"/>
              <w:rPr>
                <w:rFonts w:eastAsia="Times New Roman" w:cs="Times New Roman"/>
                <w:b/>
                <w:bCs/>
                <w:color w:val="FFFFFF"/>
                <w:sz w:val="16"/>
                <w:szCs w:val="16"/>
                <w:lang w:eastAsia="en-AU"/>
              </w:rPr>
            </w:pPr>
            <w:r w:rsidRPr="00421D58">
              <w:rPr>
                <w:rFonts w:eastAsia="Times New Roman" w:cs="Times New Roman"/>
                <w:b/>
                <w:bCs/>
                <w:color w:val="FFFFFF"/>
                <w:sz w:val="16"/>
                <w:szCs w:val="16"/>
                <w:lang w:eastAsia="en-AU"/>
              </w:rPr>
              <w:t>Australia</w:t>
            </w:r>
          </w:p>
        </w:tc>
      </w:tr>
      <w:tr w:rsidR="00A92FBB" w:rsidRPr="00EF74A5" w:rsidTr="00A92FBB">
        <w:trPr>
          <w:trHeight w:val="300"/>
        </w:trPr>
        <w:tc>
          <w:tcPr>
            <w:tcW w:w="845" w:type="pct"/>
            <w:tcBorders>
              <w:top w:val="nil"/>
              <w:left w:val="nil"/>
              <w:bottom w:val="nil"/>
              <w:right w:val="nil"/>
            </w:tcBorders>
            <w:shd w:val="clear" w:color="auto" w:fill="auto"/>
            <w:noWrap/>
            <w:vAlign w:val="bottom"/>
            <w:hideMark/>
          </w:tcPr>
          <w:p w:rsidR="0056160A" w:rsidRPr="00EF74A5" w:rsidRDefault="0056160A" w:rsidP="0056160A">
            <w:pPr>
              <w:spacing w:after="0" w:line="240" w:lineRule="auto"/>
              <w:rPr>
                <w:rFonts w:eastAsia="Times New Roman" w:cs="Times New Roman"/>
                <w:color w:val="000000"/>
                <w:sz w:val="18"/>
                <w:szCs w:val="18"/>
                <w:lang w:eastAsia="en-AU"/>
              </w:rPr>
            </w:pPr>
            <w:r w:rsidRPr="00EF74A5">
              <w:rPr>
                <w:rFonts w:eastAsia="Times New Roman" w:cs="Times New Roman"/>
                <w:color w:val="000000"/>
                <w:sz w:val="18"/>
                <w:szCs w:val="18"/>
                <w:lang w:eastAsia="en-AU"/>
              </w:rPr>
              <w:t>Proportion of hazardous waste</w:t>
            </w:r>
          </w:p>
        </w:tc>
        <w:tc>
          <w:tcPr>
            <w:tcW w:w="500" w:type="pct"/>
            <w:tcBorders>
              <w:top w:val="nil"/>
              <w:left w:val="nil"/>
              <w:bottom w:val="nil"/>
              <w:right w:val="nil"/>
            </w:tcBorders>
            <w:shd w:val="clear" w:color="auto" w:fill="auto"/>
            <w:noWrap/>
            <w:vAlign w:val="bottom"/>
            <w:hideMark/>
          </w:tcPr>
          <w:p w:rsidR="0056160A" w:rsidRPr="00EF74A5" w:rsidRDefault="0056160A" w:rsidP="0056160A">
            <w:pPr>
              <w:spacing w:after="0" w:line="240" w:lineRule="auto"/>
              <w:jc w:val="right"/>
              <w:rPr>
                <w:rFonts w:eastAsia="Times New Roman" w:cs="Times New Roman"/>
                <w:color w:val="000000"/>
                <w:sz w:val="18"/>
                <w:szCs w:val="18"/>
                <w:lang w:eastAsia="en-AU"/>
              </w:rPr>
            </w:pPr>
            <w:r w:rsidRPr="00EF74A5">
              <w:rPr>
                <w:rFonts w:eastAsia="Times New Roman" w:cs="Times New Roman"/>
                <w:color w:val="000000"/>
                <w:sz w:val="18"/>
                <w:szCs w:val="18"/>
                <w:lang w:eastAsia="en-AU"/>
              </w:rPr>
              <w:t>0.27</w:t>
            </w:r>
          </w:p>
        </w:tc>
        <w:tc>
          <w:tcPr>
            <w:tcW w:w="461" w:type="pct"/>
            <w:tcBorders>
              <w:top w:val="nil"/>
              <w:left w:val="nil"/>
              <w:bottom w:val="nil"/>
              <w:right w:val="nil"/>
            </w:tcBorders>
            <w:shd w:val="clear" w:color="auto" w:fill="auto"/>
            <w:noWrap/>
            <w:vAlign w:val="bottom"/>
            <w:hideMark/>
          </w:tcPr>
          <w:p w:rsidR="0056160A" w:rsidRPr="00EF74A5" w:rsidRDefault="0056160A" w:rsidP="0056160A">
            <w:pPr>
              <w:spacing w:after="0" w:line="240" w:lineRule="auto"/>
              <w:jc w:val="right"/>
              <w:rPr>
                <w:rFonts w:eastAsia="Times New Roman" w:cs="Times New Roman"/>
                <w:color w:val="000000"/>
                <w:sz w:val="18"/>
                <w:szCs w:val="18"/>
                <w:lang w:eastAsia="en-AU"/>
              </w:rPr>
            </w:pPr>
            <w:r w:rsidRPr="00EF74A5">
              <w:rPr>
                <w:rFonts w:eastAsia="Times New Roman" w:cs="Times New Roman"/>
                <w:color w:val="000000"/>
                <w:sz w:val="18"/>
                <w:szCs w:val="18"/>
                <w:lang w:eastAsia="en-AU"/>
              </w:rPr>
              <w:t>0.21</w:t>
            </w:r>
          </w:p>
        </w:tc>
        <w:tc>
          <w:tcPr>
            <w:tcW w:w="487" w:type="pct"/>
            <w:tcBorders>
              <w:top w:val="nil"/>
              <w:left w:val="nil"/>
              <w:bottom w:val="nil"/>
              <w:right w:val="nil"/>
            </w:tcBorders>
            <w:shd w:val="clear" w:color="auto" w:fill="auto"/>
            <w:noWrap/>
            <w:vAlign w:val="bottom"/>
            <w:hideMark/>
          </w:tcPr>
          <w:p w:rsidR="0056160A" w:rsidRPr="00EF74A5" w:rsidRDefault="0056160A" w:rsidP="0056160A">
            <w:pPr>
              <w:spacing w:after="0" w:line="240" w:lineRule="auto"/>
              <w:jc w:val="right"/>
              <w:rPr>
                <w:rFonts w:eastAsia="Times New Roman" w:cs="Times New Roman"/>
                <w:color w:val="000000"/>
                <w:sz w:val="18"/>
                <w:szCs w:val="18"/>
                <w:lang w:eastAsia="en-AU"/>
              </w:rPr>
            </w:pPr>
            <w:r w:rsidRPr="00EF74A5">
              <w:rPr>
                <w:rFonts w:eastAsia="Times New Roman" w:cs="Times New Roman"/>
                <w:color w:val="000000"/>
                <w:sz w:val="18"/>
                <w:szCs w:val="18"/>
                <w:lang w:eastAsia="en-AU"/>
              </w:rPr>
              <w:t>0.26</w:t>
            </w:r>
          </w:p>
        </w:tc>
        <w:tc>
          <w:tcPr>
            <w:tcW w:w="474" w:type="pct"/>
            <w:tcBorders>
              <w:top w:val="nil"/>
              <w:left w:val="nil"/>
              <w:bottom w:val="nil"/>
              <w:right w:val="nil"/>
            </w:tcBorders>
            <w:shd w:val="clear" w:color="auto" w:fill="auto"/>
            <w:noWrap/>
            <w:vAlign w:val="bottom"/>
            <w:hideMark/>
          </w:tcPr>
          <w:p w:rsidR="0056160A" w:rsidRPr="00EF74A5" w:rsidRDefault="0056160A" w:rsidP="0056160A">
            <w:pPr>
              <w:spacing w:after="0" w:line="240" w:lineRule="auto"/>
              <w:jc w:val="right"/>
              <w:rPr>
                <w:rFonts w:eastAsia="Times New Roman" w:cs="Times New Roman"/>
                <w:color w:val="000000"/>
                <w:sz w:val="18"/>
                <w:szCs w:val="18"/>
                <w:lang w:eastAsia="en-AU"/>
              </w:rPr>
            </w:pPr>
            <w:r w:rsidRPr="00EF74A5">
              <w:rPr>
                <w:rFonts w:eastAsia="Times New Roman" w:cs="Times New Roman"/>
                <w:color w:val="000000"/>
                <w:sz w:val="18"/>
                <w:szCs w:val="18"/>
                <w:lang w:eastAsia="en-AU"/>
              </w:rPr>
              <w:t>0.13</w:t>
            </w:r>
          </w:p>
        </w:tc>
        <w:tc>
          <w:tcPr>
            <w:tcW w:w="461" w:type="pct"/>
            <w:tcBorders>
              <w:top w:val="nil"/>
              <w:left w:val="nil"/>
              <w:bottom w:val="nil"/>
              <w:right w:val="nil"/>
            </w:tcBorders>
            <w:shd w:val="clear" w:color="auto" w:fill="auto"/>
            <w:noWrap/>
            <w:vAlign w:val="bottom"/>
            <w:hideMark/>
          </w:tcPr>
          <w:p w:rsidR="0056160A" w:rsidRPr="00EF74A5" w:rsidRDefault="0056160A" w:rsidP="0056160A">
            <w:pPr>
              <w:spacing w:after="0" w:line="240" w:lineRule="auto"/>
              <w:jc w:val="right"/>
              <w:rPr>
                <w:rFonts w:eastAsia="Times New Roman" w:cs="Times New Roman"/>
                <w:color w:val="000000"/>
                <w:sz w:val="18"/>
                <w:szCs w:val="18"/>
                <w:lang w:eastAsia="en-AU"/>
              </w:rPr>
            </w:pPr>
            <w:r w:rsidRPr="00EF74A5">
              <w:rPr>
                <w:rFonts w:eastAsia="Times New Roman" w:cs="Times New Roman"/>
                <w:color w:val="000000"/>
                <w:sz w:val="18"/>
                <w:szCs w:val="18"/>
                <w:lang w:eastAsia="en-AU"/>
              </w:rPr>
              <w:t>0.09</w:t>
            </w:r>
          </w:p>
        </w:tc>
        <w:tc>
          <w:tcPr>
            <w:tcW w:w="432" w:type="pct"/>
            <w:tcBorders>
              <w:top w:val="nil"/>
              <w:left w:val="nil"/>
              <w:bottom w:val="nil"/>
              <w:right w:val="nil"/>
            </w:tcBorders>
            <w:shd w:val="clear" w:color="auto" w:fill="auto"/>
            <w:noWrap/>
            <w:vAlign w:val="bottom"/>
            <w:hideMark/>
          </w:tcPr>
          <w:p w:rsidR="0056160A" w:rsidRPr="00EF74A5" w:rsidRDefault="0056160A" w:rsidP="0056160A">
            <w:pPr>
              <w:spacing w:after="0" w:line="240" w:lineRule="auto"/>
              <w:jc w:val="right"/>
              <w:rPr>
                <w:rFonts w:eastAsia="Times New Roman" w:cs="Times New Roman"/>
                <w:color w:val="000000"/>
                <w:sz w:val="18"/>
                <w:szCs w:val="18"/>
                <w:lang w:eastAsia="en-AU"/>
              </w:rPr>
            </w:pPr>
            <w:r w:rsidRPr="00EF74A5">
              <w:rPr>
                <w:rFonts w:eastAsia="Times New Roman" w:cs="Times New Roman"/>
                <w:color w:val="000000"/>
                <w:sz w:val="18"/>
                <w:szCs w:val="18"/>
                <w:lang w:eastAsia="en-AU"/>
              </w:rPr>
              <w:t>0.03</w:t>
            </w:r>
          </w:p>
        </w:tc>
        <w:tc>
          <w:tcPr>
            <w:tcW w:w="419" w:type="pct"/>
            <w:tcBorders>
              <w:top w:val="nil"/>
              <w:left w:val="nil"/>
              <w:bottom w:val="nil"/>
              <w:right w:val="nil"/>
            </w:tcBorders>
            <w:shd w:val="clear" w:color="auto" w:fill="auto"/>
            <w:noWrap/>
            <w:vAlign w:val="bottom"/>
            <w:hideMark/>
          </w:tcPr>
          <w:p w:rsidR="0056160A" w:rsidRPr="00EF74A5" w:rsidRDefault="0056160A" w:rsidP="0056160A">
            <w:pPr>
              <w:spacing w:after="0" w:line="240" w:lineRule="auto"/>
              <w:jc w:val="right"/>
              <w:rPr>
                <w:rFonts w:eastAsia="Times New Roman" w:cs="Times New Roman"/>
                <w:color w:val="000000"/>
                <w:sz w:val="18"/>
                <w:szCs w:val="18"/>
                <w:lang w:eastAsia="en-AU"/>
              </w:rPr>
            </w:pPr>
            <w:r w:rsidRPr="00EF74A5">
              <w:rPr>
                <w:rFonts w:eastAsia="Times New Roman" w:cs="Times New Roman"/>
                <w:color w:val="000000"/>
                <w:sz w:val="18"/>
                <w:szCs w:val="18"/>
                <w:lang w:eastAsia="en-AU"/>
              </w:rPr>
              <w:t>0.00</w:t>
            </w:r>
          </w:p>
        </w:tc>
        <w:tc>
          <w:tcPr>
            <w:tcW w:w="445" w:type="pct"/>
            <w:tcBorders>
              <w:top w:val="nil"/>
              <w:left w:val="nil"/>
              <w:bottom w:val="nil"/>
              <w:right w:val="nil"/>
            </w:tcBorders>
            <w:shd w:val="clear" w:color="auto" w:fill="auto"/>
            <w:noWrap/>
            <w:vAlign w:val="bottom"/>
            <w:hideMark/>
          </w:tcPr>
          <w:p w:rsidR="0056160A" w:rsidRPr="00EF74A5" w:rsidRDefault="0056160A" w:rsidP="0056160A">
            <w:pPr>
              <w:spacing w:after="0" w:line="240" w:lineRule="auto"/>
              <w:jc w:val="right"/>
              <w:rPr>
                <w:rFonts w:eastAsia="Times New Roman" w:cs="Times New Roman"/>
                <w:color w:val="000000"/>
                <w:sz w:val="18"/>
                <w:szCs w:val="18"/>
                <w:lang w:eastAsia="en-AU"/>
              </w:rPr>
            </w:pPr>
            <w:r w:rsidRPr="00EF74A5">
              <w:rPr>
                <w:rFonts w:eastAsia="Times New Roman" w:cs="Times New Roman"/>
                <w:color w:val="000000"/>
                <w:sz w:val="18"/>
                <w:szCs w:val="18"/>
                <w:lang w:eastAsia="en-AU"/>
              </w:rPr>
              <w:t>0.01</w:t>
            </w:r>
          </w:p>
        </w:tc>
        <w:tc>
          <w:tcPr>
            <w:tcW w:w="477" w:type="pct"/>
            <w:tcBorders>
              <w:top w:val="nil"/>
              <w:left w:val="nil"/>
              <w:bottom w:val="nil"/>
              <w:right w:val="nil"/>
            </w:tcBorders>
            <w:shd w:val="clear" w:color="auto" w:fill="auto"/>
            <w:noWrap/>
            <w:vAlign w:val="bottom"/>
            <w:hideMark/>
          </w:tcPr>
          <w:p w:rsidR="0056160A" w:rsidRPr="00EF74A5" w:rsidRDefault="0056160A" w:rsidP="0056160A">
            <w:pPr>
              <w:spacing w:after="0" w:line="240" w:lineRule="auto"/>
              <w:jc w:val="right"/>
              <w:rPr>
                <w:rFonts w:eastAsia="Times New Roman" w:cs="Times New Roman"/>
                <w:color w:val="000000"/>
                <w:sz w:val="18"/>
                <w:szCs w:val="18"/>
                <w:lang w:eastAsia="en-AU"/>
              </w:rPr>
            </w:pPr>
            <w:r w:rsidRPr="00EF74A5">
              <w:rPr>
                <w:rFonts w:eastAsia="Times New Roman" w:cs="Times New Roman"/>
                <w:color w:val="000000"/>
                <w:sz w:val="18"/>
                <w:szCs w:val="18"/>
                <w:lang w:eastAsia="en-AU"/>
              </w:rPr>
              <w:t>1</w:t>
            </w:r>
          </w:p>
        </w:tc>
      </w:tr>
      <w:tr w:rsidR="00A92FBB" w:rsidRPr="00EF74A5" w:rsidTr="00A92FBB">
        <w:trPr>
          <w:trHeight w:val="300"/>
        </w:trPr>
        <w:tc>
          <w:tcPr>
            <w:tcW w:w="845" w:type="pct"/>
            <w:tcBorders>
              <w:top w:val="nil"/>
              <w:left w:val="nil"/>
              <w:bottom w:val="nil"/>
              <w:right w:val="nil"/>
            </w:tcBorders>
            <w:shd w:val="clear" w:color="auto" w:fill="auto"/>
            <w:noWrap/>
            <w:vAlign w:val="bottom"/>
            <w:hideMark/>
          </w:tcPr>
          <w:p w:rsidR="00A92FBB" w:rsidRPr="00EF74A5" w:rsidRDefault="00A92FBB" w:rsidP="0056160A">
            <w:pPr>
              <w:spacing w:after="0" w:line="240" w:lineRule="auto"/>
              <w:rPr>
                <w:rFonts w:eastAsia="Times New Roman" w:cs="Times New Roman"/>
                <w:color w:val="000000"/>
                <w:sz w:val="18"/>
                <w:szCs w:val="18"/>
                <w:lang w:eastAsia="en-AU"/>
              </w:rPr>
            </w:pPr>
            <w:r w:rsidRPr="00EF74A5">
              <w:rPr>
                <w:rFonts w:eastAsia="Times New Roman" w:cs="Times New Roman"/>
                <w:color w:val="000000"/>
                <w:sz w:val="18"/>
                <w:szCs w:val="18"/>
                <w:lang w:eastAsia="en-AU"/>
              </w:rPr>
              <w:t>Gross Cost</w:t>
            </w:r>
          </w:p>
        </w:tc>
        <w:tc>
          <w:tcPr>
            <w:tcW w:w="500"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33.3</w:t>
            </w:r>
          </w:p>
        </w:tc>
        <w:tc>
          <w:tcPr>
            <w:tcW w:w="461"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25.1</w:t>
            </w:r>
          </w:p>
        </w:tc>
        <w:tc>
          <w:tcPr>
            <w:tcW w:w="487"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32.0</w:t>
            </w:r>
          </w:p>
        </w:tc>
        <w:tc>
          <w:tcPr>
            <w:tcW w:w="474"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16.3</w:t>
            </w:r>
          </w:p>
        </w:tc>
        <w:tc>
          <w:tcPr>
            <w:tcW w:w="461"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11.2</w:t>
            </w:r>
          </w:p>
        </w:tc>
        <w:tc>
          <w:tcPr>
            <w:tcW w:w="432"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3.2</w:t>
            </w:r>
          </w:p>
        </w:tc>
        <w:tc>
          <w:tcPr>
            <w:tcW w:w="419"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0.5</w:t>
            </w:r>
          </w:p>
        </w:tc>
        <w:tc>
          <w:tcPr>
            <w:tcW w:w="445"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0.6 </w:t>
            </w:r>
          </w:p>
        </w:tc>
        <w:tc>
          <w:tcPr>
            <w:tcW w:w="477"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122.3 </w:t>
            </w:r>
          </w:p>
        </w:tc>
      </w:tr>
      <w:tr w:rsidR="00A92FBB" w:rsidRPr="00EF74A5" w:rsidTr="00A92FBB">
        <w:trPr>
          <w:trHeight w:val="300"/>
        </w:trPr>
        <w:tc>
          <w:tcPr>
            <w:tcW w:w="845" w:type="pct"/>
            <w:tcBorders>
              <w:top w:val="nil"/>
              <w:left w:val="nil"/>
              <w:bottom w:val="nil"/>
              <w:right w:val="nil"/>
            </w:tcBorders>
            <w:shd w:val="clear" w:color="auto" w:fill="auto"/>
            <w:noWrap/>
            <w:vAlign w:val="bottom"/>
            <w:hideMark/>
          </w:tcPr>
          <w:p w:rsidR="00A92FBB" w:rsidRPr="00EF74A5" w:rsidRDefault="00A92FBB" w:rsidP="0056160A">
            <w:pPr>
              <w:spacing w:after="0" w:line="240" w:lineRule="auto"/>
              <w:rPr>
                <w:rFonts w:eastAsia="Times New Roman" w:cs="Times New Roman"/>
                <w:color w:val="000000"/>
                <w:sz w:val="18"/>
                <w:szCs w:val="18"/>
                <w:lang w:eastAsia="en-AU"/>
              </w:rPr>
            </w:pPr>
            <w:r w:rsidRPr="00EF74A5">
              <w:rPr>
                <w:rFonts w:eastAsia="Times New Roman" w:cs="Times New Roman"/>
                <w:color w:val="000000"/>
                <w:sz w:val="18"/>
                <w:szCs w:val="18"/>
                <w:lang w:eastAsia="en-AU"/>
              </w:rPr>
              <w:t>Net of workers compensation</w:t>
            </w:r>
          </w:p>
        </w:tc>
        <w:tc>
          <w:tcPr>
            <w:tcW w:w="500"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-3.3 </w:t>
            </w:r>
          </w:p>
        </w:tc>
        <w:tc>
          <w:tcPr>
            <w:tcW w:w="461"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-2.6</w:t>
            </w:r>
          </w:p>
        </w:tc>
        <w:tc>
          <w:tcPr>
            <w:tcW w:w="487"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-3.3</w:t>
            </w:r>
          </w:p>
        </w:tc>
        <w:tc>
          <w:tcPr>
            <w:tcW w:w="474"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-1.7</w:t>
            </w:r>
          </w:p>
        </w:tc>
        <w:tc>
          <w:tcPr>
            <w:tcW w:w="461"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-1.2</w:t>
            </w:r>
          </w:p>
        </w:tc>
        <w:tc>
          <w:tcPr>
            <w:tcW w:w="432"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-0.3</w:t>
            </w:r>
          </w:p>
        </w:tc>
        <w:tc>
          <w:tcPr>
            <w:tcW w:w="419"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-0.1 </w:t>
            </w:r>
          </w:p>
        </w:tc>
        <w:tc>
          <w:tcPr>
            <w:tcW w:w="445"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-0.1 </w:t>
            </w:r>
          </w:p>
        </w:tc>
        <w:tc>
          <w:tcPr>
            <w:tcW w:w="477" w:type="pct"/>
            <w:tcBorders>
              <w:top w:val="nil"/>
              <w:left w:val="nil"/>
              <w:bottom w:val="nil"/>
              <w:right w:val="nil"/>
            </w:tcBorders>
            <w:shd w:val="clear" w:color="auto" w:fill="auto"/>
            <w:noWrap/>
            <w:vAlign w:val="bottom"/>
            <w:hideMark/>
          </w:tcPr>
          <w:p w:rsidR="00A92FBB" w:rsidRPr="00EF74A5" w:rsidRDefault="00A92FBB" w:rsidP="00A92FBB">
            <w:pPr>
              <w:spacing w:after="0" w:line="240" w:lineRule="auto"/>
              <w:jc w:val="right"/>
              <w:rPr>
                <w:rFonts w:ascii="Calibri" w:hAnsi="Calibri"/>
                <w:color w:val="000000"/>
                <w:sz w:val="18"/>
                <w:szCs w:val="18"/>
              </w:rPr>
            </w:pPr>
            <w:r w:rsidRPr="00EF74A5">
              <w:rPr>
                <w:rFonts w:ascii="Calibri" w:hAnsi="Calibri"/>
                <w:color w:val="000000"/>
                <w:sz w:val="18"/>
                <w:szCs w:val="18"/>
              </w:rPr>
              <w:t xml:space="preserve">       -12.6 </w:t>
            </w:r>
          </w:p>
        </w:tc>
      </w:tr>
      <w:tr w:rsidR="00A92FBB" w:rsidRPr="00EF74A5" w:rsidTr="00A92FBB">
        <w:trPr>
          <w:trHeight w:val="300"/>
        </w:trPr>
        <w:tc>
          <w:tcPr>
            <w:tcW w:w="845" w:type="pct"/>
            <w:tcBorders>
              <w:top w:val="single" w:sz="4" w:space="0" w:color="0093D0"/>
              <w:left w:val="nil"/>
              <w:bottom w:val="single" w:sz="4" w:space="0" w:color="0093D0"/>
              <w:right w:val="nil"/>
            </w:tcBorders>
            <w:shd w:val="clear" w:color="000000" w:fill="DDEBF7"/>
            <w:noWrap/>
            <w:vAlign w:val="bottom"/>
            <w:hideMark/>
          </w:tcPr>
          <w:p w:rsidR="00A92FBB" w:rsidRPr="00EF74A5" w:rsidRDefault="00A92FBB" w:rsidP="00A92FBB">
            <w:pPr>
              <w:spacing w:after="0" w:line="240" w:lineRule="auto"/>
              <w:rPr>
                <w:rFonts w:eastAsia="Times New Roman" w:cs="Times New Roman"/>
                <w:b/>
                <w:color w:val="000000"/>
                <w:sz w:val="18"/>
                <w:szCs w:val="18"/>
                <w:lang w:eastAsia="en-AU"/>
              </w:rPr>
            </w:pPr>
            <w:r w:rsidRPr="00EF74A5">
              <w:rPr>
                <w:rFonts w:eastAsia="Times New Roman" w:cs="Times New Roman"/>
                <w:b/>
                <w:color w:val="000000"/>
                <w:sz w:val="18"/>
                <w:szCs w:val="18"/>
                <w:lang w:eastAsia="en-AU"/>
              </w:rPr>
              <w:t>Net Cost</w:t>
            </w:r>
          </w:p>
        </w:tc>
        <w:tc>
          <w:tcPr>
            <w:tcW w:w="500" w:type="pct"/>
            <w:tcBorders>
              <w:top w:val="single" w:sz="4" w:space="0" w:color="0093D0"/>
              <w:left w:val="nil"/>
              <w:bottom w:val="single" w:sz="4" w:space="0" w:color="0093D0"/>
              <w:right w:val="nil"/>
            </w:tcBorders>
            <w:shd w:val="clear" w:color="000000" w:fill="DDEBF7"/>
            <w:noWrap/>
            <w:vAlign w:val="bottom"/>
            <w:hideMark/>
          </w:tcPr>
          <w:p w:rsidR="00A92FBB" w:rsidRPr="00EF74A5" w:rsidRDefault="00A92FBB" w:rsidP="00A92FBB">
            <w:pPr>
              <w:spacing w:after="0" w:line="240" w:lineRule="auto"/>
              <w:jc w:val="right"/>
              <w:rPr>
                <w:rFonts w:ascii="Calibri" w:hAnsi="Calibri"/>
                <w:b/>
                <w:bCs/>
                <w:color w:val="000000"/>
                <w:sz w:val="18"/>
                <w:szCs w:val="18"/>
              </w:rPr>
            </w:pPr>
            <w:r w:rsidRPr="00EF74A5">
              <w:rPr>
                <w:rFonts w:ascii="Calibri" w:hAnsi="Calibri"/>
                <w:b/>
                <w:bCs/>
                <w:color w:val="000000"/>
                <w:sz w:val="18"/>
                <w:szCs w:val="18"/>
              </w:rPr>
              <w:t xml:space="preserve">        30.0</w:t>
            </w:r>
          </w:p>
        </w:tc>
        <w:tc>
          <w:tcPr>
            <w:tcW w:w="461" w:type="pct"/>
            <w:tcBorders>
              <w:top w:val="single" w:sz="4" w:space="0" w:color="0093D0"/>
              <w:left w:val="nil"/>
              <w:bottom w:val="single" w:sz="4" w:space="0" w:color="0093D0"/>
              <w:right w:val="nil"/>
            </w:tcBorders>
            <w:shd w:val="clear" w:color="000000" w:fill="DDEBF7"/>
            <w:noWrap/>
            <w:vAlign w:val="bottom"/>
            <w:hideMark/>
          </w:tcPr>
          <w:p w:rsidR="00A92FBB" w:rsidRPr="00EF74A5" w:rsidRDefault="00A92FBB" w:rsidP="00A92FBB">
            <w:pPr>
              <w:spacing w:after="0" w:line="240" w:lineRule="auto"/>
              <w:jc w:val="right"/>
              <w:rPr>
                <w:rFonts w:ascii="Calibri" w:hAnsi="Calibri"/>
                <w:b/>
                <w:bCs/>
                <w:color w:val="000000"/>
                <w:sz w:val="18"/>
                <w:szCs w:val="18"/>
              </w:rPr>
            </w:pPr>
            <w:r w:rsidRPr="00EF74A5">
              <w:rPr>
                <w:rFonts w:ascii="Calibri" w:hAnsi="Calibri"/>
                <w:b/>
                <w:bCs/>
                <w:color w:val="000000"/>
                <w:sz w:val="18"/>
                <w:szCs w:val="18"/>
              </w:rPr>
              <w:t xml:space="preserve">     22.5</w:t>
            </w:r>
          </w:p>
        </w:tc>
        <w:tc>
          <w:tcPr>
            <w:tcW w:w="487" w:type="pct"/>
            <w:tcBorders>
              <w:top w:val="single" w:sz="4" w:space="0" w:color="0093D0"/>
              <w:left w:val="nil"/>
              <w:bottom w:val="single" w:sz="4" w:space="0" w:color="0093D0"/>
              <w:right w:val="nil"/>
            </w:tcBorders>
            <w:shd w:val="clear" w:color="000000" w:fill="DDEBF7"/>
            <w:noWrap/>
            <w:vAlign w:val="bottom"/>
            <w:hideMark/>
          </w:tcPr>
          <w:p w:rsidR="00A92FBB" w:rsidRPr="00EF74A5" w:rsidRDefault="00A92FBB" w:rsidP="00A92FBB">
            <w:pPr>
              <w:spacing w:after="0" w:line="240" w:lineRule="auto"/>
              <w:jc w:val="right"/>
              <w:rPr>
                <w:rFonts w:ascii="Calibri" w:hAnsi="Calibri"/>
                <w:b/>
                <w:bCs/>
                <w:color w:val="000000"/>
                <w:sz w:val="18"/>
                <w:szCs w:val="18"/>
              </w:rPr>
            </w:pPr>
            <w:r w:rsidRPr="00EF74A5">
              <w:rPr>
                <w:rFonts w:ascii="Calibri" w:hAnsi="Calibri"/>
                <w:b/>
                <w:bCs/>
                <w:color w:val="000000"/>
                <w:sz w:val="18"/>
                <w:szCs w:val="18"/>
              </w:rPr>
              <w:t xml:space="preserve">       28.7</w:t>
            </w:r>
          </w:p>
        </w:tc>
        <w:tc>
          <w:tcPr>
            <w:tcW w:w="474" w:type="pct"/>
            <w:tcBorders>
              <w:top w:val="single" w:sz="4" w:space="0" w:color="0093D0"/>
              <w:left w:val="nil"/>
              <w:bottom w:val="single" w:sz="4" w:space="0" w:color="0093D0"/>
              <w:right w:val="nil"/>
            </w:tcBorders>
            <w:shd w:val="clear" w:color="000000" w:fill="DDEBF7"/>
            <w:noWrap/>
            <w:vAlign w:val="bottom"/>
            <w:hideMark/>
          </w:tcPr>
          <w:p w:rsidR="00A92FBB" w:rsidRPr="00EF74A5" w:rsidRDefault="00A92FBB" w:rsidP="00A92FBB">
            <w:pPr>
              <w:spacing w:after="0" w:line="240" w:lineRule="auto"/>
              <w:jc w:val="right"/>
              <w:rPr>
                <w:rFonts w:ascii="Calibri" w:hAnsi="Calibri"/>
                <w:b/>
                <w:bCs/>
                <w:color w:val="000000"/>
                <w:sz w:val="18"/>
                <w:szCs w:val="18"/>
              </w:rPr>
            </w:pPr>
            <w:r w:rsidRPr="00EF74A5">
              <w:rPr>
                <w:rFonts w:ascii="Calibri" w:hAnsi="Calibri"/>
                <w:b/>
                <w:bCs/>
                <w:color w:val="000000"/>
                <w:sz w:val="18"/>
                <w:szCs w:val="18"/>
              </w:rPr>
              <w:t xml:space="preserve">      14.6</w:t>
            </w:r>
          </w:p>
        </w:tc>
        <w:tc>
          <w:tcPr>
            <w:tcW w:w="461" w:type="pct"/>
            <w:tcBorders>
              <w:top w:val="single" w:sz="4" w:space="0" w:color="0093D0"/>
              <w:left w:val="nil"/>
              <w:bottom w:val="single" w:sz="4" w:space="0" w:color="0093D0"/>
              <w:right w:val="nil"/>
            </w:tcBorders>
            <w:shd w:val="clear" w:color="000000" w:fill="DDEBF7"/>
            <w:noWrap/>
            <w:vAlign w:val="bottom"/>
            <w:hideMark/>
          </w:tcPr>
          <w:p w:rsidR="00A92FBB" w:rsidRPr="00EF74A5" w:rsidRDefault="00A92FBB" w:rsidP="00A92FBB">
            <w:pPr>
              <w:spacing w:after="0" w:line="240" w:lineRule="auto"/>
              <w:jc w:val="right"/>
              <w:rPr>
                <w:rFonts w:ascii="Calibri" w:hAnsi="Calibri"/>
                <w:b/>
                <w:bCs/>
                <w:color w:val="000000"/>
                <w:sz w:val="18"/>
                <w:szCs w:val="18"/>
              </w:rPr>
            </w:pPr>
            <w:r w:rsidRPr="00EF74A5">
              <w:rPr>
                <w:rFonts w:ascii="Calibri" w:hAnsi="Calibri"/>
                <w:b/>
                <w:bCs/>
                <w:color w:val="000000"/>
                <w:sz w:val="18"/>
                <w:szCs w:val="18"/>
              </w:rPr>
              <w:t xml:space="preserve">     10.0</w:t>
            </w:r>
          </w:p>
        </w:tc>
        <w:tc>
          <w:tcPr>
            <w:tcW w:w="432" w:type="pct"/>
            <w:tcBorders>
              <w:top w:val="single" w:sz="4" w:space="0" w:color="0093D0"/>
              <w:left w:val="nil"/>
              <w:bottom w:val="single" w:sz="4" w:space="0" w:color="0093D0"/>
              <w:right w:val="nil"/>
            </w:tcBorders>
            <w:shd w:val="clear" w:color="000000" w:fill="DDEBF7"/>
            <w:noWrap/>
            <w:vAlign w:val="bottom"/>
            <w:hideMark/>
          </w:tcPr>
          <w:p w:rsidR="00A92FBB" w:rsidRPr="00EF74A5" w:rsidRDefault="00A92FBB" w:rsidP="00A92FBB">
            <w:pPr>
              <w:spacing w:after="0" w:line="240" w:lineRule="auto"/>
              <w:jc w:val="right"/>
              <w:rPr>
                <w:rFonts w:ascii="Calibri" w:hAnsi="Calibri"/>
                <w:b/>
                <w:bCs/>
                <w:color w:val="000000"/>
                <w:sz w:val="18"/>
                <w:szCs w:val="18"/>
              </w:rPr>
            </w:pPr>
            <w:r w:rsidRPr="00EF74A5">
              <w:rPr>
                <w:rFonts w:ascii="Calibri" w:hAnsi="Calibri"/>
                <w:b/>
                <w:bCs/>
                <w:color w:val="000000"/>
                <w:sz w:val="18"/>
                <w:szCs w:val="18"/>
              </w:rPr>
              <w:t xml:space="preserve">     2.9</w:t>
            </w:r>
          </w:p>
        </w:tc>
        <w:tc>
          <w:tcPr>
            <w:tcW w:w="419" w:type="pct"/>
            <w:tcBorders>
              <w:top w:val="single" w:sz="4" w:space="0" w:color="0093D0"/>
              <w:left w:val="nil"/>
              <w:bottom w:val="single" w:sz="4" w:space="0" w:color="0093D0"/>
              <w:right w:val="nil"/>
            </w:tcBorders>
            <w:shd w:val="clear" w:color="000000" w:fill="DDEBF7"/>
            <w:noWrap/>
            <w:vAlign w:val="bottom"/>
            <w:hideMark/>
          </w:tcPr>
          <w:p w:rsidR="00A92FBB" w:rsidRPr="00EF74A5" w:rsidRDefault="00A92FBB" w:rsidP="00A92FBB">
            <w:pPr>
              <w:spacing w:after="0" w:line="240" w:lineRule="auto"/>
              <w:jc w:val="right"/>
              <w:rPr>
                <w:rFonts w:ascii="Calibri" w:hAnsi="Calibri"/>
                <w:b/>
                <w:bCs/>
                <w:color w:val="000000"/>
                <w:sz w:val="18"/>
                <w:szCs w:val="18"/>
              </w:rPr>
            </w:pPr>
            <w:r w:rsidRPr="00EF74A5">
              <w:rPr>
                <w:rFonts w:ascii="Calibri" w:hAnsi="Calibri"/>
                <w:b/>
                <w:bCs/>
                <w:color w:val="000000"/>
                <w:sz w:val="18"/>
                <w:szCs w:val="18"/>
              </w:rPr>
              <w:t xml:space="preserve">        0.4 </w:t>
            </w:r>
          </w:p>
        </w:tc>
        <w:tc>
          <w:tcPr>
            <w:tcW w:w="445" w:type="pct"/>
            <w:tcBorders>
              <w:top w:val="single" w:sz="4" w:space="0" w:color="0093D0"/>
              <w:left w:val="nil"/>
              <w:bottom w:val="single" w:sz="4" w:space="0" w:color="0093D0"/>
              <w:right w:val="nil"/>
            </w:tcBorders>
            <w:shd w:val="clear" w:color="000000" w:fill="DDEBF7"/>
            <w:noWrap/>
            <w:vAlign w:val="bottom"/>
            <w:hideMark/>
          </w:tcPr>
          <w:p w:rsidR="00A92FBB" w:rsidRPr="00EF74A5" w:rsidRDefault="00A92FBB" w:rsidP="00A92FBB">
            <w:pPr>
              <w:spacing w:after="0" w:line="240" w:lineRule="auto"/>
              <w:jc w:val="right"/>
              <w:rPr>
                <w:rFonts w:ascii="Calibri" w:hAnsi="Calibri"/>
                <w:b/>
                <w:bCs/>
                <w:color w:val="000000"/>
                <w:sz w:val="18"/>
                <w:szCs w:val="18"/>
              </w:rPr>
            </w:pPr>
            <w:r w:rsidRPr="00EF74A5">
              <w:rPr>
                <w:rFonts w:ascii="Calibri" w:hAnsi="Calibri"/>
                <w:b/>
                <w:bCs/>
                <w:color w:val="000000"/>
                <w:sz w:val="18"/>
                <w:szCs w:val="18"/>
              </w:rPr>
              <w:t xml:space="preserve">          0.5</w:t>
            </w:r>
          </w:p>
        </w:tc>
        <w:tc>
          <w:tcPr>
            <w:tcW w:w="477" w:type="pct"/>
            <w:tcBorders>
              <w:top w:val="single" w:sz="4" w:space="0" w:color="0093D0"/>
              <w:left w:val="nil"/>
              <w:bottom w:val="single" w:sz="4" w:space="0" w:color="0093D0"/>
              <w:right w:val="nil"/>
            </w:tcBorders>
            <w:shd w:val="clear" w:color="000000" w:fill="DDEBF7"/>
            <w:noWrap/>
            <w:vAlign w:val="bottom"/>
            <w:hideMark/>
          </w:tcPr>
          <w:p w:rsidR="00A92FBB" w:rsidRPr="00EF74A5" w:rsidRDefault="00A92FBB" w:rsidP="00A92FBB">
            <w:pPr>
              <w:spacing w:after="0" w:line="240" w:lineRule="auto"/>
              <w:jc w:val="right"/>
              <w:rPr>
                <w:rFonts w:ascii="Calibri" w:hAnsi="Calibri"/>
                <w:b/>
                <w:bCs/>
                <w:color w:val="000000"/>
                <w:sz w:val="18"/>
                <w:szCs w:val="18"/>
              </w:rPr>
            </w:pPr>
            <w:r w:rsidRPr="00EF74A5">
              <w:rPr>
                <w:rFonts w:ascii="Calibri" w:hAnsi="Calibri"/>
                <w:b/>
                <w:bCs/>
                <w:color w:val="000000"/>
                <w:sz w:val="18"/>
                <w:szCs w:val="18"/>
              </w:rPr>
              <w:t xml:space="preserve">    109.6 </w:t>
            </w:r>
          </w:p>
        </w:tc>
      </w:tr>
    </w:tbl>
    <w:p w:rsidR="00CB333D" w:rsidRDefault="006A0464" w:rsidP="0033574D">
      <w:pPr>
        <w:pStyle w:val="MJAnormal"/>
      </w:pPr>
      <w:r>
        <w:t xml:space="preserve">The results of this approach are likely to have a high degree of uncertainty, estimated at </w:t>
      </w:r>
      <w:r w:rsidR="004D1223">
        <w:t>+/- 50%.</w:t>
      </w:r>
    </w:p>
    <w:p w:rsidR="000B19D7" w:rsidRDefault="000B19D7" w:rsidP="0033574D">
      <w:pPr>
        <w:pStyle w:val="MJAnormal"/>
      </w:pPr>
    </w:p>
    <w:p w:rsidR="000B19D7" w:rsidRDefault="000B19D7" w:rsidP="0033574D">
      <w:pPr>
        <w:pStyle w:val="MJAnormal"/>
      </w:pPr>
    </w:p>
    <w:p w:rsidR="006A0464" w:rsidRDefault="00BE139F" w:rsidP="009213FC">
      <w:pPr>
        <w:pStyle w:val="MJAheading4"/>
      </w:pPr>
      <w:r>
        <w:lastRenderedPageBreak/>
        <w:t>R</w:t>
      </w:r>
      <w:r w:rsidRPr="00BE139F">
        <w:t>esidual enviro</w:t>
      </w:r>
      <w:r>
        <w:t>nmental and social costs</w:t>
      </w:r>
      <w:r w:rsidRPr="00BE139F">
        <w:t xml:space="preserve"> associated with hazardous wastes disposed to landfill</w:t>
      </w:r>
    </w:p>
    <w:p w:rsidR="002109AB" w:rsidRPr="00225CE7" w:rsidRDefault="00ED0913" w:rsidP="00225CE7">
      <w:pPr>
        <w:pStyle w:val="MJAnormal"/>
        <w:rPr>
          <w:rStyle w:val="MJAnormalChar1"/>
          <w:lang w:eastAsia="en-AU"/>
        </w:rPr>
      </w:pPr>
      <w:bookmarkStart w:id="52" w:name="_Ref305762048"/>
      <w:bookmarkStart w:id="53" w:name="_Toc304209499"/>
      <w:bookmarkStart w:id="54" w:name="_Toc307393816"/>
      <w:r>
        <w:rPr>
          <w:lang w:eastAsia="en-AU"/>
        </w:rPr>
        <w:t>Notwithstanding pre-disposal treatment, hazardous wastes disposed to landfill are likely to result in negative environmental and social costs.  These ‘d</w:t>
      </w:r>
      <w:r w:rsidR="002109AB" w:rsidRPr="002109AB">
        <w:rPr>
          <w:lang w:eastAsia="en-AU"/>
        </w:rPr>
        <w:t>ownstream externalities</w:t>
      </w:r>
      <w:r>
        <w:rPr>
          <w:lang w:eastAsia="en-AU"/>
        </w:rPr>
        <w:t>’</w:t>
      </w:r>
      <w:r w:rsidR="002109AB" w:rsidRPr="002109AB">
        <w:rPr>
          <w:lang w:eastAsia="en-AU"/>
        </w:rPr>
        <w:t xml:space="preserve"> include </w:t>
      </w:r>
      <w:r>
        <w:rPr>
          <w:lang w:eastAsia="en-AU"/>
        </w:rPr>
        <w:t>greenhouse gas</w:t>
      </w:r>
      <w:r w:rsidR="002109AB" w:rsidRPr="002109AB">
        <w:rPr>
          <w:lang w:eastAsia="en-AU"/>
        </w:rPr>
        <w:t xml:space="preserve"> </w:t>
      </w:r>
      <w:r>
        <w:rPr>
          <w:lang w:eastAsia="en-AU"/>
        </w:rPr>
        <w:t xml:space="preserve">(GHG) </w:t>
      </w:r>
      <w:r w:rsidR="002109AB" w:rsidRPr="002109AB">
        <w:rPr>
          <w:lang w:eastAsia="en-AU"/>
        </w:rPr>
        <w:t xml:space="preserve">emissions, gas, leachate, odour, dust and social amenity. </w:t>
      </w:r>
      <w:fldSimple w:instr=" REF _Ref321596929 \h  \* MERGEFORMAT ">
        <w:r w:rsidR="00D54C27" w:rsidRPr="00D54C27">
          <w:rPr>
            <w:rStyle w:val="MJAnormalChar1"/>
          </w:rPr>
          <w:t>Table 19</w:t>
        </w:r>
      </w:fldSimple>
      <w:r w:rsidR="002109AB" w:rsidRPr="00225CE7">
        <w:rPr>
          <w:rStyle w:val="MJAnormalChar1"/>
          <w:lang w:eastAsia="en-AU"/>
        </w:rPr>
        <w:t xml:space="preserve"> summarises these downstream or direct solid waste externalities and the key materials with which they are associated.</w:t>
      </w:r>
    </w:p>
    <w:p w:rsidR="002109AB" w:rsidRPr="002109AB" w:rsidRDefault="002109AB" w:rsidP="002109AB">
      <w:pPr>
        <w:keepNext/>
        <w:keepLines/>
        <w:spacing w:before="120" w:after="120" w:line="240" w:lineRule="auto"/>
        <w:outlineLvl w:val="0"/>
        <w:rPr>
          <w:rFonts w:ascii="Calibri" w:eastAsia="Times New Roman" w:hAnsi="Calibri" w:cs="Times New Roman"/>
          <w:b/>
          <w:bCs/>
          <w:sz w:val="20"/>
          <w:szCs w:val="18"/>
          <w:lang w:eastAsia="en-AU"/>
        </w:rPr>
      </w:pPr>
      <w:bookmarkStart w:id="55" w:name="_Ref321596929"/>
      <w:bookmarkStart w:id="56" w:name="_Ref321596842"/>
      <w:bookmarkStart w:id="57" w:name="_Toc324423917"/>
      <w:bookmarkStart w:id="58" w:name="_Toc333851337"/>
      <w:r w:rsidRPr="002109AB">
        <w:rPr>
          <w:rFonts w:ascii="Calibri" w:eastAsia="Times New Roman" w:hAnsi="Calibri" w:cs="Times New Roman"/>
          <w:b/>
          <w:bCs/>
          <w:sz w:val="20"/>
          <w:szCs w:val="18"/>
          <w:lang w:eastAsia="en-AU"/>
        </w:rPr>
        <w:t xml:space="preserve">Table </w:t>
      </w:r>
      <w:r w:rsidR="00732F35" w:rsidRPr="002109AB">
        <w:rPr>
          <w:rFonts w:ascii="Calibri" w:eastAsia="Times New Roman" w:hAnsi="Calibri" w:cs="Times New Roman"/>
          <w:b/>
          <w:bCs/>
          <w:sz w:val="20"/>
          <w:szCs w:val="18"/>
          <w:lang w:eastAsia="en-AU"/>
        </w:rPr>
        <w:fldChar w:fldCharType="begin"/>
      </w:r>
      <w:r w:rsidRPr="002109AB">
        <w:rPr>
          <w:rFonts w:ascii="Calibri" w:eastAsia="Times New Roman" w:hAnsi="Calibri" w:cs="Times New Roman"/>
          <w:b/>
          <w:bCs/>
          <w:sz w:val="20"/>
          <w:szCs w:val="18"/>
          <w:lang w:eastAsia="en-AU"/>
        </w:rPr>
        <w:instrText xml:space="preserve"> SEQ Table \* ARABIC </w:instrText>
      </w:r>
      <w:r w:rsidR="00732F35" w:rsidRPr="002109AB">
        <w:rPr>
          <w:rFonts w:ascii="Calibri" w:eastAsia="Times New Roman" w:hAnsi="Calibri" w:cs="Times New Roman"/>
          <w:b/>
          <w:bCs/>
          <w:sz w:val="20"/>
          <w:szCs w:val="18"/>
          <w:lang w:eastAsia="en-AU"/>
        </w:rPr>
        <w:fldChar w:fldCharType="separate"/>
      </w:r>
      <w:r w:rsidR="00D54C27">
        <w:rPr>
          <w:rFonts w:ascii="Calibri" w:eastAsia="Times New Roman" w:hAnsi="Calibri" w:cs="Times New Roman"/>
          <w:b/>
          <w:bCs/>
          <w:noProof/>
          <w:sz w:val="20"/>
          <w:szCs w:val="18"/>
          <w:lang w:eastAsia="en-AU"/>
        </w:rPr>
        <w:t>19</w:t>
      </w:r>
      <w:r w:rsidR="00732F35" w:rsidRPr="002109AB">
        <w:rPr>
          <w:rFonts w:ascii="Calibri" w:eastAsia="Times New Roman" w:hAnsi="Calibri" w:cs="Times New Roman"/>
          <w:b/>
          <w:bCs/>
          <w:noProof/>
          <w:sz w:val="20"/>
          <w:szCs w:val="18"/>
          <w:lang w:eastAsia="en-AU"/>
        </w:rPr>
        <w:fldChar w:fldCharType="end"/>
      </w:r>
      <w:bookmarkEnd w:id="52"/>
      <w:bookmarkEnd w:id="55"/>
      <w:r w:rsidR="00ED0913">
        <w:rPr>
          <w:rFonts w:ascii="Calibri" w:eastAsia="Times New Roman" w:hAnsi="Calibri" w:cs="Times New Roman"/>
          <w:b/>
          <w:bCs/>
          <w:sz w:val="20"/>
          <w:szCs w:val="18"/>
          <w:lang w:eastAsia="en-AU"/>
        </w:rPr>
        <w:t xml:space="preserve">: Major </w:t>
      </w:r>
      <w:proofErr w:type="spellStart"/>
      <w:proofErr w:type="gramStart"/>
      <w:r w:rsidR="00ED0913">
        <w:rPr>
          <w:rFonts w:ascii="Calibri" w:eastAsia="Times New Roman" w:hAnsi="Calibri" w:cs="Times New Roman"/>
          <w:b/>
          <w:bCs/>
          <w:sz w:val="20"/>
          <w:szCs w:val="18"/>
          <w:lang w:eastAsia="en-AU"/>
        </w:rPr>
        <w:t>d</w:t>
      </w:r>
      <w:r w:rsidR="00FC72F6">
        <w:rPr>
          <w:rFonts w:ascii="Calibri" w:eastAsia="Times New Roman" w:hAnsi="Calibri" w:cs="Times New Roman"/>
          <w:b/>
          <w:bCs/>
          <w:sz w:val="20"/>
          <w:szCs w:val="18"/>
          <w:lang w:eastAsia="en-AU"/>
        </w:rPr>
        <w:t>ownsteam</w:t>
      </w:r>
      <w:proofErr w:type="spellEnd"/>
      <w:proofErr w:type="gramEnd"/>
      <w:r w:rsidRPr="002109AB">
        <w:rPr>
          <w:rFonts w:ascii="Calibri" w:eastAsia="Times New Roman" w:hAnsi="Calibri" w:cs="Times New Roman"/>
          <w:b/>
          <w:bCs/>
          <w:sz w:val="20"/>
          <w:szCs w:val="18"/>
          <w:lang w:eastAsia="en-AU"/>
        </w:rPr>
        <w:t xml:space="preserve"> waste externalities</w:t>
      </w:r>
      <w:bookmarkEnd w:id="53"/>
      <w:bookmarkEnd w:id="54"/>
      <w:bookmarkEnd w:id="56"/>
      <w:bookmarkEnd w:id="57"/>
      <w:bookmarkEnd w:id="58"/>
    </w:p>
    <w:tbl>
      <w:tblPr>
        <w:tblW w:w="8755" w:type="dxa"/>
        <w:tblBorders>
          <w:bottom w:val="single" w:sz="12" w:space="0" w:color="0093D0"/>
        </w:tblBorders>
        <w:tblLook w:val="00A0"/>
      </w:tblPr>
      <w:tblGrid>
        <w:gridCol w:w="1809"/>
        <w:gridCol w:w="3119"/>
        <w:gridCol w:w="3827"/>
      </w:tblGrid>
      <w:tr w:rsidR="002109AB" w:rsidRPr="002109AB" w:rsidTr="00FC72F6">
        <w:tc>
          <w:tcPr>
            <w:tcW w:w="1809" w:type="dxa"/>
            <w:tcBorders>
              <w:bottom w:val="nil"/>
            </w:tcBorders>
            <w:shd w:val="clear" w:color="auto" w:fill="0093D0"/>
          </w:tcPr>
          <w:p w:rsidR="002109AB" w:rsidRPr="002109AB" w:rsidRDefault="002109AB" w:rsidP="002109AB">
            <w:pPr>
              <w:spacing w:before="60" w:after="60" w:line="240" w:lineRule="auto"/>
              <w:rPr>
                <w:rFonts w:ascii="Calibri" w:eastAsia="Times New Roman" w:hAnsi="Calibri" w:cs="Times New Roman"/>
                <w:b/>
                <w:color w:val="FFFFFF"/>
                <w:sz w:val="20"/>
                <w:lang w:eastAsia="en-AU"/>
              </w:rPr>
            </w:pPr>
            <w:r w:rsidRPr="002109AB">
              <w:rPr>
                <w:rFonts w:ascii="Calibri" w:eastAsia="Times New Roman" w:hAnsi="Calibri" w:cs="Times New Roman"/>
                <w:b/>
                <w:color w:val="FFFFFF"/>
                <w:sz w:val="20"/>
                <w:lang w:eastAsia="en-AU"/>
              </w:rPr>
              <w:t>Direct externality</w:t>
            </w:r>
          </w:p>
        </w:tc>
        <w:tc>
          <w:tcPr>
            <w:tcW w:w="3119" w:type="dxa"/>
            <w:tcBorders>
              <w:bottom w:val="nil"/>
            </w:tcBorders>
            <w:shd w:val="clear" w:color="auto" w:fill="0093D0"/>
          </w:tcPr>
          <w:p w:rsidR="002109AB" w:rsidRPr="002109AB" w:rsidRDefault="002109AB" w:rsidP="002109AB">
            <w:pPr>
              <w:spacing w:before="60" w:after="60" w:line="240" w:lineRule="auto"/>
              <w:rPr>
                <w:rFonts w:ascii="Calibri" w:eastAsia="Times New Roman" w:hAnsi="Calibri" w:cs="Times New Roman"/>
                <w:b/>
                <w:color w:val="FFFFFF"/>
                <w:sz w:val="20"/>
                <w:lang w:eastAsia="en-AU"/>
              </w:rPr>
            </w:pPr>
            <w:r w:rsidRPr="002109AB">
              <w:rPr>
                <w:rFonts w:ascii="Calibri" w:eastAsia="Times New Roman" w:hAnsi="Calibri" w:cs="Times New Roman"/>
                <w:b/>
                <w:color w:val="FFFFFF"/>
                <w:sz w:val="20"/>
                <w:lang w:eastAsia="en-AU"/>
              </w:rPr>
              <w:t>Comment</w:t>
            </w:r>
          </w:p>
        </w:tc>
        <w:tc>
          <w:tcPr>
            <w:tcW w:w="3827" w:type="dxa"/>
            <w:tcBorders>
              <w:bottom w:val="nil"/>
            </w:tcBorders>
            <w:shd w:val="clear" w:color="auto" w:fill="0093D0"/>
          </w:tcPr>
          <w:p w:rsidR="002109AB" w:rsidRPr="002109AB" w:rsidRDefault="002109AB" w:rsidP="002109AB">
            <w:pPr>
              <w:spacing w:before="60" w:after="60" w:line="240" w:lineRule="auto"/>
              <w:rPr>
                <w:rFonts w:ascii="Calibri" w:eastAsia="Times New Roman" w:hAnsi="Calibri" w:cs="Times New Roman"/>
                <w:b/>
                <w:color w:val="FFFFFF"/>
                <w:sz w:val="20"/>
                <w:lang w:eastAsia="en-AU"/>
              </w:rPr>
            </w:pPr>
            <w:r w:rsidRPr="002109AB">
              <w:rPr>
                <w:rFonts w:ascii="Calibri" w:eastAsia="Times New Roman" w:hAnsi="Calibri" w:cs="Times New Roman"/>
                <w:b/>
                <w:color w:val="FFFFFF"/>
                <w:sz w:val="20"/>
                <w:lang w:eastAsia="en-AU"/>
              </w:rPr>
              <w:t>Key materials</w:t>
            </w:r>
          </w:p>
        </w:tc>
      </w:tr>
      <w:tr w:rsidR="002109AB" w:rsidRPr="002109AB" w:rsidTr="00FC72F6">
        <w:tc>
          <w:tcPr>
            <w:tcW w:w="1809" w:type="dxa"/>
            <w:tcBorders>
              <w:top w:val="nil"/>
            </w:tcBorders>
          </w:tcPr>
          <w:p w:rsidR="002109AB" w:rsidRPr="002109AB" w:rsidRDefault="002109AB" w:rsidP="002109AB">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 xml:space="preserve">Greenhouse </w:t>
            </w:r>
            <w:r w:rsidR="00B93483">
              <w:rPr>
                <w:rFonts w:ascii="Calibri" w:eastAsia="Times New Roman" w:hAnsi="Calibri" w:cs="Times New Roman"/>
                <w:sz w:val="20"/>
                <w:lang w:eastAsia="en-AU"/>
              </w:rPr>
              <w:t>gas</w:t>
            </w:r>
          </w:p>
        </w:tc>
        <w:tc>
          <w:tcPr>
            <w:tcW w:w="3119" w:type="dxa"/>
            <w:tcBorders>
              <w:top w:val="nil"/>
            </w:tcBorders>
          </w:tcPr>
          <w:p w:rsidR="002109AB" w:rsidRPr="002109AB" w:rsidRDefault="002109AB" w:rsidP="002109AB">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 xml:space="preserve">Biologically active materials degrade into landfill gas with methane – potent greenhouse gas </w:t>
            </w:r>
          </w:p>
        </w:tc>
        <w:tc>
          <w:tcPr>
            <w:tcW w:w="3827" w:type="dxa"/>
            <w:tcBorders>
              <w:top w:val="nil"/>
            </w:tcBorders>
          </w:tcPr>
          <w:p w:rsidR="002109AB" w:rsidRPr="002109AB" w:rsidRDefault="002109AB" w:rsidP="00ED0913">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 xml:space="preserve">Degradable organic carbon </w:t>
            </w:r>
          </w:p>
        </w:tc>
      </w:tr>
      <w:tr w:rsidR="002109AB" w:rsidRPr="002109AB" w:rsidTr="00FC72F6">
        <w:tc>
          <w:tcPr>
            <w:tcW w:w="1809" w:type="dxa"/>
          </w:tcPr>
          <w:p w:rsidR="002109AB" w:rsidRPr="002109AB" w:rsidRDefault="002109AB" w:rsidP="002109AB">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 xml:space="preserve">Leachate </w:t>
            </w:r>
          </w:p>
        </w:tc>
        <w:tc>
          <w:tcPr>
            <w:tcW w:w="3119" w:type="dxa"/>
          </w:tcPr>
          <w:p w:rsidR="002109AB" w:rsidRPr="002109AB" w:rsidRDefault="002109AB" w:rsidP="002109AB">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 xml:space="preserve">Water that has percolated through waste collecting soluble substances (chemicals heavy metals) </w:t>
            </w:r>
          </w:p>
        </w:tc>
        <w:tc>
          <w:tcPr>
            <w:tcW w:w="3827" w:type="dxa"/>
          </w:tcPr>
          <w:p w:rsidR="002109AB" w:rsidRPr="002109AB" w:rsidRDefault="002109AB" w:rsidP="002109AB">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Degradabl</w:t>
            </w:r>
            <w:r w:rsidR="00ED0913">
              <w:rPr>
                <w:rFonts w:ascii="Calibri" w:eastAsia="Times New Roman" w:hAnsi="Calibri" w:cs="Times New Roman"/>
                <w:sz w:val="20"/>
                <w:lang w:eastAsia="en-AU"/>
              </w:rPr>
              <w:t xml:space="preserve">e materials, </w:t>
            </w:r>
            <w:r w:rsidRPr="002109AB">
              <w:rPr>
                <w:rFonts w:ascii="Calibri" w:eastAsia="Times New Roman" w:hAnsi="Calibri" w:cs="Times New Roman"/>
                <w:sz w:val="20"/>
                <w:lang w:eastAsia="en-AU"/>
              </w:rPr>
              <w:t>hazardous</w:t>
            </w:r>
          </w:p>
        </w:tc>
      </w:tr>
      <w:tr w:rsidR="002109AB" w:rsidRPr="002109AB" w:rsidTr="00FC72F6">
        <w:tc>
          <w:tcPr>
            <w:tcW w:w="1809" w:type="dxa"/>
          </w:tcPr>
          <w:p w:rsidR="002109AB" w:rsidRPr="002109AB" w:rsidRDefault="002109AB" w:rsidP="002109AB">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 xml:space="preserve">Odour </w:t>
            </w:r>
          </w:p>
        </w:tc>
        <w:tc>
          <w:tcPr>
            <w:tcW w:w="3119" w:type="dxa"/>
          </w:tcPr>
          <w:p w:rsidR="002109AB" w:rsidRPr="002109AB" w:rsidRDefault="002109AB" w:rsidP="002109AB">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 xml:space="preserve">Trace elements of landfill gas such as sulphides and ammonia </w:t>
            </w:r>
          </w:p>
        </w:tc>
        <w:tc>
          <w:tcPr>
            <w:tcW w:w="3827" w:type="dxa"/>
          </w:tcPr>
          <w:p w:rsidR="002109AB" w:rsidRPr="002109AB" w:rsidRDefault="002109AB" w:rsidP="00ED0913">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Degradable materials</w:t>
            </w:r>
          </w:p>
        </w:tc>
      </w:tr>
      <w:tr w:rsidR="002109AB" w:rsidRPr="002109AB" w:rsidTr="00FC72F6">
        <w:tc>
          <w:tcPr>
            <w:tcW w:w="1809" w:type="dxa"/>
          </w:tcPr>
          <w:p w:rsidR="002109AB" w:rsidRPr="002109AB" w:rsidRDefault="002109AB" w:rsidP="002109AB">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 xml:space="preserve">Dust </w:t>
            </w:r>
          </w:p>
        </w:tc>
        <w:tc>
          <w:tcPr>
            <w:tcW w:w="3119" w:type="dxa"/>
          </w:tcPr>
          <w:p w:rsidR="002109AB" w:rsidRPr="002109AB" w:rsidRDefault="002109AB" w:rsidP="002109AB">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 xml:space="preserve">Operation of landfill such as dirt roads, unloading and daily cover </w:t>
            </w:r>
          </w:p>
        </w:tc>
        <w:tc>
          <w:tcPr>
            <w:tcW w:w="3827" w:type="dxa"/>
          </w:tcPr>
          <w:p w:rsidR="002109AB" w:rsidRPr="002109AB" w:rsidRDefault="002109AB" w:rsidP="002109AB">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 xml:space="preserve">Construction and demolition </w:t>
            </w:r>
          </w:p>
        </w:tc>
      </w:tr>
      <w:tr w:rsidR="002109AB" w:rsidRPr="002109AB" w:rsidTr="00FC72F6">
        <w:tc>
          <w:tcPr>
            <w:tcW w:w="1809" w:type="dxa"/>
            <w:tcBorders>
              <w:bottom w:val="single" w:sz="12" w:space="0" w:color="0093D0"/>
            </w:tcBorders>
          </w:tcPr>
          <w:p w:rsidR="002109AB" w:rsidRPr="002109AB" w:rsidRDefault="00B93483" w:rsidP="002109AB">
            <w:pPr>
              <w:spacing w:before="60" w:after="60" w:line="240" w:lineRule="auto"/>
              <w:rPr>
                <w:rFonts w:ascii="Calibri" w:eastAsia="Times New Roman" w:hAnsi="Calibri" w:cs="Times New Roman"/>
                <w:sz w:val="20"/>
                <w:lang w:eastAsia="en-AU"/>
              </w:rPr>
            </w:pPr>
            <w:r>
              <w:rPr>
                <w:rFonts w:ascii="Calibri" w:eastAsia="Times New Roman" w:hAnsi="Calibri" w:cs="Times New Roman"/>
                <w:sz w:val="20"/>
                <w:lang w:eastAsia="en-AU"/>
              </w:rPr>
              <w:t>Social a</w:t>
            </w:r>
            <w:r w:rsidR="002109AB" w:rsidRPr="002109AB">
              <w:rPr>
                <w:rFonts w:ascii="Calibri" w:eastAsia="Times New Roman" w:hAnsi="Calibri" w:cs="Times New Roman"/>
                <w:sz w:val="20"/>
                <w:lang w:eastAsia="en-AU"/>
              </w:rPr>
              <w:t xml:space="preserve">menity </w:t>
            </w:r>
          </w:p>
        </w:tc>
        <w:tc>
          <w:tcPr>
            <w:tcW w:w="3119" w:type="dxa"/>
            <w:tcBorders>
              <w:bottom w:val="single" w:sz="12" w:space="0" w:color="0093D0"/>
            </w:tcBorders>
          </w:tcPr>
          <w:p w:rsidR="002109AB" w:rsidRPr="002109AB" w:rsidRDefault="002109AB" w:rsidP="002109AB">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Landfills are an unwanted ‘NIMBY’ class of infrastructure</w:t>
            </w:r>
          </w:p>
        </w:tc>
        <w:tc>
          <w:tcPr>
            <w:tcW w:w="3827" w:type="dxa"/>
            <w:tcBorders>
              <w:bottom w:val="single" w:sz="12" w:space="0" w:color="0093D0"/>
            </w:tcBorders>
          </w:tcPr>
          <w:p w:rsidR="002109AB" w:rsidRPr="002109AB" w:rsidRDefault="002109AB" w:rsidP="002109AB">
            <w:pPr>
              <w:spacing w:before="60" w:after="60" w:line="240" w:lineRule="auto"/>
              <w:rPr>
                <w:rFonts w:ascii="Calibri" w:eastAsia="Times New Roman" w:hAnsi="Calibri" w:cs="Times New Roman"/>
                <w:sz w:val="20"/>
                <w:lang w:eastAsia="en-AU"/>
              </w:rPr>
            </w:pPr>
            <w:r w:rsidRPr="002109AB">
              <w:rPr>
                <w:rFonts w:ascii="Calibri" w:eastAsia="Times New Roman" w:hAnsi="Calibri" w:cs="Times New Roman"/>
                <w:sz w:val="20"/>
                <w:lang w:eastAsia="en-AU"/>
              </w:rPr>
              <w:t>All, with sensitivities around hazardous, asbestos and contaminated soils</w:t>
            </w:r>
          </w:p>
        </w:tc>
      </w:tr>
    </w:tbl>
    <w:p w:rsidR="004B6B84" w:rsidRDefault="00225CE7" w:rsidP="00225CE7">
      <w:pPr>
        <w:keepNext/>
        <w:spacing w:before="120" w:after="120" w:line="240" w:lineRule="auto"/>
        <w:rPr>
          <w:rFonts w:ascii="Calibri" w:eastAsia="Times New Roman" w:hAnsi="Calibri" w:cs="Times New Roman"/>
          <w:i/>
          <w:sz w:val="18"/>
          <w:lang w:eastAsia="en-AU"/>
        </w:rPr>
      </w:pPr>
      <w:r>
        <w:rPr>
          <w:rFonts w:ascii="Calibri" w:eastAsia="Times New Roman" w:hAnsi="Calibri" w:cs="Times New Roman"/>
          <w:i/>
          <w:sz w:val="18"/>
          <w:lang w:eastAsia="en-AU"/>
        </w:rPr>
        <w:t xml:space="preserve">Source: </w:t>
      </w:r>
      <w:proofErr w:type="spellStart"/>
      <w:r>
        <w:rPr>
          <w:rFonts w:ascii="Calibri" w:eastAsia="Times New Roman" w:hAnsi="Calibri" w:cs="Times New Roman"/>
          <w:i/>
          <w:sz w:val="18"/>
          <w:lang w:eastAsia="en-AU"/>
        </w:rPr>
        <w:t>Warnken</w:t>
      </w:r>
      <w:proofErr w:type="spellEnd"/>
      <w:r>
        <w:rPr>
          <w:rFonts w:ascii="Calibri" w:eastAsia="Times New Roman" w:hAnsi="Calibri" w:cs="Times New Roman"/>
          <w:i/>
          <w:sz w:val="18"/>
          <w:lang w:eastAsia="en-AU"/>
        </w:rPr>
        <w:t xml:space="preserve"> ISE analysis</w:t>
      </w:r>
      <w:r w:rsidR="00EC4E58">
        <w:rPr>
          <w:rFonts w:ascii="Calibri" w:eastAsia="Times New Roman" w:hAnsi="Calibri" w:cs="Times New Roman"/>
          <w:i/>
          <w:sz w:val="18"/>
          <w:lang w:eastAsia="en-AU"/>
        </w:rPr>
        <w:t xml:space="preserve"> for Marsden Jacob 2012</w:t>
      </w:r>
    </w:p>
    <w:p w:rsidR="00225CE7" w:rsidRDefault="00FC72F6" w:rsidP="00EE2123">
      <w:pPr>
        <w:pStyle w:val="MJAnormal"/>
        <w:rPr>
          <w:lang w:eastAsia="en-AU"/>
        </w:rPr>
      </w:pPr>
      <w:r>
        <w:rPr>
          <w:lang w:eastAsia="en-AU"/>
        </w:rPr>
        <w:t>Best practice landfill management will substantially reduce but not completely eliminate these externalities.</w:t>
      </w:r>
    </w:p>
    <w:p w:rsidR="00792617" w:rsidRPr="00FC72F6" w:rsidRDefault="00FC72F6" w:rsidP="00EE2123">
      <w:pPr>
        <w:pStyle w:val="MJAnormal"/>
        <w:rPr>
          <w:lang w:eastAsia="en-AU"/>
        </w:rPr>
      </w:pPr>
      <w:r>
        <w:rPr>
          <w:lang w:eastAsia="en-AU"/>
        </w:rPr>
        <w:t xml:space="preserve">There have been numerous </w:t>
      </w:r>
      <w:r w:rsidR="00C4559B">
        <w:rPr>
          <w:lang w:eastAsia="en-AU"/>
        </w:rPr>
        <w:t xml:space="preserve">Australian and international </w:t>
      </w:r>
      <w:r>
        <w:rPr>
          <w:lang w:eastAsia="en-AU"/>
        </w:rPr>
        <w:t>reviews</w:t>
      </w:r>
      <w:r w:rsidRPr="00FC72F6">
        <w:rPr>
          <w:lang w:eastAsia="en-AU"/>
        </w:rPr>
        <w:t xml:space="preserve"> </w:t>
      </w:r>
      <w:r>
        <w:rPr>
          <w:lang w:eastAsia="en-AU"/>
        </w:rPr>
        <w:t xml:space="preserve">of the </w:t>
      </w:r>
      <w:r w:rsidRPr="00FC72F6">
        <w:rPr>
          <w:lang w:eastAsia="en-AU"/>
        </w:rPr>
        <w:t xml:space="preserve">externality costs </w:t>
      </w:r>
      <w:r>
        <w:rPr>
          <w:lang w:eastAsia="en-AU"/>
        </w:rPr>
        <w:t>of wastes disp</w:t>
      </w:r>
      <w:r w:rsidR="00C4559B">
        <w:rPr>
          <w:lang w:eastAsia="en-AU"/>
        </w:rPr>
        <w:t xml:space="preserve">osed to landfill including </w:t>
      </w:r>
      <w:r w:rsidRPr="00FC72F6">
        <w:rPr>
          <w:lang w:eastAsia="en-AU"/>
        </w:rPr>
        <w:t xml:space="preserve">Productivity Commission (2006), </w:t>
      </w:r>
      <w:r w:rsidR="00C4559B">
        <w:rPr>
          <w:lang w:eastAsia="en-AU"/>
        </w:rPr>
        <w:t xml:space="preserve">BDA (2009) and </w:t>
      </w:r>
      <w:proofErr w:type="spellStart"/>
      <w:r w:rsidR="00C4559B">
        <w:rPr>
          <w:lang w:eastAsia="en-AU"/>
        </w:rPr>
        <w:t>Schollum</w:t>
      </w:r>
      <w:proofErr w:type="spellEnd"/>
      <w:r w:rsidR="00C4559B">
        <w:rPr>
          <w:lang w:eastAsia="en-AU"/>
        </w:rPr>
        <w:t xml:space="preserve"> (2010). </w:t>
      </w:r>
      <w:r w:rsidR="00E81072">
        <w:rPr>
          <w:lang w:eastAsia="en-AU"/>
        </w:rPr>
        <w:t xml:space="preserve">Based on their reviews </w:t>
      </w:r>
      <w:r w:rsidRPr="00FC72F6">
        <w:rPr>
          <w:lang w:eastAsia="en-AU"/>
        </w:rPr>
        <w:t xml:space="preserve">BDA (2009) </w:t>
      </w:r>
      <w:r w:rsidR="00C4559B">
        <w:rPr>
          <w:lang w:eastAsia="en-AU"/>
        </w:rPr>
        <w:t xml:space="preserve">and </w:t>
      </w:r>
      <w:proofErr w:type="spellStart"/>
      <w:r w:rsidR="00C4559B">
        <w:rPr>
          <w:lang w:eastAsia="en-AU"/>
        </w:rPr>
        <w:t>Schollum</w:t>
      </w:r>
      <w:proofErr w:type="spellEnd"/>
      <w:r w:rsidR="00C4559B">
        <w:rPr>
          <w:lang w:eastAsia="en-AU"/>
        </w:rPr>
        <w:t xml:space="preserve"> (2010) both conclude</w:t>
      </w:r>
      <w:r w:rsidRPr="00FC72F6">
        <w:rPr>
          <w:lang w:eastAsia="en-AU"/>
        </w:rPr>
        <w:t xml:space="preserve"> that the total external costs of landfill </w:t>
      </w:r>
      <w:r w:rsidR="00E81072">
        <w:rPr>
          <w:lang w:eastAsia="en-AU"/>
        </w:rPr>
        <w:t xml:space="preserve">is </w:t>
      </w:r>
      <w:r w:rsidRPr="00FC72F6">
        <w:rPr>
          <w:lang w:eastAsia="en-AU"/>
        </w:rPr>
        <w:t>l</w:t>
      </w:r>
      <w:r w:rsidR="00E81072">
        <w:rPr>
          <w:lang w:eastAsia="en-AU"/>
        </w:rPr>
        <w:t xml:space="preserve">ess than $50 / tonne of waste for the majority of Australian landfills and waste types. </w:t>
      </w:r>
      <w:r w:rsidRPr="00FC72F6">
        <w:rPr>
          <w:lang w:eastAsia="en-AU"/>
        </w:rPr>
        <w:t xml:space="preserve">Both </w:t>
      </w:r>
      <w:r w:rsidR="00E81072">
        <w:rPr>
          <w:lang w:eastAsia="en-AU"/>
        </w:rPr>
        <w:t>note</w:t>
      </w:r>
      <w:r w:rsidRPr="00FC72F6">
        <w:rPr>
          <w:lang w:eastAsia="en-AU"/>
        </w:rPr>
        <w:t xml:space="preserve"> that the more significant compo</w:t>
      </w:r>
      <w:r w:rsidR="00E81072">
        <w:rPr>
          <w:lang w:eastAsia="en-AU"/>
        </w:rPr>
        <w:t>nents of the external costs are GHG</w:t>
      </w:r>
      <w:r w:rsidRPr="00FC72F6">
        <w:rPr>
          <w:lang w:eastAsia="en-AU"/>
        </w:rPr>
        <w:t xml:space="preserve"> emissions, followed by </w:t>
      </w:r>
      <w:proofErr w:type="spellStart"/>
      <w:r w:rsidRPr="00FC72F6">
        <w:rPr>
          <w:lang w:eastAsia="en-AU"/>
        </w:rPr>
        <w:t>disamenity</w:t>
      </w:r>
      <w:proofErr w:type="spellEnd"/>
      <w:r w:rsidRPr="00FC72F6">
        <w:rPr>
          <w:lang w:eastAsia="en-AU"/>
        </w:rPr>
        <w:t xml:space="preserve">, with </w:t>
      </w:r>
      <w:proofErr w:type="spellStart"/>
      <w:r w:rsidRPr="00FC72F6">
        <w:rPr>
          <w:lang w:eastAsia="en-AU"/>
        </w:rPr>
        <w:t>leachate</w:t>
      </w:r>
      <w:proofErr w:type="spellEnd"/>
      <w:r w:rsidRPr="00FC72F6">
        <w:rPr>
          <w:lang w:eastAsia="en-AU"/>
        </w:rPr>
        <w:t xml:space="preserve"> and other air emissions generally being valued at less than $5 and less than $1 per tonne of waste, respectively. </w:t>
      </w:r>
    </w:p>
    <w:p w:rsidR="00FC72F6" w:rsidRPr="009C0C69" w:rsidRDefault="00FC72F6" w:rsidP="009C0C69">
      <w:pPr>
        <w:pStyle w:val="MJAnormal"/>
        <w:rPr>
          <w:b/>
          <w:lang w:eastAsia="en-AU"/>
        </w:rPr>
      </w:pPr>
      <w:bookmarkStart w:id="59" w:name="_Toc326311229"/>
      <w:bookmarkStart w:id="60" w:name="_Toc333851290"/>
      <w:r w:rsidRPr="009C0C69">
        <w:rPr>
          <w:b/>
          <w:lang w:eastAsia="en-AU"/>
        </w:rPr>
        <w:t>Greenhouse gas emissions</w:t>
      </w:r>
      <w:bookmarkEnd w:id="59"/>
      <w:bookmarkEnd w:id="60"/>
      <w:r w:rsidRPr="009C0C69">
        <w:rPr>
          <w:b/>
          <w:lang w:eastAsia="en-AU"/>
        </w:rPr>
        <w:t xml:space="preserve"> </w:t>
      </w:r>
    </w:p>
    <w:p w:rsidR="009C0C69" w:rsidRDefault="009C0C69" w:rsidP="00EE2123">
      <w:pPr>
        <w:pStyle w:val="MJAnormal"/>
        <w:rPr>
          <w:lang w:eastAsia="en-AU"/>
        </w:rPr>
      </w:pPr>
      <w:r>
        <w:rPr>
          <w:lang w:eastAsia="en-AU"/>
        </w:rPr>
        <w:t xml:space="preserve">Most </w:t>
      </w:r>
      <w:r w:rsidR="00FC72F6" w:rsidRPr="00FC72F6">
        <w:rPr>
          <w:lang w:eastAsia="en-AU"/>
        </w:rPr>
        <w:t xml:space="preserve">studies </w:t>
      </w:r>
      <w:r>
        <w:rPr>
          <w:lang w:eastAsia="en-AU"/>
        </w:rPr>
        <w:t xml:space="preserve">reviewed by </w:t>
      </w:r>
      <w:r w:rsidRPr="009C0C69">
        <w:rPr>
          <w:lang w:eastAsia="en-AU"/>
        </w:rPr>
        <w:t xml:space="preserve">BDA (2009) and </w:t>
      </w:r>
      <w:proofErr w:type="spellStart"/>
      <w:r w:rsidRPr="009C0C69">
        <w:rPr>
          <w:lang w:eastAsia="en-AU"/>
        </w:rPr>
        <w:t>Schollum</w:t>
      </w:r>
      <w:proofErr w:type="spellEnd"/>
      <w:r w:rsidRPr="009C0C69">
        <w:rPr>
          <w:lang w:eastAsia="en-AU"/>
        </w:rPr>
        <w:t xml:space="preserve"> (2010)</w:t>
      </w:r>
      <w:r>
        <w:rPr>
          <w:lang w:eastAsia="en-AU"/>
        </w:rPr>
        <w:t xml:space="preserve"> value GHG </w:t>
      </w:r>
      <w:r w:rsidR="00FC72F6" w:rsidRPr="00FC72F6">
        <w:rPr>
          <w:lang w:eastAsia="en-AU"/>
        </w:rPr>
        <w:t>emissions for landfills at less than $20 per tonne of waste landfilled.</w:t>
      </w:r>
      <w:r>
        <w:rPr>
          <w:vertAlign w:val="superscript"/>
          <w:lang w:eastAsia="en-AU"/>
        </w:rPr>
        <w:t xml:space="preserve"> </w:t>
      </w:r>
      <w:r w:rsidR="00FC72F6" w:rsidRPr="00FC72F6">
        <w:rPr>
          <w:lang w:eastAsia="en-AU"/>
        </w:rPr>
        <w:t xml:space="preserve"> This value per ton</w:t>
      </w:r>
      <w:r w:rsidR="00E904D7">
        <w:rPr>
          <w:lang w:eastAsia="en-AU"/>
        </w:rPr>
        <w:t>ne of waste is a function of</w:t>
      </w:r>
      <w:r w:rsidR="00FC72F6" w:rsidRPr="00FC72F6">
        <w:rPr>
          <w:lang w:eastAsia="en-AU"/>
        </w:rPr>
        <w:t xml:space="preserve"> </w:t>
      </w:r>
      <w:r w:rsidR="00E904D7">
        <w:rPr>
          <w:lang w:eastAsia="en-AU"/>
        </w:rPr>
        <w:t xml:space="preserve">the </w:t>
      </w:r>
      <w:r w:rsidR="00FC72F6" w:rsidRPr="00FC72F6">
        <w:rPr>
          <w:lang w:eastAsia="en-AU"/>
        </w:rPr>
        <w:t xml:space="preserve">quantity of emissions per tonne of waste for various </w:t>
      </w:r>
      <w:r w:rsidR="009B76B4">
        <w:rPr>
          <w:lang w:eastAsia="en-AU"/>
        </w:rPr>
        <w:t xml:space="preserve">waste </w:t>
      </w:r>
      <w:r w:rsidR="00FC72F6" w:rsidRPr="00FC72F6">
        <w:rPr>
          <w:lang w:eastAsia="en-AU"/>
        </w:rPr>
        <w:t>streams</w:t>
      </w:r>
      <w:r w:rsidR="004170C2">
        <w:rPr>
          <w:lang w:eastAsia="en-AU"/>
        </w:rPr>
        <w:t xml:space="preserve"> (emissions factor)</w:t>
      </w:r>
      <w:r w:rsidR="009B76B4">
        <w:rPr>
          <w:lang w:eastAsia="en-AU"/>
        </w:rPr>
        <w:t xml:space="preserve">, </w:t>
      </w:r>
      <w:r>
        <w:rPr>
          <w:lang w:eastAsia="en-AU"/>
        </w:rPr>
        <w:t>the proportion of GHG (methane</w:t>
      </w:r>
      <w:r w:rsidR="00E904D7">
        <w:rPr>
          <w:lang w:eastAsia="en-AU"/>
        </w:rPr>
        <w:t>) collected</w:t>
      </w:r>
      <w:r>
        <w:rPr>
          <w:lang w:eastAsia="en-AU"/>
        </w:rPr>
        <w:t xml:space="preserve"> </w:t>
      </w:r>
      <w:r w:rsidR="009B76B4">
        <w:rPr>
          <w:lang w:eastAsia="en-AU"/>
        </w:rPr>
        <w:t xml:space="preserve">and the </w:t>
      </w:r>
      <w:r w:rsidR="004170C2">
        <w:rPr>
          <w:lang w:eastAsia="en-AU"/>
        </w:rPr>
        <w:t xml:space="preserve">cost of </w:t>
      </w:r>
      <w:r w:rsidR="0064777B">
        <w:rPr>
          <w:lang w:eastAsia="en-AU"/>
        </w:rPr>
        <w:t xml:space="preserve">carbon </w:t>
      </w:r>
      <w:r w:rsidR="009B76B4">
        <w:rPr>
          <w:lang w:eastAsia="en-AU"/>
        </w:rPr>
        <w:t>emissions</w:t>
      </w:r>
      <w:r w:rsidR="00FC72F6" w:rsidRPr="00FC72F6">
        <w:rPr>
          <w:lang w:eastAsia="en-AU"/>
        </w:rPr>
        <w:t xml:space="preserve">. </w:t>
      </w:r>
    </w:p>
    <w:p w:rsidR="008056C2" w:rsidRPr="008056C2" w:rsidRDefault="008056C2" w:rsidP="00FC72F6">
      <w:pPr>
        <w:spacing w:before="120" w:after="120" w:line="280" w:lineRule="atLeast"/>
        <w:rPr>
          <w:rFonts w:ascii="Times New Roman" w:eastAsia="Times New Roman" w:hAnsi="Times New Roman" w:cs="Times New Roman"/>
          <w:b/>
          <w:i/>
          <w:lang w:eastAsia="en-AU"/>
        </w:rPr>
      </w:pPr>
      <w:r w:rsidRPr="008056C2">
        <w:rPr>
          <w:rFonts w:ascii="Times New Roman" w:eastAsia="Times New Roman" w:hAnsi="Times New Roman" w:cs="Times New Roman"/>
          <w:b/>
          <w:i/>
          <w:lang w:eastAsia="en-AU"/>
        </w:rPr>
        <w:t>Emissions factor</w:t>
      </w:r>
    </w:p>
    <w:p w:rsidR="00FC72F6" w:rsidRDefault="00FC72F6" w:rsidP="00EE2123">
      <w:pPr>
        <w:pStyle w:val="MJAnormal"/>
        <w:rPr>
          <w:rStyle w:val="MJAnormalChar1"/>
        </w:rPr>
      </w:pPr>
      <w:r w:rsidRPr="00FC72F6">
        <w:rPr>
          <w:lang w:eastAsia="en-AU"/>
        </w:rPr>
        <w:t xml:space="preserve">The Department of </w:t>
      </w:r>
      <w:r w:rsidR="00BF6224">
        <w:rPr>
          <w:lang w:eastAsia="en-AU"/>
        </w:rPr>
        <w:t xml:space="preserve">the </w:t>
      </w:r>
      <w:r w:rsidR="009C0C69">
        <w:rPr>
          <w:lang w:eastAsia="en-AU"/>
        </w:rPr>
        <w:t xml:space="preserve">Environment </w:t>
      </w:r>
      <w:r w:rsidR="00BF6224">
        <w:rPr>
          <w:lang w:eastAsia="en-AU"/>
        </w:rPr>
        <w:t xml:space="preserve">(formerly DIICCSRTE) </w:t>
      </w:r>
      <w:r w:rsidRPr="00FC72F6">
        <w:rPr>
          <w:lang w:eastAsia="en-AU"/>
        </w:rPr>
        <w:t>publishes emissions factors (quantity of emissions per tonne of waste) for various activities including waste disposed to landfill by broad waste stream ca</w:t>
      </w:r>
      <w:r w:rsidR="009B76B4">
        <w:rPr>
          <w:lang w:eastAsia="en-AU"/>
        </w:rPr>
        <w:t xml:space="preserve">tegory </w:t>
      </w:r>
      <w:r w:rsidR="009B76B4" w:rsidRPr="004170C2">
        <w:rPr>
          <w:rStyle w:val="MJAnormalChar1"/>
        </w:rPr>
        <w:t>(</w:t>
      </w:r>
      <w:fldSimple w:instr=" REF _Ref391395179 \h  \* MERGEFORMAT ">
        <w:r w:rsidR="00D54C27" w:rsidRPr="00D54C27">
          <w:rPr>
            <w:rStyle w:val="MJAnormalChar1"/>
          </w:rPr>
          <w:t>Table 20</w:t>
        </w:r>
      </w:fldSimple>
      <w:r w:rsidR="009B76B4" w:rsidRPr="004170C2">
        <w:rPr>
          <w:rStyle w:val="MJAnormalChar1"/>
        </w:rPr>
        <w:t>).</w:t>
      </w:r>
    </w:p>
    <w:p w:rsidR="00851FE5" w:rsidRPr="00FC72F6" w:rsidRDefault="00851FE5" w:rsidP="00851FE5">
      <w:pPr>
        <w:keepNext/>
        <w:keepLines/>
        <w:spacing w:before="120" w:after="120" w:line="240" w:lineRule="auto"/>
        <w:outlineLvl w:val="0"/>
        <w:rPr>
          <w:rFonts w:ascii="Calibri" w:eastAsia="Times New Roman" w:hAnsi="Calibri" w:cs="Times New Roman"/>
          <w:b/>
          <w:bCs/>
          <w:sz w:val="20"/>
          <w:szCs w:val="18"/>
          <w:lang w:eastAsia="en-AU"/>
        </w:rPr>
      </w:pPr>
      <w:bookmarkStart w:id="61" w:name="_Ref391395179"/>
      <w:bookmarkStart w:id="62" w:name="_Toc333851344"/>
      <w:r w:rsidRPr="00FC72F6">
        <w:rPr>
          <w:rFonts w:ascii="Calibri" w:eastAsia="Times New Roman" w:hAnsi="Calibri" w:cs="Times New Roman"/>
          <w:b/>
          <w:bCs/>
          <w:sz w:val="20"/>
          <w:szCs w:val="18"/>
          <w:lang w:eastAsia="en-AU"/>
        </w:rPr>
        <w:lastRenderedPageBreak/>
        <w:t xml:space="preserve">Table </w:t>
      </w:r>
      <w:r w:rsidR="00732F35" w:rsidRPr="00FC72F6">
        <w:rPr>
          <w:rFonts w:ascii="Calibri" w:eastAsia="Times New Roman" w:hAnsi="Calibri" w:cs="Times New Roman"/>
          <w:b/>
          <w:bCs/>
          <w:sz w:val="20"/>
          <w:szCs w:val="18"/>
          <w:lang w:eastAsia="en-AU"/>
        </w:rPr>
        <w:fldChar w:fldCharType="begin"/>
      </w:r>
      <w:r w:rsidRPr="00FC72F6">
        <w:rPr>
          <w:rFonts w:ascii="Calibri" w:eastAsia="Times New Roman" w:hAnsi="Calibri" w:cs="Times New Roman"/>
          <w:b/>
          <w:bCs/>
          <w:sz w:val="20"/>
          <w:szCs w:val="18"/>
          <w:lang w:eastAsia="en-AU"/>
        </w:rPr>
        <w:instrText xml:space="preserve"> SEQ Table \* ARABIC </w:instrText>
      </w:r>
      <w:r w:rsidR="00732F35" w:rsidRPr="00FC72F6">
        <w:rPr>
          <w:rFonts w:ascii="Calibri" w:eastAsia="Times New Roman" w:hAnsi="Calibri" w:cs="Times New Roman"/>
          <w:b/>
          <w:bCs/>
          <w:sz w:val="20"/>
          <w:szCs w:val="18"/>
          <w:lang w:eastAsia="en-AU"/>
        </w:rPr>
        <w:fldChar w:fldCharType="separate"/>
      </w:r>
      <w:r w:rsidR="00D54C27">
        <w:rPr>
          <w:rFonts w:ascii="Calibri" w:eastAsia="Times New Roman" w:hAnsi="Calibri" w:cs="Times New Roman"/>
          <w:b/>
          <w:bCs/>
          <w:noProof/>
          <w:sz w:val="20"/>
          <w:szCs w:val="18"/>
          <w:lang w:eastAsia="en-AU"/>
        </w:rPr>
        <w:t>20</w:t>
      </w:r>
      <w:r w:rsidR="00732F35" w:rsidRPr="00FC72F6">
        <w:rPr>
          <w:rFonts w:ascii="Calibri" w:eastAsia="Times New Roman" w:hAnsi="Calibri" w:cs="Times New Roman"/>
          <w:b/>
          <w:bCs/>
          <w:noProof/>
          <w:sz w:val="20"/>
          <w:szCs w:val="18"/>
          <w:lang w:eastAsia="en-AU"/>
        </w:rPr>
        <w:fldChar w:fldCharType="end"/>
      </w:r>
      <w:bookmarkEnd w:id="61"/>
      <w:r w:rsidRPr="00FC72F6">
        <w:rPr>
          <w:rFonts w:ascii="Calibri" w:eastAsia="Times New Roman" w:hAnsi="Calibri" w:cs="Times New Roman"/>
          <w:b/>
          <w:bCs/>
          <w:sz w:val="20"/>
          <w:szCs w:val="18"/>
          <w:lang w:eastAsia="en-AU"/>
        </w:rPr>
        <w:t>: Emissions factors for waste disposed to landfill by broad waste stream category</w:t>
      </w:r>
      <w:bookmarkEnd w:id="62"/>
    </w:p>
    <w:tbl>
      <w:tblPr>
        <w:tblW w:w="0" w:type="auto"/>
        <w:tblBorders>
          <w:top w:val="single" w:sz="12" w:space="0" w:color="0093D0"/>
          <w:bottom w:val="single" w:sz="12" w:space="0" w:color="0093D0"/>
        </w:tblBorders>
        <w:tblLook w:val="00A0"/>
      </w:tblPr>
      <w:tblGrid>
        <w:gridCol w:w="3369"/>
        <w:gridCol w:w="1275"/>
        <w:gridCol w:w="1276"/>
        <w:gridCol w:w="1134"/>
      </w:tblGrid>
      <w:tr w:rsidR="00851FE5" w:rsidRPr="00FC72F6" w:rsidTr="00A677E4">
        <w:tc>
          <w:tcPr>
            <w:tcW w:w="3369" w:type="dxa"/>
            <w:tcBorders>
              <w:top w:val="single" w:sz="12" w:space="0" w:color="0093D0"/>
            </w:tcBorders>
            <w:shd w:val="clear" w:color="auto" w:fill="0093D0"/>
          </w:tcPr>
          <w:p w:rsidR="00851FE5" w:rsidRPr="00FC72F6" w:rsidRDefault="00851FE5" w:rsidP="00A677E4">
            <w:pPr>
              <w:keepNext/>
              <w:spacing w:before="60" w:after="60" w:line="240" w:lineRule="auto"/>
              <w:rPr>
                <w:rFonts w:ascii="Calibri" w:eastAsia="Times New Roman" w:hAnsi="Calibri" w:cs="Calibri"/>
                <w:color w:val="FFFFFF"/>
                <w:sz w:val="20"/>
                <w:szCs w:val="20"/>
                <w:lang w:eastAsia="en-AU"/>
              </w:rPr>
            </w:pPr>
            <w:r w:rsidRPr="00FC72F6">
              <w:rPr>
                <w:rFonts w:ascii="Calibri" w:eastAsia="Times New Roman" w:hAnsi="Calibri" w:cs="Calibri"/>
                <w:color w:val="FFFFFF"/>
                <w:sz w:val="20"/>
                <w:szCs w:val="20"/>
                <w:lang w:eastAsia="en-AU"/>
              </w:rPr>
              <w:t>Waste types</w:t>
            </w:r>
          </w:p>
        </w:tc>
        <w:tc>
          <w:tcPr>
            <w:tcW w:w="1275" w:type="dxa"/>
            <w:tcBorders>
              <w:top w:val="single" w:sz="12" w:space="0" w:color="0093D0"/>
            </w:tcBorders>
            <w:shd w:val="clear" w:color="auto" w:fill="0093D0"/>
          </w:tcPr>
          <w:p w:rsidR="00851FE5" w:rsidRPr="00FC72F6" w:rsidRDefault="00851FE5" w:rsidP="00A677E4">
            <w:pPr>
              <w:keepNext/>
              <w:spacing w:before="60" w:after="60" w:line="240" w:lineRule="auto"/>
              <w:rPr>
                <w:rFonts w:ascii="Calibri" w:eastAsia="Times New Roman" w:hAnsi="Calibri" w:cs="Calibri"/>
                <w:color w:val="FFFFFF"/>
                <w:sz w:val="20"/>
                <w:szCs w:val="20"/>
                <w:lang w:eastAsia="en-AU"/>
              </w:rPr>
            </w:pPr>
            <w:r w:rsidRPr="00FC72F6">
              <w:rPr>
                <w:rFonts w:ascii="Calibri" w:eastAsia="Times New Roman" w:hAnsi="Calibri" w:cs="Calibri"/>
                <w:color w:val="FFFFFF"/>
                <w:sz w:val="20"/>
                <w:szCs w:val="20"/>
                <w:lang w:eastAsia="en-AU"/>
              </w:rPr>
              <w:t>MSW</w:t>
            </w:r>
          </w:p>
        </w:tc>
        <w:tc>
          <w:tcPr>
            <w:tcW w:w="1276" w:type="dxa"/>
            <w:tcBorders>
              <w:top w:val="single" w:sz="12" w:space="0" w:color="0093D0"/>
            </w:tcBorders>
            <w:shd w:val="clear" w:color="auto" w:fill="0093D0"/>
          </w:tcPr>
          <w:p w:rsidR="00851FE5" w:rsidRPr="00FC72F6" w:rsidRDefault="00851FE5" w:rsidP="00A677E4">
            <w:pPr>
              <w:keepNext/>
              <w:spacing w:before="60" w:after="60" w:line="240" w:lineRule="auto"/>
              <w:rPr>
                <w:rFonts w:ascii="Calibri" w:eastAsia="Times New Roman" w:hAnsi="Calibri" w:cs="Calibri"/>
                <w:color w:val="FFFFFF"/>
                <w:sz w:val="20"/>
                <w:szCs w:val="20"/>
                <w:lang w:eastAsia="en-AU"/>
              </w:rPr>
            </w:pPr>
            <w:r w:rsidRPr="00FC72F6">
              <w:rPr>
                <w:rFonts w:ascii="Calibri" w:eastAsia="Times New Roman" w:hAnsi="Calibri" w:cs="Calibri"/>
                <w:color w:val="FFFFFF"/>
                <w:sz w:val="20"/>
                <w:szCs w:val="20"/>
                <w:lang w:eastAsia="en-AU"/>
              </w:rPr>
              <w:t>C&amp;I</w:t>
            </w:r>
          </w:p>
        </w:tc>
        <w:tc>
          <w:tcPr>
            <w:tcW w:w="1134" w:type="dxa"/>
            <w:tcBorders>
              <w:top w:val="single" w:sz="12" w:space="0" w:color="0093D0"/>
            </w:tcBorders>
            <w:shd w:val="clear" w:color="auto" w:fill="0093D0"/>
          </w:tcPr>
          <w:p w:rsidR="00851FE5" w:rsidRPr="00FC72F6" w:rsidRDefault="00851FE5" w:rsidP="00A677E4">
            <w:pPr>
              <w:keepNext/>
              <w:spacing w:before="60" w:after="60" w:line="240" w:lineRule="auto"/>
              <w:rPr>
                <w:rFonts w:ascii="Calibri" w:eastAsia="Times New Roman" w:hAnsi="Calibri" w:cs="Calibri"/>
                <w:color w:val="FFFFFF"/>
                <w:sz w:val="20"/>
                <w:szCs w:val="20"/>
                <w:lang w:eastAsia="en-AU"/>
              </w:rPr>
            </w:pPr>
            <w:r w:rsidRPr="00FC72F6">
              <w:rPr>
                <w:rFonts w:ascii="Calibri" w:eastAsia="Times New Roman" w:hAnsi="Calibri" w:cs="Calibri"/>
                <w:color w:val="FFFFFF"/>
                <w:sz w:val="20"/>
                <w:szCs w:val="20"/>
                <w:lang w:eastAsia="en-AU"/>
              </w:rPr>
              <w:t>C&amp;D</w:t>
            </w:r>
          </w:p>
        </w:tc>
      </w:tr>
      <w:tr w:rsidR="00851FE5" w:rsidRPr="00FC72F6" w:rsidTr="00A677E4">
        <w:tc>
          <w:tcPr>
            <w:tcW w:w="3369" w:type="dxa"/>
            <w:tcBorders>
              <w:bottom w:val="single" w:sz="12" w:space="0" w:color="0093D0"/>
            </w:tcBorders>
          </w:tcPr>
          <w:p w:rsidR="00851FE5" w:rsidRPr="00FC72F6" w:rsidRDefault="00851FE5" w:rsidP="00A677E4">
            <w:pPr>
              <w:keepNext/>
              <w:spacing w:before="60" w:after="60" w:line="240" w:lineRule="auto"/>
              <w:rPr>
                <w:rFonts w:ascii="Calibri" w:eastAsia="Times New Roman" w:hAnsi="Calibri" w:cs="Calibri"/>
                <w:sz w:val="20"/>
                <w:szCs w:val="20"/>
                <w:lang w:eastAsia="en-AU"/>
              </w:rPr>
            </w:pPr>
            <w:r w:rsidRPr="00FC72F6">
              <w:rPr>
                <w:rFonts w:ascii="Calibri" w:eastAsia="Times New Roman" w:hAnsi="Calibri" w:cs="Calibri"/>
                <w:sz w:val="20"/>
                <w:szCs w:val="20"/>
                <w:lang w:eastAsia="en-AU"/>
              </w:rPr>
              <w:t>Emission factor (t CO2-e/t waste)</w:t>
            </w:r>
          </w:p>
        </w:tc>
        <w:tc>
          <w:tcPr>
            <w:tcW w:w="1275" w:type="dxa"/>
            <w:tcBorders>
              <w:bottom w:val="single" w:sz="12" w:space="0" w:color="0093D0"/>
            </w:tcBorders>
          </w:tcPr>
          <w:p w:rsidR="00851FE5" w:rsidRPr="00FC72F6" w:rsidRDefault="00851FE5" w:rsidP="00A677E4">
            <w:pPr>
              <w:keepNext/>
              <w:spacing w:before="60" w:after="60" w:line="240" w:lineRule="auto"/>
              <w:rPr>
                <w:rFonts w:ascii="Calibri" w:eastAsia="Times New Roman" w:hAnsi="Calibri" w:cs="Calibri"/>
                <w:sz w:val="20"/>
                <w:szCs w:val="20"/>
                <w:lang w:eastAsia="en-AU"/>
              </w:rPr>
            </w:pPr>
            <w:r w:rsidRPr="00FC72F6">
              <w:rPr>
                <w:rFonts w:ascii="Calibri" w:eastAsia="Times New Roman" w:hAnsi="Calibri" w:cs="Calibri"/>
                <w:sz w:val="20"/>
                <w:szCs w:val="20"/>
                <w:lang w:eastAsia="en-AU"/>
              </w:rPr>
              <w:t>1.2</w:t>
            </w:r>
          </w:p>
        </w:tc>
        <w:tc>
          <w:tcPr>
            <w:tcW w:w="1276" w:type="dxa"/>
            <w:tcBorders>
              <w:bottom w:val="single" w:sz="12" w:space="0" w:color="0093D0"/>
            </w:tcBorders>
          </w:tcPr>
          <w:p w:rsidR="00851FE5" w:rsidRPr="00FC72F6" w:rsidRDefault="00851FE5" w:rsidP="00A677E4">
            <w:pPr>
              <w:keepNext/>
              <w:spacing w:before="60" w:after="60" w:line="240" w:lineRule="auto"/>
              <w:rPr>
                <w:rFonts w:ascii="Calibri" w:eastAsia="Times New Roman" w:hAnsi="Calibri" w:cs="Calibri"/>
                <w:sz w:val="20"/>
                <w:szCs w:val="20"/>
                <w:lang w:eastAsia="en-AU"/>
              </w:rPr>
            </w:pPr>
            <w:r w:rsidRPr="00FC72F6">
              <w:rPr>
                <w:rFonts w:ascii="Calibri" w:eastAsia="Times New Roman" w:hAnsi="Calibri" w:cs="Calibri"/>
                <w:sz w:val="20"/>
                <w:szCs w:val="20"/>
                <w:lang w:eastAsia="en-AU"/>
              </w:rPr>
              <w:t>1.1</w:t>
            </w:r>
          </w:p>
        </w:tc>
        <w:tc>
          <w:tcPr>
            <w:tcW w:w="1134" w:type="dxa"/>
            <w:tcBorders>
              <w:bottom w:val="single" w:sz="12" w:space="0" w:color="0093D0"/>
            </w:tcBorders>
          </w:tcPr>
          <w:p w:rsidR="00851FE5" w:rsidRPr="00FC72F6" w:rsidRDefault="00851FE5" w:rsidP="00AD323F">
            <w:pPr>
              <w:keepNext/>
              <w:spacing w:before="60" w:after="60" w:line="240" w:lineRule="auto"/>
              <w:rPr>
                <w:rFonts w:ascii="Calibri" w:eastAsia="Times New Roman" w:hAnsi="Calibri" w:cs="Calibri"/>
                <w:sz w:val="20"/>
                <w:szCs w:val="20"/>
                <w:lang w:eastAsia="en-AU"/>
              </w:rPr>
            </w:pPr>
            <w:r w:rsidRPr="00FC72F6">
              <w:rPr>
                <w:rFonts w:ascii="Calibri" w:eastAsia="Times New Roman" w:hAnsi="Calibri" w:cs="Calibri"/>
                <w:sz w:val="20"/>
                <w:szCs w:val="20"/>
                <w:lang w:eastAsia="en-AU"/>
              </w:rPr>
              <w:t>0.</w:t>
            </w:r>
            <w:r w:rsidR="00AD323F">
              <w:rPr>
                <w:rFonts w:ascii="Calibri" w:eastAsia="Times New Roman" w:hAnsi="Calibri" w:cs="Calibri"/>
                <w:sz w:val="20"/>
                <w:szCs w:val="20"/>
                <w:lang w:eastAsia="en-AU"/>
              </w:rPr>
              <w:t>3</w:t>
            </w:r>
          </w:p>
        </w:tc>
      </w:tr>
    </w:tbl>
    <w:p w:rsidR="00851FE5" w:rsidRPr="00FC72F6" w:rsidRDefault="00851FE5" w:rsidP="00851FE5">
      <w:pPr>
        <w:keepNext/>
        <w:spacing w:before="120" w:after="120" w:line="240" w:lineRule="auto"/>
        <w:rPr>
          <w:rFonts w:ascii="Calibri" w:eastAsia="Times New Roman" w:hAnsi="Calibri" w:cs="Times New Roman"/>
          <w:i/>
          <w:sz w:val="18"/>
          <w:lang w:eastAsia="en-AU"/>
        </w:rPr>
      </w:pPr>
      <w:r>
        <w:rPr>
          <w:rFonts w:ascii="Calibri" w:eastAsia="Times New Roman" w:hAnsi="Calibri" w:cs="Times New Roman"/>
          <w:i/>
          <w:sz w:val="18"/>
          <w:lang w:eastAsia="en-AU"/>
        </w:rPr>
        <w:t>Source: DIICCSRTE (2013)</w:t>
      </w:r>
    </w:p>
    <w:p w:rsidR="00851FE5" w:rsidRPr="004170C2" w:rsidRDefault="00851FE5" w:rsidP="00EE2123">
      <w:pPr>
        <w:pStyle w:val="MJAnormal"/>
        <w:rPr>
          <w:rStyle w:val="MJAnormalChar1"/>
        </w:rPr>
      </w:pPr>
      <w:r>
        <w:rPr>
          <w:lang w:eastAsia="en-AU"/>
        </w:rPr>
        <w:t xml:space="preserve">The key element influencing the relevant emissions factor is organic content of the landfill material.  For this study we examined each of the NEPM 75 waste types and determined whether they had organic </w:t>
      </w:r>
      <w:r w:rsidRPr="00D5777A">
        <w:rPr>
          <w:rStyle w:val="MJAnormalChar1"/>
        </w:rPr>
        <w:t>content (</w:t>
      </w:r>
      <w:fldSimple w:instr=" REF _Ref391397382 \h  \* MERGEFORMAT ">
        <w:r w:rsidR="00D54C27" w:rsidRPr="00D54C27">
          <w:rPr>
            <w:rStyle w:val="MJAnormalChar1"/>
          </w:rPr>
          <w:t>Table 21</w:t>
        </w:r>
      </w:fldSimple>
      <w:r w:rsidRPr="00D5777A">
        <w:rPr>
          <w:rStyle w:val="MJAnormalChar1"/>
        </w:rPr>
        <w:t>)</w:t>
      </w:r>
      <w:r w:rsidR="00D5777A" w:rsidRPr="00D5777A">
        <w:rPr>
          <w:rStyle w:val="MJAnormalChar1"/>
        </w:rPr>
        <w:t>.</w:t>
      </w:r>
      <w:r w:rsidR="00D5777A">
        <w:rPr>
          <w:lang w:eastAsia="en-AU"/>
        </w:rPr>
        <w:t xml:space="preserve">  Waste types</w:t>
      </w:r>
      <w:r>
        <w:rPr>
          <w:lang w:eastAsia="en-AU"/>
        </w:rPr>
        <w:t xml:space="preserve"> with an organic content were ascribed an emissions factor of 1.1, with the exception of N120 waste </w:t>
      </w:r>
      <w:r w:rsidR="005D4226">
        <w:rPr>
          <w:lang w:eastAsia="en-AU"/>
        </w:rPr>
        <w:t xml:space="preserve">(contaminated soils) </w:t>
      </w:r>
      <w:r>
        <w:rPr>
          <w:lang w:eastAsia="en-AU"/>
        </w:rPr>
        <w:t>which was ascribed a factor of 0.3.  Materials without organic content were ascribed an emissions factor of 0.</w:t>
      </w:r>
    </w:p>
    <w:p w:rsidR="007D7F2C" w:rsidRPr="007D7F2C" w:rsidRDefault="00851FE5" w:rsidP="007D7F2C">
      <w:pPr>
        <w:keepNext/>
        <w:keepLines/>
        <w:spacing w:before="120" w:after="120" w:line="240" w:lineRule="auto"/>
        <w:outlineLvl w:val="0"/>
        <w:rPr>
          <w:rFonts w:ascii="Calibri" w:eastAsia="Times New Roman" w:hAnsi="Calibri" w:cs="Times New Roman"/>
          <w:b/>
          <w:bCs/>
          <w:sz w:val="20"/>
          <w:szCs w:val="18"/>
          <w:lang w:eastAsia="en-AU"/>
        </w:rPr>
      </w:pPr>
      <w:r>
        <w:rPr>
          <w:rFonts w:ascii="Times New Roman" w:eastAsia="Times New Roman" w:hAnsi="Times New Roman" w:cs="Times New Roman"/>
          <w:lang w:eastAsia="en-AU"/>
        </w:rPr>
        <w:t xml:space="preserve">  </w:t>
      </w:r>
      <w:bookmarkStart w:id="63" w:name="_Ref391397382"/>
      <w:r w:rsidR="007D7F2C" w:rsidRPr="00FC72F6">
        <w:rPr>
          <w:rFonts w:ascii="Calibri" w:eastAsia="Times New Roman" w:hAnsi="Calibri" w:cs="Times New Roman"/>
          <w:b/>
          <w:bCs/>
          <w:sz w:val="20"/>
          <w:szCs w:val="18"/>
          <w:lang w:eastAsia="en-AU"/>
        </w:rPr>
        <w:t xml:space="preserve">Table </w:t>
      </w:r>
      <w:r w:rsidR="00732F35" w:rsidRPr="00FC72F6">
        <w:rPr>
          <w:rFonts w:ascii="Calibri" w:eastAsia="Times New Roman" w:hAnsi="Calibri" w:cs="Times New Roman"/>
          <w:b/>
          <w:bCs/>
          <w:sz w:val="20"/>
          <w:szCs w:val="18"/>
          <w:lang w:eastAsia="en-AU"/>
        </w:rPr>
        <w:fldChar w:fldCharType="begin"/>
      </w:r>
      <w:r w:rsidR="007D7F2C" w:rsidRPr="00FC72F6">
        <w:rPr>
          <w:rFonts w:ascii="Calibri" w:eastAsia="Times New Roman" w:hAnsi="Calibri" w:cs="Times New Roman"/>
          <w:b/>
          <w:bCs/>
          <w:sz w:val="20"/>
          <w:szCs w:val="18"/>
          <w:lang w:eastAsia="en-AU"/>
        </w:rPr>
        <w:instrText xml:space="preserve"> SEQ Table \* ARABIC </w:instrText>
      </w:r>
      <w:r w:rsidR="00732F35" w:rsidRPr="00FC72F6">
        <w:rPr>
          <w:rFonts w:ascii="Calibri" w:eastAsia="Times New Roman" w:hAnsi="Calibri" w:cs="Times New Roman"/>
          <w:b/>
          <w:bCs/>
          <w:sz w:val="20"/>
          <w:szCs w:val="18"/>
          <w:lang w:eastAsia="en-AU"/>
        </w:rPr>
        <w:fldChar w:fldCharType="separate"/>
      </w:r>
      <w:r w:rsidR="00D54C27">
        <w:rPr>
          <w:rFonts w:ascii="Calibri" w:eastAsia="Times New Roman" w:hAnsi="Calibri" w:cs="Times New Roman"/>
          <w:b/>
          <w:bCs/>
          <w:noProof/>
          <w:sz w:val="20"/>
          <w:szCs w:val="18"/>
          <w:lang w:eastAsia="en-AU"/>
        </w:rPr>
        <w:t>21</w:t>
      </w:r>
      <w:r w:rsidR="00732F35" w:rsidRPr="00FC72F6">
        <w:rPr>
          <w:rFonts w:ascii="Calibri" w:eastAsia="Times New Roman" w:hAnsi="Calibri" w:cs="Times New Roman"/>
          <w:b/>
          <w:bCs/>
          <w:noProof/>
          <w:sz w:val="20"/>
          <w:szCs w:val="18"/>
          <w:lang w:eastAsia="en-AU"/>
        </w:rPr>
        <w:fldChar w:fldCharType="end"/>
      </w:r>
      <w:bookmarkEnd w:id="63"/>
      <w:r w:rsidR="007D7F2C">
        <w:rPr>
          <w:rFonts w:ascii="Calibri" w:eastAsia="Times New Roman" w:hAnsi="Calibri" w:cs="Times New Roman"/>
          <w:b/>
          <w:bCs/>
          <w:sz w:val="20"/>
          <w:szCs w:val="18"/>
          <w:lang w:eastAsia="en-AU"/>
        </w:rPr>
        <w:t>: Classification of NEPM 75 wastes according to organic content</w:t>
      </w:r>
    </w:p>
    <w:tbl>
      <w:tblPr>
        <w:tblW w:w="5000" w:type="pct"/>
        <w:tblLayout w:type="fixed"/>
        <w:tblLook w:val="04A0"/>
      </w:tblPr>
      <w:tblGrid>
        <w:gridCol w:w="959"/>
        <w:gridCol w:w="6380"/>
        <w:gridCol w:w="1381"/>
      </w:tblGrid>
      <w:tr w:rsidR="007D7F2C" w:rsidRPr="007D7F2C" w:rsidTr="007D7F2C">
        <w:trPr>
          <w:trHeight w:val="525"/>
          <w:tblHeader/>
        </w:trPr>
        <w:tc>
          <w:tcPr>
            <w:tcW w:w="550" w:type="pct"/>
            <w:tcBorders>
              <w:top w:val="nil"/>
              <w:left w:val="nil"/>
              <w:bottom w:val="nil"/>
              <w:right w:val="nil"/>
            </w:tcBorders>
            <w:shd w:val="clear" w:color="000000" w:fill="0093D0"/>
            <w:vAlign w:val="bottom"/>
            <w:hideMark/>
          </w:tcPr>
          <w:p w:rsidR="007D7F2C" w:rsidRPr="007D7F2C" w:rsidRDefault="007D7F2C" w:rsidP="007D7F2C">
            <w:pPr>
              <w:spacing w:after="0" w:line="240" w:lineRule="auto"/>
              <w:rPr>
                <w:rFonts w:ascii="Calibri" w:eastAsia="Times New Roman" w:hAnsi="Calibri" w:cs="Times New Roman"/>
                <w:b/>
                <w:bCs/>
                <w:color w:val="FFFFFF"/>
                <w:sz w:val="20"/>
                <w:szCs w:val="20"/>
                <w:lang w:eastAsia="en-AU"/>
              </w:rPr>
            </w:pPr>
            <w:r w:rsidRPr="007D7F2C">
              <w:rPr>
                <w:rFonts w:ascii="Calibri" w:eastAsia="Times New Roman" w:hAnsi="Calibri" w:cs="Times New Roman"/>
                <w:b/>
                <w:bCs/>
                <w:color w:val="FFFFFF"/>
                <w:sz w:val="20"/>
                <w:szCs w:val="20"/>
                <w:lang w:eastAsia="en-AU"/>
              </w:rPr>
              <w:t>NEPM 75 Code</w:t>
            </w:r>
          </w:p>
        </w:tc>
        <w:tc>
          <w:tcPr>
            <w:tcW w:w="3658" w:type="pct"/>
            <w:tcBorders>
              <w:top w:val="nil"/>
              <w:left w:val="nil"/>
              <w:bottom w:val="nil"/>
              <w:right w:val="nil"/>
            </w:tcBorders>
            <w:shd w:val="clear" w:color="000000" w:fill="0093D0"/>
            <w:noWrap/>
            <w:vAlign w:val="bottom"/>
            <w:hideMark/>
          </w:tcPr>
          <w:p w:rsidR="007D7F2C" w:rsidRPr="007D7F2C" w:rsidRDefault="007D7F2C" w:rsidP="007D7F2C">
            <w:pPr>
              <w:spacing w:after="0" w:line="240" w:lineRule="auto"/>
              <w:rPr>
                <w:rFonts w:ascii="Calibri" w:eastAsia="Times New Roman" w:hAnsi="Calibri" w:cs="Times New Roman"/>
                <w:b/>
                <w:bCs/>
                <w:color w:val="FFFFFF"/>
                <w:sz w:val="20"/>
                <w:szCs w:val="20"/>
                <w:lang w:eastAsia="en-AU"/>
              </w:rPr>
            </w:pPr>
            <w:r w:rsidRPr="007D7F2C">
              <w:rPr>
                <w:rFonts w:ascii="Calibri" w:eastAsia="Times New Roman" w:hAnsi="Calibri" w:cs="Times New Roman"/>
                <w:b/>
                <w:bCs/>
                <w:color w:val="FFFFFF"/>
                <w:sz w:val="20"/>
                <w:szCs w:val="20"/>
                <w:lang w:eastAsia="en-AU"/>
              </w:rPr>
              <w:t>Description</w:t>
            </w:r>
          </w:p>
        </w:tc>
        <w:tc>
          <w:tcPr>
            <w:tcW w:w="792" w:type="pct"/>
            <w:tcBorders>
              <w:top w:val="nil"/>
              <w:left w:val="nil"/>
              <w:bottom w:val="nil"/>
              <w:right w:val="nil"/>
            </w:tcBorders>
            <w:shd w:val="clear" w:color="000000" w:fill="0093D0"/>
            <w:vAlign w:val="center"/>
            <w:hideMark/>
          </w:tcPr>
          <w:p w:rsidR="008175AC" w:rsidRDefault="007D7F2C" w:rsidP="007D7F2C">
            <w:pPr>
              <w:spacing w:after="0" w:line="240" w:lineRule="auto"/>
              <w:jc w:val="center"/>
              <w:rPr>
                <w:rFonts w:ascii="Calibri" w:eastAsia="Times New Roman" w:hAnsi="Calibri" w:cs="Times New Roman"/>
                <w:b/>
                <w:bCs/>
                <w:color w:val="FFFFFF"/>
                <w:sz w:val="20"/>
                <w:szCs w:val="20"/>
                <w:lang w:eastAsia="en-AU"/>
              </w:rPr>
            </w:pPr>
            <w:r w:rsidRPr="007D7F2C">
              <w:rPr>
                <w:rFonts w:ascii="Calibri" w:eastAsia="Times New Roman" w:hAnsi="Calibri" w:cs="Times New Roman"/>
                <w:b/>
                <w:bCs/>
                <w:color w:val="FFFFFF"/>
                <w:sz w:val="20"/>
                <w:szCs w:val="20"/>
                <w:lang w:eastAsia="en-AU"/>
              </w:rPr>
              <w:t>GHGs (organ</w:t>
            </w:r>
            <w:r w:rsidR="00264408">
              <w:rPr>
                <w:rFonts w:ascii="Calibri" w:eastAsia="Times New Roman" w:hAnsi="Calibri" w:cs="Times New Roman"/>
                <w:b/>
                <w:bCs/>
                <w:color w:val="FFFFFF"/>
                <w:sz w:val="20"/>
                <w:szCs w:val="20"/>
                <w:lang w:eastAsia="en-AU"/>
              </w:rPr>
              <w:t>ic</w:t>
            </w:r>
            <w:r w:rsidRPr="007D7F2C">
              <w:rPr>
                <w:rFonts w:ascii="Calibri" w:eastAsia="Times New Roman" w:hAnsi="Calibri" w:cs="Times New Roman"/>
                <w:b/>
                <w:bCs/>
                <w:color w:val="FFFFFF"/>
                <w:sz w:val="20"/>
                <w:szCs w:val="20"/>
                <w:lang w:eastAsia="en-AU"/>
              </w:rPr>
              <w:t>)</w:t>
            </w:r>
          </w:p>
          <w:p w:rsidR="007D7F2C" w:rsidRPr="007D7F2C" w:rsidRDefault="008175AC" w:rsidP="007D7F2C">
            <w:pPr>
              <w:spacing w:after="0" w:line="240" w:lineRule="auto"/>
              <w:jc w:val="center"/>
              <w:rPr>
                <w:rFonts w:ascii="Calibri" w:eastAsia="Times New Roman" w:hAnsi="Calibri" w:cs="Times New Roman"/>
                <w:b/>
                <w:bCs/>
                <w:color w:val="FFFFFF"/>
                <w:sz w:val="20"/>
                <w:szCs w:val="20"/>
                <w:lang w:eastAsia="en-AU"/>
              </w:rPr>
            </w:pPr>
            <w:r>
              <w:rPr>
                <w:rFonts w:ascii="Calibri" w:eastAsia="Times New Roman" w:hAnsi="Calibri" w:cs="Times New Roman"/>
                <w:b/>
                <w:bCs/>
                <w:color w:val="FFFFFF"/>
                <w:sz w:val="20"/>
                <w:szCs w:val="20"/>
                <w:lang w:eastAsia="en-AU"/>
              </w:rPr>
              <w:t>Y/N</w:t>
            </w:r>
            <w:r w:rsidR="007D7F2C" w:rsidRPr="007D7F2C">
              <w:rPr>
                <w:rFonts w:ascii="Calibri" w:eastAsia="Times New Roman" w:hAnsi="Calibri" w:cs="Times New Roman"/>
                <w:b/>
                <w:bCs/>
                <w:color w:val="FFFFFF"/>
                <w:sz w:val="20"/>
                <w:szCs w:val="20"/>
                <w:lang w:eastAsia="en-AU"/>
              </w:rPr>
              <w:t>?</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A100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resulting from surface treatment of metals and plastics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A110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from heat treatment and tempering operations containing cyanides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A130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Cyanides (inorganic)</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B100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Acidic solutions or acids in solid form</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C100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Basic solutions or bases in solid form</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D100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Metal carbonyls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D110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Inorganic fluorine compounds excluding calcium fluoride</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D120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Mercury; mercury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D130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Arsenic; arsenic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D140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Chromium compounds (hexavalent and trivalent)</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D150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Cadmium; cadmium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D160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Beryllium; beryllium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D170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Antimony; antimony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D180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Thallium; thallium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D190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Copper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D200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Cobalt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D210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Nickel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D220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Lead; lead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D230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Zinc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D240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Selenium; selenium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D250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Tellurium; tellurium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D270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Vanadium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D290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Barium compounds (excluding barium sulphate)</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D300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Non-toxic salts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D310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Boron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D330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 xml:space="preserve">Inorganic </w:t>
            </w:r>
            <w:proofErr w:type="spellStart"/>
            <w:r w:rsidRPr="007D7F2C">
              <w:rPr>
                <w:rFonts w:ascii="Calibri" w:eastAsia="Times New Roman" w:hAnsi="Calibri" w:cs="Times New Roman"/>
                <w:color w:val="000000"/>
                <w:sz w:val="20"/>
                <w:szCs w:val="20"/>
                <w:lang w:eastAsia="en-AU"/>
              </w:rPr>
              <w:t>sulfides</w:t>
            </w:r>
            <w:proofErr w:type="spellEnd"/>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D340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Perchlorates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D350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Chlorates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D360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Phosphorus compounds excluding mineral phosphates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E100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containing peroxides other than hydrogen peroxide</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F100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from the production, formulation and use of inks, dyes, pigments, paints, lacquers and varnish</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lastRenderedPageBreak/>
              <w:t>F110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from the production, formulation and use of resins, latex, plasticisers, glues and adhesives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G100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Ethers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G110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Organic solvents excluding halogenated solvents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G150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Halogenated organic solvents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G160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from the production, formulation and use of organic solvents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H100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 xml:space="preserve">Waste from the production, formulation and use of biocides and </w:t>
            </w:r>
            <w:proofErr w:type="spellStart"/>
            <w:r w:rsidRPr="007D7F2C">
              <w:rPr>
                <w:rFonts w:ascii="Calibri" w:eastAsia="Times New Roman" w:hAnsi="Calibri" w:cs="Times New Roman"/>
                <w:color w:val="000000"/>
                <w:sz w:val="20"/>
                <w:szCs w:val="20"/>
                <w:lang w:eastAsia="en-AU"/>
              </w:rPr>
              <w:t>phytopharmaceuticals</w:t>
            </w:r>
            <w:proofErr w:type="spellEnd"/>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H110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Organic phosphorous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264408">
        <w:trPr>
          <w:trHeight w:val="300"/>
        </w:trPr>
        <w:tc>
          <w:tcPr>
            <w:tcW w:w="550" w:type="pct"/>
            <w:tcBorders>
              <w:top w:val="nil"/>
              <w:left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H170</w:t>
            </w:r>
          </w:p>
        </w:tc>
        <w:tc>
          <w:tcPr>
            <w:tcW w:w="3658" w:type="pct"/>
            <w:tcBorders>
              <w:top w:val="nil"/>
              <w:left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from manufacture, formulation and use of wood-preserving chemicals</w:t>
            </w:r>
          </w:p>
        </w:tc>
        <w:tc>
          <w:tcPr>
            <w:tcW w:w="792" w:type="pct"/>
            <w:tcBorders>
              <w:top w:val="nil"/>
              <w:left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264408">
        <w:trPr>
          <w:trHeight w:val="300"/>
        </w:trPr>
        <w:tc>
          <w:tcPr>
            <w:tcW w:w="550" w:type="pct"/>
            <w:tcBorders>
              <w:top w:val="nil"/>
              <w:left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J100</w:t>
            </w:r>
          </w:p>
        </w:tc>
        <w:tc>
          <w:tcPr>
            <w:tcW w:w="3658" w:type="pct"/>
            <w:tcBorders>
              <w:top w:val="nil"/>
              <w:left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mineral oils unfit for their original intended use</w:t>
            </w:r>
          </w:p>
        </w:tc>
        <w:tc>
          <w:tcPr>
            <w:tcW w:w="792" w:type="pct"/>
            <w:tcBorders>
              <w:top w:val="nil"/>
              <w:left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264408">
        <w:trPr>
          <w:trHeight w:val="300"/>
        </w:trPr>
        <w:tc>
          <w:tcPr>
            <w:tcW w:w="550" w:type="pct"/>
            <w:tcBorders>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J120</w:t>
            </w:r>
          </w:p>
        </w:tc>
        <w:tc>
          <w:tcPr>
            <w:tcW w:w="3658" w:type="pct"/>
            <w:tcBorders>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oil/water, hydrocarbons/water mixtures or emulsions</w:t>
            </w:r>
          </w:p>
        </w:tc>
        <w:tc>
          <w:tcPr>
            <w:tcW w:w="792" w:type="pct"/>
            <w:tcBorders>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J160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 xml:space="preserve">Waste tarry residues arising from refining, distillation, and any </w:t>
            </w:r>
            <w:proofErr w:type="spellStart"/>
            <w:r w:rsidRPr="007D7F2C">
              <w:rPr>
                <w:rFonts w:ascii="Calibri" w:eastAsia="Times New Roman" w:hAnsi="Calibri" w:cs="Times New Roman"/>
                <w:color w:val="000000"/>
                <w:sz w:val="20"/>
                <w:szCs w:val="20"/>
                <w:lang w:eastAsia="en-AU"/>
              </w:rPr>
              <w:t>pyrolytic</w:t>
            </w:r>
            <w:proofErr w:type="spellEnd"/>
            <w:r w:rsidRPr="007D7F2C">
              <w:rPr>
                <w:rFonts w:ascii="Calibri" w:eastAsia="Times New Roman" w:hAnsi="Calibri" w:cs="Times New Roman"/>
                <w:color w:val="000000"/>
                <w:sz w:val="20"/>
                <w:szCs w:val="20"/>
                <w:lang w:eastAsia="en-AU"/>
              </w:rPr>
              <w:t xml:space="preserve"> treatment</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K100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Animal effluent and residues (abattoir effluent, poultry and fish processing wastes)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K110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Grease trap waste</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K140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 xml:space="preserve">Tannery wastes (including leather dust, ash, </w:t>
            </w:r>
            <w:proofErr w:type="spellStart"/>
            <w:r w:rsidRPr="007D7F2C">
              <w:rPr>
                <w:rFonts w:ascii="Calibri" w:eastAsia="Times New Roman" w:hAnsi="Calibri" w:cs="Times New Roman"/>
                <w:color w:val="000000"/>
                <w:sz w:val="20"/>
                <w:szCs w:val="20"/>
                <w:lang w:eastAsia="en-AU"/>
              </w:rPr>
              <w:t>sludges</w:t>
            </w:r>
            <w:proofErr w:type="spellEnd"/>
            <w:r w:rsidRPr="007D7F2C">
              <w:rPr>
                <w:rFonts w:ascii="Calibri" w:eastAsia="Times New Roman" w:hAnsi="Calibri" w:cs="Times New Roman"/>
                <w:color w:val="000000"/>
                <w:sz w:val="20"/>
                <w:szCs w:val="20"/>
                <w:lang w:eastAsia="en-AU"/>
              </w:rPr>
              <w:t xml:space="preserve"> and flours)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K190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Wool scouring wastes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525"/>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M100</w:t>
            </w:r>
          </w:p>
        </w:tc>
        <w:tc>
          <w:tcPr>
            <w:tcW w:w="3658" w:type="pct"/>
            <w:tcBorders>
              <w:top w:val="nil"/>
              <w:left w:val="nil"/>
              <w:bottom w:val="nil"/>
              <w:right w:val="single" w:sz="4" w:space="0" w:color="0093D0"/>
            </w:tcBorders>
            <w:shd w:val="clear" w:color="auto" w:fill="auto"/>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 xml:space="preserve">Waste substances and articles containing or contaminated with polychlorinated biphenyls, polychlorinated </w:t>
            </w:r>
            <w:proofErr w:type="spellStart"/>
            <w:r w:rsidRPr="007D7F2C">
              <w:rPr>
                <w:rFonts w:ascii="Calibri" w:eastAsia="Times New Roman" w:hAnsi="Calibri" w:cs="Times New Roman"/>
                <w:color w:val="000000"/>
                <w:sz w:val="20"/>
                <w:szCs w:val="20"/>
                <w:lang w:eastAsia="en-AU"/>
              </w:rPr>
              <w:t>napthalenes</w:t>
            </w:r>
            <w:proofErr w:type="spellEnd"/>
            <w:r w:rsidRPr="007D7F2C">
              <w:rPr>
                <w:rFonts w:ascii="Calibri" w:eastAsia="Times New Roman" w:hAnsi="Calibri" w:cs="Times New Roman"/>
                <w:color w:val="000000"/>
                <w:sz w:val="20"/>
                <w:szCs w:val="20"/>
                <w:lang w:eastAsia="en-AU"/>
              </w:rPr>
              <w:t xml:space="preserve">, polychlorinated </w:t>
            </w:r>
            <w:proofErr w:type="spellStart"/>
            <w:r w:rsidRPr="007D7F2C">
              <w:rPr>
                <w:rFonts w:ascii="Calibri" w:eastAsia="Times New Roman" w:hAnsi="Calibri" w:cs="Times New Roman"/>
                <w:color w:val="000000"/>
                <w:sz w:val="20"/>
                <w:szCs w:val="20"/>
                <w:lang w:eastAsia="en-AU"/>
              </w:rPr>
              <w:t>terphenyls</w:t>
            </w:r>
            <w:proofErr w:type="spellEnd"/>
            <w:r w:rsidRPr="007D7F2C">
              <w:rPr>
                <w:rFonts w:ascii="Calibri" w:eastAsia="Times New Roman" w:hAnsi="Calibri" w:cs="Times New Roman"/>
                <w:color w:val="000000"/>
                <w:sz w:val="20"/>
                <w:szCs w:val="20"/>
                <w:lang w:eastAsia="en-AU"/>
              </w:rPr>
              <w:t xml:space="preserve"> and/or </w:t>
            </w:r>
            <w:proofErr w:type="spellStart"/>
            <w:r w:rsidRPr="007D7F2C">
              <w:rPr>
                <w:rFonts w:ascii="Calibri" w:eastAsia="Times New Roman" w:hAnsi="Calibri" w:cs="Times New Roman"/>
                <w:color w:val="000000"/>
                <w:sz w:val="20"/>
                <w:szCs w:val="20"/>
                <w:lang w:eastAsia="en-AU"/>
              </w:rPr>
              <w:t>polybrominated</w:t>
            </w:r>
            <w:proofErr w:type="spellEnd"/>
            <w:r w:rsidRPr="007D7F2C">
              <w:rPr>
                <w:rFonts w:ascii="Calibri" w:eastAsia="Times New Roman" w:hAnsi="Calibri" w:cs="Times New Roman"/>
                <w:color w:val="000000"/>
                <w:sz w:val="20"/>
                <w:szCs w:val="20"/>
                <w:lang w:eastAsia="en-AU"/>
              </w:rPr>
              <w:t xml:space="preserve"> biphenyls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M150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 xml:space="preserve">Phenols, phenol compounds including </w:t>
            </w:r>
            <w:proofErr w:type="spellStart"/>
            <w:r w:rsidRPr="007D7F2C">
              <w:rPr>
                <w:rFonts w:ascii="Calibri" w:eastAsia="Times New Roman" w:hAnsi="Calibri" w:cs="Times New Roman"/>
                <w:color w:val="000000"/>
                <w:sz w:val="20"/>
                <w:szCs w:val="20"/>
                <w:lang w:eastAsia="en-AU"/>
              </w:rPr>
              <w:t>chlorophenols</w:t>
            </w:r>
            <w:proofErr w:type="spellEnd"/>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M160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proofErr w:type="spellStart"/>
            <w:r w:rsidRPr="007D7F2C">
              <w:rPr>
                <w:rFonts w:ascii="Calibri" w:eastAsia="Times New Roman" w:hAnsi="Calibri" w:cs="Times New Roman"/>
                <w:color w:val="000000"/>
                <w:sz w:val="20"/>
                <w:szCs w:val="20"/>
                <w:lang w:eastAsia="en-AU"/>
              </w:rPr>
              <w:t>Organo</w:t>
            </w:r>
            <w:proofErr w:type="spellEnd"/>
            <w:r w:rsidRPr="007D7F2C">
              <w:rPr>
                <w:rFonts w:ascii="Calibri" w:eastAsia="Times New Roman" w:hAnsi="Calibri" w:cs="Times New Roman"/>
                <w:color w:val="000000"/>
                <w:sz w:val="20"/>
                <w:szCs w:val="20"/>
                <w:lang w:eastAsia="en-AU"/>
              </w:rPr>
              <w:t xml:space="preserve"> halogen compounds—other than substances referred to in this Table or Table 2</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M170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 xml:space="preserve">Polychlorinated </w:t>
            </w:r>
            <w:proofErr w:type="spellStart"/>
            <w:r w:rsidRPr="007D7F2C">
              <w:rPr>
                <w:rFonts w:ascii="Calibri" w:eastAsia="Times New Roman" w:hAnsi="Calibri" w:cs="Times New Roman"/>
                <w:color w:val="000000"/>
                <w:sz w:val="20"/>
                <w:szCs w:val="20"/>
                <w:lang w:eastAsia="en-AU"/>
              </w:rPr>
              <w:t>dibenzo</w:t>
            </w:r>
            <w:proofErr w:type="spellEnd"/>
            <w:r w:rsidRPr="007D7F2C">
              <w:rPr>
                <w:rFonts w:ascii="Calibri" w:eastAsia="Times New Roman" w:hAnsi="Calibri" w:cs="Times New Roman"/>
                <w:color w:val="000000"/>
                <w:sz w:val="20"/>
                <w:szCs w:val="20"/>
                <w:lang w:eastAsia="en-AU"/>
              </w:rPr>
              <w:t>-furan (any congener)</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M180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 xml:space="preserve">Polychlorinated </w:t>
            </w:r>
            <w:proofErr w:type="spellStart"/>
            <w:r w:rsidRPr="007D7F2C">
              <w:rPr>
                <w:rFonts w:ascii="Calibri" w:eastAsia="Times New Roman" w:hAnsi="Calibri" w:cs="Times New Roman"/>
                <w:color w:val="000000"/>
                <w:sz w:val="20"/>
                <w:szCs w:val="20"/>
                <w:lang w:eastAsia="en-AU"/>
              </w:rPr>
              <w:t>dibenzo</w:t>
            </w:r>
            <w:proofErr w:type="spellEnd"/>
            <w:r w:rsidRPr="007D7F2C">
              <w:rPr>
                <w:rFonts w:ascii="Calibri" w:eastAsia="Times New Roman" w:hAnsi="Calibri" w:cs="Times New Roman"/>
                <w:color w:val="000000"/>
                <w:sz w:val="20"/>
                <w:szCs w:val="20"/>
                <w:lang w:eastAsia="en-AU"/>
              </w:rPr>
              <w:t>-p-dioxin (any congener)</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M210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Cyanides (organic)</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M220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proofErr w:type="spellStart"/>
            <w:r w:rsidRPr="007D7F2C">
              <w:rPr>
                <w:rFonts w:ascii="Calibri" w:eastAsia="Times New Roman" w:hAnsi="Calibri" w:cs="Times New Roman"/>
                <w:color w:val="000000"/>
                <w:sz w:val="20"/>
                <w:szCs w:val="20"/>
                <w:lang w:eastAsia="en-AU"/>
              </w:rPr>
              <w:t>Isocyanate</w:t>
            </w:r>
            <w:proofErr w:type="spellEnd"/>
            <w:r w:rsidRPr="007D7F2C">
              <w:rPr>
                <w:rFonts w:ascii="Calibri" w:eastAsia="Times New Roman" w:hAnsi="Calibri" w:cs="Times New Roman"/>
                <w:color w:val="000000"/>
                <w:sz w:val="20"/>
                <w:szCs w:val="20"/>
                <w:lang w:eastAsia="en-AU"/>
              </w:rPr>
              <w:t xml:space="preserve"> compounds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AD75FE">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M230</w:t>
            </w:r>
          </w:p>
        </w:tc>
        <w:tc>
          <w:tcPr>
            <w:tcW w:w="3658" w:type="pct"/>
            <w:tcBorders>
              <w:top w:val="nil"/>
              <w:left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Triethylamine catalysts for setting foundry sands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AD75FE">
        <w:trPr>
          <w:trHeight w:val="525"/>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M250</w:t>
            </w:r>
          </w:p>
        </w:tc>
        <w:tc>
          <w:tcPr>
            <w:tcW w:w="3658" w:type="pct"/>
            <w:tcBorders>
              <w:top w:val="nil"/>
              <w:left w:val="nil"/>
              <w:right w:val="single" w:sz="4" w:space="0" w:color="0093D0"/>
            </w:tcBorders>
            <w:shd w:val="clear" w:color="auto" w:fill="auto"/>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Surface active agents (surfactants), containing principally organic constituents and which may contain metals and inorganic materials</w:t>
            </w:r>
          </w:p>
        </w:tc>
        <w:tc>
          <w:tcPr>
            <w:tcW w:w="792" w:type="pct"/>
            <w:tcBorders>
              <w:top w:val="nil"/>
              <w:left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AD75FE">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M260</w:t>
            </w:r>
          </w:p>
        </w:tc>
        <w:tc>
          <w:tcPr>
            <w:tcW w:w="3658" w:type="pct"/>
            <w:tcBorders>
              <w:top w:val="nil"/>
              <w:left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 xml:space="preserve">Highly odorous organic chemicals (including </w:t>
            </w:r>
            <w:proofErr w:type="spellStart"/>
            <w:r w:rsidRPr="007D7F2C">
              <w:rPr>
                <w:rFonts w:ascii="Calibri" w:eastAsia="Times New Roman" w:hAnsi="Calibri" w:cs="Times New Roman"/>
                <w:color w:val="000000"/>
                <w:sz w:val="20"/>
                <w:szCs w:val="20"/>
                <w:lang w:eastAsia="en-AU"/>
              </w:rPr>
              <w:t>mercaptans</w:t>
            </w:r>
            <w:proofErr w:type="spellEnd"/>
            <w:r w:rsidRPr="007D7F2C">
              <w:rPr>
                <w:rFonts w:ascii="Calibri" w:eastAsia="Times New Roman" w:hAnsi="Calibri" w:cs="Times New Roman"/>
                <w:color w:val="000000"/>
                <w:sz w:val="20"/>
                <w:szCs w:val="20"/>
                <w:lang w:eastAsia="en-AU"/>
              </w:rPr>
              <w:t xml:space="preserve"> and </w:t>
            </w:r>
            <w:proofErr w:type="spellStart"/>
            <w:r w:rsidRPr="007D7F2C">
              <w:rPr>
                <w:rFonts w:ascii="Calibri" w:eastAsia="Times New Roman" w:hAnsi="Calibri" w:cs="Times New Roman"/>
                <w:color w:val="000000"/>
                <w:sz w:val="20"/>
                <w:szCs w:val="20"/>
                <w:lang w:eastAsia="en-AU"/>
              </w:rPr>
              <w:t>acrylates</w:t>
            </w:r>
            <w:proofErr w:type="spellEnd"/>
            <w:r w:rsidRPr="007D7F2C">
              <w:rPr>
                <w:rFonts w:ascii="Calibri" w:eastAsia="Times New Roman" w:hAnsi="Calibri" w:cs="Times New Roman"/>
                <w:color w:val="000000"/>
                <w:sz w:val="20"/>
                <w:szCs w:val="20"/>
                <w:lang w:eastAsia="en-AU"/>
              </w:rPr>
              <w:t>)</w:t>
            </w:r>
          </w:p>
        </w:tc>
        <w:tc>
          <w:tcPr>
            <w:tcW w:w="792" w:type="pct"/>
            <w:tcBorders>
              <w:top w:val="nil"/>
              <w:left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AD75FE">
        <w:trPr>
          <w:trHeight w:val="300"/>
        </w:trPr>
        <w:tc>
          <w:tcPr>
            <w:tcW w:w="550" w:type="pct"/>
            <w:tcBorders>
              <w:top w:val="nil"/>
              <w:left w:val="nil"/>
              <w:bottom w:val="nil"/>
              <w:right w:val="single" w:sz="4" w:space="0" w:color="0093D0"/>
            </w:tcBorders>
            <w:shd w:val="clear" w:color="auto" w:fill="auto"/>
            <w:noWrap/>
            <w:hideMark/>
          </w:tcPr>
          <w:p w:rsidR="007D7F2C" w:rsidRPr="007D7F2C" w:rsidRDefault="007D7F2C" w:rsidP="00AD75FE">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N100</w:t>
            </w:r>
          </w:p>
        </w:tc>
        <w:tc>
          <w:tcPr>
            <w:tcW w:w="3658" w:type="pct"/>
            <w:tcBorders>
              <w:left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Containers and drums that are contaminated with residues of substances referred to in this list</w:t>
            </w:r>
          </w:p>
        </w:tc>
        <w:tc>
          <w:tcPr>
            <w:tcW w:w="792" w:type="pct"/>
            <w:tcBorders>
              <w:left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AD75FE">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N120</w:t>
            </w:r>
          </w:p>
        </w:tc>
        <w:tc>
          <w:tcPr>
            <w:tcW w:w="3658" w:type="pct"/>
            <w:tcBorders>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Soils contaminated with a controlled waste</w:t>
            </w:r>
          </w:p>
        </w:tc>
        <w:tc>
          <w:tcPr>
            <w:tcW w:w="792" w:type="pct"/>
            <w:tcBorders>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N140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Fire debris and fire wash waters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N150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Fly ash, excluding fly ash generated from Australian coal fired power stations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N160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Encapsulated, chemically-fixed, solidified or polymerised wastes referred to in this list</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N190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Filter cake contaminated with residues of substances referred to in this list</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N205</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Residues from industrial waste treatment/disposal operations</w:t>
            </w:r>
          </w:p>
        </w:tc>
        <w:tc>
          <w:tcPr>
            <w:tcW w:w="792" w:type="pct"/>
            <w:tcBorders>
              <w:top w:val="nil"/>
              <w:left w:val="nil"/>
              <w:bottom w:val="nil"/>
              <w:right w:val="nil"/>
            </w:tcBorders>
            <w:shd w:val="clear" w:color="auto" w:fill="auto"/>
            <w:noWrap/>
            <w:vAlign w:val="bottom"/>
            <w:hideMark/>
          </w:tcPr>
          <w:p w:rsidR="007D7F2C" w:rsidRPr="007D7F2C" w:rsidRDefault="00B12066" w:rsidP="007D7F2C">
            <w:pPr>
              <w:spacing w:after="0" w:line="240" w:lineRule="auto"/>
              <w:jc w:val="center"/>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Y</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N220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Asbestos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N230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 xml:space="preserve">Ceramic-based fibres with </w:t>
            </w:r>
            <w:proofErr w:type="spellStart"/>
            <w:r w:rsidRPr="007D7F2C">
              <w:rPr>
                <w:rFonts w:ascii="Calibri" w:eastAsia="Times New Roman" w:hAnsi="Calibri" w:cs="Times New Roman"/>
                <w:color w:val="000000"/>
                <w:sz w:val="20"/>
                <w:szCs w:val="20"/>
                <w:lang w:eastAsia="en-AU"/>
              </w:rPr>
              <w:t>physico</w:t>
            </w:r>
            <w:proofErr w:type="spellEnd"/>
            <w:r w:rsidRPr="007D7F2C">
              <w:rPr>
                <w:rFonts w:ascii="Calibri" w:eastAsia="Times New Roman" w:hAnsi="Calibri" w:cs="Times New Roman"/>
                <w:color w:val="000000"/>
                <w:sz w:val="20"/>
                <w:szCs w:val="20"/>
                <w:lang w:eastAsia="en-AU"/>
              </w:rPr>
              <w:t>-chemical characteristics similar to those of asbestos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R100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Clinical and related wastes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R120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pharmaceuticals, drugs and medicines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lastRenderedPageBreak/>
              <w:t>R140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from the production and preparation of pharmaceutical products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78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T100</w:t>
            </w:r>
          </w:p>
        </w:tc>
        <w:tc>
          <w:tcPr>
            <w:tcW w:w="3658" w:type="pct"/>
            <w:tcBorders>
              <w:top w:val="nil"/>
              <w:left w:val="nil"/>
              <w:bottom w:val="nil"/>
              <w:right w:val="single" w:sz="4" w:space="0" w:color="0093D0"/>
            </w:tcBorders>
            <w:shd w:val="clear" w:color="auto" w:fill="auto"/>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chemical substances arising from research and development or teaching activities, including those which are not identified and/or are new and whose effects on human health and/or the environment are not known</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T120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from the production, formulation and use of photographic chemicals and processing materials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T140</w:t>
            </w:r>
          </w:p>
        </w:tc>
        <w:tc>
          <w:tcPr>
            <w:tcW w:w="3658" w:type="pct"/>
            <w:tcBorders>
              <w:top w:val="nil"/>
              <w:left w:val="nil"/>
              <w:bottom w:val="nil"/>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Tyres</w:t>
            </w:r>
          </w:p>
        </w:tc>
        <w:tc>
          <w:tcPr>
            <w:tcW w:w="792" w:type="pct"/>
            <w:tcBorders>
              <w:top w:val="nil"/>
              <w:left w:val="nil"/>
              <w:bottom w:val="nil"/>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r w:rsidR="007D7F2C" w:rsidRPr="007D7F2C" w:rsidTr="007D7F2C">
        <w:trPr>
          <w:trHeight w:val="300"/>
        </w:trPr>
        <w:tc>
          <w:tcPr>
            <w:tcW w:w="550" w:type="pct"/>
            <w:tcBorders>
              <w:top w:val="nil"/>
              <w:left w:val="nil"/>
              <w:bottom w:val="single" w:sz="4" w:space="0" w:color="0093D0"/>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T200</w:t>
            </w:r>
          </w:p>
        </w:tc>
        <w:tc>
          <w:tcPr>
            <w:tcW w:w="3658" w:type="pct"/>
            <w:tcBorders>
              <w:top w:val="nil"/>
              <w:left w:val="nil"/>
              <w:bottom w:val="single" w:sz="4" w:space="0" w:color="0093D0"/>
              <w:right w:val="single" w:sz="4" w:space="0" w:color="0093D0"/>
            </w:tcBorders>
            <w:shd w:val="clear" w:color="auto" w:fill="auto"/>
            <w:noWrap/>
            <w:vAlign w:val="bottom"/>
            <w:hideMark/>
          </w:tcPr>
          <w:p w:rsidR="007D7F2C" w:rsidRPr="007D7F2C" w:rsidRDefault="007D7F2C" w:rsidP="007D7F2C">
            <w:pPr>
              <w:spacing w:after="0" w:line="240" w:lineRule="auto"/>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Waste of an explosive nature not subject to other legislation</w:t>
            </w:r>
          </w:p>
        </w:tc>
        <w:tc>
          <w:tcPr>
            <w:tcW w:w="792" w:type="pct"/>
            <w:tcBorders>
              <w:top w:val="nil"/>
              <w:left w:val="nil"/>
              <w:bottom w:val="single" w:sz="4" w:space="0" w:color="0093D0"/>
              <w:right w:val="nil"/>
            </w:tcBorders>
            <w:shd w:val="clear" w:color="auto" w:fill="auto"/>
            <w:noWrap/>
            <w:vAlign w:val="bottom"/>
            <w:hideMark/>
          </w:tcPr>
          <w:p w:rsidR="007D7F2C" w:rsidRPr="007D7F2C" w:rsidRDefault="007D7F2C" w:rsidP="007D7F2C">
            <w:pPr>
              <w:spacing w:after="0" w:line="240" w:lineRule="auto"/>
              <w:jc w:val="center"/>
              <w:rPr>
                <w:rFonts w:ascii="Calibri" w:eastAsia="Times New Roman" w:hAnsi="Calibri" w:cs="Times New Roman"/>
                <w:color w:val="000000"/>
                <w:sz w:val="20"/>
                <w:szCs w:val="20"/>
                <w:lang w:eastAsia="en-AU"/>
              </w:rPr>
            </w:pPr>
            <w:r w:rsidRPr="007D7F2C">
              <w:rPr>
                <w:rFonts w:ascii="Calibri" w:eastAsia="Times New Roman" w:hAnsi="Calibri" w:cs="Times New Roman"/>
                <w:color w:val="000000"/>
                <w:sz w:val="20"/>
                <w:szCs w:val="20"/>
                <w:lang w:eastAsia="en-AU"/>
              </w:rPr>
              <w:t>N</w:t>
            </w:r>
          </w:p>
        </w:tc>
      </w:tr>
    </w:tbl>
    <w:p w:rsidR="000B19D7" w:rsidRDefault="000B19D7" w:rsidP="00FC72F6">
      <w:pPr>
        <w:keepNext/>
        <w:spacing w:before="120" w:after="120" w:line="240" w:lineRule="auto"/>
        <w:rPr>
          <w:rFonts w:ascii="Times New Roman" w:eastAsia="Times New Roman" w:hAnsi="Times New Roman" w:cs="Times New Roman"/>
          <w:b/>
          <w:i/>
          <w:lang w:eastAsia="en-AU"/>
        </w:rPr>
      </w:pPr>
    </w:p>
    <w:p w:rsidR="00851FE5" w:rsidRPr="00851FE5" w:rsidRDefault="00851FE5" w:rsidP="00FC72F6">
      <w:pPr>
        <w:keepNext/>
        <w:spacing w:before="120" w:after="120" w:line="240" w:lineRule="auto"/>
        <w:rPr>
          <w:rFonts w:ascii="Times New Roman" w:eastAsia="Times New Roman" w:hAnsi="Times New Roman" w:cs="Times New Roman"/>
          <w:b/>
          <w:i/>
          <w:lang w:eastAsia="en-AU"/>
        </w:rPr>
      </w:pPr>
      <w:r w:rsidRPr="00851FE5">
        <w:rPr>
          <w:rFonts w:ascii="Times New Roman" w:eastAsia="Times New Roman" w:hAnsi="Times New Roman" w:cs="Times New Roman"/>
          <w:b/>
          <w:i/>
          <w:lang w:eastAsia="en-AU"/>
        </w:rPr>
        <w:t xml:space="preserve">Emissions </w:t>
      </w:r>
      <w:r w:rsidR="00E904D7">
        <w:rPr>
          <w:rFonts w:ascii="Times New Roman" w:eastAsia="Times New Roman" w:hAnsi="Times New Roman" w:cs="Times New Roman"/>
          <w:b/>
          <w:i/>
          <w:lang w:eastAsia="en-AU"/>
        </w:rPr>
        <w:t>collection</w:t>
      </w:r>
    </w:p>
    <w:p w:rsidR="00851FE5" w:rsidRDefault="00426133" w:rsidP="00EE2123">
      <w:pPr>
        <w:pStyle w:val="MJAnormal"/>
        <w:rPr>
          <w:lang w:eastAsia="en-AU"/>
        </w:rPr>
      </w:pPr>
      <w:r>
        <w:rPr>
          <w:lang w:eastAsia="en-AU"/>
        </w:rPr>
        <w:t xml:space="preserve">The efficiency rate </w:t>
      </w:r>
      <w:r w:rsidR="00E904D7">
        <w:rPr>
          <w:lang w:eastAsia="en-AU"/>
        </w:rPr>
        <w:t xml:space="preserve">of methane collection varies from landfill to landfill.  Current estimates for best practice landfills indicate collection efficiency of 80-90% efficiency.  Most landfills, even those designed for hazardous waste disposal have a lower efficiency than this.  </w:t>
      </w:r>
      <w:r w:rsidR="003379D4">
        <w:rPr>
          <w:lang w:eastAsia="en-AU"/>
        </w:rPr>
        <w:t>The national average collection efficiency as applied in the National Greenhouse Gas Inventory is 30% (Depa</w:t>
      </w:r>
      <w:r w:rsidR="007E75E4">
        <w:rPr>
          <w:lang w:eastAsia="en-AU"/>
        </w:rPr>
        <w:t>rtment of the Environment 2014</w:t>
      </w:r>
      <w:r w:rsidR="003379D4">
        <w:rPr>
          <w:lang w:eastAsia="en-AU"/>
        </w:rPr>
        <w:t xml:space="preserve">). </w:t>
      </w:r>
      <w:r w:rsidR="00E904D7">
        <w:rPr>
          <w:lang w:eastAsia="en-AU"/>
        </w:rPr>
        <w:t>For the purpose of this study we have assumed an average collection efficiency of 60%</w:t>
      </w:r>
      <w:r w:rsidR="003379D4">
        <w:rPr>
          <w:lang w:eastAsia="en-AU"/>
        </w:rPr>
        <w:t xml:space="preserve"> however</w:t>
      </w:r>
      <w:r w:rsidR="00E904D7">
        <w:rPr>
          <w:lang w:eastAsia="en-AU"/>
        </w:rPr>
        <w:t xml:space="preserve">, </w:t>
      </w:r>
      <w:r w:rsidR="003379D4">
        <w:rPr>
          <w:lang w:eastAsia="en-AU"/>
        </w:rPr>
        <w:t xml:space="preserve">meaning that 40% of emissions are assumed to end up in the atmosphere. </w:t>
      </w:r>
      <w:r w:rsidR="007E75E4">
        <w:rPr>
          <w:lang w:eastAsia="en-AU"/>
        </w:rPr>
        <w:t>The assumed</w:t>
      </w:r>
      <w:r w:rsidR="003379D4">
        <w:rPr>
          <w:lang w:eastAsia="en-AU"/>
        </w:rPr>
        <w:t xml:space="preserve"> </w:t>
      </w:r>
      <w:r w:rsidR="006D1842">
        <w:rPr>
          <w:lang w:eastAsia="en-AU"/>
        </w:rPr>
        <w:t>higher collection efficiency reflects</w:t>
      </w:r>
      <w:r w:rsidR="003379D4">
        <w:rPr>
          <w:lang w:eastAsia="en-AU"/>
        </w:rPr>
        <w:t xml:space="preserve"> the tighter management regime of landfills to which most hazardous wastes are disposed</w:t>
      </w:r>
      <w:r w:rsidR="00E904D7">
        <w:rPr>
          <w:lang w:eastAsia="en-AU"/>
        </w:rPr>
        <w:t>.</w:t>
      </w:r>
    </w:p>
    <w:p w:rsidR="00E904D7" w:rsidRPr="00851FE5" w:rsidRDefault="0064777B" w:rsidP="00E904D7">
      <w:pPr>
        <w:keepNext/>
        <w:spacing w:before="120" w:after="120" w:line="240" w:lineRule="auto"/>
        <w:rPr>
          <w:rFonts w:ascii="Times New Roman" w:eastAsia="Times New Roman" w:hAnsi="Times New Roman" w:cs="Times New Roman"/>
          <w:b/>
          <w:i/>
          <w:lang w:eastAsia="en-AU"/>
        </w:rPr>
      </w:pPr>
      <w:r>
        <w:rPr>
          <w:rFonts w:ascii="Times New Roman" w:eastAsia="Times New Roman" w:hAnsi="Times New Roman" w:cs="Times New Roman"/>
          <w:b/>
          <w:i/>
          <w:lang w:eastAsia="en-AU"/>
        </w:rPr>
        <w:t>C</w:t>
      </w:r>
      <w:r w:rsidR="00E904D7">
        <w:rPr>
          <w:rFonts w:ascii="Times New Roman" w:eastAsia="Times New Roman" w:hAnsi="Times New Roman" w:cs="Times New Roman"/>
          <w:b/>
          <w:i/>
          <w:lang w:eastAsia="en-AU"/>
        </w:rPr>
        <w:t>ost of carbon emissions</w:t>
      </w:r>
    </w:p>
    <w:p w:rsidR="00954D15" w:rsidRDefault="002B3DF9" w:rsidP="00954D15">
      <w:pPr>
        <w:pStyle w:val="MJAnormal"/>
        <w:rPr>
          <w:lang w:eastAsia="en-AU"/>
        </w:rPr>
      </w:pPr>
      <w:r>
        <w:rPr>
          <w:lang w:eastAsia="en-AU"/>
        </w:rPr>
        <w:t xml:space="preserve">Some </w:t>
      </w:r>
      <w:r w:rsidR="002C2832">
        <w:rPr>
          <w:lang w:eastAsia="en-AU"/>
        </w:rPr>
        <w:t xml:space="preserve">studies </w:t>
      </w:r>
      <w:r w:rsidR="0064777B">
        <w:rPr>
          <w:lang w:eastAsia="en-AU"/>
        </w:rPr>
        <w:t xml:space="preserve">use </w:t>
      </w:r>
      <w:r w:rsidR="0064777B" w:rsidRPr="0064777B">
        <w:rPr>
          <w:lang w:eastAsia="en-AU"/>
        </w:rPr>
        <w:t>the abatement cost of carbon</w:t>
      </w:r>
      <w:r w:rsidR="0064777B">
        <w:rPr>
          <w:lang w:eastAsia="en-AU"/>
        </w:rPr>
        <w:t xml:space="preserve">, suggested by the marginal cost of abatement, as a proxy for the cost of carbon.  </w:t>
      </w:r>
      <w:proofErr w:type="spellStart"/>
      <w:r w:rsidR="00954D15">
        <w:rPr>
          <w:lang w:eastAsia="en-AU"/>
        </w:rPr>
        <w:t>Garnaut</w:t>
      </w:r>
      <w:proofErr w:type="spellEnd"/>
      <w:r w:rsidR="00954D15">
        <w:rPr>
          <w:lang w:eastAsia="en-AU"/>
        </w:rPr>
        <w:t xml:space="preserve"> (2011) however, suggests that a ‘social cost of carbon’ be applied in assessing proposals for regulations.  Similarly, </w:t>
      </w:r>
      <w:proofErr w:type="spellStart"/>
      <w:r w:rsidR="0064777B" w:rsidRPr="0064777B">
        <w:rPr>
          <w:lang w:eastAsia="en-AU"/>
        </w:rPr>
        <w:t>Schollum</w:t>
      </w:r>
      <w:proofErr w:type="spellEnd"/>
      <w:r w:rsidR="0064777B" w:rsidRPr="0064777B">
        <w:rPr>
          <w:lang w:eastAsia="en-AU"/>
        </w:rPr>
        <w:t xml:space="preserve"> (2010)</w:t>
      </w:r>
      <w:r w:rsidR="00954D15">
        <w:rPr>
          <w:lang w:eastAsia="en-AU"/>
        </w:rPr>
        <w:t xml:space="preserve"> argues </w:t>
      </w:r>
      <w:r w:rsidR="0064777B">
        <w:rPr>
          <w:lang w:eastAsia="en-AU"/>
        </w:rPr>
        <w:t>that th</w:t>
      </w:r>
      <w:r>
        <w:rPr>
          <w:lang w:eastAsia="en-AU"/>
        </w:rPr>
        <w:t>e marginal abatement cost</w:t>
      </w:r>
      <w:r w:rsidR="0064777B">
        <w:rPr>
          <w:lang w:eastAsia="en-AU"/>
        </w:rPr>
        <w:t xml:space="preserve"> does not reflect the true social cost</w:t>
      </w:r>
      <w:r w:rsidR="00D9202F">
        <w:rPr>
          <w:lang w:eastAsia="en-AU"/>
        </w:rPr>
        <w:t xml:space="preserve"> of carbon.  </w:t>
      </w:r>
      <w:r w:rsidR="006D1842">
        <w:rPr>
          <w:lang w:eastAsia="en-AU"/>
        </w:rPr>
        <w:t>The United States</w:t>
      </w:r>
      <w:r>
        <w:rPr>
          <w:lang w:eastAsia="en-AU"/>
        </w:rPr>
        <w:t xml:space="preserve"> </w:t>
      </w:r>
      <w:r w:rsidR="003761D5">
        <w:rPr>
          <w:lang w:eastAsia="en-AU"/>
        </w:rPr>
        <w:t xml:space="preserve">Government (2013) recommends differing social </w:t>
      </w:r>
      <w:r w:rsidR="00954D15">
        <w:rPr>
          <w:lang w:eastAsia="en-AU"/>
        </w:rPr>
        <w:t xml:space="preserve">carbon </w:t>
      </w:r>
      <w:r w:rsidR="003761D5">
        <w:rPr>
          <w:lang w:eastAsia="en-AU"/>
        </w:rPr>
        <w:t xml:space="preserve">costs depending on the discount rate applied to future impacts but with costs </w:t>
      </w:r>
      <w:r w:rsidR="00EF733B">
        <w:rPr>
          <w:lang w:eastAsia="en-AU"/>
        </w:rPr>
        <w:t xml:space="preserve">of emissions </w:t>
      </w:r>
      <w:r w:rsidR="003761D5">
        <w:rPr>
          <w:lang w:eastAsia="en-AU"/>
        </w:rPr>
        <w:t xml:space="preserve">rising over time.  </w:t>
      </w:r>
      <w:r w:rsidR="006D1842">
        <w:rPr>
          <w:lang w:eastAsia="en-AU"/>
        </w:rPr>
        <w:t>Its</w:t>
      </w:r>
      <w:r w:rsidR="003761D5">
        <w:rPr>
          <w:lang w:eastAsia="en-AU"/>
        </w:rPr>
        <w:t xml:space="preserve"> recommended social cost range</w:t>
      </w:r>
      <w:r w:rsidR="00954D15">
        <w:rPr>
          <w:lang w:eastAsia="en-AU"/>
        </w:rPr>
        <w:t>s</w:t>
      </w:r>
      <w:r w:rsidR="003761D5">
        <w:rPr>
          <w:lang w:eastAsia="en-AU"/>
        </w:rPr>
        <w:t xml:space="preserve"> from US$</w:t>
      </w:r>
      <w:r w:rsidR="00EF733B">
        <w:rPr>
          <w:lang w:eastAsia="en-AU"/>
        </w:rPr>
        <w:t>11</w:t>
      </w:r>
      <w:r w:rsidR="003761D5">
        <w:rPr>
          <w:lang w:eastAsia="en-AU"/>
        </w:rPr>
        <w:t>-</w:t>
      </w:r>
      <w:r w:rsidR="00EF733B">
        <w:rPr>
          <w:lang w:eastAsia="en-AU"/>
        </w:rPr>
        <w:t>52 in 2010 (A$13-59) rising to US$14-70 in 2025 (</w:t>
      </w:r>
      <w:r w:rsidR="00954D15">
        <w:rPr>
          <w:lang w:eastAsia="en-AU"/>
        </w:rPr>
        <w:t>A$</w:t>
      </w:r>
      <w:r w:rsidR="00EF733B">
        <w:rPr>
          <w:lang w:eastAsia="en-AU"/>
        </w:rPr>
        <w:t xml:space="preserve">16-80). </w:t>
      </w:r>
      <w:r w:rsidR="00954D15">
        <w:rPr>
          <w:lang w:eastAsia="en-AU"/>
        </w:rPr>
        <w:t>Dietz and Stern (2014) argue</w:t>
      </w:r>
      <w:r w:rsidR="00954D15" w:rsidRPr="00954D15">
        <w:rPr>
          <w:lang w:eastAsia="en-AU"/>
        </w:rPr>
        <w:t xml:space="preserve"> that the cost of carbon needed to prevent irreversible climate impacts will need to be set at as high as US$75/ tonne CO2-e (A$80) in the short term and US$133/ tonne CO2-e (A$141) in the longer  term.  </w:t>
      </w:r>
      <w:r w:rsidRPr="002B3DF9">
        <w:rPr>
          <w:lang w:eastAsia="en-AU"/>
        </w:rPr>
        <w:t>The Australian Tre</w:t>
      </w:r>
      <w:r w:rsidR="00EF733B">
        <w:rPr>
          <w:lang w:eastAsia="en-AU"/>
        </w:rPr>
        <w:t>asury (2011) nominally set</w:t>
      </w:r>
      <w:r>
        <w:rPr>
          <w:lang w:eastAsia="en-AU"/>
        </w:rPr>
        <w:t xml:space="preserve"> the cost of carbon</w:t>
      </w:r>
      <w:r w:rsidRPr="002B3DF9">
        <w:rPr>
          <w:lang w:eastAsia="en-AU"/>
        </w:rPr>
        <w:t xml:space="preserve"> at $29/ tonne of CO</w:t>
      </w:r>
      <w:r w:rsidRPr="002B3DF9">
        <w:rPr>
          <w:vertAlign w:val="subscript"/>
          <w:lang w:eastAsia="en-AU"/>
        </w:rPr>
        <w:t>2-e</w:t>
      </w:r>
      <w:r w:rsidRPr="002B3DF9">
        <w:rPr>
          <w:lang w:eastAsia="en-AU"/>
        </w:rPr>
        <w:t>.</w:t>
      </w:r>
      <w:r w:rsidR="00954D15">
        <w:rPr>
          <w:lang w:eastAsia="en-AU"/>
        </w:rPr>
        <w:t xml:space="preserve">  </w:t>
      </w:r>
    </w:p>
    <w:p w:rsidR="00FC72F6" w:rsidRDefault="00D9202F" w:rsidP="00954D15">
      <w:pPr>
        <w:pStyle w:val="MJAnormal"/>
        <w:rPr>
          <w:lang w:eastAsia="en-AU"/>
        </w:rPr>
      </w:pPr>
      <w:r>
        <w:rPr>
          <w:lang w:eastAsia="en-AU"/>
        </w:rPr>
        <w:t xml:space="preserve">For this study we have used </w:t>
      </w:r>
      <w:r w:rsidR="002C2832">
        <w:rPr>
          <w:lang w:eastAsia="en-AU"/>
        </w:rPr>
        <w:t xml:space="preserve">the Treasury </w:t>
      </w:r>
      <w:r w:rsidR="0029005D">
        <w:rPr>
          <w:lang w:eastAsia="en-AU"/>
        </w:rPr>
        <w:t xml:space="preserve">global </w:t>
      </w:r>
      <w:r w:rsidR="002C2832">
        <w:rPr>
          <w:lang w:eastAsia="en-AU"/>
        </w:rPr>
        <w:t xml:space="preserve">value of carbon </w:t>
      </w:r>
      <w:r w:rsidR="0029005D">
        <w:rPr>
          <w:lang w:eastAsia="en-AU"/>
        </w:rPr>
        <w:t>of $29/ tonne CO</w:t>
      </w:r>
      <w:r w:rsidR="0029005D" w:rsidRPr="00D9202F">
        <w:rPr>
          <w:vertAlign w:val="subscript"/>
          <w:lang w:eastAsia="en-AU"/>
        </w:rPr>
        <w:t>2</w:t>
      </w:r>
      <w:r w:rsidR="0029005D">
        <w:rPr>
          <w:vertAlign w:val="subscript"/>
          <w:lang w:eastAsia="en-AU"/>
        </w:rPr>
        <w:t>-e</w:t>
      </w:r>
      <w:r w:rsidR="0029005D">
        <w:rPr>
          <w:lang w:eastAsia="en-AU"/>
        </w:rPr>
        <w:t>. We recognise though</w:t>
      </w:r>
      <w:r w:rsidR="00BA6A88">
        <w:rPr>
          <w:lang w:eastAsia="en-AU"/>
        </w:rPr>
        <w:t>,</w:t>
      </w:r>
      <w:r w:rsidR="0029005D">
        <w:rPr>
          <w:lang w:eastAsia="en-AU"/>
        </w:rPr>
        <w:t xml:space="preserve"> that there is a rationale for using a </w:t>
      </w:r>
      <w:r w:rsidR="00EF733B">
        <w:rPr>
          <w:lang w:eastAsia="en-AU"/>
        </w:rPr>
        <w:t xml:space="preserve">higher </w:t>
      </w:r>
      <w:r w:rsidR="0029005D">
        <w:rPr>
          <w:lang w:eastAsia="en-AU"/>
        </w:rPr>
        <w:t xml:space="preserve">social cost of carbon </w:t>
      </w:r>
      <w:r w:rsidR="00EF733B">
        <w:rPr>
          <w:lang w:eastAsia="en-AU"/>
        </w:rPr>
        <w:t xml:space="preserve">reflecting the uncertainties about the long term impacts of climate change </w:t>
      </w:r>
      <w:r w:rsidR="0029005D">
        <w:rPr>
          <w:lang w:eastAsia="en-AU"/>
        </w:rPr>
        <w:t xml:space="preserve">and have applied a social </w:t>
      </w:r>
      <w:r w:rsidR="00EF733B">
        <w:rPr>
          <w:lang w:eastAsia="en-AU"/>
        </w:rPr>
        <w:t xml:space="preserve">cost </w:t>
      </w:r>
      <w:r w:rsidR="0029005D">
        <w:rPr>
          <w:lang w:eastAsia="en-AU"/>
        </w:rPr>
        <w:t>of $80/tonne CO</w:t>
      </w:r>
      <w:r w:rsidR="0029005D" w:rsidRPr="006D1842">
        <w:rPr>
          <w:vertAlign w:val="subscript"/>
          <w:lang w:eastAsia="en-AU"/>
        </w:rPr>
        <w:t>2-e</w:t>
      </w:r>
      <w:r w:rsidR="0029005D">
        <w:rPr>
          <w:lang w:eastAsia="en-AU"/>
        </w:rPr>
        <w:t xml:space="preserve"> in sensitivity</w:t>
      </w:r>
      <w:r w:rsidR="00CC33CC">
        <w:rPr>
          <w:lang w:eastAsia="en-AU"/>
        </w:rPr>
        <w:t xml:space="preserve"> analysis</w:t>
      </w:r>
      <w:r w:rsidR="00EF733B">
        <w:rPr>
          <w:lang w:eastAsia="en-AU"/>
        </w:rPr>
        <w:t>.  This</w:t>
      </w:r>
      <w:r w:rsidR="0029005D">
        <w:rPr>
          <w:lang w:eastAsia="en-AU"/>
        </w:rPr>
        <w:t xml:space="preserve"> is reflected in the upper bound </w:t>
      </w:r>
      <w:r w:rsidR="00BA6A88">
        <w:rPr>
          <w:lang w:eastAsia="en-AU"/>
        </w:rPr>
        <w:t xml:space="preserve">estimate of </w:t>
      </w:r>
      <w:r w:rsidR="0029005D">
        <w:rPr>
          <w:lang w:eastAsia="en-AU"/>
        </w:rPr>
        <w:t>indirect and non-market costs.</w:t>
      </w:r>
    </w:p>
    <w:p w:rsidR="00AD323F" w:rsidRDefault="00AD323F" w:rsidP="00EE2123">
      <w:pPr>
        <w:pStyle w:val="MJAnormal"/>
        <w:rPr>
          <w:lang w:eastAsia="en-AU"/>
        </w:rPr>
      </w:pPr>
      <w:r>
        <w:rPr>
          <w:b/>
          <w:i/>
          <w:lang w:eastAsia="en-AU"/>
        </w:rPr>
        <w:t xml:space="preserve">Summary of greenhouse </w:t>
      </w:r>
      <w:r w:rsidR="002444DE">
        <w:rPr>
          <w:b/>
          <w:i/>
          <w:lang w:eastAsia="en-AU"/>
        </w:rPr>
        <w:t xml:space="preserve">gas emission </w:t>
      </w:r>
      <w:r w:rsidR="00BE5570">
        <w:rPr>
          <w:b/>
          <w:i/>
          <w:lang w:eastAsia="en-AU"/>
        </w:rPr>
        <w:t>cost</w:t>
      </w:r>
      <w:r>
        <w:rPr>
          <w:b/>
          <w:i/>
          <w:lang w:eastAsia="en-AU"/>
        </w:rPr>
        <w:t xml:space="preserve"> of hazardous wastes</w:t>
      </w:r>
    </w:p>
    <w:p w:rsidR="00AD323F" w:rsidRDefault="00AD323F" w:rsidP="00EE2123">
      <w:pPr>
        <w:pStyle w:val="MJAnormal"/>
        <w:rPr>
          <w:lang w:eastAsia="en-AU"/>
        </w:rPr>
      </w:pPr>
      <w:r>
        <w:rPr>
          <w:lang w:eastAsia="en-AU"/>
        </w:rPr>
        <w:t xml:space="preserve">In summary, an emissions factor of 1.1 </w:t>
      </w:r>
      <w:r w:rsidRPr="00AD323F">
        <w:rPr>
          <w:lang w:eastAsia="en-AU"/>
        </w:rPr>
        <w:t>applied to most</w:t>
      </w:r>
      <w:r>
        <w:rPr>
          <w:lang w:eastAsia="en-AU"/>
        </w:rPr>
        <w:t xml:space="preserve"> hazardous wastes with an organic content, a collection efficiency of 60% for those emissions, and a carbon cost of $29/ tonne of CO</w:t>
      </w:r>
      <w:r w:rsidRPr="00897CE5">
        <w:rPr>
          <w:vertAlign w:val="subscript"/>
          <w:lang w:eastAsia="en-AU"/>
        </w:rPr>
        <w:t xml:space="preserve">2-e </w:t>
      </w:r>
      <w:r>
        <w:rPr>
          <w:lang w:eastAsia="en-AU"/>
        </w:rPr>
        <w:t>actually emitted gives an estimated value of $12.76/ tonne of hazardous waste disposed to landfill.  Contaminated soils (N120) are given a value of $3.48/ tonne of waste based on the low</w:t>
      </w:r>
      <w:r w:rsidR="002444DE">
        <w:rPr>
          <w:lang w:eastAsia="en-AU"/>
        </w:rPr>
        <w:t xml:space="preserve">er emissions factor of 0.3.  A </w:t>
      </w:r>
      <w:r>
        <w:rPr>
          <w:lang w:eastAsia="en-AU"/>
        </w:rPr>
        <w:t xml:space="preserve">carbon cost of $80/ tonne </w:t>
      </w:r>
      <w:r w:rsidR="002444DE">
        <w:rPr>
          <w:lang w:eastAsia="en-AU"/>
        </w:rPr>
        <w:t>CO</w:t>
      </w:r>
      <w:r w:rsidR="002444DE" w:rsidRPr="001F5CDB">
        <w:rPr>
          <w:vertAlign w:val="subscript"/>
          <w:lang w:eastAsia="en-AU"/>
        </w:rPr>
        <w:t>2-e</w:t>
      </w:r>
      <w:r w:rsidR="002444DE">
        <w:rPr>
          <w:lang w:eastAsia="en-AU"/>
        </w:rPr>
        <w:t xml:space="preserve"> gives an upper bound greenhouse gas emission cost of $35.20/ tonne of </w:t>
      </w:r>
      <w:r w:rsidR="002444DE" w:rsidRPr="002444DE">
        <w:rPr>
          <w:lang w:eastAsia="en-AU"/>
        </w:rPr>
        <w:t>hazardous waste disposed to landfill.</w:t>
      </w:r>
      <w:r w:rsidR="005B60F2">
        <w:rPr>
          <w:lang w:eastAsia="en-AU"/>
        </w:rPr>
        <w:t xml:space="preserve"> </w:t>
      </w:r>
    </w:p>
    <w:p w:rsidR="00954D15" w:rsidRDefault="00954D15" w:rsidP="00EE2123">
      <w:pPr>
        <w:pStyle w:val="MJAnormal"/>
        <w:rPr>
          <w:lang w:eastAsia="en-AU"/>
        </w:rPr>
      </w:pPr>
    </w:p>
    <w:p w:rsidR="00954D15" w:rsidRPr="002444DE" w:rsidRDefault="00954D15" w:rsidP="00EE2123">
      <w:pPr>
        <w:pStyle w:val="MJAnormal"/>
        <w:rPr>
          <w:lang w:eastAsia="en-AU"/>
        </w:rPr>
      </w:pPr>
    </w:p>
    <w:p w:rsidR="00FC72F6" w:rsidRPr="008056C2" w:rsidRDefault="00FC72F6" w:rsidP="008056C2">
      <w:pPr>
        <w:pStyle w:val="MJAnormal"/>
        <w:rPr>
          <w:b/>
          <w:lang w:eastAsia="en-AU"/>
        </w:rPr>
      </w:pPr>
      <w:bookmarkStart w:id="64" w:name="_Toc326311230"/>
      <w:bookmarkStart w:id="65" w:name="_Toc333851291"/>
      <w:proofErr w:type="spellStart"/>
      <w:r w:rsidRPr="008056C2">
        <w:rPr>
          <w:b/>
          <w:lang w:eastAsia="en-AU"/>
        </w:rPr>
        <w:lastRenderedPageBreak/>
        <w:t>Disamenity</w:t>
      </w:r>
      <w:proofErr w:type="spellEnd"/>
      <w:r w:rsidRPr="008056C2">
        <w:rPr>
          <w:b/>
          <w:lang w:eastAsia="en-AU"/>
        </w:rPr>
        <w:t xml:space="preserve"> </w:t>
      </w:r>
      <w:bookmarkEnd w:id="64"/>
      <w:bookmarkEnd w:id="65"/>
      <w:r w:rsidR="002C2832">
        <w:rPr>
          <w:b/>
          <w:lang w:eastAsia="en-AU"/>
        </w:rPr>
        <w:t>costs</w:t>
      </w:r>
      <w:r w:rsidRPr="008056C2">
        <w:rPr>
          <w:b/>
          <w:lang w:eastAsia="en-AU"/>
        </w:rPr>
        <w:t xml:space="preserve"> </w:t>
      </w:r>
    </w:p>
    <w:p w:rsidR="00FC72F6" w:rsidRPr="00FC72F6" w:rsidRDefault="00FC72F6" w:rsidP="00EE2123">
      <w:pPr>
        <w:pStyle w:val="MJAnormal"/>
        <w:rPr>
          <w:lang w:eastAsia="en-AU"/>
        </w:rPr>
      </w:pPr>
      <w:r w:rsidRPr="00FC72F6">
        <w:rPr>
          <w:lang w:eastAsia="en-AU"/>
        </w:rPr>
        <w:t xml:space="preserve">Most studies of landfill externality costs find that </w:t>
      </w:r>
      <w:proofErr w:type="spellStart"/>
      <w:r w:rsidRPr="00FC72F6">
        <w:rPr>
          <w:lang w:eastAsia="en-AU"/>
        </w:rPr>
        <w:t>disamenity</w:t>
      </w:r>
      <w:proofErr w:type="spellEnd"/>
      <w:r w:rsidRPr="00FC72F6">
        <w:rPr>
          <w:lang w:eastAsia="en-AU"/>
        </w:rPr>
        <w:t xml:space="preserve"> is the second largest component of the total external costs, following GHG emissions. </w:t>
      </w:r>
      <w:proofErr w:type="spellStart"/>
      <w:r w:rsidRPr="00FC72F6">
        <w:rPr>
          <w:lang w:eastAsia="en-AU"/>
        </w:rPr>
        <w:t>Disamenity</w:t>
      </w:r>
      <w:proofErr w:type="spellEnd"/>
      <w:r w:rsidRPr="00FC72F6">
        <w:rPr>
          <w:lang w:eastAsia="en-AU"/>
        </w:rPr>
        <w:t xml:space="preserve"> costs are those costs that occur when a landfill is located in an area that is populated or used for recreation</w:t>
      </w:r>
      <w:r w:rsidR="00975BAA" w:rsidRPr="00975BAA">
        <w:rPr>
          <w:lang w:eastAsia="en-AU"/>
        </w:rPr>
        <w:t xml:space="preserve"> </w:t>
      </w:r>
      <w:r w:rsidR="00975BAA">
        <w:rPr>
          <w:lang w:eastAsia="en-AU"/>
        </w:rPr>
        <w:t>or when urban development encroaches on prior landfill sites</w:t>
      </w:r>
      <w:r w:rsidRPr="00FC72F6">
        <w:rPr>
          <w:lang w:eastAsia="en-AU"/>
        </w:rPr>
        <w:t xml:space="preserve">. </w:t>
      </w:r>
      <w:proofErr w:type="spellStart"/>
      <w:r w:rsidRPr="00FC72F6">
        <w:rPr>
          <w:lang w:eastAsia="en-AU"/>
        </w:rPr>
        <w:t>Schollum</w:t>
      </w:r>
      <w:proofErr w:type="spellEnd"/>
      <w:r w:rsidRPr="00FC72F6">
        <w:rPr>
          <w:lang w:eastAsia="en-AU"/>
        </w:rPr>
        <w:t xml:space="preserve"> (2010) notes that </w:t>
      </w:r>
      <w:proofErr w:type="spellStart"/>
      <w:r w:rsidRPr="00FC72F6">
        <w:rPr>
          <w:lang w:eastAsia="en-AU"/>
        </w:rPr>
        <w:t>disamenity</w:t>
      </w:r>
      <w:proofErr w:type="spellEnd"/>
      <w:r w:rsidRPr="00FC72F6">
        <w:rPr>
          <w:lang w:eastAsia="en-AU"/>
        </w:rPr>
        <w:t xml:space="preserve"> externalities have been increasingly internalised over time due to improving standards and placing sites in less populated areas.</w:t>
      </w:r>
    </w:p>
    <w:p w:rsidR="00FC72F6" w:rsidRDefault="00FC72F6" w:rsidP="00EE2123">
      <w:pPr>
        <w:pStyle w:val="MJAnormal"/>
        <w:rPr>
          <w:lang w:eastAsia="en-AU"/>
        </w:rPr>
      </w:pPr>
      <w:r w:rsidRPr="00FC72F6">
        <w:rPr>
          <w:lang w:eastAsia="en-AU"/>
        </w:rPr>
        <w:t xml:space="preserve">Estimates of </w:t>
      </w:r>
      <w:proofErr w:type="spellStart"/>
      <w:r w:rsidRPr="00FC72F6">
        <w:rPr>
          <w:lang w:eastAsia="en-AU"/>
        </w:rPr>
        <w:t>disamenity</w:t>
      </w:r>
      <w:proofErr w:type="spellEnd"/>
      <w:r w:rsidRPr="00FC72F6">
        <w:rPr>
          <w:lang w:eastAsia="en-AU"/>
        </w:rPr>
        <w:t xml:space="preserve"> have generally been drawn from hedonic pricing studies</w:t>
      </w:r>
      <w:r w:rsidR="0041105E">
        <w:rPr>
          <w:rStyle w:val="FootnoteReference"/>
          <w:lang w:eastAsia="en-AU"/>
        </w:rPr>
        <w:footnoteReference w:id="7"/>
      </w:r>
      <w:r w:rsidRPr="00FC72F6">
        <w:rPr>
          <w:lang w:eastAsia="en-AU"/>
        </w:rPr>
        <w:t>, either directly or by transferring the relationships between proximity to landfills and house prices established for one or more different housing markets.</w:t>
      </w:r>
      <w:r w:rsidR="00EE2123">
        <w:rPr>
          <w:lang w:eastAsia="en-AU"/>
        </w:rPr>
        <w:t xml:space="preserve">  BDA (2009) uses a </w:t>
      </w:r>
      <w:proofErr w:type="spellStart"/>
      <w:r w:rsidR="00EE2123">
        <w:rPr>
          <w:lang w:eastAsia="en-AU"/>
        </w:rPr>
        <w:t>disamenity</w:t>
      </w:r>
      <w:proofErr w:type="spellEnd"/>
      <w:r w:rsidR="00EE2123">
        <w:rPr>
          <w:lang w:eastAsia="en-AU"/>
        </w:rPr>
        <w:t xml:space="preserve"> value of $1 for best practice landfills and $5-10 for other landfills.  </w:t>
      </w:r>
      <w:proofErr w:type="spellStart"/>
      <w:r w:rsidRPr="00FC72F6">
        <w:rPr>
          <w:lang w:eastAsia="en-AU"/>
        </w:rPr>
        <w:t>Schollum</w:t>
      </w:r>
      <w:proofErr w:type="spellEnd"/>
      <w:r w:rsidRPr="00FC72F6">
        <w:rPr>
          <w:lang w:eastAsia="en-AU"/>
        </w:rPr>
        <w:t xml:space="preserve"> (2010) estimated </w:t>
      </w:r>
      <w:proofErr w:type="spellStart"/>
      <w:r w:rsidRPr="00FC72F6">
        <w:rPr>
          <w:lang w:eastAsia="en-AU"/>
        </w:rPr>
        <w:t>disamenity</w:t>
      </w:r>
      <w:proofErr w:type="spellEnd"/>
      <w:r w:rsidRPr="00FC72F6">
        <w:rPr>
          <w:lang w:eastAsia="en-AU"/>
        </w:rPr>
        <w:t xml:space="preserve"> values for Perth metropolitan landfil</w:t>
      </w:r>
      <w:r w:rsidR="00EE2123">
        <w:rPr>
          <w:lang w:eastAsia="en-AU"/>
        </w:rPr>
        <w:t>ls at $4.09 per tonne of waste.</w:t>
      </w:r>
    </w:p>
    <w:p w:rsidR="00EE2123" w:rsidRDefault="00793E50" w:rsidP="00EE2123">
      <w:pPr>
        <w:pStyle w:val="MJAnormal"/>
        <w:rPr>
          <w:lang w:eastAsia="en-AU"/>
        </w:rPr>
      </w:pPr>
      <w:r>
        <w:rPr>
          <w:lang w:eastAsia="en-AU"/>
        </w:rPr>
        <w:t xml:space="preserve">For this study we have used a </w:t>
      </w:r>
      <w:proofErr w:type="spellStart"/>
      <w:r>
        <w:rPr>
          <w:lang w:eastAsia="en-AU"/>
        </w:rPr>
        <w:t>disamenity</w:t>
      </w:r>
      <w:proofErr w:type="spellEnd"/>
      <w:r>
        <w:rPr>
          <w:lang w:eastAsia="en-AU"/>
        </w:rPr>
        <w:t xml:space="preserve"> </w:t>
      </w:r>
      <w:r w:rsidR="00E83318">
        <w:rPr>
          <w:lang w:eastAsia="en-AU"/>
        </w:rPr>
        <w:t xml:space="preserve">value of $2.67/tonne of waste as a weighted average reflecting $1/tonne in 80% of landfills to which waste is disposed (best practice) and $7.50/tonne in the remaining landfills, adjusted to 2012 prices. </w:t>
      </w:r>
    </w:p>
    <w:p w:rsidR="00FC72F6" w:rsidRPr="00EE2123" w:rsidRDefault="00FC72F6" w:rsidP="00EE2123">
      <w:pPr>
        <w:pStyle w:val="MJAnormal"/>
        <w:rPr>
          <w:b/>
          <w:lang w:eastAsia="en-AU"/>
        </w:rPr>
      </w:pPr>
      <w:bookmarkStart w:id="66" w:name="_Toc326311231"/>
      <w:bookmarkStart w:id="67" w:name="_Toc333851292"/>
      <w:r w:rsidRPr="00EE2123">
        <w:rPr>
          <w:b/>
          <w:lang w:eastAsia="en-AU"/>
        </w:rPr>
        <w:t>Other air pollutants</w:t>
      </w:r>
      <w:bookmarkEnd w:id="66"/>
      <w:bookmarkEnd w:id="67"/>
    </w:p>
    <w:p w:rsidR="00FC72F6" w:rsidRPr="00FC72F6" w:rsidRDefault="00FC72F6" w:rsidP="00E83318">
      <w:pPr>
        <w:pStyle w:val="MJAnormal"/>
        <w:rPr>
          <w:lang w:eastAsia="en-AU"/>
        </w:rPr>
      </w:pPr>
      <w:r w:rsidRPr="00FC72F6">
        <w:rPr>
          <w:lang w:eastAsia="en-AU"/>
        </w:rPr>
        <w:t>In addition to emitting GHGs, landfills also emit traces of other air pollutants, such as volatile organic compounds (VOCs), nitrogen dioxide, sulphur dioxide, benzene, hydrogen sulphide, mercury and fine particles, which are potentially damaging to the environment and human health.</w:t>
      </w:r>
    </w:p>
    <w:p w:rsidR="00FC72F6" w:rsidRPr="00FC72F6" w:rsidRDefault="00FC72F6" w:rsidP="00E83318">
      <w:pPr>
        <w:pStyle w:val="MJAnormal"/>
        <w:rPr>
          <w:lang w:eastAsia="en-AU"/>
        </w:rPr>
      </w:pPr>
      <w:r w:rsidRPr="00FC72F6">
        <w:rPr>
          <w:lang w:eastAsia="en-AU"/>
        </w:rPr>
        <w:t xml:space="preserve">Most estimates of these externalities are low - the majority of Australian and international studies value the external costs of other air pollutants (other than GHGs) at below $1 per tonne of waste </w:t>
      </w:r>
      <w:proofErr w:type="spellStart"/>
      <w:r w:rsidRPr="00FC72F6">
        <w:rPr>
          <w:lang w:eastAsia="en-AU"/>
        </w:rPr>
        <w:t>landfilled</w:t>
      </w:r>
      <w:proofErr w:type="spellEnd"/>
      <w:r w:rsidRPr="00FC72F6">
        <w:rPr>
          <w:lang w:eastAsia="en-AU"/>
        </w:rPr>
        <w:t xml:space="preserve"> (BDA 2009; </w:t>
      </w:r>
      <w:proofErr w:type="spellStart"/>
      <w:r w:rsidRPr="00FC72F6">
        <w:rPr>
          <w:lang w:eastAsia="en-AU"/>
        </w:rPr>
        <w:t>Schollum</w:t>
      </w:r>
      <w:proofErr w:type="spellEnd"/>
      <w:r w:rsidRPr="00FC72F6">
        <w:rPr>
          <w:lang w:eastAsia="en-AU"/>
        </w:rPr>
        <w:t xml:space="preserve"> 2010).</w:t>
      </w:r>
    </w:p>
    <w:p w:rsidR="00FC72F6" w:rsidRPr="00DB3850" w:rsidRDefault="00FC72F6" w:rsidP="00DB3850">
      <w:pPr>
        <w:pStyle w:val="MJAnormal"/>
      </w:pPr>
      <w:r w:rsidRPr="00FC72F6">
        <w:rPr>
          <w:lang w:eastAsia="en-AU"/>
        </w:rPr>
        <w:t>BDA (2009) estimated the external costs of other air pollut</w:t>
      </w:r>
      <w:r w:rsidR="00E83318">
        <w:rPr>
          <w:lang w:eastAsia="en-AU"/>
        </w:rPr>
        <w:t xml:space="preserve">ants for Australian </w:t>
      </w:r>
      <w:r w:rsidRPr="00FC72F6">
        <w:rPr>
          <w:lang w:eastAsia="en-AU"/>
        </w:rPr>
        <w:t xml:space="preserve">landfills in a dry temperate climate at $0.54 - $0.96 per tonne of waste in an urban setting, and $0.08 - $0.23 per tonne of waste in a rural setting. The range provided accounts for differences in management </w:t>
      </w:r>
      <w:r w:rsidRPr="00DB3850">
        <w:t>practices, with gas collection and/or energy recovery lowering the externality costs. The estimates are higher for urban landfills due to the assumption of greater exposure of the population compared to rural sites.</w:t>
      </w:r>
      <w:r w:rsidR="00E83318" w:rsidRPr="00DB3850">
        <w:t xml:space="preserve">  </w:t>
      </w:r>
    </w:p>
    <w:p w:rsidR="00DB3850" w:rsidRPr="00DB3850" w:rsidRDefault="00E83318" w:rsidP="00DB3850">
      <w:pPr>
        <w:pStyle w:val="MJAnormal"/>
      </w:pPr>
      <w:r w:rsidRPr="00DB3850">
        <w:t>We have used a value of $0.96/tonne of waste as a weighted average reflecting $0.97/tonne in 80% of landfills to w</w:t>
      </w:r>
      <w:r w:rsidR="00DB3850" w:rsidRPr="00DB3850">
        <w:t>hich waste is disposed and $0.24</w:t>
      </w:r>
      <w:r w:rsidRPr="00DB3850">
        <w:t>/tonne in the remaining</w:t>
      </w:r>
      <w:r w:rsidR="00DB3850" w:rsidRPr="00DB3850">
        <w:t xml:space="preserve"> landfills, adjusted to 2012 prices. </w:t>
      </w:r>
    </w:p>
    <w:p w:rsidR="00FC72F6" w:rsidRPr="00DB3850" w:rsidRDefault="00FC72F6" w:rsidP="00DB3850">
      <w:pPr>
        <w:pStyle w:val="MJAnormal"/>
        <w:rPr>
          <w:b/>
          <w:lang w:eastAsia="en-AU"/>
        </w:rPr>
      </w:pPr>
      <w:bookmarkStart w:id="68" w:name="_Toc326311232"/>
      <w:bookmarkStart w:id="69" w:name="_Toc333851293"/>
      <w:r w:rsidRPr="00DB3850">
        <w:rPr>
          <w:b/>
          <w:lang w:eastAsia="en-AU"/>
        </w:rPr>
        <w:t>Leachate</w:t>
      </w:r>
      <w:bookmarkEnd w:id="68"/>
      <w:bookmarkEnd w:id="69"/>
    </w:p>
    <w:p w:rsidR="00FC72F6" w:rsidRPr="00FC72F6" w:rsidRDefault="00FC72F6" w:rsidP="00A677E4">
      <w:pPr>
        <w:pStyle w:val="MJAnormal"/>
        <w:rPr>
          <w:lang w:eastAsia="en-AU"/>
        </w:rPr>
      </w:pPr>
      <w:r w:rsidRPr="00FC72F6">
        <w:rPr>
          <w:lang w:eastAsia="en-AU"/>
        </w:rPr>
        <w:t xml:space="preserve">Leachate is liquid that occurs in landfills and results from precipitation and surface water combining with the </w:t>
      </w:r>
      <w:proofErr w:type="spellStart"/>
      <w:r w:rsidRPr="00FC72F6">
        <w:rPr>
          <w:lang w:eastAsia="en-AU"/>
        </w:rPr>
        <w:t>biochemicals</w:t>
      </w:r>
      <w:proofErr w:type="spellEnd"/>
      <w:r w:rsidRPr="00FC72F6">
        <w:rPr>
          <w:lang w:eastAsia="en-AU"/>
        </w:rPr>
        <w:t xml:space="preserve"> and physical breakdown of waste; it may contain metals and organic and inorganic compounds, includ</w:t>
      </w:r>
      <w:r w:rsidR="00DB3850">
        <w:rPr>
          <w:lang w:eastAsia="en-AU"/>
        </w:rPr>
        <w:t>ing toxins (</w:t>
      </w:r>
      <w:proofErr w:type="spellStart"/>
      <w:r w:rsidR="00DB3850">
        <w:rPr>
          <w:lang w:eastAsia="en-AU"/>
        </w:rPr>
        <w:t>Schollum</w:t>
      </w:r>
      <w:proofErr w:type="spellEnd"/>
      <w:r w:rsidR="00DB3850">
        <w:rPr>
          <w:lang w:eastAsia="en-AU"/>
        </w:rPr>
        <w:t>, 2010</w:t>
      </w:r>
      <w:r w:rsidRPr="00FC72F6">
        <w:rPr>
          <w:lang w:eastAsia="en-AU"/>
        </w:rPr>
        <w:t>).  Thus, it can potentially cause adverse environme</w:t>
      </w:r>
      <w:r w:rsidR="00A677E4">
        <w:rPr>
          <w:lang w:eastAsia="en-AU"/>
        </w:rPr>
        <w:t>ntal and human health effect</w:t>
      </w:r>
      <w:r w:rsidRPr="00FC72F6">
        <w:rPr>
          <w:lang w:eastAsia="en-AU"/>
        </w:rPr>
        <w:t>s if it escapes into soil and groundwater.</w:t>
      </w:r>
    </w:p>
    <w:p w:rsidR="00FC72F6" w:rsidRPr="00FC72F6" w:rsidRDefault="00FC72F6" w:rsidP="00A677E4">
      <w:pPr>
        <w:pStyle w:val="MJAnormal"/>
        <w:rPr>
          <w:lang w:eastAsia="en-AU"/>
        </w:rPr>
      </w:pPr>
      <w:r w:rsidRPr="00FC72F6">
        <w:rPr>
          <w:lang w:eastAsia="en-AU"/>
        </w:rPr>
        <w:t>Despite this, most studies agree that the externality costs of leachate are small, provided that landfills are appropriately designed and managed. If a landfill is lined (with clay or plastic) this prevents or significantly reduces the escape of leachate into the environment.</w:t>
      </w:r>
    </w:p>
    <w:p w:rsidR="00A677E4" w:rsidRDefault="00FC72F6" w:rsidP="00A677E4">
      <w:pPr>
        <w:pStyle w:val="MJAnormal"/>
        <w:rPr>
          <w:lang w:eastAsia="en-AU"/>
        </w:rPr>
      </w:pPr>
      <w:r w:rsidRPr="00FC72F6">
        <w:rPr>
          <w:lang w:eastAsia="en-AU"/>
        </w:rPr>
        <w:lastRenderedPageBreak/>
        <w:t xml:space="preserve">Most Australian and international studies value the external costs of leachate at less than $1 per tonne of waste </w:t>
      </w:r>
      <w:proofErr w:type="spellStart"/>
      <w:r w:rsidRPr="00FC72F6">
        <w:rPr>
          <w:lang w:eastAsia="en-AU"/>
        </w:rPr>
        <w:t>landfilled</w:t>
      </w:r>
      <w:proofErr w:type="spellEnd"/>
      <w:r w:rsidRPr="00FC72F6">
        <w:rPr>
          <w:lang w:eastAsia="en-AU"/>
        </w:rPr>
        <w:t xml:space="preserve"> (BDA 2009, </w:t>
      </w:r>
      <w:proofErr w:type="spellStart"/>
      <w:r w:rsidRPr="00FC72F6">
        <w:rPr>
          <w:lang w:eastAsia="en-AU"/>
        </w:rPr>
        <w:t>Schollum</w:t>
      </w:r>
      <w:proofErr w:type="spellEnd"/>
      <w:r w:rsidRPr="00FC72F6">
        <w:rPr>
          <w:lang w:eastAsia="en-AU"/>
        </w:rPr>
        <w:t xml:space="preserve"> 2010). </w:t>
      </w:r>
      <w:r w:rsidR="00A677E4" w:rsidRPr="00A677E4">
        <w:rPr>
          <w:lang w:eastAsia="en-AU"/>
        </w:rPr>
        <w:t>They distinguished between landfills with liners and those with no liners, which is the primary management practice that influences whether leachate causes environmental damage; landfills with liners are very effective at preventing environmental damage from leachate.</w:t>
      </w:r>
      <w:r w:rsidR="00A677E4">
        <w:rPr>
          <w:lang w:eastAsia="en-AU"/>
        </w:rPr>
        <w:t xml:space="preserve"> </w:t>
      </w:r>
      <w:proofErr w:type="spellStart"/>
      <w:r w:rsidRPr="00FC72F6">
        <w:rPr>
          <w:lang w:eastAsia="en-AU"/>
        </w:rPr>
        <w:t>Schollum</w:t>
      </w:r>
      <w:proofErr w:type="spellEnd"/>
      <w:r w:rsidRPr="00FC72F6">
        <w:rPr>
          <w:lang w:eastAsia="en-AU"/>
        </w:rPr>
        <w:t xml:space="preserve"> no</w:t>
      </w:r>
      <w:r w:rsidR="00A677E4">
        <w:rPr>
          <w:lang w:eastAsia="en-AU"/>
        </w:rPr>
        <w:t>tes</w:t>
      </w:r>
      <w:r w:rsidRPr="00FC72F6">
        <w:rPr>
          <w:lang w:eastAsia="en-AU"/>
        </w:rPr>
        <w:t xml:space="preserve"> that many European studies no longer estimate the value of leachate because they assume appropriate management practices prevent externality</w:t>
      </w:r>
      <w:r w:rsidR="00A677E4">
        <w:rPr>
          <w:lang w:eastAsia="en-AU"/>
        </w:rPr>
        <w:t xml:space="preserve"> costs from leachate occurring. </w:t>
      </w:r>
      <w:r w:rsidRPr="00FC72F6">
        <w:rPr>
          <w:lang w:eastAsia="en-AU"/>
        </w:rPr>
        <w:t>BDA estimated the external costs of leachate</w:t>
      </w:r>
      <w:r w:rsidR="00A677E4">
        <w:rPr>
          <w:lang w:eastAsia="en-AU"/>
        </w:rPr>
        <w:t xml:space="preserve"> at between $0 for landfills with liners to $0.01 for landfills with no liner</w:t>
      </w:r>
      <w:r w:rsidRPr="00FC72F6">
        <w:rPr>
          <w:lang w:eastAsia="en-AU"/>
        </w:rPr>
        <w:t xml:space="preserve">. </w:t>
      </w:r>
      <w:r w:rsidR="00264408">
        <w:rPr>
          <w:lang w:eastAsia="en-AU"/>
        </w:rPr>
        <w:t xml:space="preserve"> These are the values for leachate used in this study.</w:t>
      </w:r>
    </w:p>
    <w:p w:rsidR="00FC72F6" w:rsidRPr="00A677E4" w:rsidRDefault="00A677E4" w:rsidP="00A677E4">
      <w:pPr>
        <w:pStyle w:val="MJAnormal"/>
        <w:rPr>
          <w:b/>
          <w:lang w:eastAsia="en-AU"/>
        </w:rPr>
      </w:pPr>
      <w:r w:rsidRPr="00A677E4">
        <w:rPr>
          <w:b/>
          <w:lang w:eastAsia="en-AU"/>
        </w:rPr>
        <w:t>Summary of residual landfill costs</w:t>
      </w:r>
    </w:p>
    <w:p w:rsidR="00AD7E5C" w:rsidRPr="00FC72F6" w:rsidRDefault="00A677E4" w:rsidP="00A677E4">
      <w:pPr>
        <w:pStyle w:val="MJAnormal"/>
        <w:rPr>
          <w:lang w:eastAsia="en-AU"/>
        </w:rPr>
      </w:pPr>
      <w:r w:rsidRPr="000B1277">
        <w:t xml:space="preserve">In summary, the values used in this study to estimate the residual costs of waste disposed to landfill are presented in </w:t>
      </w:r>
      <w:fldSimple w:instr=" REF _Ref391723066 \h  \* MERGEFORMAT ">
        <w:r w:rsidR="00D54C27" w:rsidRPr="00D54C27">
          <w:t>Table 22</w:t>
        </w:r>
      </w:fldSimple>
      <w:r w:rsidR="000B1277" w:rsidRPr="000B1277">
        <w:t>.</w:t>
      </w:r>
    </w:p>
    <w:p w:rsidR="00FC72F6" w:rsidRPr="00FC72F6" w:rsidRDefault="00FC72F6" w:rsidP="00FC72F6">
      <w:pPr>
        <w:keepNext/>
        <w:keepLines/>
        <w:spacing w:before="120" w:after="120" w:line="240" w:lineRule="auto"/>
        <w:outlineLvl w:val="0"/>
        <w:rPr>
          <w:rFonts w:ascii="Calibri" w:eastAsia="Times New Roman" w:hAnsi="Calibri" w:cs="Times New Roman"/>
          <w:b/>
          <w:bCs/>
          <w:sz w:val="20"/>
          <w:szCs w:val="18"/>
          <w:lang w:eastAsia="en-AU"/>
        </w:rPr>
      </w:pPr>
      <w:bookmarkStart w:id="70" w:name="_Ref391723066"/>
      <w:bookmarkStart w:id="71" w:name="_Toc333851353"/>
      <w:r w:rsidRPr="00FC72F6">
        <w:rPr>
          <w:rFonts w:ascii="Calibri" w:eastAsia="Times New Roman" w:hAnsi="Calibri" w:cs="Times New Roman"/>
          <w:b/>
          <w:bCs/>
          <w:sz w:val="20"/>
          <w:szCs w:val="18"/>
          <w:lang w:eastAsia="en-AU"/>
        </w:rPr>
        <w:t xml:space="preserve">Table </w:t>
      </w:r>
      <w:r w:rsidR="00732F35" w:rsidRPr="00FC72F6">
        <w:rPr>
          <w:rFonts w:ascii="Calibri" w:eastAsia="Times New Roman" w:hAnsi="Calibri" w:cs="Times New Roman"/>
          <w:b/>
          <w:bCs/>
          <w:sz w:val="20"/>
          <w:szCs w:val="18"/>
          <w:lang w:eastAsia="en-AU"/>
        </w:rPr>
        <w:fldChar w:fldCharType="begin"/>
      </w:r>
      <w:r w:rsidRPr="00FC72F6">
        <w:rPr>
          <w:rFonts w:ascii="Calibri" w:eastAsia="Times New Roman" w:hAnsi="Calibri" w:cs="Times New Roman"/>
          <w:b/>
          <w:bCs/>
          <w:sz w:val="20"/>
          <w:szCs w:val="18"/>
          <w:lang w:eastAsia="en-AU"/>
        </w:rPr>
        <w:instrText xml:space="preserve"> SEQ Table \* ARABIC </w:instrText>
      </w:r>
      <w:r w:rsidR="00732F35" w:rsidRPr="00FC72F6">
        <w:rPr>
          <w:rFonts w:ascii="Calibri" w:eastAsia="Times New Roman" w:hAnsi="Calibri" w:cs="Times New Roman"/>
          <w:b/>
          <w:bCs/>
          <w:sz w:val="20"/>
          <w:szCs w:val="18"/>
          <w:lang w:eastAsia="en-AU"/>
        </w:rPr>
        <w:fldChar w:fldCharType="separate"/>
      </w:r>
      <w:r w:rsidR="00D54C27">
        <w:rPr>
          <w:rFonts w:ascii="Calibri" w:eastAsia="Times New Roman" w:hAnsi="Calibri" w:cs="Times New Roman"/>
          <w:b/>
          <w:bCs/>
          <w:noProof/>
          <w:sz w:val="20"/>
          <w:szCs w:val="18"/>
          <w:lang w:eastAsia="en-AU"/>
        </w:rPr>
        <w:t>22</w:t>
      </w:r>
      <w:r w:rsidR="00732F35" w:rsidRPr="00FC72F6">
        <w:rPr>
          <w:rFonts w:ascii="Calibri" w:eastAsia="Times New Roman" w:hAnsi="Calibri" w:cs="Times New Roman"/>
          <w:b/>
          <w:bCs/>
          <w:noProof/>
          <w:sz w:val="20"/>
          <w:szCs w:val="18"/>
          <w:lang w:eastAsia="en-AU"/>
        </w:rPr>
        <w:fldChar w:fldCharType="end"/>
      </w:r>
      <w:bookmarkEnd w:id="70"/>
      <w:r w:rsidRPr="00FC72F6">
        <w:rPr>
          <w:rFonts w:ascii="Calibri" w:eastAsia="Times New Roman" w:hAnsi="Calibri" w:cs="Times New Roman"/>
          <w:b/>
          <w:bCs/>
          <w:sz w:val="20"/>
          <w:szCs w:val="18"/>
          <w:lang w:eastAsia="en-AU"/>
        </w:rPr>
        <w:t xml:space="preserve">: Externality values for </w:t>
      </w:r>
      <w:bookmarkEnd w:id="71"/>
      <w:r w:rsidR="00A677E4">
        <w:rPr>
          <w:rFonts w:ascii="Calibri" w:eastAsia="Times New Roman" w:hAnsi="Calibri" w:cs="Times New Roman"/>
          <w:b/>
          <w:bCs/>
          <w:sz w:val="20"/>
          <w:szCs w:val="18"/>
          <w:lang w:eastAsia="en-AU"/>
        </w:rPr>
        <w:t>residual costs</w:t>
      </w:r>
      <w:r w:rsidR="00264408">
        <w:rPr>
          <w:rFonts w:ascii="Calibri" w:eastAsia="Times New Roman" w:hAnsi="Calibri" w:cs="Times New Roman"/>
          <w:b/>
          <w:bCs/>
          <w:sz w:val="20"/>
          <w:szCs w:val="18"/>
          <w:lang w:eastAsia="en-AU"/>
        </w:rPr>
        <w:t xml:space="preserve"> ($/ tonne waste)</w:t>
      </w:r>
    </w:p>
    <w:tbl>
      <w:tblPr>
        <w:tblW w:w="5000" w:type="pct"/>
        <w:tblBorders>
          <w:top w:val="single" w:sz="12" w:space="0" w:color="0093D0"/>
          <w:bottom w:val="single" w:sz="12" w:space="0" w:color="0093D0"/>
        </w:tblBorders>
        <w:tblLook w:val="00A0"/>
      </w:tblPr>
      <w:tblGrid>
        <w:gridCol w:w="2660"/>
        <w:gridCol w:w="2020"/>
        <w:gridCol w:w="2020"/>
        <w:gridCol w:w="2020"/>
      </w:tblGrid>
      <w:tr w:rsidR="00264408" w:rsidRPr="00FC72F6" w:rsidTr="00264408">
        <w:tc>
          <w:tcPr>
            <w:tcW w:w="1525" w:type="pct"/>
            <w:tcBorders>
              <w:top w:val="single" w:sz="12" w:space="0" w:color="0093D0"/>
            </w:tcBorders>
            <w:shd w:val="clear" w:color="auto" w:fill="0093D0"/>
          </w:tcPr>
          <w:p w:rsidR="00264408" w:rsidRPr="00FC72F6" w:rsidRDefault="00264408" w:rsidP="00FC72F6">
            <w:pPr>
              <w:spacing w:before="60" w:after="60" w:line="240" w:lineRule="auto"/>
              <w:rPr>
                <w:rFonts w:ascii="Calibri" w:eastAsia="Times New Roman" w:hAnsi="Calibri" w:cs="Calibri"/>
                <w:b/>
                <w:color w:val="FFFFFF"/>
                <w:sz w:val="20"/>
                <w:szCs w:val="20"/>
                <w:lang w:eastAsia="en-AU"/>
              </w:rPr>
            </w:pPr>
          </w:p>
        </w:tc>
        <w:tc>
          <w:tcPr>
            <w:tcW w:w="1158" w:type="pct"/>
            <w:tcBorders>
              <w:top w:val="single" w:sz="12" w:space="0" w:color="0093D0"/>
            </w:tcBorders>
            <w:shd w:val="clear" w:color="auto" w:fill="0093D0"/>
          </w:tcPr>
          <w:p w:rsidR="008C6AD0" w:rsidRDefault="00264408" w:rsidP="00264408">
            <w:pPr>
              <w:spacing w:before="60" w:after="60" w:line="240" w:lineRule="auto"/>
              <w:jc w:val="right"/>
              <w:rPr>
                <w:rFonts w:ascii="Calibri" w:eastAsia="Times New Roman" w:hAnsi="Calibri" w:cs="Calibri"/>
                <w:b/>
                <w:color w:val="FFFFFF"/>
                <w:sz w:val="20"/>
                <w:szCs w:val="20"/>
                <w:lang w:eastAsia="en-AU"/>
              </w:rPr>
            </w:pPr>
            <w:r>
              <w:rPr>
                <w:rFonts w:ascii="Calibri" w:eastAsia="Times New Roman" w:hAnsi="Calibri" w:cs="Calibri"/>
                <w:b/>
                <w:color w:val="FFFFFF"/>
                <w:sz w:val="20"/>
                <w:szCs w:val="20"/>
                <w:lang w:eastAsia="en-AU"/>
              </w:rPr>
              <w:t>N120</w:t>
            </w:r>
            <w:r w:rsidR="008C6AD0">
              <w:rPr>
                <w:rFonts w:ascii="Calibri" w:eastAsia="Times New Roman" w:hAnsi="Calibri" w:cs="Calibri"/>
                <w:b/>
                <w:color w:val="FFFFFF"/>
                <w:sz w:val="20"/>
                <w:szCs w:val="20"/>
                <w:lang w:eastAsia="en-AU"/>
              </w:rPr>
              <w:t xml:space="preserve"> </w:t>
            </w:r>
          </w:p>
          <w:p w:rsidR="00264408" w:rsidRPr="00FC72F6" w:rsidRDefault="008C6AD0" w:rsidP="00264408">
            <w:pPr>
              <w:spacing w:before="60" w:after="60" w:line="240" w:lineRule="auto"/>
              <w:jc w:val="right"/>
              <w:rPr>
                <w:rFonts w:ascii="Calibri" w:eastAsia="Times New Roman" w:hAnsi="Calibri" w:cs="Calibri"/>
                <w:b/>
                <w:color w:val="FFFFFF"/>
                <w:sz w:val="20"/>
                <w:szCs w:val="20"/>
                <w:lang w:eastAsia="en-AU"/>
              </w:rPr>
            </w:pPr>
            <w:r>
              <w:rPr>
                <w:rFonts w:ascii="Calibri" w:eastAsia="Times New Roman" w:hAnsi="Calibri" w:cs="Calibri"/>
                <w:b/>
                <w:color w:val="FFFFFF"/>
                <w:sz w:val="20"/>
                <w:szCs w:val="20"/>
                <w:lang w:eastAsia="en-AU"/>
              </w:rPr>
              <w:t>(contaminated soils)</w:t>
            </w:r>
          </w:p>
        </w:tc>
        <w:tc>
          <w:tcPr>
            <w:tcW w:w="1158" w:type="pct"/>
            <w:tcBorders>
              <w:top w:val="single" w:sz="12" w:space="0" w:color="0093D0"/>
            </w:tcBorders>
            <w:shd w:val="clear" w:color="auto" w:fill="0093D0"/>
          </w:tcPr>
          <w:p w:rsidR="00264408" w:rsidRPr="00FC72F6" w:rsidRDefault="00264408" w:rsidP="00264408">
            <w:pPr>
              <w:spacing w:before="60" w:after="60" w:line="240" w:lineRule="auto"/>
              <w:jc w:val="right"/>
              <w:rPr>
                <w:rFonts w:ascii="Calibri" w:eastAsia="Times New Roman" w:hAnsi="Calibri" w:cs="Calibri"/>
                <w:b/>
                <w:color w:val="FFFFFF"/>
                <w:sz w:val="20"/>
                <w:szCs w:val="20"/>
                <w:lang w:eastAsia="en-AU"/>
              </w:rPr>
            </w:pPr>
            <w:r>
              <w:rPr>
                <w:rFonts w:ascii="Calibri" w:eastAsia="Times New Roman" w:hAnsi="Calibri" w:cs="Calibri"/>
                <w:b/>
                <w:color w:val="FFFFFF"/>
                <w:sz w:val="20"/>
                <w:szCs w:val="20"/>
                <w:lang w:eastAsia="en-AU"/>
              </w:rPr>
              <w:t>Other waste types (organic)</w:t>
            </w:r>
          </w:p>
        </w:tc>
        <w:tc>
          <w:tcPr>
            <w:tcW w:w="1158" w:type="pct"/>
            <w:tcBorders>
              <w:top w:val="single" w:sz="12" w:space="0" w:color="0093D0"/>
            </w:tcBorders>
            <w:shd w:val="clear" w:color="auto" w:fill="0093D0"/>
          </w:tcPr>
          <w:p w:rsidR="00264408" w:rsidRPr="00FC72F6" w:rsidRDefault="00264408" w:rsidP="00264408">
            <w:pPr>
              <w:spacing w:before="60" w:after="60" w:line="240" w:lineRule="auto"/>
              <w:jc w:val="right"/>
              <w:rPr>
                <w:rFonts w:ascii="Calibri" w:eastAsia="Times New Roman" w:hAnsi="Calibri" w:cs="Calibri"/>
                <w:b/>
                <w:color w:val="FFFFFF"/>
                <w:sz w:val="20"/>
                <w:szCs w:val="20"/>
                <w:lang w:eastAsia="en-AU"/>
              </w:rPr>
            </w:pPr>
            <w:r>
              <w:rPr>
                <w:rFonts w:ascii="Calibri" w:eastAsia="Times New Roman" w:hAnsi="Calibri" w:cs="Calibri"/>
                <w:b/>
                <w:color w:val="FFFFFF"/>
                <w:sz w:val="20"/>
                <w:szCs w:val="20"/>
                <w:lang w:eastAsia="en-AU"/>
              </w:rPr>
              <w:t>Other waste types (inorganic)</w:t>
            </w:r>
          </w:p>
        </w:tc>
      </w:tr>
      <w:tr w:rsidR="00264408" w:rsidRPr="00FC72F6" w:rsidTr="00264408">
        <w:tc>
          <w:tcPr>
            <w:tcW w:w="1525" w:type="pct"/>
          </w:tcPr>
          <w:p w:rsidR="00264408" w:rsidRPr="00FC72F6" w:rsidRDefault="00264408" w:rsidP="00FC72F6">
            <w:pPr>
              <w:spacing w:before="60" w:after="6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Greenhouse gas emissions</w:t>
            </w:r>
          </w:p>
        </w:tc>
        <w:tc>
          <w:tcPr>
            <w:tcW w:w="1158" w:type="pct"/>
          </w:tcPr>
          <w:p w:rsidR="00264408" w:rsidRPr="00FC72F6" w:rsidRDefault="00264408" w:rsidP="00264408">
            <w:pPr>
              <w:spacing w:before="60" w:after="6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3.48</w:t>
            </w:r>
          </w:p>
        </w:tc>
        <w:tc>
          <w:tcPr>
            <w:tcW w:w="1158" w:type="pct"/>
          </w:tcPr>
          <w:p w:rsidR="00264408" w:rsidRPr="00FC72F6" w:rsidRDefault="00264408" w:rsidP="00264408">
            <w:pPr>
              <w:spacing w:before="60" w:after="6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12.76</w:t>
            </w:r>
          </w:p>
        </w:tc>
        <w:tc>
          <w:tcPr>
            <w:tcW w:w="1158" w:type="pct"/>
          </w:tcPr>
          <w:p w:rsidR="00264408" w:rsidRPr="00FC72F6" w:rsidRDefault="00264408" w:rsidP="00264408">
            <w:pPr>
              <w:spacing w:before="60" w:after="6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0.00</w:t>
            </w:r>
          </w:p>
        </w:tc>
      </w:tr>
      <w:tr w:rsidR="00264408" w:rsidRPr="00FC72F6" w:rsidTr="00264408">
        <w:tc>
          <w:tcPr>
            <w:tcW w:w="1525" w:type="pct"/>
          </w:tcPr>
          <w:p w:rsidR="00264408" w:rsidRPr="00FC72F6" w:rsidRDefault="00264408" w:rsidP="00FC72F6">
            <w:pPr>
              <w:spacing w:before="60" w:after="6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Other air emissions</w:t>
            </w:r>
          </w:p>
        </w:tc>
        <w:tc>
          <w:tcPr>
            <w:tcW w:w="1158" w:type="pct"/>
          </w:tcPr>
          <w:p w:rsidR="00264408" w:rsidRPr="00FC72F6" w:rsidRDefault="00264408" w:rsidP="00264408">
            <w:pPr>
              <w:spacing w:before="60" w:after="6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0.96</w:t>
            </w:r>
          </w:p>
        </w:tc>
        <w:tc>
          <w:tcPr>
            <w:tcW w:w="1158" w:type="pct"/>
          </w:tcPr>
          <w:p w:rsidR="00264408" w:rsidRPr="00FC72F6" w:rsidRDefault="00264408" w:rsidP="00264408">
            <w:pPr>
              <w:spacing w:before="60" w:after="6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0.96</w:t>
            </w:r>
          </w:p>
        </w:tc>
        <w:tc>
          <w:tcPr>
            <w:tcW w:w="1158" w:type="pct"/>
          </w:tcPr>
          <w:p w:rsidR="00264408" w:rsidRPr="00FC72F6" w:rsidRDefault="00264408" w:rsidP="00264408">
            <w:pPr>
              <w:spacing w:before="60" w:after="60" w:line="240" w:lineRule="auto"/>
              <w:jc w:val="right"/>
              <w:rPr>
                <w:rFonts w:ascii="Calibri" w:eastAsia="Times New Roman" w:hAnsi="Calibri" w:cs="Calibri"/>
                <w:sz w:val="20"/>
                <w:szCs w:val="20"/>
                <w:lang w:eastAsia="en-AU"/>
              </w:rPr>
            </w:pPr>
            <w:r w:rsidRPr="00FC72F6">
              <w:rPr>
                <w:rFonts w:ascii="Calibri" w:eastAsia="Times New Roman" w:hAnsi="Calibri" w:cs="Calibri"/>
                <w:sz w:val="20"/>
                <w:szCs w:val="20"/>
                <w:lang w:eastAsia="en-AU"/>
              </w:rPr>
              <w:t>0.00</w:t>
            </w:r>
          </w:p>
        </w:tc>
      </w:tr>
      <w:tr w:rsidR="00264408" w:rsidRPr="00FC72F6" w:rsidTr="00264408">
        <w:tc>
          <w:tcPr>
            <w:tcW w:w="1525" w:type="pct"/>
          </w:tcPr>
          <w:p w:rsidR="00264408" w:rsidRPr="00FC72F6" w:rsidRDefault="00264408" w:rsidP="00FC72F6">
            <w:pPr>
              <w:spacing w:before="60" w:after="6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Leachate</w:t>
            </w:r>
          </w:p>
        </w:tc>
        <w:tc>
          <w:tcPr>
            <w:tcW w:w="1158" w:type="pct"/>
          </w:tcPr>
          <w:p w:rsidR="00264408" w:rsidRPr="00FC72F6" w:rsidRDefault="00264408" w:rsidP="00264408">
            <w:pPr>
              <w:spacing w:before="60" w:after="6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0.00</w:t>
            </w:r>
          </w:p>
        </w:tc>
        <w:tc>
          <w:tcPr>
            <w:tcW w:w="1158" w:type="pct"/>
          </w:tcPr>
          <w:p w:rsidR="00264408" w:rsidRPr="00FC72F6" w:rsidRDefault="00264408" w:rsidP="00264408">
            <w:pPr>
              <w:spacing w:before="60" w:after="6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0.01</w:t>
            </w:r>
          </w:p>
        </w:tc>
        <w:tc>
          <w:tcPr>
            <w:tcW w:w="1158" w:type="pct"/>
          </w:tcPr>
          <w:p w:rsidR="00264408" w:rsidRPr="00FC72F6" w:rsidRDefault="00264408" w:rsidP="00264408">
            <w:pPr>
              <w:spacing w:before="60" w:after="6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0.00</w:t>
            </w:r>
          </w:p>
        </w:tc>
      </w:tr>
      <w:tr w:rsidR="00264408" w:rsidRPr="00FC72F6" w:rsidTr="00264408">
        <w:tc>
          <w:tcPr>
            <w:tcW w:w="1525" w:type="pct"/>
            <w:tcBorders>
              <w:bottom w:val="single" w:sz="12" w:space="0" w:color="0093D0"/>
            </w:tcBorders>
          </w:tcPr>
          <w:p w:rsidR="00264408" w:rsidRPr="00FC72F6" w:rsidRDefault="00264408" w:rsidP="00FC72F6">
            <w:pPr>
              <w:spacing w:before="60" w:after="60" w:line="240" w:lineRule="auto"/>
              <w:rPr>
                <w:rFonts w:ascii="Calibri" w:eastAsia="Times New Roman" w:hAnsi="Calibri" w:cs="Calibri"/>
                <w:sz w:val="20"/>
                <w:szCs w:val="20"/>
                <w:lang w:eastAsia="en-AU"/>
              </w:rPr>
            </w:pPr>
            <w:proofErr w:type="spellStart"/>
            <w:r w:rsidRPr="00FC72F6">
              <w:rPr>
                <w:rFonts w:ascii="Calibri" w:eastAsia="Times New Roman" w:hAnsi="Calibri" w:cs="Calibri"/>
                <w:sz w:val="20"/>
                <w:szCs w:val="20"/>
                <w:lang w:eastAsia="en-AU"/>
              </w:rPr>
              <w:t>Disamenity</w:t>
            </w:r>
            <w:proofErr w:type="spellEnd"/>
          </w:p>
        </w:tc>
        <w:tc>
          <w:tcPr>
            <w:tcW w:w="1158" w:type="pct"/>
            <w:tcBorders>
              <w:bottom w:val="single" w:sz="12" w:space="0" w:color="0093D0"/>
            </w:tcBorders>
          </w:tcPr>
          <w:p w:rsidR="00264408" w:rsidRPr="00FC72F6" w:rsidRDefault="00264408" w:rsidP="00264408">
            <w:pPr>
              <w:spacing w:before="60" w:after="6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2.67</w:t>
            </w:r>
          </w:p>
        </w:tc>
        <w:tc>
          <w:tcPr>
            <w:tcW w:w="1158" w:type="pct"/>
            <w:tcBorders>
              <w:bottom w:val="single" w:sz="12" w:space="0" w:color="0093D0"/>
            </w:tcBorders>
          </w:tcPr>
          <w:p w:rsidR="00264408" w:rsidRPr="00FC72F6" w:rsidRDefault="00264408" w:rsidP="00264408">
            <w:pPr>
              <w:spacing w:before="60" w:after="6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2.67</w:t>
            </w:r>
          </w:p>
        </w:tc>
        <w:tc>
          <w:tcPr>
            <w:tcW w:w="1158" w:type="pct"/>
            <w:tcBorders>
              <w:bottom w:val="single" w:sz="12" w:space="0" w:color="0093D0"/>
            </w:tcBorders>
          </w:tcPr>
          <w:p w:rsidR="00264408" w:rsidRPr="00FC72F6" w:rsidRDefault="00264408" w:rsidP="00264408">
            <w:pPr>
              <w:spacing w:before="60" w:after="6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2.67</w:t>
            </w:r>
          </w:p>
        </w:tc>
      </w:tr>
    </w:tbl>
    <w:p w:rsidR="00A823ED" w:rsidRPr="00A823ED" w:rsidRDefault="00A823ED" w:rsidP="00A823ED">
      <w:pPr>
        <w:pStyle w:val="MJAheading2"/>
        <w:ind w:hanging="720"/>
        <w:rPr>
          <w:rFonts w:ascii="Times New Roman" w:eastAsia="Times New Roman" w:hAnsi="Times New Roman" w:cs="Times New Roman"/>
        </w:rPr>
      </w:pPr>
      <w:bookmarkStart w:id="72" w:name="_Ref391678765"/>
      <w:bookmarkStart w:id="73" w:name="_Toc391729959"/>
      <w:r>
        <w:t>Projections</w:t>
      </w:r>
      <w:bookmarkStart w:id="74" w:name="_GoBack"/>
      <w:bookmarkEnd w:id="72"/>
      <w:bookmarkEnd w:id="73"/>
      <w:bookmarkEnd w:id="74"/>
    </w:p>
    <w:p w:rsidR="0093536D" w:rsidRDefault="0093536D" w:rsidP="0093536D">
      <w:pPr>
        <w:pStyle w:val="MJAnormal"/>
      </w:pPr>
      <w:r>
        <w:t>Ideally p</w:t>
      </w:r>
      <w:r w:rsidR="00A823ED">
        <w:t>rojection</w:t>
      </w:r>
      <w:r>
        <w:t xml:space="preserve">s of waste generation data will be </w:t>
      </w:r>
      <w:r w:rsidR="00A823ED">
        <w:t>made considering historical hazardous waste datasets. The 2010-11 KMH data and 2012 data were available for all jurisdictions but anomalies between the two datasets and the fact that they represent only two data points meant that it was not feasible to establish reliable t</w:t>
      </w:r>
      <w:r>
        <w:t>rends from this data.  H</w:t>
      </w:r>
      <w:r w:rsidR="00A823ED">
        <w:t xml:space="preserve">azardous waste datasets, </w:t>
      </w:r>
      <w:r w:rsidR="00202788">
        <w:t xml:space="preserve">maintained by </w:t>
      </w:r>
      <w:r w:rsidR="00202788" w:rsidRPr="00202788">
        <w:t xml:space="preserve">New South Wales EPA and EPA Victoria </w:t>
      </w:r>
      <w:r>
        <w:t>date</w:t>
      </w:r>
      <w:r w:rsidR="00202788" w:rsidRPr="00202788">
        <w:t xml:space="preserve"> back to 2009 and 2007 respectively</w:t>
      </w:r>
      <w:r>
        <w:t xml:space="preserve">. Unfortunately, close perusal of these datasets also revealed substantial anomalies to the extent that they are not likely to be a reliable basis for </w:t>
      </w:r>
      <w:r w:rsidR="00A823ED">
        <w:t>establish</w:t>
      </w:r>
      <w:r>
        <w:t>ing</w:t>
      </w:r>
      <w:r w:rsidR="00A823ED">
        <w:t xml:space="preserve"> projections of</w:t>
      </w:r>
      <w:r>
        <w:t xml:space="preserve"> haza</w:t>
      </w:r>
      <w:r w:rsidR="00045D95">
        <w:t xml:space="preserve">rdous waste volumes in NSW, </w:t>
      </w:r>
      <w:r>
        <w:t>Victoria or in</w:t>
      </w:r>
      <w:r w:rsidR="00A823ED">
        <w:t xml:space="preserve"> other jurisdictions.  </w:t>
      </w:r>
    </w:p>
    <w:p w:rsidR="0093536D" w:rsidRDefault="0093536D" w:rsidP="0093536D">
      <w:pPr>
        <w:pStyle w:val="MJAnormal"/>
      </w:pPr>
      <w:r>
        <w:t>Instead, projections were der</w:t>
      </w:r>
      <w:r w:rsidR="00045D95">
        <w:t xml:space="preserve">ived by examining recent </w:t>
      </w:r>
      <w:r>
        <w:t xml:space="preserve">trends </w:t>
      </w:r>
      <w:r w:rsidR="00045D95">
        <w:t xml:space="preserve">in the growth </w:t>
      </w:r>
      <w:r>
        <w:t xml:space="preserve">of the major hazardous waste producing industries and applying growth rates for these industries to the major hazardous wastes in each of the jurisdictions on a weighted </w:t>
      </w:r>
      <w:r w:rsidRPr="00045657">
        <w:t xml:space="preserve">basis (see </w:t>
      </w:r>
      <w:fldSimple w:instr=" REF _Ref392180523 \h  \* MERGEFORMAT ">
        <w:r w:rsidR="00D54C27" w:rsidRPr="00D54C27">
          <w:t>Table 23</w:t>
        </w:r>
      </w:fldSimple>
      <w:r w:rsidR="00045657" w:rsidRPr="00045657">
        <w:t>)</w:t>
      </w:r>
      <w:r w:rsidRPr="00045657">
        <w:t>.</w:t>
      </w:r>
      <w:r w:rsidR="0040543D">
        <w:t xml:space="preserve"> </w:t>
      </w:r>
      <w:r w:rsidR="00E21C11">
        <w:t xml:space="preserve">The projected growth rate for direct market costs of 0.52% per annum </w:t>
      </w:r>
      <w:r>
        <w:t>r</w:t>
      </w:r>
      <w:r w:rsidR="00E21C11">
        <w:t>eflects</w:t>
      </w:r>
      <w:r w:rsidR="00045657">
        <w:t xml:space="preserve"> a quite complex picture. W</w:t>
      </w:r>
      <w:r>
        <w:t>hile some hazardous waste producing industries are experiencin</w:t>
      </w:r>
      <w:r w:rsidR="00AD4A87">
        <w:t xml:space="preserve">g significant growth, others </w:t>
      </w:r>
      <w:r>
        <w:t>have been experiencing a d</w:t>
      </w:r>
      <w:r w:rsidR="00AD4A87">
        <w:t xml:space="preserve">ecline in output.  Overall, structural change to the Australian economy </w:t>
      </w:r>
      <w:r>
        <w:t xml:space="preserve">over the next few years </w:t>
      </w:r>
      <w:r w:rsidR="00AD4A87">
        <w:t xml:space="preserve">seems likely to slow the growth of hazardous wastes and associated </w:t>
      </w:r>
      <w:r w:rsidR="00045D95">
        <w:t xml:space="preserve">direct market </w:t>
      </w:r>
      <w:r w:rsidR="00AD4A87">
        <w:t xml:space="preserve">costs especially from industries such as </w:t>
      </w:r>
      <w:r>
        <w:t xml:space="preserve">basic chemicals manufacturing, tanneries, </w:t>
      </w:r>
      <w:r w:rsidR="00AD4A87">
        <w:t>polymers manufacturing and petroleum refining</w:t>
      </w:r>
      <w:r>
        <w:t>.</w:t>
      </w:r>
    </w:p>
    <w:p w:rsidR="00AD4A87" w:rsidRDefault="00045D95" w:rsidP="00A823ED">
      <w:pPr>
        <w:pStyle w:val="MJAnormal"/>
      </w:pPr>
      <w:r>
        <w:t>Indirect and non-market costs are projected to grow at varying rates:</w:t>
      </w:r>
    </w:p>
    <w:p w:rsidR="00B62DF7" w:rsidRPr="0046757B" w:rsidRDefault="00E21C11" w:rsidP="0046757B">
      <w:pPr>
        <w:pStyle w:val="MJAbulletnormal"/>
        <w:numPr>
          <w:ilvl w:val="0"/>
          <w:numId w:val="2"/>
        </w:numPr>
        <w:rPr>
          <w:szCs w:val="20"/>
        </w:rPr>
      </w:pPr>
      <w:r w:rsidRPr="0046757B">
        <w:rPr>
          <w:szCs w:val="20"/>
        </w:rPr>
        <w:t>R</w:t>
      </w:r>
      <w:r w:rsidR="00045D95" w:rsidRPr="0046757B">
        <w:rPr>
          <w:szCs w:val="20"/>
        </w:rPr>
        <w:t>esidual landfill costs are projected</w:t>
      </w:r>
      <w:r w:rsidR="00B62DF7" w:rsidRPr="0046757B">
        <w:rPr>
          <w:szCs w:val="20"/>
        </w:rPr>
        <w:t xml:space="preserve"> to grow at similar rates to the direct market cost growth rates for</w:t>
      </w:r>
      <w:r w:rsidR="00045D95" w:rsidRPr="0046757B">
        <w:rPr>
          <w:szCs w:val="20"/>
        </w:rPr>
        <w:t xml:space="preserve"> each of the jurisdictions, as they are volume related</w:t>
      </w:r>
      <w:r w:rsidRPr="0046757B">
        <w:rPr>
          <w:szCs w:val="20"/>
        </w:rPr>
        <w:t>.</w:t>
      </w:r>
    </w:p>
    <w:p w:rsidR="000F2000" w:rsidRPr="0046757B" w:rsidRDefault="00E21C11" w:rsidP="0046757B">
      <w:pPr>
        <w:pStyle w:val="MJAbulletnormal"/>
        <w:numPr>
          <w:ilvl w:val="0"/>
          <w:numId w:val="2"/>
        </w:numPr>
        <w:rPr>
          <w:szCs w:val="20"/>
        </w:rPr>
      </w:pPr>
      <w:r w:rsidRPr="0046757B">
        <w:rPr>
          <w:szCs w:val="20"/>
        </w:rPr>
        <w:t>W</w:t>
      </w:r>
      <w:r w:rsidR="00B62DF7" w:rsidRPr="0046757B">
        <w:rPr>
          <w:szCs w:val="20"/>
        </w:rPr>
        <w:t xml:space="preserve">orkplace injury and illness costs are projected to grow at approximately 1.8% annually, reflecting substantial growth in real health costs on the one hand but a decline in </w:t>
      </w:r>
      <w:r w:rsidR="00A823ED" w:rsidRPr="0046757B">
        <w:rPr>
          <w:szCs w:val="20"/>
        </w:rPr>
        <w:t>work</w:t>
      </w:r>
      <w:r w:rsidR="00B62DF7" w:rsidRPr="0046757B">
        <w:rPr>
          <w:szCs w:val="20"/>
        </w:rPr>
        <w:t xml:space="preserve">place </w:t>
      </w:r>
      <w:r w:rsidR="00B62DF7" w:rsidRPr="0046757B">
        <w:rPr>
          <w:szCs w:val="20"/>
        </w:rPr>
        <w:lastRenderedPageBreak/>
        <w:t>injury and illness rates on the other (</w:t>
      </w:r>
      <w:r w:rsidR="00A823ED" w:rsidRPr="0046757B">
        <w:rPr>
          <w:szCs w:val="20"/>
        </w:rPr>
        <w:t xml:space="preserve">drawing on historical trends </w:t>
      </w:r>
      <w:r w:rsidR="00B62DF7" w:rsidRPr="0046757B">
        <w:rPr>
          <w:szCs w:val="20"/>
        </w:rPr>
        <w:t xml:space="preserve">in workers compensation claims - </w:t>
      </w:r>
      <w:r w:rsidR="00A823ED" w:rsidRPr="0046757B">
        <w:rPr>
          <w:szCs w:val="20"/>
        </w:rPr>
        <w:t>Safe</w:t>
      </w:r>
      <w:r w:rsidR="008E68C4" w:rsidRPr="0046757B">
        <w:rPr>
          <w:szCs w:val="20"/>
        </w:rPr>
        <w:t xml:space="preserve"> W</w:t>
      </w:r>
      <w:r w:rsidR="009134AA" w:rsidRPr="0046757B">
        <w:rPr>
          <w:szCs w:val="20"/>
        </w:rPr>
        <w:t xml:space="preserve">ork Australia </w:t>
      </w:r>
      <w:r w:rsidR="008E68C4" w:rsidRPr="0046757B">
        <w:rPr>
          <w:szCs w:val="20"/>
        </w:rPr>
        <w:t>2013)</w:t>
      </w:r>
      <w:r w:rsidRPr="0046757B">
        <w:rPr>
          <w:szCs w:val="20"/>
        </w:rPr>
        <w:t>.</w:t>
      </w:r>
    </w:p>
    <w:p w:rsidR="00E21C11" w:rsidRDefault="00E21C11" w:rsidP="0046757B">
      <w:pPr>
        <w:pStyle w:val="MJAbulletnormal"/>
        <w:numPr>
          <w:ilvl w:val="0"/>
          <w:numId w:val="2"/>
        </w:numPr>
      </w:pPr>
      <w:r w:rsidRPr="0046757B">
        <w:rPr>
          <w:szCs w:val="20"/>
        </w:rPr>
        <w:t>Government regulatory costs are assumed to remain static in real terms.</w:t>
      </w:r>
    </w:p>
    <w:p w:rsidR="007D69B3" w:rsidRDefault="00E21C11" w:rsidP="007D69B3">
      <w:pPr>
        <w:pStyle w:val="MJAnormal"/>
        <w:keepLines/>
      </w:pPr>
      <w:r>
        <w:t>Given the absence of reliable time series data for hazardous wastes</w:t>
      </w:r>
      <w:r w:rsidR="0046757B">
        <w:t>, projected growth rate</w:t>
      </w:r>
      <w:r>
        <w:t xml:space="preserve">s </w:t>
      </w:r>
      <w:r w:rsidR="0046757B">
        <w:t>for haz</w:t>
      </w:r>
      <w:r>
        <w:t xml:space="preserve">ardous waste costs </w:t>
      </w:r>
      <w:r w:rsidR="0046757B">
        <w:t>are highly uncertain. In particular</w:t>
      </w:r>
      <w:r w:rsidR="007D69B3">
        <w:t xml:space="preserve">, the projected growth rate </w:t>
      </w:r>
      <w:r w:rsidR="0046757B">
        <w:t>for direct market costs could well be conservative</w:t>
      </w:r>
      <w:r w:rsidR="007D69B3">
        <w:t>. This is because it does not take into account the potential for:</w:t>
      </w:r>
    </w:p>
    <w:p w:rsidR="007D69B3" w:rsidRDefault="007D69B3" w:rsidP="007D69B3">
      <w:pPr>
        <w:pStyle w:val="MJAbulletnormal"/>
        <w:numPr>
          <w:ilvl w:val="0"/>
          <w:numId w:val="2"/>
        </w:numPr>
        <w:rPr>
          <w:szCs w:val="20"/>
        </w:rPr>
      </w:pPr>
      <w:r w:rsidRPr="001109B3">
        <w:rPr>
          <w:szCs w:val="20"/>
        </w:rPr>
        <w:t xml:space="preserve">tighter hazardous waste regulatory frameworks in jurisdictions leading, for example, to additional waste categories </w:t>
      </w:r>
      <w:r>
        <w:rPr>
          <w:szCs w:val="20"/>
        </w:rPr>
        <w:t xml:space="preserve">being </w:t>
      </w:r>
      <w:r w:rsidRPr="001109B3">
        <w:rPr>
          <w:szCs w:val="20"/>
        </w:rPr>
        <w:t>classified as hazardous</w:t>
      </w:r>
      <w:r>
        <w:rPr>
          <w:szCs w:val="20"/>
        </w:rPr>
        <w:t>;</w:t>
      </w:r>
    </w:p>
    <w:p w:rsidR="0046757B" w:rsidRDefault="007D69B3" w:rsidP="007D69B3">
      <w:pPr>
        <w:pStyle w:val="MJAbulletnormal"/>
        <w:numPr>
          <w:ilvl w:val="0"/>
          <w:numId w:val="2"/>
        </w:numPr>
        <w:rPr>
          <w:szCs w:val="20"/>
        </w:rPr>
      </w:pPr>
      <w:r>
        <w:rPr>
          <w:szCs w:val="20"/>
        </w:rPr>
        <w:t>higher real unit costs for existing treatments, also linked to tighter regulations;</w:t>
      </w:r>
      <w:r w:rsidR="0046757B">
        <w:rPr>
          <w:szCs w:val="20"/>
        </w:rPr>
        <w:t xml:space="preserve"> and</w:t>
      </w:r>
    </w:p>
    <w:p w:rsidR="00CB333D" w:rsidRPr="0046757B" w:rsidRDefault="0046757B" w:rsidP="007D69B3">
      <w:pPr>
        <w:pStyle w:val="MJAbulletnormal"/>
        <w:numPr>
          <w:ilvl w:val="0"/>
          <w:numId w:val="2"/>
        </w:numPr>
        <w:rPr>
          <w:szCs w:val="20"/>
        </w:rPr>
      </w:pPr>
      <w:proofErr w:type="gramStart"/>
      <w:r>
        <w:rPr>
          <w:szCs w:val="20"/>
        </w:rPr>
        <w:t>changes</w:t>
      </w:r>
      <w:proofErr w:type="gramEnd"/>
      <w:r>
        <w:rPr>
          <w:szCs w:val="20"/>
        </w:rPr>
        <w:t xml:space="preserve"> to the </w:t>
      </w:r>
      <w:r w:rsidR="007D69B3" w:rsidRPr="0046757B">
        <w:rPr>
          <w:szCs w:val="20"/>
        </w:rPr>
        <w:t>destinations of hazardous wastes to more costly treatments.</w:t>
      </w:r>
    </w:p>
    <w:p w:rsidR="00F926CA" w:rsidRDefault="00F926CA" w:rsidP="00A823ED">
      <w:pPr>
        <w:pStyle w:val="MJAnormal"/>
        <w:sectPr w:rsidR="00F926CA" w:rsidSect="00EB41EE">
          <w:headerReference w:type="default" r:id="rId33"/>
          <w:footerReference w:type="default" r:id="rId34"/>
          <w:pgSz w:w="11906" w:h="16838" w:code="9"/>
          <w:pgMar w:top="1701" w:right="1134" w:bottom="1021" w:left="2268" w:header="680" w:footer="113" w:gutter="0"/>
          <w:cols w:space="708"/>
          <w:docGrid w:linePitch="360"/>
        </w:sectPr>
      </w:pPr>
    </w:p>
    <w:p w:rsidR="000F2000" w:rsidRDefault="000F2000" w:rsidP="000F2000">
      <w:pPr>
        <w:keepNext/>
        <w:keepLines/>
        <w:spacing w:before="120" w:after="120" w:line="240" w:lineRule="auto"/>
        <w:rPr>
          <w:rFonts w:ascii="Calibri" w:eastAsia="Times New Roman" w:hAnsi="Calibri" w:cs="Calibri"/>
          <w:b/>
          <w:bCs/>
          <w:sz w:val="20"/>
          <w:szCs w:val="20"/>
          <w:lang w:eastAsia="en-AU"/>
        </w:rPr>
      </w:pPr>
      <w:bookmarkStart w:id="75" w:name="_Ref392180523"/>
      <w:r w:rsidRPr="00F6696F">
        <w:rPr>
          <w:rFonts w:ascii="Calibri" w:eastAsia="Times New Roman" w:hAnsi="Calibri" w:cs="Calibri"/>
          <w:b/>
          <w:bCs/>
          <w:sz w:val="20"/>
          <w:szCs w:val="20"/>
          <w:lang w:eastAsia="en-AU"/>
        </w:rPr>
        <w:lastRenderedPageBreak/>
        <w:t xml:space="preserve">Table </w:t>
      </w:r>
      <w:r w:rsidR="00732F35" w:rsidRPr="00F6696F">
        <w:rPr>
          <w:rFonts w:ascii="Calibri" w:eastAsia="Times New Roman" w:hAnsi="Calibri" w:cs="Calibri"/>
          <w:b/>
          <w:bCs/>
          <w:sz w:val="20"/>
          <w:szCs w:val="20"/>
          <w:lang w:eastAsia="en-AU"/>
        </w:rPr>
        <w:fldChar w:fldCharType="begin"/>
      </w:r>
      <w:r w:rsidRPr="00F6696F">
        <w:rPr>
          <w:rFonts w:ascii="Calibri" w:eastAsia="Times New Roman" w:hAnsi="Calibri" w:cs="Calibri"/>
          <w:b/>
          <w:bCs/>
          <w:sz w:val="20"/>
          <w:szCs w:val="20"/>
          <w:lang w:eastAsia="en-AU"/>
        </w:rPr>
        <w:instrText xml:space="preserve"> SEQ Table \* ARABIC </w:instrText>
      </w:r>
      <w:r w:rsidR="00732F35" w:rsidRPr="00F6696F">
        <w:rPr>
          <w:rFonts w:ascii="Calibri" w:eastAsia="Times New Roman" w:hAnsi="Calibri" w:cs="Calibri"/>
          <w:b/>
          <w:bCs/>
          <w:sz w:val="20"/>
          <w:szCs w:val="20"/>
          <w:lang w:eastAsia="en-AU"/>
        </w:rPr>
        <w:fldChar w:fldCharType="separate"/>
      </w:r>
      <w:r w:rsidR="00D54C27">
        <w:rPr>
          <w:rFonts w:ascii="Calibri" w:eastAsia="Times New Roman" w:hAnsi="Calibri" w:cs="Calibri"/>
          <w:b/>
          <w:bCs/>
          <w:noProof/>
          <w:sz w:val="20"/>
          <w:szCs w:val="20"/>
          <w:lang w:eastAsia="en-AU"/>
        </w:rPr>
        <w:t>23</w:t>
      </w:r>
      <w:r w:rsidR="00732F35" w:rsidRPr="00F6696F">
        <w:rPr>
          <w:rFonts w:ascii="Calibri" w:eastAsia="Times New Roman" w:hAnsi="Calibri" w:cs="Calibri"/>
          <w:b/>
          <w:bCs/>
          <w:sz w:val="20"/>
          <w:szCs w:val="20"/>
          <w:lang w:eastAsia="en-AU"/>
        </w:rPr>
        <w:fldChar w:fldCharType="end"/>
      </w:r>
      <w:bookmarkEnd w:id="75"/>
      <w:r w:rsidRPr="00F6696F">
        <w:rPr>
          <w:rFonts w:ascii="Calibri" w:eastAsia="Times New Roman" w:hAnsi="Calibri" w:cs="Calibri"/>
          <w:b/>
          <w:bCs/>
          <w:sz w:val="20"/>
          <w:szCs w:val="20"/>
          <w:lang w:eastAsia="en-AU"/>
        </w:rPr>
        <w:t xml:space="preserve">:  </w:t>
      </w:r>
      <w:r w:rsidR="00F926CA">
        <w:rPr>
          <w:rFonts w:ascii="Calibri" w:eastAsia="Times New Roman" w:hAnsi="Calibri" w:cs="Calibri"/>
          <w:b/>
          <w:bCs/>
          <w:sz w:val="20"/>
          <w:szCs w:val="20"/>
          <w:lang w:eastAsia="en-AU"/>
        </w:rPr>
        <w:t xml:space="preserve">Estimated average </w:t>
      </w:r>
      <w:r w:rsidR="0076588B">
        <w:rPr>
          <w:rFonts w:ascii="Calibri" w:eastAsia="Times New Roman" w:hAnsi="Calibri" w:cs="Calibri"/>
          <w:b/>
          <w:bCs/>
          <w:sz w:val="20"/>
          <w:szCs w:val="20"/>
          <w:lang w:eastAsia="en-AU"/>
        </w:rPr>
        <w:t xml:space="preserve">real </w:t>
      </w:r>
      <w:r w:rsidR="00F926CA">
        <w:rPr>
          <w:rFonts w:ascii="Calibri" w:eastAsia="Times New Roman" w:hAnsi="Calibri" w:cs="Calibri"/>
          <w:b/>
          <w:bCs/>
          <w:sz w:val="20"/>
          <w:szCs w:val="20"/>
          <w:lang w:eastAsia="en-AU"/>
        </w:rPr>
        <w:t>growth rate in hazardous waste co</w:t>
      </w:r>
      <w:r w:rsidR="00C83E13">
        <w:rPr>
          <w:rFonts w:ascii="Calibri" w:eastAsia="Times New Roman" w:hAnsi="Calibri" w:cs="Calibri"/>
          <w:b/>
          <w:bCs/>
          <w:sz w:val="20"/>
          <w:szCs w:val="20"/>
          <w:lang w:eastAsia="en-AU"/>
        </w:rPr>
        <w:t xml:space="preserve">sts by jurisdiction, considering </w:t>
      </w:r>
      <w:r w:rsidR="0046757B">
        <w:rPr>
          <w:rFonts w:ascii="Calibri" w:eastAsia="Times New Roman" w:hAnsi="Calibri" w:cs="Calibri"/>
          <w:b/>
          <w:bCs/>
          <w:sz w:val="20"/>
          <w:szCs w:val="20"/>
          <w:lang w:eastAsia="en-AU"/>
        </w:rPr>
        <w:t xml:space="preserve">future </w:t>
      </w:r>
      <w:r w:rsidR="00C83E13">
        <w:rPr>
          <w:rFonts w:ascii="Calibri" w:eastAsia="Times New Roman" w:hAnsi="Calibri" w:cs="Calibri"/>
          <w:b/>
          <w:bCs/>
          <w:sz w:val="20"/>
          <w:szCs w:val="20"/>
          <w:lang w:eastAsia="en-AU"/>
        </w:rPr>
        <w:t>growth rates of waste producing industries</w:t>
      </w:r>
    </w:p>
    <w:tbl>
      <w:tblPr>
        <w:tblW w:w="5000" w:type="pct"/>
        <w:tblLayout w:type="fixed"/>
        <w:tblLook w:val="04A0"/>
      </w:tblPr>
      <w:tblGrid>
        <w:gridCol w:w="3369"/>
        <w:gridCol w:w="992"/>
        <w:gridCol w:w="970"/>
        <w:gridCol w:w="879"/>
        <w:gridCol w:w="1129"/>
        <w:gridCol w:w="754"/>
        <w:gridCol w:w="105"/>
        <w:gridCol w:w="771"/>
        <w:gridCol w:w="88"/>
        <w:gridCol w:w="788"/>
        <w:gridCol w:w="71"/>
        <w:gridCol w:w="805"/>
        <w:gridCol w:w="54"/>
        <w:gridCol w:w="822"/>
        <w:gridCol w:w="37"/>
        <w:gridCol w:w="839"/>
        <w:gridCol w:w="20"/>
        <w:gridCol w:w="859"/>
        <w:gridCol w:w="867"/>
      </w:tblGrid>
      <w:tr w:rsidR="00F926CA" w:rsidRPr="00F926CA" w:rsidTr="00F926CA">
        <w:trPr>
          <w:trHeight w:val="300"/>
        </w:trPr>
        <w:tc>
          <w:tcPr>
            <w:tcW w:w="1185" w:type="pct"/>
            <w:vMerge w:val="restart"/>
            <w:tcBorders>
              <w:top w:val="nil"/>
              <w:left w:val="nil"/>
              <w:bottom w:val="nil"/>
              <w:right w:val="dotted" w:sz="4" w:space="0" w:color="0093D0"/>
            </w:tcBorders>
            <w:shd w:val="clear" w:color="auto" w:fill="0093D0"/>
            <w:hideMark/>
          </w:tcPr>
          <w:p w:rsidR="00F926CA" w:rsidRPr="00F926CA" w:rsidRDefault="00C83E13" w:rsidP="00F926CA">
            <w:pPr>
              <w:spacing w:after="0" w:line="240" w:lineRule="auto"/>
              <w:rPr>
                <w:rFonts w:ascii="Calibri" w:eastAsia="Times New Roman" w:hAnsi="Calibri" w:cs="Times New Roman"/>
                <w:bCs/>
                <w:color w:val="FFFFFF" w:themeColor="background1"/>
                <w:sz w:val="20"/>
                <w:szCs w:val="20"/>
                <w:lang w:eastAsia="en-AU"/>
              </w:rPr>
            </w:pPr>
            <w:bookmarkStart w:id="76" w:name="_Toc391296740"/>
            <w:bookmarkStart w:id="77" w:name="_Toc391297962"/>
            <w:r>
              <w:rPr>
                <w:rFonts w:ascii="Calibri" w:eastAsia="Times New Roman" w:hAnsi="Calibri" w:cs="Times New Roman"/>
                <w:bCs/>
                <w:color w:val="FFFFFF" w:themeColor="background1"/>
                <w:sz w:val="20"/>
                <w:szCs w:val="20"/>
                <w:lang w:eastAsia="en-AU"/>
              </w:rPr>
              <w:t>W</w:t>
            </w:r>
            <w:r w:rsidR="00F926CA" w:rsidRPr="00F926CA">
              <w:rPr>
                <w:rFonts w:ascii="Calibri" w:eastAsia="Times New Roman" w:hAnsi="Calibri" w:cs="Times New Roman"/>
                <w:bCs/>
                <w:color w:val="FFFFFF" w:themeColor="background1"/>
                <w:sz w:val="20"/>
                <w:szCs w:val="20"/>
                <w:lang w:eastAsia="en-AU"/>
              </w:rPr>
              <w:t>aste producing industry</w:t>
            </w:r>
          </w:p>
        </w:tc>
        <w:tc>
          <w:tcPr>
            <w:tcW w:w="349" w:type="pct"/>
            <w:vMerge w:val="restart"/>
            <w:tcBorders>
              <w:top w:val="nil"/>
              <w:left w:val="dotted" w:sz="4" w:space="0" w:color="0093D0"/>
              <w:bottom w:val="nil"/>
              <w:right w:val="dotted" w:sz="4" w:space="0" w:color="0093D0"/>
            </w:tcBorders>
            <w:shd w:val="clear" w:color="auto" w:fill="0093D0"/>
            <w:noWrap/>
            <w:hideMark/>
          </w:tcPr>
          <w:p w:rsidR="00F926CA" w:rsidRPr="00F926CA" w:rsidRDefault="00F926CA" w:rsidP="00F926CA">
            <w:pPr>
              <w:spacing w:after="0" w:line="240" w:lineRule="auto"/>
              <w:jc w:val="right"/>
              <w:rPr>
                <w:rFonts w:ascii="Calibri" w:eastAsia="Times New Roman" w:hAnsi="Calibri" w:cs="Times New Roman"/>
                <w:color w:val="FFFFFF" w:themeColor="background1"/>
                <w:sz w:val="20"/>
                <w:szCs w:val="20"/>
                <w:lang w:eastAsia="en-AU"/>
              </w:rPr>
            </w:pPr>
            <w:r w:rsidRPr="00F926CA">
              <w:rPr>
                <w:rFonts w:ascii="Calibri" w:eastAsia="Times New Roman" w:hAnsi="Calibri" w:cs="Times New Roman"/>
                <w:color w:val="FFFFFF" w:themeColor="background1"/>
                <w:sz w:val="20"/>
                <w:szCs w:val="20"/>
                <w:lang w:eastAsia="en-AU"/>
              </w:rPr>
              <w:t>ANZSIC Code</w:t>
            </w:r>
          </w:p>
        </w:tc>
        <w:tc>
          <w:tcPr>
            <w:tcW w:w="650" w:type="pct"/>
            <w:gridSpan w:val="2"/>
            <w:vMerge w:val="restart"/>
            <w:tcBorders>
              <w:top w:val="nil"/>
              <w:left w:val="dotted" w:sz="4" w:space="0" w:color="0093D0"/>
              <w:bottom w:val="nil"/>
              <w:right w:val="dotted" w:sz="4" w:space="0" w:color="0093D0"/>
            </w:tcBorders>
            <w:shd w:val="clear" w:color="auto" w:fill="0093D0"/>
            <w:hideMark/>
          </w:tcPr>
          <w:p w:rsidR="00F926CA" w:rsidRPr="00F926CA" w:rsidRDefault="00F926CA" w:rsidP="0046757B">
            <w:pPr>
              <w:spacing w:after="0" w:line="240" w:lineRule="auto"/>
              <w:jc w:val="right"/>
              <w:rPr>
                <w:rFonts w:ascii="Calibri" w:eastAsia="Times New Roman" w:hAnsi="Calibri" w:cs="Times New Roman"/>
                <w:color w:val="FFFFFF" w:themeColor="background1"/>
                <w:sz w:val="20"/>
                <w:szCs w:val="20"/>
                <w:lang w:eastAsia="en-AU"/>
              </w:rPr>
            </w:pPr>
            <w:r w:rsidRPr="00F926CA">
              <w:rPr>
                <w:rFonts w:ascii="Calibri" w:eastAsia="Times New Roman" w:hAnsi="Calibri" w:cs="Times New Roman"/>
                <w:color w:val="FFFFFF" w:themeColor="background1"/>
                <w:sz w:val="20"/>
                <w:szCs w:val="20"/>
                <w:lang w:eastAsia="en-AU"/>
              </w:rPr>
              <w:t>Estimated an</w:t>
            </w:r>
            <w:r w:rsidR="0046757B">
              <w:rPr>
                <w:rFonts w:ascii="Calibri" w:eastAsia="Times New Roman" w:hAnsi="Calibri" w:cs="Times New Roman"/>
                <w:color w:val="FFFFFF" w:themeColor="background1"/>
                <w:sz w:val="20"/>
                <w:szCs w:val="20"/>
                <w:lang w:eastAsia="en-AU"/>
              </w:rPr>
              <w:t xml:space="preserve">nual change in output </w:t>
            </w:r>
            <w:r w:rsidRPr="00F926CA">
              <w:rPr>
                <w:rFonts w:ascii="Calibri" w:eastAsia="Times New Roman" w:hAnsi="Calibri" w:cs="Times New Roman"/>
                <w:color w:val="FFFFFF" w:themeColor="background1"/>
                <w:sz w:val="20"/>
                <w:szCs w:val="20"/>
                <w:lang w:eastAsia="en-AU"/>
              </w:rPr>
              <w:t>(%)</w:t>
            </w:r>
          </w:p>
        </w:tc>
        <w:tc>
          <w:tcPr>
            <w:tcW w:w="2816" w:type="pct"/>
            <w:gridSpan w:val="15"/>
            <w:tcBorders>
              <w:top w:val="nil"/>
              <w:left w:val="dotted" w:sz="4" w:space="0" w:color="0093D0"/>
              <w:bottom w:val="nil"/>
              <w:right w:val="nil"/>
            </w:tcBorders>
            <w:shd w:val="clear" w:color="auto" w:fill="0093D0"/>
            <w:noWrap/>
            <w:vAlign w:val="bottom"/>
            <w:hideMark/>
          </w:tcPr>
          <w:p w:rsidR="00F926CA" w:rsidRPr="00F926CA" w:rsidRDefault="00C83E13" w:rsidP="00F926CA">
            <w:pPr>
              <w:spacing w:after="0" w:line="240" w:lineRule="auto"/>
              <w:jc w:val="center"/>
              <w:rPr>
                <w:rFonts w:ascii="Calibri" w:eastAsia="Times New Roman" w:hAnsi="Calibri" w:cs="Times New Roman"/>
                <w:color w:val="FFFFFF" w:themeColor="background1"/>
                <w:sz w:val="20"/>
                <w:szCs w:val="20"/>
                <w:lang w:eastAsia="en-AU"/>
              </w:rPr>
            </w:pPr>
            <w:r>
              <w:rPr>
                <w:rFonts w:ascii="Calibri" w:eastAsia="Times New Roman" w:hAnsi="Calibri" w:cs="Times New Roman"/>
                <w:color w:val="FFFFFF" w:themeColor="background1"/>
                <w:sz w:val="20"/>
                <w:szCs w:val="20"/>
                <w:lang w:eastAsia="en-AU"/>
              </w:rPr>
              <w:t>Estimated p</w:t>
            </w:r>
            <w:r w:rsidR="00F926CA" w:rsidRPr="00F926CA">
              <w:rPr>
                <w:rFonts w:ascii="Calibri" w:eastAsia="Times New Roman" w:hAnsi="Calibri" w:cs="Times New Roman"/>
                <w:color w:val="FFFFFF" w:themeColor="background1"/>
                <w:sz w:val="20"/>
                <w:szCs w:val="20"/>
                <w:lang w:eastAsia="en-AU"/>
              </w:rPr>
              <w:t>roportional contribution of industry to hazardo</w:t>
            </w:r>
            <w:r w:rsidR="0076588B">
              <w:rPr>
                <w:rFonts w:ascii="Calibri" w:eastAsia="Times New Roman" w:hAnsi="Calibri" w:cs="Times New Roman"/>
                <w:color w:val="FFFFFF" w:themeColor="background1"/>
                <w:sz w:val="20"/>
                <w:szCs w:val="20"/>
                <w:lang w:eastAsia="en-AU"/>
              </w:rPr>
              <w:t>us was</w:t>
            </w:r>
            <w:r w:rsidR="00886F67">
              <w:rPr>
                <w:rFonts w:ascii="Calibri" w:eastAsia="Times New Roman" w:hAnsi="Calibri" w:cs="Times New Roman"/>
                <w:color w:val="FFFFFF" w:themeColor="background1"/>
                <w:sz w:val="20"/>
                <w:szCs w:val="20"/>
                <w:lang w:eastAsia="en-AU"/>
              </w:rPr>
              <w:t>te</w:t>
            </w:r>
            <w:r w:rsidR="0076588B">
              <w:rPr>
                <w:rFonts w:ascii="Calibri" w:eastAsia="Times New Roman" w:hAnsi="Calibri" w:cs="Times New Roman"/>
                <w:color w:val="FFFFFF" w:themeColor="background1"/>
                <w:sz w:val="20"/>
                <w:szCs w:val="20"/>
                <w:lang w:eastAsia="en-AU"/>
              </w:rPr>
              <w:t xml:space="preserve"> costs</w:t>
            </w:r>
          </w:p>
        </w:tc>
      </w:tr>
      <w:tr w:rsidR="00F926CA" w:rsidRPr="00F926CA" w:rsidTr="00F926CA">
        <w:trPr>
          <w:trHeight w:val="469"/>
        </w:trPr>
        <w:tc>
          <w:tcPr>
            <w:tcW w:w="1185" w:type="pct"/>
            <w:vMerge/>
            <w:tcBorders>
              <w:top w:val="nil"/>
              <w:left w:val="nil"/>
              <w:bottom w:val="nil"/>
              <w:right w:val="dotted" w:sz="4" w:space="0" w:color="0093D0"/>
            </w:tcBorders>
            <w:shd w:val="clear" w:color="auto" w:fill="0093D0"/>
            <w:vAlign w:val="center"/>
            <w:hideMark/>
          </w:tcPr>
          <w:p w:rsidR="00F926CA" w:rsidRPr="00F926CA" w:rsidRDefault="00F926CA" w:rsidP="00F926CA">
            <w:pPr>
              <w:spacing w:after="0" w:line="240" w:lineRule="auto"/>
              <w:rPr>
                <w:rFonts w:ascii="Calibri" w:eastAsia="Times New Roman" w:hAnsi="Calibri" w:cs="Times New Roman"/>
                <w:bCs/>
                <w:color w:val="FFFFFF" w:themeColor="background1"/>
                <w:sz w:val="20"/>
                <w:szCs w:val="20"/>
                <w:lang w:eastAsia="en-AU"/>
              </w:rPr>
            </w:pPr>
          </w:p>
        </w:tc>
        <w:tc>
          <w:tcPr>
            <w:tcW w:w="349" w:type="pct"/>
            <w:vMerge/>
            <w:tcBorders>
              <w:top w:val="nil"/>
              <w:left w:val="dotted" w:sz="4" w:space="0" w:color="0093D0"/>
              <w:bottom w:val="nil"/>
              <w:right w:val="dotted" w:sz="4" w:space="0" w:color="0093D0"/>
            </w:tcBorders>
            <w:shd w:val="clear" w:color="auto" w:fill="0093D0"/>
            <w:vAlign w:val="center"/>
            <w:hideMark/>
          </w:tcPr>
          <w:p w:rsidR="00F926CA" w:rsidRPr="00F926CA" w:rsidRDefault="00F926CA" w:rsidP="00F926CA">
            <w:pPr>
              <w:spacing w:after="0" w:line="240" w:lineRule="auto"/>
              <w:rPr>
                <w:rFonts w:ascii="Calibri" w:eastAsia="Times New Roman" w:hAnsi="Calibri" w:cs="Times New Roman"/>
                <w:color w:val="FFFFFF" w:themeColor="background1"/>
                <w:sz w:val="20"/>
                <w:szCs w:val="20"/>
                <w:lang w:eastAsia="en-AU"/>
              </w:rPr>
            </w:pPr>
          </w:p>
        </w:tc>
        <w:tc>
          <w:tcPr>
            <w:tcW w:w="650" w:type="pct"/>
            <w:gridSpan w:val="2"/>
            <w:vMerge/>
            <w:tcBorders>
              <w:top w:val="nil"/>
              <w:left w:val="dotted" w:sz="4" w:space="0" w:color="0093D0"/>
              <w:bottom w:val="nil"/>
              <w:right w:val="dotted" w:sz="4" w:space="0" w:color="0093D0"/>
            </w:tcBorders>
            <w:shd w:val="clear" w:color="auto" w:fill="0093D0"/>
            <w:vAlign w:val="center"/>
            <w:hideMark/>
          </w:tcPr>
          <w:p w:rsidR="00F926CA" w:rsidRPr="00F926CA" w:rsidRDefault="00F926CA" w:rsidP="00F926CA">
            <w:pPr>
              <w:spacing w:after="0" w:line="240" w:lineRule="auto"/>
              <w:rPr>
                <w:rFonts w:ascii="Calibri" w:eastAsia="Times New Roman" w:hAnsi="Calibri" w:cs="Times New Roman"/>
                <w:color w:val="FFFFFF" w:themeColor="background1"/>
                <w:sz w:val="20"/>
                <w:szCs w:val="20"/>
                <w:lang w:eastAsia="en-AU"/>
              </w:rPr>
            </w:pPr>
          </w:p>
        </w:tc>
        <w:tc>
          <w:tcPr>
            <w:tcW w:w="397" w:type="pct"/>
            <w:tcBorders>
              <w:top w:val="nil"/>
              <w:left w:val="dotted" w:sz="4" w:space="0" w:color="0093D0"/>
              <w:right w:val="nil"/>
            </w:tcBorders>
            <w:shd w:val="clear" w:color="auto" w:fill="0093D0"/>
            <w:noWrap/>
            <w:vAlign w:val="bottom"/>
            <w:hideMark/>
          </w:tcPr>
          <w:p w:rsidR="00F926CA" w:rsidRPr="009D5DD8" w:rsidRDefault="00F926CA" w:rsidP="00F926CA">
            <w:pPr>
              <w:spacing w:after="0" w:line="240" w:lineRule="auto"/>
              <w:jc w:val="right"/>
              <w:rPr>
                <w:rFonts w:ascii="Calibri" w:eastAsia="Times New Roman" w:hAnsi="Calibri" w:cs="Times New Roman"/>
                <w:b/>
                <w:color w:val="FFFFFF" w:themeColor="background1"/>
                <w:sz w:val="20"/>
                <w:szCs w:val="20"/>
                <w:lang w:eastAsia="en-AU"/>
              </w:rPr>
            </w:pPr>
            <w:r w:rsidRPr="009D5DD8">
              <w:rPr>
                <w:rFonts w:ascii="Calibri" w:eastAsia="Times New Roman" w:hAnsi="Calibri" w:cs="Times New Roman"/>
                <w:b/>
                <w:color w:val="FFFFFF" w:themeColor="background1"/>
                <w:sz w:val="20"/>
                <w:szCs w:val="20"/>
                <w:lang w:eastAsia="en-AU"/>
              </w:rPr>
              <w:t>Australia</w:t>
            </w:r>
          </w:p>
        </w:tc>
        <w:tc>
          <w:tcPr>
            <w:tcW w:w="302" w:type="pct"/>
            <w:gridSpan w:val="2"/>
            <w:tcBorders>
              <w:top w:val="nil"/>
              <w:left w:val="nil"/>
              <w:bottom w:val="nil"/>
              <w:right w:val="nil"/>
            </w:tcBorders>
            <w:shd w:val="clear" w:color="auto" w:fill="0093D0"/>
            <w:noWrap/>
            <w:vAlign w:val="bottom"/>
            <w:hideMark/>
          </w:tcPr>
          <w:p w:rsidR="00F926CA" w:rsidRPr="00F926CA" w:rsidRDefault="00F926CA" w:rsidP="00F926CA">
            <w:pPr>
              <w:spacing w:after="0" w:line="240" w:lineRule="auto"/>
              <w:jc w:val="right"/>
              <w:rPr>
                <w:rFonts w:ascii="Calibri" w:eastAsia="Times New Roman" w:hAnsi="Calibri" w:cs="Times New Roman"/>
                <w:color w:val="FFFFFF" w:themeColor="background1"/>
                <w:sz w:val="20"/>
                <w:szCs w:val="20"/>
                <w:lang w:eastAsia="en-AU"/>
              </w:rPr>
            </w:pPr>
            <w:r w:rsidRPr="00F926CA">
              <w:rPr>
                <w:rFonts w:ascii="Calibri" w:eastAsia="Times New Roman" w:hAnsi="Calibri" w:cs="Times New Roman"/>
                <w:color w:val="FFFFFF" w:themeColor="background1"/>
                <w:sz w:val="20"/>
                <w:szCs w:val="20"/>
                <w:lang w:eastAsia="en-AU"/>
              </w:rPr>
              <w:t>NSW</w:t>
            </w:r>
          </w:p>
        </w:tc>
        <w:tc>
          <w:tcPr>
            <w:tcW w:w="302" w:type="pct"/>
            <w:gridSpan w:val="2"/>
            <w:tcBorders>
              <w:top w:val="nil"/>
              <w:left w:val="nil"/>
              <w:bottom w:val="nil"/>
              <w:right w:val="nil"/>
            </w:tcBorders>
            <w:shd w:val="clear" w:color="auto" w:fill="0093D0"/>
            <w:noWrap/>
            <w:vAlign w:val="bottom"/>
            <w:hideMark/>
          </w:tcPr>
          <w:p w:rsidR="00F926CA" w:rsidRPr="00F926CA" w:rsidRDefault="00F926CA" w:rsidP="00F926CA">
            <w:pPr>
              <w:spacing w:after="0" w:line="240" w:lineRule="auto"/>
              <w:jc w:val="right"/>
              <w:rPr>
                <w:rFonts w:ascii="Calibri" w:eastAsia="Times New Roman" w:hAnsi="Calibri" w:cs="Times New Roman"/>
                <w:color w:val="FFFFFF" w:themeColor="background1"/>
                <w:sz w:val="20"/>
                <w:szCs w:val="20"/>
                <w:lang w:eastAsia="en-AU"/>
              </w:rPr>
            </w:pPr>
            <w:r w:rsidRPr="00F926CA">
              <w:rPr>
                <w:rFonts w:ascii="Calibri" w:eastAsia="Times New Roman" w:hAnsi="Calibri" w:cs="Times New Roman"/>
                <w:color w:val="FFFFFF" w:themeColor="background1"/>
                <w:sz w:val="20"/>
                <w:szCs w:val="20"/>
                <w:lang w:eastAsia="en-AU"/>
              </w:rPr>
              <w:t>Vic</w:t>
            </w:r>
          </w:p>
        </w:tc>
        <w:tc>
          <w:tcPr>
            <w:tcW w:w="302" w:type="pct"/>
            <w:gridSpan w:val="2"/>
            <w:tcBorders>
              <w:top w:val="nil"/>
              <w:left w:val="nil"/>
              <w:bottom w:val="nil"/>
              <w:right w:val="nil"/>
            </w:tcBorders>
            <w:shd w:val="clear" w:color="auto" w:fill="0093D0"/>
            <w:noWrap/>
            <w:vAlign w:val="bottom"/>
            <w:hideMark/>
          </w:tcPr>
          <w:p w:rsidR="00F926CA" w:rsidRPr="00F926CA" w:rsidRDefault="00F926CA" w:rsidP="00F926CA">
            <w:pPr>
              <w:spacing w:after="0" w:line="240" w:lineRule="auto"/>
              <w:jc w:val="right"/>
              <w:rPr>
                <w:rFonts w:ascii="Calibri" w:eastAsia="Times New Roman" w:hAnsi="Calibri" w:cs="Times New Roman"/>
                <w:color w:val="FFFFFF" w:themeColor="background1"/>
                <w:sz w:val="20"/>
                <w:szCs w:val="20"/>
                <w:lang w:eastAsia="en-AU"/>
              </w:rPr>
            </w:pPr>
            <w:r w:rsidRPr="00F926CA">
              <w:rPr>
                <w:rFonts w:ascii="Calibri" w:eastAsia="Times New Roman" w:hAnsi="Calibri" w:cs="Times New Roman"/>
                <w:color w:val="FFFFFF" w:themeColor="background1"/>
                <w:sz w:val="20"/>
                <w:szCs w:val="20"/>
                <w:lang w:eastAsia="en-AU"/>
              </w:rPr>
              <w:t>Qld</w:t>
            </w:r>
          </w:p>
        </w:tc>
        <w:tc>
          <w:tcPr>
            <w:tcW w:w="302" w:type="pct"/>
            <w:gridSpan w:val="2"/>
            <w:tcBorders>
              <w:top w:val="nil"/>
              <w:left w:val="nil"/>
              <w:bottom w:val="nil"/>
              <w:right w:val="nil"/>
            </w:tcBorders>
            <w:shd w:val="clear" w:color="auto" w:fill="0093D0"/>
            <w:noWrap/>
            <w:vAlign w:val="bottom"/>
            <w:hideMark/>
          </w:tcPr>
          <w:p w:rsidR="00F926CA" w:rsidRPr="00F926CA" w:rsidRDefault="00F926CA" w:rsidP="00F926CA">
            <w:pPr>
              <w:spacing w:after="0" w:line="240" w:lineRule="auto"/>
              <w:jc w:val="right"/>
              <w:rPr>
                <w:rFonts w:ascii="Calibri" w:eastAsia="Times New Roman" w:hAnsi="Calibri" w:cs="Times New Roman"/>
                <w:color w:val="FFFFFF" w:themeColor="background1"/>
                <w:sz w:val="20"/>
                <w:szCs w:val="20"/>
                <w:lang w:eastAsia="en-AU"/>
              </w:rPr>
            </w:pPr>
            <w:r w:rsidRPr="00F926CA">
              <w:rPr>
                <w:rFonts w:ascii="Calibri" w:eastAsia="Times New Roman" w:hAnsi="Calibri" w:cs="Times New Roman"/>
                <w:color w:val="FFFFFF" w:themeColor="background1"/>
                <w:sz w:val="20"/>
                <w:szCs w:val="20"/>
                <w:lang w:eastAsia="en-AU"/>
              </w:rPr>
              <w:t>SA</w:t>
            </w:r>
          </w:p>
        </w:tc>
        <w:tc>
          <w:tcPr>
            <w:tcW w:w="302" w:type="pct"/>
            <w:gridSpan w:val="2"/>
            <w:tcBorders>
              <w:top w:val="nil"/>
              <w:left w:val="nil"/>
              <w:bottom w:val="nil"/>
              <w:right w:val="nil"/>
            </w:tcBorders>
            <w:shd w:val="clear" w:color="auto" w:fill="0093D0"/>
            <w:noWrap/>
            <w:vAlign w:val="bottom"/>
            <w:hideMark/>
          </w:tcPr>
          <w:p w:rsidR="00F926CA" w:rsidRPr="00F926CA" w:rsidRDefault="00F926CA" w:rsidP="00F926CA">
            <w:pPr>
              <w:spacing w:after="0" w:line="240" w:lineRule="auto"/>
              <w:jc w:val="right"/>
              <w:rPr>
                <w:rFonts w:ascii="Calibri" w:eastAsia="Times New Roman" w:hAnsi="Calibri" w:cs="Times New Roman"/>
                <w:color w:val="FFFFFF" w:themeColor="background1"/>
                <w:sz w:val="20"/>
                <w:szCs w:val="20"/>
                <w:lang w:eastAsia="en-AU"/>
              </w:rPr>
            </w:pPr>
            <w:r w:rsidRPr="00F926CA">
              <w:rPr>
                <w:rFonts w:ascii="Calibri" w:eastAsia="Times New Roman" w:hAnsi="Calibri" w:cs="Times New Roman"/>
                <w:color w:val="FFFFFF" w:themeColor="background1"/>
                <w:sz w:val="20"/>
                <w:szCs w:val="20"/>
                <w:lang w:eastAsia="en-AU"/>
              </w:rPr>
              <w:t>WA</w:t>
            </w:r>
          </w:p>
        </w:tc>
        <w:tc>
          <w:tcPr>
            <w:tcW w:w="302" w:type="pct"/>
            <w:gridSpan w:val="2"/>
            <w:tcBorders>
              <w:top w:val="nil"/>
              <w:left w:val="nil"/>
              <w:bottom w:val="nil"/>
              <w:right w:val="nil"/>
            </w:tcBorders>
            <w:shd w:val="clear" w:color="auto" w:fill="0093D0"/>
            <w:noWrap/>
            <w:vAlign w:val="bottom"/>
            <w:hideMark/>
          </w:tcPr>
          <w:p w:rsidR="00F926CA" w:rsidRPr="00F926CA" w:rsidRDefault="00F926CA" w:rsidP="00F926CA">
            <w:pPr>
              <w:spacing w:after="0" w:line="240" w:lineRule="auto"/>
              <w:jc w:val="right"/>
              <w:rPr>
                <w:rFonts w:ascii="Calibri" w:eastAsia="Times New Roman" w:hAnsi="Calibri" w:cs="Times New Roman"/>
                <w:color w:val="FFFFFF" w:themeColor="background1"/>
                <w:sz w:val="20"/>
                <w:szCs w:val="20"/>
                <w:lang w:eastAsia="en-AU"/>
              </w:rPr>
            </w:pPr>
            <w:r w:rsidRPr="00F926CA">
              <w:rPr>
                <w:rFonts w:ascii="Calibri" w:eastAsia="Times New Roman" w:hAnsi="Calibri" w:cs="Times New Roman"/>
                <w:color w:val="FFFFFF" w:themeColor="background1"/>
                <w:sz w:val="20"/>
                <w:szCs w:val="20"/>
                <w:lang w:eastAsia="en-AU"/>
              </w:rPr>
              <w:t>Tas</w:t>
            </w:r>
          </w:p>
        </w:tc>
        <w:tc>
          <w:tcPr>
            <w:tcW w:w="302" w:type="pct"/>
            <w:tcBorders>
              <w:top w:val="nil"/>
              <w:left w:val="nil"/>
              <w:bottom w:val="nil"/>
              <w:right w:val="nil"/>
            </w:tcBorders>
            <w:shd w:val="clear" w:color="auto" w:fill="0093D0"/>
            <w:noWrap/>
            <w:vAlign w:val="bottom"/>
            <w:hideMark/>
          </w:tcPr>
          <w:p w:rsidR="00F926CA" w:rsidRPr="00F926CA" w:rsidRDefault="00F926CA" w:rsidP="00F926CA">
            <w:pPr>
              <w:spacing w:after="0" w:line="240" w:lineRule="auto"/>
              <w:jc w:val="right"/>
              <w:rPr>
                <w:rFonts w:ascii="Calibri" w:eastAsia="Times New Roman" w:hAnsi="Calibri" w:cs="Times New Roman"/>
                <w:color w:val="FFFFFF" w:themeColor="background1"/>
                <w:sz w:val="20"/>
                <w:szCs w:val="20"/>
                <w:lang w:eastAsia="en-AU"/>
              </w:rPr>
            </w:pPr>
            <w:r w:rsidRPr="00F926CA">
              <w:rPr>
                <w:rFonts w:ascii="Calibri" w:eastAsia="Times New Roman" w:hAnsi="Calibri" w:cs="Times New Roman"/>
                <w:color w:val="FFFFFF" w:themeColor="background1"/>
                <w:sz w:val="20"/>
                <w:szCs w:val="20"/>
                <w:lang w:eastAsia="en-AU"/>
              </w:rPr>
              <w:t>NT</w:t>
            </w:r>
          </w:p>
        </w:tc>
        <w:tc>
          <w:tcPr>
            <w:tcW w:w="305" w:type="pct"/>
            <w:tcBorders>
              <w:top w:val="nil"/>
              <w:left w:val="nil"/>
              <w:bottom w:val="nil"/>
              <w:right w:val="nil"/>
            </w:tcBorders>
            <w:shd w:val="clear" w:color="auto" w:fill="0093D0"/>
            <w:noWrap/>
            <w:vAlign w:val="bottom"/>
            <w:hideMark/>
          </w:tcPr>
          <w:p w:rsidR="00F926CA" w:rsidRPr="00F926CA" w:rsidRDefault="00F926CA" w:rsidP="00F926CA">
            <w:pPr>
              <w:spacing w:after="0" w:line="240" w:lineRule="auto"/>
              <w:jc w:val="right"/>
              <w:rPr>
                <w:rFonts w:ascii="Calibri" w:eastAsia="Times New Roman" w:hAnsi="Calibri" w:cs="Times New Roman"/>
                <w:color w:val="FFFFFF" w:themeColor="background1"/>
                <w:sz w:val="20"/>
                <w:szCs w:val="20"/>
                <w:lang w:eastAsia="en-AU"/>
              </w:rPr>
            </w:pPr>
            <w:r w:rsidRPr="00F926CA">
              <w:rPr>
                <w:rFonts w:ascii="Calibri" w:eastAsia="Times New Roman" w:hAnsi="Calibri" w:cs="Times New Roman"/>
                <w:color w:val="FFFFFF" w:themeColor="background1"/>
                <w:sz w:val="20"/>
                <w:szCs w:val="20"/>
                <w:lang w:eastAsia="en-AU"/>
              </w:rPr>
              <w:t>ACT</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r w:rsidRPr="00F926CA">
              <w:rPr>
                <w:rFonts w:eastAsia="Times New Roman" w:cs="Times New Roman"/>
                <w:color w:val="000000"/>
                <w:sz w:val="18"/>
                <w:szCs w:val="18"/>
                <w:lang w:eastAsia="en-AU"/>
              </w:rPr>
              <w:t>Food Product Manufacturing</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C11</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1.1%</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7.1%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5.2%</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7.7%</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6.0%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4.0%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7.7%</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6.3%</w:t>
            </w:r>
          </w:p>
        </w:tc>
        <w:tc>
          <w:tcPr>
            <w:tcW w:w="302" w:type="pct"/>
            <w:tcBorders>
              <w:top w:val="nil"/>
              <w:left w:val="nil"/>
              <w:bottom w:val="nil"/>
              <w:right w:val="nil"/>
            </w:tcBorders>
            <w:shd w:val="clear" w:color="auto" w:fill="auto"/>
            <w:noWrap/>
            <w:vAlign w:val="bottom"/>
            <w:hideMark/>
          </w:tcPr>
          <w:p w:rsidR="00F926CA" w:rsidRPr="00F926CA" w:rsidRDefault="005E2719" w:rsidP="00F926CA">
            <w:pPr>
              <w:spacing w:after="0" w:line="240" w:lineRule="auto"/>
              <w:jc w:val="right"/>
              <w:rPr>
                <w:rFonts w:eastAsia="Times New Roman" w:cs="Times New Roman"/>
                <w:color w:val="000000"/>
                <w:sz w:val="18"/>
                <w:szCs w:val="18"/>
                <w:lang w:eastAsia="en-AU"/>
              </w:rPr>
            </w:pPr>
            <w:r>
              <w:rPr>
                <w:rFonts w:eastAsia="Times New Roman" w:cs="Times New Roman"/>
                <w:color w:val="000000"/>
                <w:sz w:val="18"/>
                <w:szCs w:val="18"/>
                <w:lang w:eastAsia="en-AU"/>
              </w:rPr>
              <w:t>1</w:t>
            </w:r>
            <w:r w:rsidR="00F25695">
              <w:rPr>
                <w:rFonts w:eastAsia="Times New Roman" w:cs="Times New Roman"/>
                <w:color w:val="000000"/>
                <w:sz w:val="18"/>
                <w:szCs w:val="18"/>
                <w:lang w:eastAsia="en-AU"/>
              </w:rPr>
              <w:t>2</w:t>
            </w:r>
            <w:r w:rsidR="00F926CA" w:rsidRPr="00F926CA">
              <w:rPr>
                <w:rFonts w:eastAsia="Times New Roman" w:cs="Times New Roman"/>
                <w:color w:val="000000"/>
                <w:sz w:val="18"/>
                <w:szCs w:val="18"/>
                <w:lang w:eastAsia="en-AU"/>
              </w:rPr>
              <w:t>.3%</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3.8%</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r w:rsidRPr="00F926CA">
              <w:rPr>
                <w:rFonts w:eastAsia="Times New Roman" w:cs="Times New Roman"/>
                <w:color w:val="000000"/>
                <w:sz w:val="18"/>
                <w:szCs w:val="18"/>
                <w:lang w:eastAsia="en-AU"/>
              </w:rPr>
              <w:t xml:space="preserve">Textile, Leather, Clothing and Footwear </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C13</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-1.4%</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0.9%</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0.2%</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2.9%</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r w:rsidRPr="00F926CA">
              <w:rPr>
                <w:rFonts w:eastAsia="Times New Roman" w:cs="Times New Roman"/>
                <w:color w:val="000000"/>
                <w:sz w:val="18"/>
                <w:szCs w:val="18"/>
                <w:lang w:eastAsia="en-AU"/>
              </w:rPr>
              <w:t>Wood Product Manufacturing</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C14</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-4.2%</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76588B"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0.1</w:t>
            </w:r>
            <w:r w:rsidR="00F926CA" w:rsidRPr="009D5DD8">
              <w:rPr>
                <w:rFonts w:eastAsia="Times New Roman" w:cs="Times New Roman"/>
                <w:b/>
                <w:color w:val="000000"/>
                <w:sz w:val="18"/>
                <w:szCs w:val="18"/>
                <w:lang w:eastAsia="en-AU"/>
              </w:rPr>
              <w:t>%</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76588B" w:rsidP="00F926CA">
            <w:pPr>
              <w:spacing w:after="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Pulp &amp; P</w:t>
            </w:r>
            <w:r w:rsidR="00F926CA" w:rsidRPr="00F926CA">
              <w:rPr>
                <w:rFonts w:eastAsia="Times New Roman" w:cs="Times New Roman"/>
                <w:color w:val="000000"/>
                <w:sz w:val="18"/>
                <w:szCs w:val="18"/>
                <w:lang w:eastAsia="en-AU"/>
              </w:rPr>
              <w:t>aper</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C15</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-2.8%</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76588B"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0.1</w:t>
            </w:r>
            <w:r w:rsidR="00F926CA" w:rsidRPr="009D5DD8">
              <w:rPr>
                <w:rFonts w:eastAsia="Times New Roman" w:cs="Times New Roman"/>
                <w:b/>
                <w:color w:val="000000"/>
                <w:sz w:val="18"/>
                <w:szCs w:val="18"/>
                <w:lang w:eastAsia="en-AU"/>
              </w:rPr>
              <w:t>%</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r w:rsidRPr="00F926CA">
              <w:rPr>
                <w:rFonts w:eastAsia="Times New Roman" w:cs="Times New Roman"/>
                <w:color w:val="000000"/>
                <w:sz w:val="18"/>
                <w:szCs w:val="18"/>
                <w:lang w:eastAsia="en-AU"/>
              </w:rPr>
              <w:t>Petroleum</w:t>
            </w:r>
            <w:r w:rsidR="0076588B">
              <w:rPr>
                <w:rFonts w:eastAsia="Times New Roman" w:cs="Times New Roman"/>
                <w:color w:val="000000"/>
                <w:sz w:val="18"/>
                <w:szCs w:val="18"/>
                <w:lang w:eastAsia="en-AU"/>
              </w:rPr>
              <w:t xml:space="preserve"> Production &amp; Refining</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C17</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-1.4%</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8.5%</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6.5%</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10.5%</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0.3%</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15.9%</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0.2%</w:t>
            </w:r>
          </w:p>
        </w:tc>
        <w:tc>
          <w:tcPr>
            <w:tcW w:w="302"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2.9%</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3.2%</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r w:rsidRPr="00F926CA">
              <w:rPr>
                <w:rFonts w:eastAsia="Times New Roman" w:cs="Times New Roman"/>
                <w:color w:val="000000"/>
                <w:sz w:val="18"/>
                <w:szCs w:val="18"/>
                <w:lang w:eastAsia="en-AU"/>
              </w:rPr>
              <w:t>Basic Chemical</w:t>
            </w:r>
            <w:r w:rsidR="00C83E13">
              <w:rPr>
                <w:rFonts w:eastAsia="Times New Roman" w:cs="Times New Roman"/>
                <w:color w:val="000000"/>
                <w:sz w:val="18"/>
                <w:szCs w:val="18"/>
                <w:lang w:eastAsia="en-AU"/>
              </w:rPr>
              <w:t>s</w:t>
            </w:r>
            <w:r w:rsidRPr="00F926CA">
              <w:rPr>
                <w:rFonts w:eastAsia="Times New Roman" w:cs="Times New Roman"/>
                <w:color w:val="000000"/>
                <w:sz w:val="18"/>
                <w:szCs w:val="18"/>
                <w:lang w:eastAsia="en-AU"/>
              </w:rPr>
              <w:t xml:space="preserve"> and Chemical Products</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C18</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-1.3%</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3.0%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3.7%</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4.7%</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3.3%</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0.4%</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2.7%</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3.1%</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0.5%</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r w:rsidRPr="00F926CA">
              <w:rPr>
                <w:rFonts w:eastAsia="Times New Roman" w:cs="Times New Roman"/>
                <w:color w:val="000000"/>
                <w:sz w:val="18"/>
                <w:szCs w:val="18"/>
                <w:lang w:eastAsia="en-AU"/>
              </w:rPr>
              <w:t>Polymer Product</w:t>
            </w:r>
            <w:r w:rsidR="00C83E13">
              <w:rPr>
                <w:rFonts w:eastAsia="Times New Roman" w:cs="Times New Roman"/>
                <w:color w:val="000000"/>
                <w:sz w:val="18"/>
                <w:szCs w:val="18"/>
                <w:lang w:eastAsia="en-AU"/>
              </w:rPr>
              <w:t>s</w:t>
            </w:r>
            <w:r w:rsidRPr="00F926CA">
              <w:rPr>
                <w:rFonts w:eastAsia="Times New Roman" w:cs="Times New Roman"/>
                <w:color w:val="000000"/>
                <w:sz w:val="18"/>
                <w:szCs w:val="18"/>
                <w:lang w:eastAsia="en-AU"/>
              </w:rPr>
              <w:t xml:space="preserve"> and Rubber Products</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C19</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-3.5%</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2.0%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1.6%</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3.7%</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1.7%</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4.3%</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0.2%</w:t>
            </w:r>
          </w:p>
        </w:tc>
        <w:tc>
          <w:tcPr>
            <w:tcW w:w="302"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r w:rsidRPr="00F926CA">
              <w:rPr>
                <w:rFonts w:eastAsia="Times New Roman" w:cs="Times New Roman"/>
                <w:color w:val="000000"/>
                <w:sz w:val="18"/>
                <w:szCs w:val="18"/>
                <w:lang w:eastAsia="en-AU"/>
              </w:rPr>
              <w:t>Non-Metallic Mineral Products</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C20</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2.1%</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3.0%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2.3%</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5.7%</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1.4%</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3.8%</w:t>
            </w:r>
          </w:p>
        </w:tc>
        <w:tc>
          <w:tcPr>
            <w:tcW w:w="302"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r w:rsidRPr="00F926CA">
              <w:rPr>
                <w:rFonts w:eastAsia="Times New Roman" w:cs="Times New Roman"/>
                <w:color w:val="000000"/>
                <w:sz w:val="18"/>
                <w:szCs w:val="18"/>
                <w:lang w:eastAsia="en-AU"/>
              </w:rPr>
              <w:t>Primary Metal and Metal Products</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C21</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0.7%</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15.2%</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3.8%</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7.0%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18.5%</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22.3%</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28.8%</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50.3%</w:t>
            </w:r>
          </w:p>
        </w:tc>
        <w:tc>
          <w:tcPr>
            <w:tcW w:w="302"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2.8%</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0.4%</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r w:rsidRPr="00F926CA">
              <w:rPr>
                <w:rFonts w:eastAsia="Times New Roman" w:cs="Times New Roman"/>
                <w:color w:val="000000"/>
                <w:sz w:val="18"/>
                <w:szCs w:val="18"/>
                <w:lang w:eastAsia="en-AU"/>
              </w:rPr>
              <w:t>Waste Collection, Treatment and Disposal</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D29</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0.5%</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29.5%</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27.0%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33.1%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32.6%</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26.8%</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21.4%</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29.3%</w:t>
            </w:r>
          </w:p>
        </w:tc>
        <w:tc>
          <w:tcPr>
            <w:tcW w:w="302"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27.3%</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86.9%</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r w:rsidRPr="00F926CA">
              <w:rPr>
                <w:rFonts w:eastAsia="Times New Roman" w:cs="Times New Roman"/>
                <w:color w:val="000000"/>
                <w:sz w:val="18"/>
                <w:szCs w:val="18"/>
                <w:lang w:eastAsia="en-AU"/>
              </w:rPr>
              <w:t>Building &amp; construction</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E</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0.2%</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20.9%</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37.5%</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26.1%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9.1%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34.2%</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4.1%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2.0%</w:t>
            </w:r>
          </w:p>
        </w:tc>
        <w:tc>
          <w:tcPr>
            <w:tcW w:w="302"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12.7%</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0.2%</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C83E13" w:rsidP="00F926CA">
            <w:pPr>
              <w:spacing w:after="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Motor Vehicle Parts Retailing (t</w:t>
            </w:r>
            <w:r w:rsidR="00F926CA" w:rsidRPr="00F926CA">
              <w:rPr>
                <w:rFonts w:eastAsia="Times New Roman" w:cs="Times New Roman"/>
                <w:color w:val="000000"/>
                <w:sz w:val="18"/>
                <w:szCs w:val="18"/>
                <w:lang w:eastAsia="en-AU"/>
              </w:rPr>
              <w:t>yres)</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G39</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2.7%</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7.9%</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6.9%</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8.9%</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6.4%</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8.6%</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12.5%</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7.9%</w:t>
            </w:r>
          </w:p>
        </w:tc>
        <w:tc>
          <w:tcPr>
            <w:tcW w:w="302"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28.8%</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4.6%</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r w:rsidRPr="00F926CA">
              <w:rPr>
                <w:rFonts w:eastAsia="Times New Roman" w:cs="Times New Roman"/>
                <w:color w:val="000000"/>
                <w:sz w:val="18"/>
                <w:szCs w:val="18"/>
                <w:lang w:eastAsia="en-AU"/>
              </w:rPr>
              <w:t>Public Order, Safety Services</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O</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5.1%</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0.1%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0.2%</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r>
      <w:tr w:rsidR="00F926CA" w:rsidRPr="00F926CA" w:rsidTr="00F926CA">
        <w:trPr>
          <w:trHeight w:val="300"/>
        </w:trPr>
        <w:tc>
          <w:tcPr>
            <w:tcW w:w="1185" w:type="pct"/>
            <w:tcBorders>
              <w:top w:val="nil"/>
              <w:left w:val="nil"/>
              <w:bottom w:val="nil"/>
              <w:right w:val="dotted" w:sz="4" w:space="0" w:color="0093D0"/>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r w:rsidRPr="00F926CA">
              <w:rPr>
                <w:rFonts w:eastAsia="Times New Roman" w:cs="Times New Roman"/>
                <w:color w:val="000000"/>
                <w:sz w:val="18"/>
                <w:szCs w:val="18"/>
                <w:lang w:eastAsia="en-AU"/>
              </w:rPr>
              <w:t>Tertiary Education</w:t>
            </w:r>
          </w:p>
        </w:tc>
        <w:tc>
          <w:tcPr>
            <w:tcW w:w="349" w:type="pct"/>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P</w:t>
            </w:r>
          </w:p>
        </w:tc>
        <w:tc>
          <w:tcPr>
            <w:tcW w:w="650" w:type="pct"/>
            <w:gridSpan w:val="2"/>
            <w:tcBorders>
              <w:top w:val="nil"/>
              <w:left w:val="dotted" w:sz="4" w:space="0" w:color="0093D0"/>
              <w:bottom w:val="nil"/>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3.3%</w:t>
            </w:r>
          </w:p>
        </w:tc>
        <w:tc>
          <w:tcPr>
            <w:tcW w:w="397" w:type="pct"/>
            <w:tcBorders>
              <w:top w:val="nil"/>
              <w:left w:val="dotted" w:sz="4" w:space="0" w:color="0093D0"/>
              <w:bottom w:val="nil"/>
              <w:right w:val="nil"/>
            </w:tcBorders>
            <w:shd w:val="clear" w:color="auto" w:fill="auto"/>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0.1%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0.1%</w:t>
            </w:r>
          </w:p>
        </w:tc>
        <w:tc>
          <w:tcPr>
            <w:tcW w:w="302" w:type="pct"/>
            <w:gridSpan w:val="2"/>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0.9%</w:t>
            </w:r>
          </w:p>
        </w:tc>
        <w:tc>
          <w:tcPr>
            <w:tcW w:w="305" w:type="pct"/>
            <w:tcBorders>
              <w:top w:val="nil"/>
              <w:left w:val="nil"/>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r>
      <w:tr w:rsidR="00F926CA" w:rsidRPr="00F926CA" w:rsidTr="00C31B4F">
        <w:trPr>
          <w:trHeight w:val="300"/>
        </w:trPr>
        <w:tc>
          <w:tcPr>
            <w:tcW w:w="1185" w:type="pct"/>
            <w:tcBorders>
              <w:top w:val="nil"/>
              <w:left w:val="nil"/>
              <w:bottom w:val="dotted" w:sz="4" w:space="0" w:color="0093D0"/>
              <w:right w:val="dotted" w:sz="4" w:space="0" w:color="0093D0"/>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r w:rsidRPr="00F926CA">
              <w:rPr>
                <w:rFonts w:eastAsia="Times New Roman" w:cs="Times New Roman"/>
                <w:color w:val="000000"/>
                <w:sz w:val="18"/>
                <w:szCs w:val="18"/>
                <w:lang w:eastAsia="en-AU"/>
              </w:rPr>
              <w:t>Health</w:t>
            </w:r>
          </w:p>
        </w:tc>
        <w:tc>
          <w:tcPr>
            <w:tcW w:w="349" w:type="pct"/>
            <w:tcBorders>
              <w:top w:val="nil"/>
              <w:left w:val="dotted" w:sz="4" w:space="0" w:color="0093D0"/>
              <w:bottom w:val="dotted" w:sz="4" w:space="0" w:color="0093D0"/>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Q</w:t>
            </w:r>
          </w:p>
        </w:tc>
        <w:tc>
          <w:tcPr>
            <w:tcW w:w="650" w:type="pct"/>
            <w:gridSpan w:val="2"/>
            <w:tcBorders>
              <w:top w:val="nil"/>
              <w:left w:val="dotted" w:sz="4" w:space="0" w:color="0093D0"/>
              <w:bottom w:val="dotted" w:sz="4" w:space="0" w:color="0093D0"/>
              <w:right w:val="dotted" w:sz="4" w:space="0" w:color="0093D0"/>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4.9%</w:t>
            </w:r>
          </w:p>
        </w:tc>
        <w:tc>
          <w:tcPr>
            <w:tcW w:w="397" w:type="pct"/>
            <w:tcBorders>
              <w:top w:val="nil"/>
              <w:left w:val="dotted" w:sz="4" w:space="0" w:color="0093D0"/>
              <w:bottom w:val="dotted" w:sz="4" w:space="0" w:color="0093D0"/>
              <w:right w:val="nil"/>
            </w:tcBorders>
            <w:shd w:val="clear" w:color="auto" w:fill="auto"/>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1.7%</w:t>
            </w:r>
          </w:p>
        </w:tc>
        <w:tc>
          <w:tcPr>
            <w:tcW w:w="302" w:type="pct"/>
            <w:gridSpan w:val="2"/>
            <w:tcBorders>
              <w:top w:val="nil"/>
              <w:left w:val="nil"/>
              <w:bottom w:val="dotted" w:sz="4" w:space="0" w:color="0093D0"/>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1.6%</w:t>
            </w:r>
          </w:p>
        </w:tc>
        <w:tc>
          <w:tcPr>
            <w:tcW w:w="302" w:type="pct"/>
            <w:gridSpan w:val="2"/>
            <w:tcBorders>
              <w:top w:val="nil"/>
              <w:left w:val="nil"/>
              <w:bottom w:val="dotted" w:sz="4" w:space="0" w:color="0093D0"/>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0.9%</w:t>
            </w:r>
          </w:p>
        </w:tc>
        <w:tc>
          <w:tcPr>
            <w:tcW w:w="302" w:type="pct"/>
            <w:gridSpan w:val="2"/>
            <w:tcBorders>
              <w:top w:val="nil"/>
              <w:left w:val="nil"/>
              <w:bottom w:val="dotted" w:sz="4" w:space="0" w:color="0093D0"/>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2.9%</w:t>
            </w:r>
          </w:p>
        </w:tc>
        <w:tc>
          <w:tcPr>
            <w:tcW w:w="302" w:type="pct"/>
            <w:gridSpan w:val="2"/>
            <w:tcBorders>
              <w:top w:val="nil"/>
              <w:left w:val="nil"/>
              <w:bottom w:val="dotted" w:sz="4" w:space="0" w:color="0093D0"/>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1.8%</w:t>
            </w:r>
          </w:p>
        </w:tc>
        <w:tc>
          <w:tcPr>
            <w:tcW w:w="302" w:type="pct"/>
            <w:gridSpan w:val="2"/>
            <w:tcBorders>
              <w:top w:val="nil"/>
              <w:left w:val="nil"/>
              <w:bottom w:val="dotted" w:sz="4" w:space="0" w:color="0093D0"/>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0.5%</w:t>
            </w:r>
          </w:p>
        </w:tc>
        <w:tc>
          <w:tcPr>
            <w:tcW w:w="302" w:type="pct"/>
            <w:gridSpan w:val="2"/>
            <w:tcBorders>
              <w:top w:val="nil"/>
              <w:left w:val="nil"/>
              <w:bottom w:val="dotted" w:sz="4" w:space="0" w:color="0093D0"/>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0.0%</w:t>
            </w:r>
          </w:p>
        </w:tc>
        <w:tc>
          <w:tcPr>
            <w:tcW w:w="302" w:type="pct"/>
            <w:tcBorders>
              <w:top w:val="nil"/>
              <w:left w:val="nil"/>
              <w:bottom w:val="dotted" w:sz="4" w:space="0" w:color="0093D0"/>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1.2%</w:t>
            </w:r>
          </w:p>
        </w:tc>
        <w:tc>
          <w:tcPr>
            <w:tcW w:w="305" w:type="pct"/>
            <w:tcBorders>
              <w:top w:val="nil"/>
              <w:left w:val="nil"/>
              <w:bottom w:val="dotted" w:sz="4" w:space="0" w:color="0093D0"/>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0.3%</w:t>
            </w:r>
          </w:p>
        </w:tc>
      </w:tr>
      <w:tr w:rsidR="00F926CA" w:rsidRPr="00F926CA" w:rsidTr="00C31B4F">
        <w:trPr>
          <w:trHeight w:val="300"/>
        </w:trPr>
        <w:tc>
          <w:tcPr>
            <w:tcW w:w="1185" w:type="pct"/>
            <w:tcBorders>
              <w:top w:val="dotted" w:sz="4" w:space="0" w:color="0093D0"/>
              <w:left w:val="nil"/>
              <w:bottom w:val="nil"/>
            </w:tcBorders>
            <w:shd w:val="clear" w:color="auto" w:fill="auto"/>
            <w:noWrap/>
            <w:vAlign w:val="bottom"/>
            <w:hideMark/>
          </w:tcPr>
          <w:p w:rsidR="00F926CA" w:rsidRPr="00F926CA" w:rsidRDefault="00C31B4F" w:rsidP="00F926CA">
            <w:pPr>
              <w:spacing w:after="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Total</w:t>
            </w:r>
          </w:p>
        </w:tc>
        <w:tc>
          <w:tcPr>
            <w:tcW w:w="349" w:type="pct"/>
            <w:tcBorders>
              <w:top w:val="dotted" w:sz="4" w:space="0" w:color="0093D0"/>
              <w:bottom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p>
        </w:tc>
        <w:tc>
          <w:tcPr>
            <w:tcW w:w="650" w:type="pct"/>
            <w:gridSpan w:val="2"/>
            <w:tcBorders>
              <w:top w:val="dotted" w:sz="4" w:space="0" w:color="0093D0"/>
              <w:bottom w:val="nil"/>
            </w:tcBorders>
            <w:shd w:val="clear" w:color="auto" w:fill="auto"/>
            <w:noWrap/>
            <w:vAlign w:val="bottom"/>
            <w:hideMark/>
          </w:tcPr>
          <w:p w:rsidR="00F926CA" w:rsidRPr="00F926CA" w:rsidRDefault="00F926CA" w:rsidP="00F926CA">
            <w:pPr>
              <w:spacing w:after="0" w:line="240" w:lineRule="auto"/>
              <w:rPr>
                <w:rFonts w:eastAsia="Times New Roman" w:cs="Times New Roman"/>
                <w:color w:val="000000"/>
                <w:sz w:val="18"/>
                <w:szCs w:val="18"/>
                <w:lang w:eastAsia="en-AU"/>
              </w:rPr>
            </w:pPr>
          </w:p>
        </w:tc>
        <w:tc>
          <w:tcPr>
            <w:tcW w:w="397" w:type="pct"/>
            <w:tcBorders>
              <w:top w:val="dotted" w:sz="4" w:space="0" w:color="0093D0"/>
              <w:bottom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100.0%</w:t>
            </w:r>
          </w:p>
        </w:tc>
        <w:tc>
          <w:tcPr>
            <w:tcW w:w="302" w:type="pct"/>
            <w:gridSpan w:val="2"/>
            <w:tcBorders>
              <w:top w:val="dotted" w:sz="4" w:space="0" w:color="0093D0"/>
              <w:bottom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100.0%</w:t>
            </w:r>
          </w:p>
        </w:tc>
        <w:tc>
          <w:tcPr>
            <w:tcW w:w="302" w:type="pct"/>
            <w:gridSpan w:val="2"/>
            <w:tcBorders>
              <w:top w:val="dotted" w:sz="4" w:space="0" w:color="0093D0"/>
              <w:bottom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100.0%</w:t>
            </w:r>
          </w:p>
        </w:tc>
        <w:tc>
          <w:tcPr>
            <w:tcW w:w="302" w:type="pct"/>
            <w:gridSpan w:val="2"/>
            <w:tcBorders>
              <w:top w:val="dotted" w:sz="4" w:space="0" w:color="0093D0"/>
              <w:bottom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100.0%</w:t>
            </w:r>
          </w:p>
        </w:tc>
        <w:tc>
          <w:tcPr>
            <w:tcW w:w="302" w:type="pct"/>
            <w:gridSpan w:val="2"/>
            <w:tcBorders>
              <w:top w:val="dotted" w:sz="4" w:space="0" w:color="0093D0"/>
              <w:bottom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100.0%</w:t>
            </w:r>
          </w:p>
        </w:tc>
        <w:tc>
          <w:tcPr>
            <w:tcW w:w="302" w:type="pct"/>
            <w:gridSpan w:val="2"/>
            <w:tcBorders>
              <w:top w:val="dotted" w:sz="4" w:space="0" w:color="0093D0"/>
              <w:bottom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100.0%</w:t>
            </w:r>
          </w:p>
        </w:tc>
        <w:tc>
          <w:tcPr>
            <w:tcW w:w="302" w:type="pct"/>
            <w:gridSpan w:val="2"/>
            <w:tcBorders>
              <w:top w:val="dotted" w:sz="4" w:space="0" w:color="0093D0"/>
              <w:bottom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100.0%</w:t>
            </w:r>
          </w:p>
        </w:tc>
        <w:tc>
          <w:tcPr>
            <w:tcW w:w="302" w:type="pct"/>
            <w:tcBorders>
              <w:top w:val="dotted" w:sz="4" w:space="0" w:color="0093D0"/>
              <w:bottom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100.0%</w:t>
            </w:r>
          </w:p>
        </w:tc>
        <w:tc>
          <w:tcPr>
            <w:tcW w:w="305" w:type="pct"/>
            <w:tcBorders>
              <w:top w:val="dotted" w:sz="4" w:space="0" w:color="0093D0"/>
              <w:bottom w:val="nil"/>
              <w:right w:val="nil"/>
            </w:tcBorders>
            <w:shd w:val="clear" w:color="auto" w:fill="auto"/>
            <w:noWrap/>
            <w:vAlign w:val="bottom"/>
            <w:hideMark/>
          </w:tcPr>
          <w:p w:rsidR="00F926CA" w:rsidRPr="00F926CA" w:rsidRDefault="00F926CA" w:rsidP="00F926CA">
            <w:pPr>
              <w:spacing w:after="0" w:line="240" w:lineRule="auto"/>
              <w:jc w:val="right"/>
              <w:rPr>
                <w:rFonts w:eastAsia="Times New Roman" w:cs="Times New Roman"/>
                <w:color w:val="000000"/>
                <w:sz w:val="18"/>
                <w:szCs w:val="18"/>
                <w:lang w:eastAsia="en-AU"/>
              </w:rPr>
            </w:pPr>
            <w:r w:rsidRPr="00F926CA">
              <w:rPr>
                <w:rFonts w:eastAsia="Times New Roman" w:cs="Times New Roman"/>
                <w:color w:val="000000"/>
                <w:sz w:val="18"/>
                <w:szCs w:val="18"/>
                <w:lang w:eastAsia="en-AU"/>
              </w:rPr>
              <w:t>100.0%</w:t>
            </w:r>
          </w:p>
        </w:tc>
      </w:tr>
      <w:tr w:rsidR="00F926CA" w:rsidRPr="00F926CA" w:rsidTr="00852028">
        <w:trPr>
          <w:trHeight w:val="443"/>
        </w:trPr>
        <w:tc>
          <w:tcPr>
            <w:tcW w:w="1875" w:type="pct"/>
            <w:gridSpan w:val="3"/>
            <w:tcBorders>
              <w:top w:val="nil"/>
              <w:left w:val="nil"/>
              <w:bottom w:val="nil"/>
              <w:right w:val="nil"/>
            </w:tcBorders>
            <w:shd w:val="clear" w:color="auto" w:fill="DBE5F1" w:themeFill="accent1" w:themeFillTint="33"/>
            <w:noWrap/>
            <w:vAlign w:val="bottom"/>
            <w:hideMark/>
          </w:tcPr>
          <w:p w:rsidR="00F926CA" w:rsidRPr="00852028" w:rsidRDefault="00F926CA" w:rsidP="00F926CA">
            <w:pPr>
              <w:spacing w:after="0" w:line="240" w:lineRule="auto"/>
              <w:rPr>
                <w:rFonts w:eastAsia="Times New Roman" w:cs="Times New Roman"/>
                <w:b/>
                <w:color w:val="000000"/>
                <w:sz w:val="18"/>
                <w:szCs w:val="18"/>
                <w:lang w:eastAsia="en-AU"/>
              </w:rPr>
            </w:pPr>
            <w:r w:rsidRPr="00852028">
              <w:rPr>
                <w:rFonts w:eastAsia="Times New Roman" w:cs="Times New Roman"/>
                <w:b/>
                <w:color w:val="000000"/>
                <w:sz w:val="18"/>
                <w:szCs w:val="18"/>
                <w:lang w:eastAsia="en-AU"/>
              </w:rPr>
              <w:t xml:space="preserve">Weighted average </w:t>
            </w:r>
            <w:r w:rsidR="00F436C8" w:rsidRPr="00852028">
              <w:rPr>
                <w:rFonts w:eastAsia="Times New Roman" w:cs="Times New Roman"/>
                <w:b/>
                <w:color w:val="000000"/>
                <w:sz w:val="18"/>
                <w:szCs w:val="18"/>
                <w:lang w:eastAsia="en-AU"/>
              </w:rPr>
              <w:t xml:space="preserve">annual </w:t>
            </w:r>
            <w:r w:rsidR="0076588B" w:rsidRPr="00852028">
              <w:rPr>
                <w:rFonts w:eastAsia="Times New Roman" w:cs="Times New Roman"/>
                <w:b/>
                <w:color w:val="000000"/>
                <w:sz w:val="18"/>
                <w:szCs w:val="18"/>
                <w:lang w:eastAsia="en-AU"/>
              </w:rPr>
              <w:t xml:space="preserve">real </w:t>
            </w:r>
            <w:r w:rsidRPr="00852028">
              <w:rPr>
                <w:rFonts w:eastAsia="Times New Roman" w:cs="Times New Roman"/>
                <w:b/>
                <w:color w:val="000000"/>
                <w:sz w:val="18"/>
                <w:szCs w:val="18"/>
                <w:lang w:eastAsia="en-AU"/>
              </w:rPr>
              <w:t>growth rate in hazardous waste costs</w:t>
            </w:r>
          </w:p>
        </w:tc>
        <w:tc>
          <w:tcPr>
            <w:tcW w:w="309" w:type="pct"/>
            <w:tcBorders>
              <w:top w:val="nil"/>
              <w:left w:val="nil"/>
              <w:bottom w:val="nil"/>
              <w:right w:val="nil"/>
            </w:tcBorders>
            <w:shd w:val="clear" w:color="auto" w:fill="DBE5F1" w:themeFill="accent1" w:themeFillTint="33"/>
            <w:noWrap/>
            <w:vAlign w:val="bottom"/>
            <w:hideMark/>
          </w:tcPr>
          <w:p w:rsidR="00F926CA" w:rsidRPr="009D5DD8" w:rsidRDefault="00F926CA" w:rsidP="00F926CA">
            <w:pPr>
              <w:spacing w:after="0" w:line="240" w:lineRule="auto"/>
              <w:rPr>
                <w:rFonts w:eastAsia="Times New Roman" w:cs="Times New Roman"/>
                <w:color w:val="000000"/>
                <w:sz w:val="18"/>
                <w:szCs w:val="18"/>
                <w:lang w:eastAsia="en-AU"/>
              </w:rPr>
            </w:pPr>
          </w:p>
        </w:tc>
        <w:tc>
          <w:tcPr>
            <w:tcW w:w="397" w:type="pct"/>
            <w:tcBorders>
              <w:top w:val="nil"/>
              <w:left w:val="nil"/>
              <w:bottom w:val="nil"/>
              <w:right w:val="nil"/>
            </w:tcBorders>
            <w:shd w:val="clear" w:color="auto" w:fill="DBE5F1" w:themeFill="accent1" w:themeFillTint="33"/>
            <w:noWrap/>
            <w:vAlign w:val="bottom"/>
            <w:hideMark/>
          </w:tcPr>
          <w:p w:rsidR="00F926CA" w:rsidRPr="009D5DD8" w:rsidRDefault="00F926CA" w:rsidP="00F926CA">
            <w:pPr>
              <w:spacing w:after="0" w:line="240" w:lineRule="auto"/>
              <w:jc w:val="right"/>
              <w:rPr>
                <w:rFonts w:eastAsia="Times New Roman" w:cs="Times New Roman"/>
                <w:b/>
                <w:color w:val="000000"/>
                <w:sz w:val="18"/>
                <w:szCs w:val="18"/>
                <w:lang w:eastAsia="en-AU"/>
              </w:rPr>
            </w:pPr>
            <w:r w:rsidRPr="009D5DD8">
              <w:rPr>
                <w:rFonts w:eastAsia="Times New Roman" w:cs="Times New Roman"/>
                <w:b/>
                <w:color w:val="000000"/>
                <w:sz w:val="18"/>
                <w:szCs w:val="18"/>
                <w:lang w:eastAsia="en-AU"/>
              </w:rPr>
              <w:t>0.52%</w:t>
            </w:r>
          </w:p>
        </w:tc>
        <w:tc>
          <w:tcPr>
            <w:tcW w:w="265" w:type="pct"/>
            <w:tcBorders>
              <w:top w:val="nil"/>
              <w:left w:val="nil"/>
              <w:bottom w:val="nil"/>
              <w:right w:val="nil"/>
            </w:tcBorders>
            <w:shd w:val="clear" w:color="auto" w:fill="DBE5F1" w:themeFill="accent1" w:themeFillTint="33"/>
            <w:noWrap/>
            <w:vAlign w:val="bottom"/>
            <w:hideMark/>
          </w:tcPr>
          <w:p w:rsidR="00F926CA" w:rsidRPr="009D5DD8" w:rsidRDefault="00F926CA" w:rsidP="00F926CA">
            <w:pPr>
              <w:spacing w:after="0" w:line="240" w:lineRule="auto"/>
              <w:jc w:val="right"/>
              <w:rPr>
                <w:rFonts w:eastAsia="Times New Roman" w:cs="Times New Roman"/>
                <w:color w:val="000000"/>
                <w:sz w:val="18"/>
                <w:szCs w:val="18"/>
                <w:lang w:eastAsia="en-AU"/>
              </w:rPr>
            </w:pPr>
            <w:r w:rsidRPr="009D5DD8">
              <w:rPr>
                <w:rFonts w:eastAsia="Times New Roman" w:cs="Times New Roman"/>
                <w:color w:val="000000"/>
                <w:sz w:val="18"/>
                <w:szCs w:val="18"/>
                <w:lang w:eastAsia="en-AU"/>
              </w:rPr>
              <w:t>0.40%</w:t>
            </w:r>
          </w:p>
        </w:tc>
        <w:tc>
          <w:tcPr>
            <w:tcW w:w="308" w:type="pct"/>
            <w:gridSpan w:val="2"/>
            <w:tcBorders>
              <w:top w:val="nil"/>
              <w:left w:val="nil"/>
              <w:bottom w:val="nil"/>
              <w:right w:val="nil"/>
            </w:tcBorders>
            <w:shd w:val="clear" w:color="auto" w:fill="DBE5F1" w:themeFill="accent1" w:themeFillTint="33"/>
            <w:noWrap/>
            <w:vAlign w:val="bottom"/>
            <w:hideMark/>
          </w:tcPr>
          <w:p w:rsidR="00F926CA" w:rsidRPr="009D5DD8" w:rsidRDefault="00F926CA" w:rsidP="00F926CA">
            <w:pPr>
              <w:spacing w:after="0" w:line="240" w:lineRule="auto"/>
              <w:jc w:val="right"/>
              <w:rPr>
                <w:rFonts w:eastAsia="Times New Roman" w:cs="Times New Roman"/>
                <w:color w:val="000000"/>
                <w:sz w:val="18"/>
                <w:szCs w:val="18"/>
                <w:lang w:eastAsia="en-AU"/>
              </w:rPr>
            </w:pPr>
            <w:r w:rsidRPr="009D5DD8">
              <w:rPr>
                <w:rFonts w:eastAsia="Times New Roman" w:cs="Times New Roman"/>
                <w:color w:val="000000"/>
                <w:sz w:val="18"/>
                <w:szCs w:val="18"/>
                <w:lang w:eastAsia="en-AU"/>
              </w:rPr>
              <w:t>0.40%</w:t>
            </w:r>
          </w:p>
        </w:tc>
        <w:tc>
          <w:tcPr>
            <w:tcW w:w="308" w:type="pct"/>
            <w:gridSpan w:val="2"/>
            <w:tcBorders>
              <w:top w:val="nil"/>
              <w:left w:val="nil"/>
              <w:bottom w:val="nil"/>
              <w:right w:val="nil"/>
            </w:tcBorders>
            <w:shd w:val="clear" w:color="auto" w:fill="DBE5F1" w:themeFill="accent1" w:themeFillTint="33"/>
            <w:noWrap/>
            <w:vAlign w:val="bottom"/>
            <w:hideMark/>
          </w:tcPr>
          <w:p w:rsidR="00F926CA" w:rsidRPr="009D5DD8" w:rsidRDefault="00F926CA" w:rsidP="00F926CA">
            <w:pPr>
              <w:spacing w:after="0" w:line="240" w:lineRule="auto"/>
              <w:jc w:val="right"/>
              <w:rPr>
                <w:rFonts w:eastAsia="Times New Roman" w:cs="Times New Roman"/>
                <w:color w:val="000000"/>
                <w:sz w:val="18"/>
                <w:szCs w:val="18"/>
                <w:lang w:eastAsia="en-AU"/>
              </w:rPr>
            </w:pPr>
            <w:r w:rsidRPr="009D5DD8">
              <w:rPr>
                <w:rFonts w:eastAsia="Times New Roman" w:cs="Times New Roman"/>
                <w:color w:val="000000"/>
                <w:sz w:val="18"/>
                <w:szCs w:val="18"/>
                <w:lang w:eastAsia="en-AU"/>
              </w:rPr>
              <w:t>0.55%</w:t>
            </w:r>
          </w:p>
        </w:tc>
        <w:tc>
          <w:tcPr>
            <w:tcW w:w="308" w:type="pct"/>
            <w:gridSpan w:val="2"/>
            <w:tcBorders>
              <w:top w:val="nil"/>
              <w:left w:val="nil"/>
              <w:bottom w:val="nil"/>
              <w:right w:val="nil"/>
            </w:tcBorders>
            <w:shd w:val="clear" w:color="auto" w:fill="DBE5F1" w:themeFill="accent1" w:themeFillTint="33"/>
            <w:noWrap/>
            <w:vAlign w:val="bottom"/>
            <w:hideMark/>
          </w:tcPr>
          <w:p w:rsidR="00F926CA" w:rsidRPr="009D5DD8" w:rsidRDefault="00F926CA" w:rsidP="00F926CA">
            <w:pPr>
              <w:spacing w:after="0" w:line="240" w:lineRule="auto"/>
              <w:jc w:val="right"/>
              <w:rPr>
                <w:rFonts w:eastAsia="Times New Roman" w:cs="Times New Roman"/>
                <w:color w:val="000000"/>
                <w:sz w:val="18"/>
                <w:szCs w:val="18"/>
                <w:lang w:eastAsia="en-AU"/>
              </w:rPr>
            </w:pPr>
            <w:r w:rsidRPr="009D5DD8">
              <w:rPr>
                <w:rFonts w:eastAsia="Times New Roman" w:cs="Times New Roman"/>
                <w:color w:val="000000"/>
                <w:sz w:val="18"/>
                <w:szCs w:val="18"/>
                <w:lang w:eastAsia="en-AU"/>
              </w:rPr>
              <w:t>0.77%</w:t>
            </w:r>
          </w:p>
        </w:tc>
        <w:tc>
          <w:tcPr>
            <w:tcW w:w="308" w:type="pct"/>
            <w:gridSpan w:val="2"/>
            <w:tcBorders>
              <w:top w:val="nil"/>
              <w:left w:val="nil"/>
              <w:bottom w:val="nil"/>
              <w:right w:val="nil"/>
            </w:tcBorders>
            <w:shd w:val="clear" w:color="auto" w:fill="DBE5F1" w:themeFill="accent1" w:themeFillTint="33"/>
            <w:noWrap/>
            <w:vAlign w:val="bottom"/>
            <w:hideMark/>
          </w:tcPr>
          <w:p w:rsidR="00F926CA" w:rsidRPr="009D5DD8" w:rsidRDefault="00F926CA" w:rsidP="00F926CA">
            <w:pPr>
              <w:spacing w:after="0" w:line="240" w:lineRule="auto"/>
              <w:jc w:val="right"/>
              <w:rPr>
                <w:rFonts w:eastAsia="Times New Roman" w:cs="Times New Roman"/>
                <w:color w:val="000000"/>
                <w:sz w:val="18"/>
                <w:szCs w:val="18"/>
                <w:lang w:eastAsia="en-AU"/>
              </w:rPr>
            </w:pPr>
            <w:r w:rsidRPr="009D5DD8">
              <w:rPr>
                <w:rFonts w:eastAsia="Times New Roman" w:cs="Times New Roman"/>
                <w:color w:val="000000"/>
                <w:sz w:val="18"/>
                <w:szCs w:val="18"/>
                <w:lang w:eastAsia="en-AU"/>
              </w:rPr>
              <w:t>0.43%</w:t>
            </w:r>
          </w:p>
        </w:tc>
        <w:tc>
          <w:tcPr>
            <w:tcW w:w="308" w:type="pct"/>
            <w:gridSpan w:val="2"/>
            <w:tcBorders>
              <w:top w:val="nil"/>
              <w:left w:val="nil"/>
              <w:bottom w:val="nil"/>
              <w:right w:val="nil"/>
            </w:tcBorders>
            <w:shd w:val="clear" w:color="auto" w:fill="DBE5F1" w:themeFill="accent1" w:themeFillTint="33"/>
            <w:noWrap/>
            <w:vAlign w:val="bottom"/>
            <w:hideMark/>
          </w:tcPr>
          <w:p w:rsidR="00F926CA" w:rsidRPr="009D5DD8" w:rsidRDefault="00F926CA" w:rsidP="00F926CA">
            <w:pPr>
              <w:spacing w:after="0" w:line="240" w:lineRule="auto"/>
              <w:jc w:val="right"/>
              <w:rPr>
                <w:rFonts w:eastAsia="Times New Roman" w:cs="Times New Roman"/>
                <w:color w:val="000000"/>
                <w:sz w:val="18"/>
                <w:szCs w:val="18"/>
                <w:lang w:eastAsia="en-AU"/>
              </w:rPr>
            </w:pPr>
            <w:r w:rsidRPr="009D5DD8">
              <w:rPr>
                <w:rFonts w:eastAsia="Times New Roman" w:cs="Times New Roman"/>
                <w:color w:val="000000"/>
                <w:sz w:val="18"/>
                <w:szCs w:val="18"/>
                <w:lang w:eastAsia="en-AU"/>
              </w:rPr>
              <w:t>0.89%</w:t>
            </w:r>
          </w:p>
        </w:tc>
        <w:tc>
          <w:tcPr>
            <w:tcW w:w="309" w:type="pct"/>
            <w:gridSpan w:val="2"/>
            <w:tcBorders>
              <w:top w:val="nil"/>
              <w:left w:val="nil"/>
              <w:bottom w:val="nil"/>
              <w:right w:val="nil"/>
            </w:tcBorders>
            <w:shd w:val="clear" w:color="auto" w:fill="DBE5F1" w:themeFill="accent1" w:themeFillTint="33"/>
            <w:noWrap/>
            <w:vAlign w:val="bottom"/>
            <w:hideMark/>
          </w:tcPr>
          <w:p w:rsidR="00F926CA" w:rsidRPr="009D5DD8" w:rsidRDefault="00F926CA" w:rsidP="00F926CA">
            <w:pPr>
              <w:spacing w:after="0" w:line="240" w:lineRule="auto"/>
              <w:jc w:val="right"/>
              <w:rPr>
                <w:rFonts w:eastAsia="Times New Roman" w:cs="Times New Roman"/>
                <w:color w:val="000000"/>
                <w:sz w:val="18"/>
                <w:szCs w:val="18"/>
                <w:lang w:eastAsia="en-AU"/>
              </w:rPr>
            </w:pPr>
            <w:r w:rsidRPr="009D5DD8">
              <w:rPr>
                <w:rFonts w:eastAsia="Times New Roman" w:cs="Times New Roman"/>
                <w:color w:val="000000"/>
                <w:sz w:val="18"/>
                <w:szCs w:val="18"/>
                <w:lang w:eastAsia="en-AU"/>
              </w:rPr>
              <w:t>1.21%</w:t>
            </w:r>
          </w:p>
        </w:tc>
        <w:tc>
          <w:tcPr>
            <w:tcW w:w="305" w:type="pct"/>
            <w:tcBorders>
              <w:top w:val="nil"/>
              <w:left w:val="nil"/>
              <w:bottom w:val="nil"/>
              <w:right w:val="nil"/>
            </w:tcBorders>
            <w:shd w:val="clear" w:color="auto" w:fill="DBE5F1" w:themeFill="accent1" w:themeFillTint="33"/>
            <w:noWrap/>
            <w:vAlign w:val="bottom"/>
            <w:hideMark/>
          </w:tcPr>
          <w:p w:rsidR="00F926CA" w:rsidRPr="009D5DD8" w:rsidRDefault="00F926CA" w:rsidP="00F926CA">
            <w:pPr>
              <w:spacing w:after="0" w:line="240" w:lineRule="auto"/>
              <w:jc w:val="right"/>
              <w:rPr>
                <w:rFonts w:eastAsia="Times New Roman" w:cs="Times New Roman"/>
                <w:color w:val="000000"/>
                <w:sz w:val="18"/>
                <w:szCs w:val="18"/>
                <w:lang w:eastAsia="en-AU"/>
              </w:rPr>
            </w:pPr>
            <w:r w:rsidRPr="009D5DD8">
              <w:rPr>
                <w:rFonts w:eastAsia="Times New Roman" w:cs="Times New Roman"/>
                <w:color w:val="000000"/>
                <w:sz w:val="18"/>
                <w:szCs w:val="18"/>
                <w:lang w:eastAsia="en-AU"/>
              </w:rPr>
              <w:t>0.59%</w:t>
            </w:r>
          </w:p>
        </w:tc>
      </w:tr>
    </w:tbl>
    <w:p w:rsidR="00F926CA" w:rsidRDefault="00F926CA">
      <w:pPr>
        <w:rPr>
          <w:lang w:val="en-US" w:eastAsia="en-AU"/>
        </w:rPr>
      </w:pPr>
    </w:p>
    <w:p w:rsidR="00F926CA" w:rsidRDefault="005A7C71" w:rsidP="005A7C71">
      <w:pPr>
        <w:pStyle w:val="MJAsource"/>
        <w:rPr>
          <w:lang w:val="en-US" w:eastAsia="en-AU"/>
        </w:rPr>
        <w:sectPr w:rsidR="00F926CA" w:rsidSect="00F926CA">
          <w:headerReference w:type="default" r:id="rId35"/>
          <w:footerReference w:type="default" r:id="rId36"/>
          <w:pgSz w:w="16838" w:h="11906" w:orient="landscape" w:code="9"/>
          <w:pgMar w:top="1701" w:right="1134" w:bottom="1134" w:left="1701" w:header="680" w:footer="113" w:gutter="0"/>
          <w:cols w:space="708"/>
          <w:docGrid w:linePitch="360"/>
        </w:sectPr>
      </w:pPr>
      <w:r>
        <w:rPr>
          <w:lang w:val="en-US" w:eastAsia="en-AU"/>
        </w:rPr>
        <w:t xml:space="preserve">Data sources: </w:t>
      </w:r>
      <w:r w:rsidR="00FE6FD2">
        <w:rPr>
          <w:lang w:val="en-US" w:eastAsia="en-AU"/>
        </w:rPr>
        <w:t>ABS 2014a-f</w:t>
      </w:r>
      <w:r>
        <w:rPr>
          <w:lang w:val="en-US" w:eastAsia="en-AU"/>
        </w:rPr>
        <w:t xml:space="preserve">; </w:t>
      </w:r>
      <w:proofErr w:type="spellStart"/>
      <w:r>
        <w:rPr>
          <w:lang w:val="en-US" w:eastAsia="en-AU"/>
        </w:rPr>
        <w:t>IBISWorld</w:t>
      </w:r>
      <w:proofErr w:type="spellEnd"/>
      <w:r>
        <w:rPr>
          <w:lang w:val="en-US" w:eastAsia="en-AU"/>
        </w:rPr>
        <w:t xml:space="preserve"> 2014a-c; SRU direct costs database</w:t>
      </w:r>
    </w:p>
    <w:p w:rsidR="002E2C03" w:rsidRPr="00C416D7" w:rsidRDefault="002E2C03" w:rsidP="00C416D7">
      <w:pPr>
        <w:pStyle w:val="MJAheading1"/>
        <w:numPr>
          <w:ilvl w:val="0"/>
          <w:numId w:val="0"/>
        </w:numPr>
        <w:ind w:left="360" w:hanging="360"/>
        <w:rPr>
          <w:lang w:val="en-US" w:eastAsia="en-AU"/>
        </w:rPr>
      </w:pPr>
      <w:bookmarkStart w:id="78" w:name="_Toc391729960"/>
      <w:r w:rsidRPr="002E2C03">
        <w:rPr>
          <w:lang w:val="en-US" w:eastAsia="en-AU"/>
        </w:rPr>
        <w:lastRenderedPageBreak/>
        <w:t>G</w:t>
      </w:r>
      <w:bookmarkEnd w:id="76"/>
      <w:bookmarkEnd w:id="77"/>
      <w:r w:rsidR="00FA3AF2">
        <w:rPr>
          <w:lang w:val="en-US" w:eastAsia="en-AU"/>
        </w:rPr>
        <w:t>lossary</w:t>
      </w:r>
      <w:bookmarkEnd w:id="78"/>
    </w:p>
    <w:tbl>
      <w:tblPr>
        <w:tblStyle w:val="SRUTable3"/>
        <w:tblW w:w="0" w:type="auto"/>
        <w:tblLayout w:type="fixed"/>
        <w:tblLook w:val="04A0"/>
      </w:tblPr>
      <w:tblGrid>
        <w:gridCol w:w="4535"/>
        <w:gridCol w:w="4535"/>
      </w:tblGrid>
      <w:tr w:rsidR="002E2C03" w:rsidRPr="002E2C03" w:rsidTr="00DA3558">
        <w:trPr>
          <w:cnfStyle w:val="100000000000"/>
          <w:cantSplit/>
          <w:tblHeader/>
        </w:trPr>
        <w:tc>
          <w:tcPr>
            <w:tcW w:w="4535" w:type="dxa"/>
            <w:tcBorders>
              <w:top w:val="single" w:sz="4" w:space="0" w:color="0093D0"/>
              <w:bottom w:val="single" w:sz="4" w:space="0" w:color="0093D0"/>
            </w:tcBorders>
          </w:tcPr>
          <w:p w:rsidR="002E2C03" w:rsidRPr="002E2C03" w:rsidRDefault="007054D7" w:rsidP="002E2C03">
            <w:pPr>
              <w:spacing w:before="60" w:after="60"/>
              <w:rPr>
                <w:rFonts w:asciiTheme="minorHAnsi" w:hAnsiTheme="minorHAnsi" w:cstheme="minorHAnsi"/>
              </w:rPr>
            </w:pPr>
            <w:r>
              <w:rPr>
                <w:rFonts w:asciiTheme="minorHAnsi" w:hAnsiTheme="minorHAnsi" w:cstheme="minorHAnsi"/>
              </w:rPr>
              <w:t>Word / a</w:t>
            </w:r>
            <w:r w:rsidR="002E2C03" w:rsidRPr="002E2C03">
              <w:rPr>
                <w:rFonts w:asciiTheme="minorHAnsi" w:hAnsiTheme="minorHAnsi" w:cstheme="minorHAnsi"/>
              </w:rPr>
              <w:t>bbreviation</w:t>
            </w:r>
          </w:p>
        </w:tc>
        <w:tc>
          <w:tcPr>
            <w:tcW w:w="4535" w:type="dxa"/>
            <w:tcBorders>
              <w:top w:val="single" w:sz="4" w:space="0" w:color="0093D0"/>
              <w:bottom w:val="single" w:sz="4" w:space="0" w:color="0093D0"/>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Description</w:t>
            </w:r>
          </w:p>
        </w:tc>
      </w:tr>
      <w:tr w:rsidR="00DA3558" w:rsidRPr="00DA3558" w:rsidTr="00DA3558">
        <w:trPr>
          <w:cantSplit/>
        </w:trPr>
        <w:tc>
          <w:tcPr>
            <w:tcW w:w="4535" w:type="dxa"/>
            <w:tcBorders>
              <w:top w:val="single" w:sz="4" w:space="0" w:color="0093D0"/>
              <w:bottom w:val="nil"/>
            </w:tcBorders>
          </w:tcPr>
          <w:p w:rsidR="00DA3558" w:rsidRPr="00DA3558" w:rsidRDefault="00DA3558" w:rsidP="002E2C03">
            <w:pPr>
              <w:spacing w:before="60" w:after="60"/>
              <w:rPr>
                <w:rFonts w:asciiTheme="minorHAnsi" w:hAnsiTheme="minorHAnsi" w:cstheme="minorHAnsi"/>
              </w:rPr>
            </w:pPr>
            <w:r w:rsidRPr="00DA3558">
              <w:rPr>
                <w:rFonts w:asciiTheme="minorHAnsi" w:hAnsiTheme="minorHAnsi" w:cstheme="minorHAnsi"/>
              </w:rPr>
              <w:t>ANZSIC</w:t>
            </w:r>
          </w:p>
        </w:tc>
        <w:tc>
          <w:tcPr>
            <w:tcW w:w="4535" w:type="dxa"/>
            <w:tcBorders>
              <w:top w:val="single" w:sz="4" w:space="0" w:color="0093D0"/>
              <w:bottom w:val="nil"/>
            </w:tcBorders>
          </w:tcPr>
          <w:p w:rsidR="00DA3558" w:rsidRPr="00DA3558" w:rsidRDefault="00DA3558" w:rsidP="002E2C03">
            <w:pPr>
              <w:spacing w:before="60" w:after="60"/>
              <w:rPr>
                <w:rFonts w:asciiTheme="minorHAnsi" w:hAnsiTheme="minorHAnsi" w:cstheme="minorHAnsi"/>
              </w:rPr>
            </w:pPr>
            <w:r w:rsidRPr="00DA3558">
              <w:rPr>
                <w:rFonts w:asciiTheme="minorHAnsi" w:hAnsiTheme="minorHAnsi" w:cstheme="minorHAnsi"/>
              </w:rPr>
              <w:t>Australian</w:t>
            </w:r>
            <w:r>
              <w:rPr>
                <w:rFonts w:asciiTheme="minorHAnsi" w:hAnsiTheme="minorHAnsi" w:cstheme="minorHAnsi"/>
              </w:rPr>
              <w:t xml:space="preserve"> and New Zealand Standard Industry Classification. The system of industry classification used for the purpose of industry data collation and reporting.</w:t>
            </w:r>
          </w:p>
        </w:tc>
      </w:tr>
      <w:tr w:rsidR="002E2C03" w:rsidRPr="002E2C03" w:rsidTr="00DA3558">
        <w:trPr>
          <w:cantSplit/>
        </w:trPr>
        <w:tc>
          <w:tcPr>
            <w:tcW w:w="4535" w:type="dxa"/>
            <w:tcBorders>
              <w:top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Basel Convention</w:t>
            </w:r>
          </w:p>
        </w:tc>
        <w:tc>
          <w:tcPr>
            <w:tcW w:w="4535" w:type="dxa"/>
            <w:tcBorders>
              <w:top w:val="nil"/>
            </w:tcBorders>
          </w:tcPr>
          <w:p w:rsidR="002E2C03" w:rsidRPr="002E2C03" w:rsidRDefault="002E2C03" w:rsidP="002E2C03">
            <w:pPr>
              <w:spacing w:before="60" w:after="60"/>
              <w:rPr>
                <w:rFonts w:asciiTheme="minorHAnsi" w:hAnsiTheme="minorHAnsi" w:cstheme="minorHAnsi"/>
                <w:i/>
              </w:rPr>
            </w:pPr>
            <w:r w:rsidRPr="002E2C03">
              <w:rPr>
                <w:rFonts w:asciiTheme="minorHAnsi" w:hAnsiTheme="minorHAnsi" w:cstheme="minorHAnsi"/>
                <w:i/>
              </w:rPr>
              <w:t xml:space="preserve">The Basel Convention on the Control of </w:t>
            </w:r>
            <w:proofErr w:type="spellStart"/>
            <w:r w:rsidRPr="002E2C03">
              <w:rPr>
                <w:rFonts w:asciiTheme="minorHAnsi" w:hAnsiTheme="minorHAnsi" w:cstheme="minorHAnsi"/>
                <w:i/>
              </w:rPr>
              <w:t>Transboundary</w:t>
            </w:r>
            <w:proofErr w:type="spellEnd"/>
            <w:r w:rsidRPr="002E2C03">
              <w:rPr>
                <w:rFonts w:asciiTheme="minorHAnsi" w:hAnsiTheme="minorHAnsi" w:cstheme="minorHAnsi"/>
                <w:i/>
              </w:rPr>
              <w:t xml:space="preserve"> Movements of Hazardous Wastes and their Disposal</w:t>
            </w:r>
            <w:r w:rsidRPr="002E2C03">
              <w:rPr>
                <w:rFonts w:asciiTheme="minorHAnsi" w:hAnsiTheme="minorHAnsi" w:cstheme="minorHAnsi"/>
              </w:rPr>
              <w:t xml:space="preserve"> is an international treaty to control and minimise the export of hazardous waste.</w:t>
            </w:r>
            <w:r w:rsidRPr="002E2C03">
              <w:rPr>
                <w:rFonts w:asciiTheme="minorHAnsi" w:hAnsiTheme="minorHAnsi" w:cstheme="minorHAnsi"/>
                <w:i/>
              </w:rPr>
              <w:t xml:space="preserve"> </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Best practice engineered landfill</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A landfill designed, operated and regulated to minimise harm to the environment of the disposal of conventional waste.</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Bioremediation</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 xml:space="preserve">Treatment of soils and </w:t>
            </w:r>
            <w:proofErr w:type="spellStart"/>
            <w:r w:rsidRPr="002E2C03">
              <w:rPr>
                <w:rFonts w:asciiTheme="minorHAnsi" w:hAnsiTheme="minorHAnsi" w:cstheme="minorHAnsi"/>
              </w:rPr>
              <w:t>sludges</w:t>
            </w:r>
            <w:proofErr w:type="spellEnd"/>
            <w:r w:rsidRPr="002E2C03">
              <w:rPr>
                <w:rFonts w:asciiTheme="minorHAnsi" w:hAnsiTheme="minorHAnsi" w:cstheme="minorHAnsi"/>
              </w:rPr>
              <w:t xml:space="preserve"> through the use of natural biological processes. Bioremediation is commonly used to treat hydrocarbon contaminated soils and </w:t>
            </w:r>
            <w:proofErr w:type="spellStart"/>
            <w:r w:rsidRPr="002E2C03">
              <w:rPr>
                <w:rFonts w:asciiTheme="minorHAnsi" w:hAnsiTheme="minorHAnsi" w:cstheme="minorHAnsi"/>
              </w:rPr>
              <w:t>sludges</w:t>
            </w:r>
            <w:proofErr w:type="spellEnd"/>
            <w:r w:rsidRPr="002E2C03">
              <w:rPr>
                <w:rFonts w:asciiTheme="minorHAnsi" w:hAnsiTheme="minorHAnsi" w:cstheme="minorHAnsi"/>
              </w:rPr>
              <w:t>.</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Blending</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Mixing of materials to obtain desirable chemical and physical properties for recycling or energy recovery</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C&amp;D waste</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Waste generated by the Construction and Demolition sectors of the economy.</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C&amp;I waste</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Waste generated by the Commercial and Industrial sectors of the economy. This classification includes all industry except Construction and Demolition</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Consolidation</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Consolidation of small containers of hazardous material into larger containers for transport and treatment.</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Controlled Waste</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 xml:space="preserve">A waste that is included in the NEPM (Movement of Controlled Waste). </w:t>
            </w:r>
          </w:p>
        </w:tc>
      </w:tr>
      <w:tr w:rsidR="00266932" w:rsidRPr="00266932" w:rsidTr="009174CB">
        <w:trPr>
          <w:cantSplit/>
        </w:trPr>
        <w:tc>
          <w:tcPr>
            <w:tcW w:w="4535" w:type="dxa"/>
          </w:tcPr>
          <w:p w:rsidR="00266932" w:rsidRPr="00266932" w:rsidRDefault="00850E04" w:rsidP="002E2C03">
            <w:pPr>
              <w:spacing w:before="60" w:after="60"/>
              <w:rPr>
                <w:rFonts w:asciiTheme="minorHAnsi" w:hAnsiTheme="minorHAnsi" w:cstheme="minorHAnsi"/>
              </w:rPr>
            </w:pPr>
            <w:r>
              <w:rPr>
                <w:rFonts w:asciiTheme="minorHAnsi" w:hAnsiTheme="minorHAnsi" w:cstheme="minorHAnsi"/>
              </w:rPr>
              <w:t>Distributional impact</w:t>
            </w:r>
          </w:p>
        </w:tc>
        <w:tc>
          <w:tcPr>
            <w:tcW w:w="4535" w:type="dxa"/>
          </w:tcPr>
          <w:p w:rsidR="00266932" w:rsidRPr="00266932" w:rsidRDefault="00850E04" w:rsidP="002E2C03">
            <w:pPr>
              <w:spacing w:before="60" w:after="60"/>
              <w:rPr>
                <w:rFonts w:asciiTheme="minorHAnsi" w:hAnsiTheme="minorHAnsi" w:cstheme="minorHAnsi"/>
              </w:rPr>
            </w:pPr>
            <w:r>
              <w:rPr>
                <w:rFonts w:asciiTheme="minorHAnsi" w:hAnsiTheme="minorHAnsi" w:cstheme="minorHAnsi"/>
              </w:rPr>
              <w:t>The distribution of c</w:t>
            </w:r>
            <w:r w:rsidR="00F20A6A">
              <w:rPr>
                <w:rFonts w:asciiTheme="minorHAnsi" w:hAnsiTheme="minorHAnsi" w:cstheme="minorHAnsi"/>
              </w:rPr>
              <w:t xml:space="preserve">osts </w:t>
            </w:r>
            <w:r>
              <w:rPr>
                <w:rFonts w:asciiTheme="minorHAnsi" w:hAnsiTheme="minorHAnsi" w:cstheme="minorHAnsi"/>
              </w:rPr>
              <w:t xml:space="preserve">and benefits across different sectors, </w:t>
            </w:r>
            <w:r w:rsidR="00F20A6A">
              <w:rPr>
                <w:rFonts w:asciiTheme="minorHAnsi" w:hAnsiTheme="minorHAnsi" w:cstheme="minorHAnsi"/>
              </w:rPr>
              <w:t>group</w:t>
            </w:r>
            <w:r>
              <w:rPr>
                <w:rFonts w:asciiTheme="minorHAnsi" w:hAnsiTheme="minorHAnsi" w:cstheme="minorHAnsi"/>
              </w:rPr>
              <w:t>s</w:t>
            </w:r>
            <w:r w:rsidR="00F20A6A">
              <w:rPr>
                <w:rFonts w:asciiTheme="minorHAnsi" w:hAnsiTheme="minorHAnsi" w:cstheme="minorHAnsi"/>
              </w:rPr>
              <w:t xml:space="preserve"> or region</w:t>
            </w:r>
            <w:r>
              <w:rPr>
                <w:rFonts w:asciiTheme="minorHAnsi" w:hAnsiTheme="minorHAnsi" w:cstheme="minorHAnsi"/>
              </w:rPr>
              <w:t>s</w:t>
            </w:r>
            <w:r w:rsidR="00F20A6A">
              <w:rPr>
                <w:rFonts w:asciiTheme="minorHAnsi" w:hAnsiTheme="minorHAnsi" w:cstheme="minorHAnsi"/>
              </w:rPr>
              <w:t>.  These may or may not constitute broader economic costs.</w:t>
            </w:r>
          </w:p>
        </w:tc>
      </w:tr>
      <w:tr w:rsidR="00F20A6A" w:rsidRPr="00F20A6A" w:rsidTr="009174CB">
        <w:trPr>
          <w:cantSplit/>
        </w:trPr>
        <w:tc>
          <w:tcPr>
            <w:tcW w:w="4535" w:type="dxa"/>
          </w:tcPr>
          <w:p w:rsidR="00F20A6A" w:rsidRPr="00F20A6A" w:rsidRDefault="00F20A6A" w:rsidP="002E2C03">
            <w:pPr>
              <w:spacing w:before="60" w:after="60"/>
              <w:rPr>
                <w:rFonts w:asciiTheme="minorHAnsi" w:hAnsiTheme="minorHAnsi" w:cstheme="minorHAnsi"/>
              </w:rPr>
            </w:pPr>
            <w:r>
              <w:rPr>
                <w:rFonts w:asciiTheme="minorHAnsi" w:hAnsiTheme="minorHAnsi" w:cstheme="minorHAnsi"/>
              </w:rPr>
              <w:t>Eco</w:t>
            </w:r>
            <w:r w:rsidRPr="00F20A6A">
              <w:rPr>
                <w:rFonts w:asciiTheme="minorHAnsi" w:hAnsiTheme="minorHAnsi" w:cstheme="minorHAnsi"/>
              </w:rPr>
              <w:t>nomic costs</w:t>
            </w:r>
            <w:r>
              <w:rPr>
                <w:rFonts w:asciiTheme="minorHAnsi" w:hAnsiTheme="minorHAnsi" w:cstheme="minorHAnsi"/>
              </w:rPr>
              <w:t xml:space="preserve"> (benefits)</w:t>
            </w:r>
          </w:p>
        </w:tc>
        <w:tc>
          <w:tcPr>
            <w:tcW w:w="4535" w:type="dxa"/>
          </w:tcPr>
          <w:p w:rsidR="00F20A6A" w:rsidRPr="00F20A6A" w:rsidRDefault="00F20A6A" w:rsidP="002E2C03">
            <w:pPr>
              <w:spacing w:before="60" w:after="60"/>
              <w:rPr>
                <w:rFonts w:asciiTheme="minorHAnsi" w:hAnsiTheme="minorHAnsi" w:cstheme="minorHAnsi"/>
              </w:rPr>
            </w:pPr>
            <w:r>
              <w:rPr>
                <w:rFonts w:asciiTheme="minorHAnsi" w:hAnsiTheme="minorHAnsi" w:cstheme="minorHAnsi"/>
              </w:rPr>
              <w:t>Community wide costs (benefits). These include market and non-market costs (benefits).</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Energy recovery</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The process of recovering energy from waste materials. This usually involves thermal destruction of material and harnessing the heat generated for either industrial processes or electricity generation.</w:t>
            </w:r>
          </w:p>
        </w:tc>
      </w:tr>
      <w:tr w:rsidR="00F20A6A" w:rsidRPr="00F20A6A" w:rsidTr="00850E04">
        <w:trPr>
          <w:cantSplit/>
        </w:trPr>
        <w:tc>
          <w:tcPr>
            <w:tcW w:w="4535" w:type="dxa"/>
            <w:tcBorders>
              <w:bottom w:val="nil"/>
            </w:tcBorders>
          </w:tcPr>
          <w:p w:rsidR="00F20A6A" w:rsidRPr="00F20A6A" w:rsidRDefault="00F20A6A" w:rsidP="002E2C03">
            <w:pPr>
              <w:spacing w:before="60" w:after="60"/>
              <w:rPr>
                <w:rFonts w:asciiTheme="minorHAnsi" w:hAnsiTheme="minorHAnsi" w:cstheme="minorHAnsi"/>
              </w:rPr>
            </w:pPr>
            <w:r w:rsidRPr="00F20A6A">
              <w:rPr>
                <w:rFonts w:asciiTheme="minorHAnsi" w:hAnsiTheme="minorHAnsi" w:cstheme="minorHAnsi"/>
              </w:rPr>
              <w:t>Externalities</w:t>
            </w:r>
          </w:p>
        </w:tc>
        <w:tc>
          <w:tcPr>
            <w:tcW w:w="4535" w:type="dxa"/>
            <w:tcBorders>
              <w:bottom w:val="nil"/>
            </w:tcBorders>
          </w:tcPr>
          <w:p w:rsidR="00F20A6A" w:rsidRPr="00F20A6A" w:rsidRDefault="00F20A6A" w:rsidP="00F20A6A">
            <w:pPr>
              <w:spacing w:before="60" w:after="60"/>
              <w:rPr>
                <w:rFonts w:asciiTheme="minorHAnsi" w:hAnsiTheme="minorHAnsi" w:cstheme="minorHAnsi"/>
              </w:rPr>
            </w:pPr>
            <w:r>
              <w:rPr>
                <w:rFonts w:asciiTheme="minorHAnsi" w:hAnsiTheme="minorHAnsi" w:cstheme="minorHAnsi"/>
              </w:rPr>
              <w:t>W</w:t>
            </w:r>
            <w:r w:rsidRPr="00F20A6A">
              <w:rPr>
                <w:rFonts w:asciiTheme="minorHAnsi" w:hAnsiTheme="minorHAnsi" w:cstheme="minorHAnsi"/>
              </w:rPr>
              <w:t>here an activity has positi</w:t>
            </w:r>
            <w:r>
              <w:rPr>
                <w:rFonts w:asciiTheme="minorHAnsi" w:hAnsiTheme="minorHAnsi" w:cstheme="minorHAnsi"/>
              </w:rPr>
              <w:t>ve (benefits) or negative (cost</w:t>
            </w:r>
            <w:r w:rsidRPr="00F20A6A">
              <w:rPr>
                <w:rFonts w:asciiTheme="minorHAnsi" w:hAnsiTheme="minorHAnsi" w:cstheme="minorHAnsi"/>
              </w:rPr>
              <w:t>) on others w</w:t>
            </w:r>
            <w:r>
              <w:rPr>
                <w:rFonts w:asciiTheme="minorHAnsi" w:hAnsiTheme="minorHAnsi" w:cstheme="minorHAnsi"/>
              </w:rPr>
              <w:t>ho are not direct parties to a transaction (</w:t>
            </w:r>
            <w:r w:rsidRPr="00F20A6A">
              <w:rPr>
                <w:rFonts w:asciiTheme="minorHAnsi" w:hAnsiTheme="minorHAnsi" w:cstheme="minorHAnsi"/>
              </w:rPr>
              <w:t>e.g. pollution</w:t>
            </w:r>
            <w:r>
              <w:rPr>
                <w:rFonts w:asciiTheme="minorHAnsi" w:hAnsiTheme="minorHAnsi" w:cstheme="minorHAnsi"/>
              </w:rPr>
              <w:t>).</w:t>
            </w:r>
          </w:p>
        </w:tc>
      </w:tr>
      <w:tr w:rsidR="00850E04" w:rsidRPr="00850E04" w:rsidTr="00850E04">
        <w:trPr>
          <w:cantSplit/>
        </w:trPr>
        <w:tc>
          <w:tcPr>
            <w:tcW w:w="4535" w:type="dxa"/>
            <w:tcBorders>
              <w:top w:val="nil"/>
              <w:bottom w:val="nil"/>
            </w:tcBorders>
          </w:tcPr>
          <w:p w:rsidR="00850E04" w:rsidRPr="00850E04" w:rsidRDefault="00850E04" w:rsidP="002E2C03">
            <w:pPr>
              <w:spacing w:before="60" w:after="60"/>
              <w:rPr>
                <w:rFonts w:asciiTheme="minorHAnsi" w:hAnsiTheme="minorHAnsi" w:cstheme="minorHAnsi"/>
              </w:rPr>
            </w:pPr>
            <w:r w:rsidRPr="00850E04">
              <w:rPr>
                <w:rFonts w:asciiTheme="minorHAnsi" w:hAnsiTheme="minorHAnsi" w:cstheme="minorHAnsi"/>
              </w:rPr>
              <w:t>Financial costs</w:t>
            </w:r>
          </w:p>
        </w:tc>
        <w:tc>
          <w:tcPr>
            <w:tcW w:w="4535" w:type="dxa"/>
            <w:tcBorders>
              <w:top w:val="nil"/>
              <w:bottom w:val="nil"/>
            </w:tcBorders>
          </w:tcPr>
          <w:p w:rsidR="00850E04" w:rsidRPr="00850E04" w:rsidRDefault="00850E04" w:rsidP="002E2C03">
            <w:pPr>
              <w:spacing w:before="60" w:after="60"/>
              <w:rPr>
                <w:rFonts w:asciiTheme="minorHAnsi" w:hAnsiTheme="minorHAnsi" w:cstheme="minorHAnsi"/>
              </w:rPr>
            </w:pPr>
            <w:r w:rsidRPr="00850E04">
              <w:rPr>
                <w:rFonts w:asciiTheme="minorHAnsi" w:hAnsiTheme="minorHAnsi" w:cstheme="minorHAnsi"/>
              </w:rPr>
              <w:t>Costs to individuals, businesses, sectors or groups</w:t>
            </w:r>
            <w:r>
              <w:rPr>
                <w:rFonts w:asciiTheme="minorHAnsi" w:hAnsiTheme="minorHAnsi" w:cstheme="minorHAnsi"/>
              </w:rPr>
              <w:t>.  These may or not represent economic costs.</w:t>
            </w:r>
          </w:p>
        </w:tc>
      </w:tr>
      <w:tr w:rsidR="002E2C03" w:rsidRPr="002E2C03" w:rsidTr="00850E04">
        <w:trPr>
          <w:cantSplit/>
        </w:trPr>
        <w:tc>
          <w:tcPr>
            <w:tcW w:w="4535" w:type="dxa"/>
            <w:tcBorders>
              <w:top w:val="nil"/>
              <w:bottom w:val="single" w:sz="4" w:space="0" w:color="0093D0"/>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Gate fee</w:t>
            </w:r>
          </w:p>
        </w:tc>
        <w:tc>
          <w:tcPr>
            <w:tcW w:w="4535" w:type="dxa"/>
            <w:tcBorders>
              <w:top w:val="nil"/>
              <w:bottom w:val="single" w:sz="4" w:space="0" w:color="0093D0"/>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The amount charged by a facility to accept material for treatment or disposal</w:t>
            </w:r>
          </w:p>
        </w:tc>
      </w:tr>
      <w:tr w:rsidR="002E2C03" w:rsidRPr="002E2C03" w:rsidTr="00F20A6A">
        <w:trPr>
          <w:cantSplit/>
        </w:trPr>
        <w:tc>
          <w:tcPr>
            <w:tcW w:w="4535" w:type="dxa"/>
            <w:tcBorders>
              <w:top w:val="single" w:sz="4" w:space="0" w:color="0093D0"/>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lastRenderedPageBreak/>
              <w:t>Hazardous Waste</w:t>
            </w:r>
          </w:p>
        </w:tc>
        <w:tc>
          <w:tcPr>
            <w:tcW w:w="4535" w:type="dxa"/>
            <w:tcBorders>
              <w:top w:val="single" w:sz="4" w:space="0" w:color="0093D0"/>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(a) waste prescribed by the regulations, where the waste has any of the characteristics mentioned in Annex III to the Basel Convention; or (b) wastes covered by paragraph 1(a) of Article 1 of the Basel Convention; or (c) household waste; or (d) residues arising from the incineration of household waste; but does not include wastes covered by paragraph 4 of Article 1 of the Basel Convention.</w:t>
            </w:r>
          </w:p>
        </w:tc>
      </w:tr>
      <w:tr w:rsidR="002E2C03" w:rsidRPr="002E2C03" w:rsidTr="00F20A6A">
        <w:trPr>
          <w:cantSplit/>
        </w:trPr>
        <w:tc>
          <w:tcPr>
            <w:tcW w:w="4535" w:type="dxa"/>
            <w:tcBorders>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High Containment Landfill</w:t>
            </w:r>
          </w:p>
        </w:tc>
        <w:tc>
          <w:tcPr>
            <w:tcW w:w="4535" w:type="dxa"/>
            <w:tcBorders>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A specialised landfill designed and regulated to accept waste material that is at a higher hazard category than best practice engineered landfills</w:t>
            </w:r>
          </w:p>
        </w:tc>
      </w:tr>
      <w:tr w:rsidR="002E2C03" w:rsidRPr="002E2C03" w:rsidTr="00F20A6A">
        <w:trPr>
          <w:cantSplit/>
        </w:trPr>
        <w:tc>
          <w:tcPr>
            <w:tcW w:w="4535" w:type="dxa"/>
            <w:tcBorders>
              <w:top w:val="nil"/>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Immobilisation</w:t>
            </w:r>
          </w:p>
        </w:tc>
        <w:tc>
          <w:tcPr>
            <w:tcW w:w="4535" w:type="dxa"/>
            <w:tcBorders>
              <w:top w:val="nil"/>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 xml:space="preserve">Chemical or physical treatment of waste that renders contaminants unreactive. </w:t>
            </w:r>
          </w:p>
        </w:tc>
      </w:tr>
      <w:tr w:rsidR="002E2C03" w:rsidRPr="002E2C03" w:rsidTr="00F20A6A">
        <w:trPr>
          <w:cantSplit/>
        </w:trPr>
        <w:tc>
          <w:tcPr>
            <w:tcW w:w="4535" w:type="dxa"/>
            <w:tcBorders>
              <w:top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Levy</w:t>
            </w:r>
          </w:p>
        </w:tc>
        <w:tc>
          <w:tcPr>
            <w:tcW w:w="4535" w:type="dxa"/>
            <w:tcBorders>
              <w:top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Many jurisdictions operate a landfill levy scheme, where the levy is charged on top of landfill gate fees for disposal. The landfill is applied at a $ per tonne rate.</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Liquid waste</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 xml:space="preserve">Any waste that: </w:t>
            </w:r>
          </w:p>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 xml:space="preserve">(a) has an angle of repose of less than five degrees above horizontal, or </w:t>
            </w:r>
          </w:p>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 xml:space="preserve">(b) becomes free-flowing at or below 60 degrees Celsius or when it is transported, or </w:t>
            </w:r>
          </w:p>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w:t>
            </w:r>
            <w:proofErr w:type="gramStart"/>
            <w:r w:rsidRPr="002E2C03">
              <w:rPr>
                <w:rFonts w:asciiTheme="minorHAnsi" w:hAnsiTheme="minorHAnsi" w:cstheme="minorHAnsi"/>
              </w:rPr>
              <w:t>c</w:t>
            </w:r>
            <w:proofErr w:type="gramEnd"/>
            <w:r w:rsidRPr="002E2C03">
              <w:rPr>
                <w:rFonts w:asciiTheme="minorHAnsi" w:hAnsiTheme="minorHAnsi" w:cstheme="minorHAnsi"/>
              </w:rPr>
              <w:t>) is generally not capable of being picked up by a spade or shovel.</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MSW</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Municipal Solid Waste. Waste generated by households and in municipal public spaces</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NEPM</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 xml:space="preserve">The National Environmental Protection Measures are a set of national environmental objectives to assist in protecting and managing particular aspects of the environment. </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NEPM (Movement of Controlled Waste)</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The National Environmental Protection (Movement of Controlled Waste) Measure provides a basis for ensuring that controlled wastes moved between jurisdictions are properly identified, handled and tracked. It is administered by jurisdictions.</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NEPM15</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 xml:space="preserve">The 15 high level categories of the National Environmental Protection (Movement of Controlled Waste) Measure. The describe </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NOS</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Not otherwise specified</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Non-tracked materials</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Hazardous waste collected outside of the formal tracking systems of each jurisdiction. In some cases, materials may have no arrangements for tracking and others may include shadow transportation outside of official systems</w:t>
            </w:r>
          </w:p>
        </w:tc>
      </w:tr>
      <w:tr w:rsidR="002E2C03" w:rsidRPr="002E2C03" w:rsidTr="00FA746E">
        <w:trPr>
          <w:cantSplit/>
        </w:trPr>
        <w:tc>
          <w:tcPr>
            <w:tcW w:w="4535" w:type="dxa"/>
            <w:tcBorders>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Neutralisation</w:t>
            </w:r>
          </w:p>
        </w:tc>
        <w:tc>
          <w:tcPr>
            <w:tcW w:w="4535" w:type="dxa"/>
            <w:tcBorders>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Mixing of waste materials to render them inactive, particularly acids and alkalis</w:t>
            </w:r>
          </w:p>
        </w:tc>
      </w:tr>
      <w:tr w:rsidR="00616BC4" w:rsidRPr="00616BC4" w:rsidTr="00FA746E">
        <w:trPr>
          <w:cantSplit/>
        </w:trPr>
        <w:tc>
          <w:tcPr>
            <w:tcW w:w="4535" w:type="dxa"/>
            <w:tcBorders>
              <w:top w:val="nil"/>
              <w:bottom w:val="single" w:sz="4" w:space="0" w:color="0093D0"/>
            </w:tcBorders>
          </w:tcPr>
          <w:p w:rsidR="00616BC4" w:rsidRPr="00616BC4" w:rsidRDefault="00616BC4" w:rsidP="002E2C03">
            <w:pPr>
              <w:spacing w:before="60" w:after="60"/>
              <w:rPr>
                <w:rFonts w:asciiTheme="minorHAnsi" w:hAnsiTheme="minorHAnsi" w:cstheme="minorHAnsi"/>
              </w:rPr>
            </w:pPr>
            <w:r w:rsidRPr="00616BC4">
              <w:rPr>
                <w:rFonts w:asciiTheme="minorHAnsi" w:hAnsiTheme="minorHAnsi" w:cstheme="minorHAnsi"/>
              </w:rPr>
              <w:t>Present value</w:t>
            </w:r>
          </w:p>
        </w:tc>
        <w:tc>
          <w:tcPr>
            <w:tcW w:w="4535" w:type="dxa"/>
            <w:tcBorders>
              <w:top w:val="nil"/>
              <w:bottom w:val="single" w:sz="4" w:space="0" w:color="0093D0"/>
            </w:tcBorders>
          </w:tcPr>
          <w:p w:rsidR="00616BC4" w:rsidRPr="00616BC4" w:rsidRDefault="005F489B" w:rsidP="005F489B">
            <w:pPr>
              <w:spacing w:before="60" w:after="60"/>
              <w:rPr>
                <w:rFonts w:asciiTheme="minorHAnsi" w:hAnsiTheme="minorHAnsi" w:cstheme="minorHAnsi"/>
              </w:rPr>
            </w:pPr>
            <w:r>
              <w:rPr>
                <w:rFonts w:asciiTheme="minorHAnsi" w:hAnsiTheme="minorHAnsi" w:cstheme="minorHAnsi"/>
              </w:rPr>
              <w:t>Costs (or benefits) that occur in the future discounted to reflect their current value.</w:t>
            </w:r>
          </w:p>
        </w:tc>
      </w:tr>
      <w:tr w:rsidR="002E2C03" w:rsidRPr="002E2C03" w:rsidTr="00FA746E">
        <w:trPr>
          <w:cantSplit/>
        </w:trPr>
        <w:tc>
          <w:tcPr>
            <w:tcW w:w="4535" w:type="dxa"/>
            <w:tcBorders>
              <w:top w:val="single" w:sz="4" w:space="0" w:color="0093D0"/>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lastRenderedPageBreak/>
              <w:t>Recycling</w:t>
            </w:r>
          </w:p>
        </w:tc>
        <w:tc>
          <w:tcPr>
            <w:tcW w:w="4535" w:type="dxa"/>
            <w:tcBorders>
              <w:top w:val="single" w:sz="4" w:space="0" w:color="0093D0"/>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The collection, sorting and processing of materials to form new raw materials to be used in the production of new products.</w:t>
            </w:r>
          </w:p>
        </w:tc>
      </w:tr>
      <w:tr w:rsidR="002E2C03" w:rsidRPr="002E2C03" w:rsidTr="005F489B">
        <w:trPr>
          <w:cantSplit/>
        </w:trPr>
        <w:tc>
          <w:tcPr>
            <w:tcW w:w="4535" w:type="dxa"/>
            <w:tcBorders>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Resource recovery</w:t>
            </w:r>
          </w:p>
        </w:tc>
        <w:tc>
          <w:tcPr>
            <w:tcW w:w="4535" w:type="dxa"/>
            <w:tcBorders>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The processes of capturing resources from waste materials, whether by reuse, recycling or energy recovery.</w:t>
            </w:r>
          </w:p>
        </w:tc>
      </w:tr>
      <w:tr w:rsidR="002E2C03" w:rsidRPr="002E2C03" w:rsidTr="005F489B">
        <w:trPr>
          <w:cantSplit/>
        </w:trPr>
        <w:tc>
          <w:tcPr>
            <w:tcW w:w="4535" w:type="dxa"/>
            <w:tcBorders>
              <w:top w:val="nil"/>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Reuse</w:t>
            </w:r>
          </w:p>
        </w:tc>
        <w:tc>
          <w:tcPr>
            <w:tcW w:w="4535" w:type="dxa"/>
            <w:tcBorders>
              <w:top w:val="nil"/>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 xml:space="preserve">The use of materials for a beneficial purpose without reprocessing. This may be for its original use or some other future use. </w:t>
            </w:r>
          </w:p>
        </w:tc>
      </w:tr>
      <w:tr w:rsidR="002E2C03" w:rsidRPr="002E2C03" w:rsidTr="005F489B">
        <w:trPr>
          <w:cantSplit/>
        </w:trPr>
        <w:tc>
          <w:tcPr>
            <w:tcW w:w="4535" w:type="dxa"/>
            <w:tcBorders>
              <w:top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Solid waste</w:t>
            </w:r>
          </w:p>
        </w:tc>
        <w:tc>
          <w:tcPr>
            <w:tcW w:w="4535" w:type="dxa"/>
            <w:tcBorders>
              <w:top w:val="nil"/>
            </w:tcBorders>
          </w:tcPr>
          <w:p w:rsidR="002E2C03" w:rsidRPr="002E2C03" w:rsidRDefault="002E2C03" w:rsidP="002E2C03">
            <w:pPr>
              <w:spacing w:before="120" w:after="180"/>
              <w:rPr>
                <w:rFonts w:asciiTheme="minorHAnsi" w:hAnsiTheme="minorHAnsi" w:cstheme="minorHAnsi"/>
              </w:rPr>
            </w:pPr>
            <w:r w:rsidRPr="002E2C03">
              <w:rPr>
                <w:rFonts w:asciiTheme="minorHAnsi" w:hAnsiTheme="minorHAnsi" w:cstheme="minorHAnsi"/>
              </w:rPr>
              <w:t xml:space="preserve">Any waste that: </w:t>
            </w:r>
          </w:p>
          <w:p w:rsidR="002E2C03" w:rsidRPr="002E2C03" w:rsidRDefault="002E2C03" w:rsidP="002E2C03">
            <w:pPr>
              <w:spacing w:before="120" w:after="180" w:line="240" w:lineRule="exact"/>
              <w:rPr>
                <w:rFonts w:asciiTheme="minorHAnsi" w:hAnsiTheme="minorHAnsi" w:cstheme="minorHAnsi"/>
              </w:rPr>
            </w:pPr>
            <w:r w:rsidRPr="002E2C03">
              <w:rPr>
                <w:rFonts w:asciiTheme="minorHAnsi" w:hAnsiTheme="minorHAnsi" w:cstheme="minorHAnsi"/>
              </w:rPr>
              <w:t xml:space="preserve">(a) has an angle of repose of greater than five degrees above horizontal, or </w:t>
            </w:r>
          </w:p>
          <w:p w:rsidR="002E2C03" w:rsidRPr="002E2C03" w:rsidRDefault="002E2C03" w:rsidP="002E2C03">
            <w:pPr>
              <w:spacing w:before="120" w:after="180" w:line="240" w:lineRule="exact"/>
              <w:rPr>
                <w:rFonts w:asciiTheme="minorHAnsi" w:hAnsiTheme="minorHAnsi" w:cstheme="minorHAnsi"/>
              </w:rPr>
            </w:pPr>
            <w:r w:rsidRPr="002E2C03">
              <w:rPr>
                <w:rFonts w:asciiTheme="minorHAnsi" w:hAnsiTheme="minorHAnsi" w:cstheme="minorHAnsi"/>
              </w:rPr>
              <w:t xml:space="preserve">(b)  does not become free-flowing at or below 60 degrees Celsius or when it is transported, or </w:t>
            </w:r>
          </w:p>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w:t>
            </w:r>
            <w:proofErr w:type="gramStart"/>
            <w:r w:rsidRPr="002E2C03">
              <w:rPr>
                <w:rFonts w:asciiTheme="minorHAnsi" w:hAnsiTheme="minorHAnsi" w:cstheme="minorHAnsi"/>
              </w:rPr>
              <w:t>c</w:t>
            </w:r>
            <w:proofErr w:type="gramEnd"/>
            <w:r w:rsidRPr="002E2C03">
              <w:rPr>
                <w:rFonts w:asciiTheme="minorHAnsi" w:hAnsiTheme="minorHAnsi" w:cstheme="minorHAnsi"/>
              </w:rPr>
              <w:t>)  is generally capable of being picked up by a spade or shovel.</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Specialist treatment</w:t>
            </w:r>
          </w:p>
        </w:tc>
        <w:tc>
          <w:tcPr>
            <w:tcW w:w="4535" w:type="dxa"/>
          </w:tcPr>
          <w:p w:rsidR="002E2C03" w:rsidRPr="002E2C03" w:rsidRDefault="002E2C03" w:rsidP="002E2C03">
            <w:pPr>
              <w:spacing w:before="120" w:after="180"/>
              <w:rPr>
                <w:rFonts w:asciiTheme="minorHAnsi" w:hAnsiTheme="minorHAnsi" w:cstheme="minorHAnsi"/>
              </w:rPr>
            </w:pPr>
            <w:r w:rsidRPr="002E2C03">
              <w:rPr>
                <w:rFonts w:asciiTheme="minorHAnsi" w:hAnsiTheme="minorHAnsi" w:cstheme="minorHAnsi"/>
              </w:rPr>
              <w:t>Any treatment for highly hazardous material that treats low quantities and has high handling and management requirements. This can include plasma arc destruction of materials like PCBs.</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Storage</w:t>
            </w:r>
          </w:p>
        </w:tc>
        <w:tc>
          <w:tcPr>
            <w:tcW w:w="4535" w:type="dxa"/>
          </w:tcPr>
          <w:p w:rsidR="002E2C03" w:rsidRPr="002E2C03" w:rsidRDefault="002E2C03" w:rsidP="002E2C03">
            <w:pPr>
              <w:spacing w:before="120" w:after="180"/>
              <w:rPr>
                <w:rFonts w:asciiTheme="minorHAnsi" w:hAnsiTheme="minorHAnsi" w:cstheme="minorHAnsi"/>
              </w:rPr>
            </w:pPr>
            <w:r w:rsidRPr="002E2C03">
              <w:rPr>
                <w:rFonts w:asciiTheme="minorHAnsi" w:hAnsiTheme="minorHAnsi" w:cstheme="minorHAnsi"/>
              </w:rPr>
              <w:t>Secure, long term storage of waste materials for which there isn’t a disposal or treatment option at present.</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Thermal destruction</w:t>
            </w:r>
          </w:p>
        </w:tc>
        <w:tc>
          <w:tcPr>
            <w:tcW w:w="4535" w:type="dxa"/>
          </w:tcPr>
          <w:p w:rsidR="002E2C03" w:rsidRPr="002E2C03" w:rsidRDefault="002E2C03" w:rsidP="002E2C03">
            <w:pPr>
              <w:spacing w:before="120" w:after="180"/>
              <w:rPr>
                <w:rFonts w:asciiTheme="minorHAnsi" w:hAnsiTheme="minorHAnsi" w:cstheme="minorHAnsi"/>
              </w:rPr>
            </w:pPr>
            <w:r w:rsidRPr="002E2C03">
              <w:rPr>
                <w:rFonts w:asciiTheme="minorHAnsi" w:hAnsiTheme="minorHAnsi" w:cstheme="minorHAnsi"/>
              </w:rPr>
              <w:t>Use of high energy to chemically destroy contaminants. This can include incineration and energy recovery, particularly in cement kilns where high temperatures and long burning periods allow destruction of persistent contaminants without formation of more harmful by-products. Plasma arc gasification, using superheated ionised gas, is another method of thermal destruction.</w:t>
            </w:r>
          </w:p>
        </w:tc>
      </w:tr>
      <w:tr w:rsidR="002E2C03" w:rsidRPr="002E2C03" w:rsidTr="009174CB">
        <w:trPr>
          <w:cantSplit/>
        </w:trPr>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Tracked materials</w:t>
            </w:r>
          </w:p>
        </w:tc>
        <w:tc>
          <w:tcPr>
            <w:tcW w:w="4535" w:type="dxa"/>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Materials whose transport is tracked and monitored according to the formal tracking systems of jurisdictions</w:t>
            </w:r>
          </w:p>
        </w:tc>
      </w:tr>
      <w:tr w:rsidR="002E2C03" w:rsidRPr="002E2C03" w:rsidTr="00FA746E">
        <w:trPr>
          <w:cantSplit/>
        </w:trPr>
        <w:tc>
          <w:tcPr>
            <w:tcW w:w="4535" w:type="dxa"/>
            <w:tcBorders>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Tracking system</w:t>
            </w:r>
          </w:p>
        </w:tc>
        <w:tc>
          <w:tcPr>
            <w:tcW w:w="4535" w:type="dxa"/>
            <w:tcBorders>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 xml:space="preserve">Transport of controlled waste is tracked in many jurisdictions in Australia. These tracking systems may be online, paper based or a combination of both. Tracking systems exist in NSW, Queensland, SA, WA and Victoria. </w:t>
            </w:r>
          </w:p>
        </w:tc>
      </w:tr>
      <w:tr w:rsidR="005F489B" w:rsidRPr="005F489B" w:rsidTr="00FA746E">
        <w:trPr>
          <w:cantSplit/>
        </w:trPr>
        <w:tc>
          <w:tcPr>
            <w:tcW w:w="4535" w:type="dxa"/>
            <w:tcBorders>
              <w:top w:val="nil"/>
              <w:bottom w:val="single" w:sz="4" w:space="0" w:color="0093D0"/>
            </w:tcBorders>
          </w:tcPr>
          <w:p w:rsidR="005F489B" w:rsidRPr="005F489B" w:rsidRDefault="005F489B" w:rsidP="002E2C03">
            <w:pPr>
              <w:spacing w:before="60" w:after="60"/>
              <w:rPr>
                <w:rFonts w:asciiTheme="minorHAnsi" w:hAnsiTheme="minorHAnsi" w:cstheme="minorHAnsi"/>
              </w:rPr>
            </w:pPr>
            <w:r w:rsidRPr="005F489B">
              <w:rPr>
                <w:rFonts w:asciiTheme="minorHAnsi" w:hAnsiTheme="minorHAnsi" w:cstheme="minorHAnsi"/>
              </w:rPr>
              <w:t>Transfer</w:t>
            </w:r>
            <w:r w:rsidR="00BB62DD">
              <w:rPr>
                <w:rFonts w:asciiTheme="minorHAnsi" w:hAnsiTheme="minorHAnsi" w:cstheme="minorHAnsi"/>
              </w:rPr>
              <w:t xml:space="preserve"> </w:t>
            </w:r>
          </w:p>
        </w:tc>
        <w:tc>
          <w:tcPr>
            <w:tcW w:w="4535" w:type="dxa"/>
            <w:tcBorders>
              <w:top w:val="nil"/>
              <w:bottom w:val="single" w:sz="4" w:space="0" w:color="0093D0"/>
            </w:tcBorders>
          </w:tcPr>
          <w:p w:rsidR="005F489B" w:rsidRPr="005F489B" w:rsidRDefault="00850E04" w:rsidP="00BB62DD">
            <w:pPr>
              <w:spacing w:before="60" w:after="60"/>
              <w:rPr>
                <w:rFonts w:asciiTheme="minorHAnsi" w:hAnsiTheme="minorHAnsi" w:cstheme="minorHAnsi"/>
              </w:rPr>
            </w:pPr>
            <w:r>
              <w:rPr>
                <w:rFonts w:asciiTheme="minorHAnsi" w:hAnsiTheme="minorHAnsi" w:cstheme="minorHAnsi"/>
              </w:rPr>
              <w:t xml:space="preserve">A </w:t>
            </w:r>
            <w:r w:rsidR="00BB62DD">
              <w:rPr>
                <w:rFonts w:asciiTheme="minorHAnsi" w:hAnsiTheme="minorHAnsi" w:cstheme="minorHAnsi"/>
              </w:rPr>
              <w:t xml:space="preserve">redistribution of income </w:t>
            </w:r>
            <w:r>
              <w:rPr>
                <w:rFonts w:asciiTheme="minorHAnsi" w:hAnsiTheme="minorHAnsi" w:cstheme="minorHAnsi"/>
              </w:rPr>
              <w:t xml:space="preserve">from one group to another </w:t>
            </w:r>
            <w:r w:rsidR="00BB62DD">
              <w:rPr>
                <w:rFonts w:asciiTheme="minorHAnsi" w:hAnsiTheme="minorHAnsi" w:cstheme="minorHAnsi"/>
              </w:rPr>
              <w:t xml:space="preserve">group in the market (e.g. through government taxes).  </w:t>
            </w:r>
          </w:p>
        </w:tc>
      </w:tr>
      <w:tr w:rsidR="002E2C03" w:rsidRPr="002E2C03" w:rsidTr="00FA746E">
        <w:trPr>
          <w:cantSplit/>
        </w:trPr>
        <w:tc>
          <w:tcPr>
            <w:tcW w:w="4535" w:type="dxa"/>
            <w:tcBorders>
              <w:top w:val="single" w:sz="4" w:space="0" w:color="0093D0"/>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lastRenderedPageBreak/>
              <w:t>Treatment</w:t>
            </w:r>
          </w:p>
        </w:tc>
        <w:tc>
          <w:tcPr>
            <w:tcW w:w="4535" w:type="dxa"/>
            <w:tcBorders>
              <w:top w:val="single" w:sz="4" w:space="0" w:color="0093D0"/>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The processing of waste prior to reuse, recycling, disposal or energy recovery. Treatment may include:</w:t>
            </w:r>
          </w:p>
          <w:p w:rsidR="002E2C03" w:rsidRPr="002E2C03" w:rsidRDefault="002E2C03" w:rsidP="007054D7">
            <w:pPr>
              <w:numPr>
                <w:ilvl w:val="0"/>
                <w:numId w:val="22"/>
              </w:numPr>
              <w:spacing w:before="60" w:after="60"/>
              <w:rPr>
                <w:rFonts w:asciiTheme="minorHAnsi" w:hAnsiTheme="minorHAnsi" w:cstheme="minorHAnsi"/>
              </w:rPr>
            </w:pPr>
            <w:r w:rsidRPr="002E2C03">
              <w:rPr>
                <w:rFonts w:asciiTheme="minorHAnsi" w:hAnsiTheme="minorHAnsi" w:cstheme="minorHAnsi"/>
              </w:rPr>
              <w:t>bioremediation</w:t>
            </w:r>
          </w:p>
          <w:p w:rsidR="002E2C03" w:rsidRPr="002E2C03" w:rsidRDefault="002E2C03" w:rsidP="007054D7">
            <w:pPr>
              <w:numPr>
                <w:ilvl w:val="0"/>
                <w:numId w:val="22"/>
              </w:numPr>
              <w:spacing w:before="60" w:after="60"/>
              <w:rPr>
                <w:rFonts w:asciiTheme="minorHAnsi" w:hAnsiTheme="minorHAnsi" w:cstheme="minorHAnsi"/>
              </w:rPr>
            </w:pPr>
            <w:r w:rsidRPr="002E2C03">
              <w:rPr>
                <w:rFonts w:asciiTheme="minorHAnsi" w:hAnsiTheme="minorHAnsi" w:cstheme="minorHAnsi"/>
              </w:rPr>
              <w:t>blending</w:t>
            </w:r>
          </w:p>
          <w:p w:rsidR="002E2C03" w:rsidRPr="002E2C03" w:rsidRDefault="002E2C03" w:rsidP="007054D7">
            <w:pPr>
              <w:numPr>
                <w:ilvl w:val="0"/>
                <w:numId w:val="22"/>
              </w:numPr>
              <w:spacing w:before="60" w:after="60"/>
              <w:rPr>
                <w:rFonts w:asciiTheme="minorHAnsi" w:hAnsiTheme="minorHAnsi" w:cstheme="minorHAnsi"/>
              </w:rPr>
            </w:pPr>
            <w:r w:rsidRPr="002E2C03">
              <w:rPr>
                <w:rFonts w:asciiTheme="minorHAnsi" w:hAnsiTheme="minorHAnsi" w:cstheme="minorHAnsi"/>
              </w:rPr>
              <w:t>consolidation</w:t>
            </w:r>
          </w:p>
          <w:p w:rsidR="002E2C03" w:rsidRPr="002E2C03" w:rsidRDefault="002E2C03" w:rsidP="007054D7">
            <w:pPr>
              <w:numPr>
                <w:ilvl w:val="0"/>
                <w:numId w:val="22"/>
              </w:numPr>
              <w:spacing w:before="60" w:after="60"/>
              <w:rPr>
                <w:rFonts w:asciiTheme="minorHAnsi" w:hAnsiTheme="minorHAnsi" w:cstheme="minorHAnsi"/>
              </w:rPr>
            </w:pPr>
            <w:r w:rsidRPr="002E2C03">
              <w:rPr>
                <w:rFonts w:asciiTheme="minorHAnsi" w:hAnsiTheme="minorHAnsi" w:cstheme="minorHAnsi"/>
              </w:rPr>
              <w:t>energy recovery (in this study)</w:t>
            </w:r>
          </w:p>
          <w:p w:rsidR="002E2C03" w:rsidRPr="002E2C03" w:rsidRDefault="002E2C03" w:rsidP="007054D7">
            <w:pPr>
              <w:numPr>
                <w:ilvl w:val="0"/>
                <w:numId w:val="22"/>
              </w:numPr>
              <w:spacing w:before="60" w:after="60"/>
              <w:rPr>
                <w:rFonts w:asciiTheme="minorHAnsi" w:hAnsiTheme="minorHAnsi" w:cstheme="minorHAnsi"/>
              </w:rPr>
            </w:pPr>
            <w:r w:rsidRPr="002E2C03">
              <w:rPr>
                <w:rFonts w:asciiTheme="minorHAnsi" w:hAnsiTheme="minorHAnsi" w:cstheme="minorHAnsi"/>
              </w:rPr>
              <w:t>immobilisation</w:t>
            </w:r>
          </w:p>
          <w:p w:rsidR="002E2C03" w:rsidRPr="002E2C03" w:rsidRDefault="002E2C03" w:rsidP="007054D7">
            <w:pPr>
              <w:numPr>
                <w:ilvl w:val="0"/>
                <w:numId w:val="22"/>
              </w:numPr>
              <w:spacing w:before="60" w:after="60"/>
              <w:rPr>
                <w:rFonts w:asciiTheme="minorHAnsi" w:hAnsiTheme="minorHAnsi" w:cstheme="minorHAnsi"/>
              </w:rPr>
            </w:pPr>
            <w:r w:rsidRPr="002E2C03">
              <w:rPr>
                <w:rFonts w:asciiTheme="minorHAnsi" w:hAnsiTheme="minorHAnsi" w:cstheme="minorHAnsi"/>
              </w:rPr>
              <w:t xml:space="preserve">neutralisation </w:t>
            </w:r>
          </w:p>
          <w:p w:rsidR="002E2C03" w:rsidRPr="002E2C03" w:rsidRDefault="002E2C03" w:rsidP="007054D7">
            <w:pPr>
              <w:numPr>
                <w:ilvl w:val="0"/>
                <w:numId w:val="22"/>
              </w:numPr>
              <w:spacing w:before="60" w:after="60"/>
              <w:rPr>
                <w:rFonts w:asciiTheme="minorHAnsi" w:hAnsiTheme="minorHAnsi" w:cstheme="minorHAnsi"/>
              </w:rPr>
            </w:pPr>
            <w:r w:rsidRPr="002E2C03">
              <w:rPr>
                <w:rFonts w:asciiTheme="minorHAnsi" w:hAnsiTheme="minorHAnsi" w:cstheme="minorHAnsi"/>
              </w:rPr>
              <w:t>thermal destruction</w:t>
            </w:r>
          </w:p>
          <w:p w:rsidR="002E2C03" w:rsidRPr="002E2C03" w:rsidRDefault="002E2C03" w:rsidP="007054D7">
            <w:pPr>
              <w:numPr>
                <w:ilvl w:val="0"/>
                <w:numId w:val="22"/>
              </w:numPr>
              <w:spacing w:before="60" w:after="60"/>
              <w:rPr>
                <w:rFonts w:asciiTheme="minorHAnsi" w:hAnsiTheme="minorHAnsi" w:cstheme="minorHAnsi"/>
              </w:rPr>
            </w:pPr>
            <w:r w:rsidRPr="002E2C03">
              <w:rPr>
                <w:rFonts w:asciiTheme="minorHAnsi" w:hAnsiTheme="minorHAnsi" w:cstheme="minorHAnsi"/>
              </w:rPr>
              <w:t>waste water treatment</w:t>
            </w:r>
          </w:p>
        </w:tc>
      </w:tr>
      <w:tr w:rsidR="002E2C03" w:rsidRPr="002E2C03" w:rsidTr="00850E04">
        <w:trPr>
          <w:cantSplit/>
        </w:trPr>
        <w:tc>
          <w:tcPr>
            <w:tcW w:w="4535" w:type="dxa"/>
            <w:tcBorders>
              <w:top w:val="nil"/>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Waste code</w:t>
            </w:r>
          </w:p>
        </w:tc>
        <w:tc>
          <w:tcPr>
            <w:tcW w:w="4535" w:type="dxa"/>
            <w:tcBorders>
              <w:top w:val="nil"/>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Tracking code used by jurisdictions to identify waste materials</w:t>
            </w:r>
          </w:p>
        </w:tc>
      </w:tr>
      <w:tr w:rsidR="002E2C03" w:rsidRPr="002E2C03" w:rsidTr="00850E04">
        <w:trPr>
          <w:cantSplit/>
        </w:trPr>
        <w:tc>
          <w:tcPr>
            <w:tcW w:w="4535" w:type="dxa"/>
            <w:tcBorders>
              <w:top w:val="nil"/>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Waste water treatment</w:t>
            </w:r>
          </w:p>
        </w:tc>
        <w:tc>
          <w:tcPr>
            <w:tcW w:w="4535" w:type="dxa"/>
            <w:tcBorders>
              <w:top w:val="nil"/>
              <w:bottom w:val="nil"/>
            </w:tcBorders>
          </w:tcPr>
          <w:p w:rsidR="002E2C03" w:rsidRPr="002E2C03" w:rsidRDefault="002E2C03" w:rsidP="002E2C03">
            <w:pPr>
              <w:spacing w:before="60" w:after="60"/>
              <w:rPr>
                <w:rFonts w:asciiTheme="minorHAnsi" w:hAnsiTheme="minorHAnsi" w:cstheme="minorHAnsi"/>
              </w:rPr>
            </w:pPr>
            <w:r w:rsidRPr="002E2C03">
              <w:rPr>
                <w:rFonts w:asciiTheme="minorHAnsi" w:hAnsiTheme="minorHAnsi" w:cstheme="minorHAnsi"/>
              </w:rPr>
              <w:t>Treatment of liquid waste to remove contaminants or reduce concentrations prior to further treatment, disposal or destruction</w:t>
            </w:r>
          </w:p>
        </w:tc>
      </w:tr>
    </w:tbl>
    <w:p w:rsidR="00850E04" w:rsidRDefault="00850E04" w:rsidP="007054D7">
      <w:pPr>
        <w:pStyle w:val="MJAheading1"/>
        <w:numPr>
          <w:ilvl w:val="0"/>
          <w:numId w:val="0"/>
        </w:numPr>
      </w:pPr>
    </w:p>
    <w:p w:rsidR="00850E04" w:rsidRDefault="00850E04">
      <w:pPr>
        <w:rPr>
          <w:rFonts w:ascii="Corbel" w:eastAsia="Times New Roman" w:hAnsi="Corbel" w:cs="Times New Roman"/>
          <w:color w:val="0093D0"/>
          <w:sz w:val="44"/>
        </w:rPr>
      </w:pPr>
      <w:r>
        <w:br w:type="page"/>
      </w:r>
    </w:p>
    <w:p w:rsidR="00A82A68" w:rsidRPr="00A82A68" w:rsidRDefault="00A82A68" w:rsidP="007054D7">
      <w:pPr>
        <w:pStyle w:val="MJAheading1"/>
        <w:numPr>
          <w:ilvl w:val="0"/>
          <w:numId w:val="0"/>
        </w:numPr>
      </w:pPr>
      <w:bookmarkStart w:id="79" w:name="_Toc391729961"/>
      <w:r>
        <w:lastRenderedPageBreak/>
        <w:t>References</w:t>
      </w:r>
      <w:bookmarkEnd w:id="79"/>
    </w:p>
    <w:p w:rsidR="00F77234" w:rsidRDefault="00F77234" w:rsidP="00F77234">
      <w:pPr>
        <w:pStyle w:val="MJAnormal"/>
        <w:ind w:left="284" w:hanging="284"/>
      </w:pPr>
      <w:r>
        <w:t>ABS (2014a) Consumer Price Index, Australia, ABS Cat. No. 6401.0 (accessed 3 July 2014).</w:t>
      </w:r>
    </w:p>
    <w:p w:rsidR="00F77234" w:rsidRDefault="00F77234" w:rsidP="00F77234">
      <w:pPr>
        <w:pStyle w:val="MJAnormal"/>
        <w:ind w:left="284" w:hanging="284"/>
      </w:pPr>
      <w:proofErr w:type="gramStart"/>
      <w:r>
        <w:t>ABS (2014b) Australian Industry, 2012-13 ABS Cat.</w:t>
      </w:r>
      <w:proofErr w:type="gramEnd"/>
      <w:r>
        <w:t xml:space="preserve"> No. 8155.0 (accessed 3 July 2014).</w:t>
      </w:r>
    </w:p>
    <w:p w:rsidR="00F77234" w:rsidRDefault="00F77234" w:rsidP="00F77234">
      <w:pPr>
        <w:pStyle w:val="MJAnormal"/>
        <w:ind w:left="284" w:hanging="284"/>
      </w:pPr>
      <w:proofErr w:type="gramStart"/>
      <w:r>
        <w:t>ABS (2014c) Australian System of National Accounts, 2012-13, ABS Cat.</w:t>
      </w:r>
      <w:proofErr w:type="gramEnd"/>
      <w:r>
        <w:t xml:space="preserve"> No. 5204.0 (accessed 3 July 2014).</w:t>
      </w:r>
    </w:p>
    <w:p w:rsidR="00F77234" w:rsidRDefault="00F77234" w:rsidP="00F77234">
      <w:pPr>
        <w:pStyle w:val="MJAnormal"/>
        <w:ind w:left="284" w:hanging="284"/>
      </w:pPr>
      <w:proofErr w:type="gramStart"/>
      <w:r>
        <w:t>ABS (2014d) Production of Selected Construction Materials, Mar 2014, ABS Cat.</w:t>
      </w:r>
      <w:proofErr w:type="gramEnd"/>
      <w:r>
        <w:t xml:space="preserve"> No. 8301.0 (accessed 3 July 2014).</w:t>
      </w:r>
    </w:p>
    <w:p w:rsidR="00F77234" w:rsidRDefault="00F77234" w:rsidP="00F77234">
      <w:pPr>
        <w:pStyle w:val="MJAnormal"/>
        <w:ind w:left="284" w:hanging="284"/>
      </w:pPr>
      <w:proofErr w:type="gramStart"/>
      <w:r>
        <w:t>ABS (2014e) Building Activity, Australia, December quarter 2013, ABS Cat.</w:t>
      </w:r>
      <w:proofErr w:type="gramEnd"/>
      <w:r>
        <w:t xml:space="preserve"> No. 8752.0 (accessed 3 July 2014).</w:t>
      </w:r>
    </w:p>
    <w:p w:rsidR="00F77234" w:rsidRDefault="00F77234" w:rsidP="00F77234">
      <w:pPr>
        <w:pStyle w:val="MJAnormal"/>
        <w:ind w:left="284" w:hanging="284"/>
      </w:pPr>
      <w:r>
        <w:t>ABS (2014f) Motor Vehicle Census, Australia, ABS Cat. No. 9309.0 (accessed 3 July 2014).</w:t>
      </w:r>
    </w:p>
    <w:p w:rsidR="00035C47" w:rsidRDefault="00035C47" w:rsidP="00035C47">
      <w:pPr>
        <w:pStyle w:val="MJAnormal"/>
        <w:ind w:left="284" w:hanging="284"/>
      </w:pPr>
      <w:r>
        <w:t xml:space="preserve">Anon., </w:t>
      </w:r>
      <w:proofErr w:type="spellStart"/>
      <w:r>
        <w:t>n.d</w:t>
      </w:r>
      <w:proofErr w:type="spellEnd"/>
      <w:r>
        <w:t xml:space="preserve">. </w:t>
      </w:r>
      <w:r w:rsidRPr="00035C47">
        <w:rPr>
          <w:i/>
        </w:rPr>
        <w:t>Hazardous Waste (Regulation of Exports and Imports) Act 1989</w:t>
      </w:r>
      <w:r>
        <w:t xml:space="preserve"> (</w:t>
      </w:r>
      <w:proofErr w:type="spellStart"/>
      <w:r>
        <w:t>Cth</w:t>
      </w:r>
      <w:proofErr w:type="spellEnd"/>
      <w:r>
        <w:t xml:space="preserve">), </w:t>
      </w:r>
      <w:proofErr w:type="spellStart"/>
      <w:r>
        <w:t>s.l</w:t>
      </w:r>
      <w:proofErr w:type="spellEnd"/>
      <w:r>
        <w:t xml:space="preserve">.: </w:t>
      </w:r>
      <w:proofErr w:type="spellStart"/>
      <w:r>
        <w:t>s.n</w:t>
      </w:r>
      <w:proofErr w:type="spellEnd"/>
      <w:r>
        <w:t>.</w:t>
      </w:r>
    </w:p>
    <w:p w:rsidR="00F60FA8" w:rsidRDefault="00F60FA8" w:rsidP="00035C47">
      <w:pPr>
        <w:pStyle w:val="MJAnormal"/>
        <w:ind w:left="284" w:hanging="284"/>
      </w:pPr>
      <w:proofErr w:type="gramStart"/>
      <w:r>
        <w:t>Australian Safety and Compensation Council (ASCC), 2008.</w:t>
      </w:r>
      <w:proofErr w:type="gramEnd"/>
      <w:r>
        <w:t xml:space="preserve"> </w:t>
      </w:r>
      <w:proofErr w:type="gramStart"/>
      <w:r w:rsidRPr="00F60FA8">
        <w:t>Type of Occurrence Classification System</w:t>
      </w:r>
      <w:r>
        <w:t>, 3</w:t>
      </w:r>
      <w:r w:rsidRPr="00F60FA8">
        <w:rPr>
          <w:vertAlign w:val="superscript"/>
        </w:rPr>
        <w:t>rd</w:t>
      </w:r>
      <w:r>
        <w:t xml:space="preserve"> Edition, Commonwealth of Australia, Canberra.</w:t>
      </w:r>
      <w:proofErr w:type="gramEnd"/>
    </w:p>
    <w:p w:rsidR="009F457B" w:rsidRDefault="009F457B" w:rsidP="00035C47">
      <w:pPr>
        <w:pStyle w:val="MJAnormal"/>
        <w:ind w:left="284" w:hanging="284"/>
      </w:pPr>
      <w:r>
        <w:t>BDA Group, 2009.</w:t>
      </w:r>
      <w:r w:rsidRPr="009F457B">
        <w:t xml:space="preserve"> </w:t>
      </w:r>
      <w:r w:rsidRPr="009F457B">
        <w:rPr>
          <w:i/>
        </w:rPr>
        <w:t>The full cost of landfill disposal in Australia</w:t>
      </w:r>
      <w:r>
        <w:t xml:space="preserve">, Department of Environment, Water, Heritage and the Arts, Canberra. </w:t>
      </w:r>
    </w:p>
    <w:p w:rsidR="00035C47" w:rsidRDefault="00035C47" w:rsidP="00035C47">
      <w:pPr>
        <w:pStyle w:val="MJAnormal"/>
        <w:ind w:left="284" w:hanging="284"/>
      </w:pPr>
      <w:proofErr w:type="gramStart"/>
      <w:r>
        <w:t>Blue Environment, 2014.</w:t>
      </w:r>
      <w:proofErr w:type="gramEnd"/>
      <w:r>
        <w:t xml:space="preserve"> </w:t>
      </w:r>
      <w:r w:rsidRPr="00035C47">
        <w:rPr>
          <w:i/>
        </w:rPr>
        <w:t>Basel Data 2012</w:t>
      </w:r>
      <w:r>
        <w:t xml:space="preserve"> - v2.3, prepared for the Department of the Environment, Australian Government, Canberra.</w:t>
      </w:r>
    </w:p>
    <w:p w:rsidR="0010732A" w:rsidRDefault="0010732A" w:rsidP="0010732A">
      <w:pPr>
        <w:pStyle w:val="MJAnormal"/>
        <w:ind w:left="284" w:hanging="284"/>
      </w:pPr>
      <w:proofErr w:type="gramStart"/>
      <w:r>
        <w:t>Department of the Environment, Water, Heritage and the Arts, 2009.</w:t>
      </w:r>
      <w:proofErr w:type="gramEnd"/>
      <w:r>
        <w:t xml:space="preserve"> </w:t>
      </w:r>
      <w:r w:rsidRPr="00035C47">
        <w:rPr>
          <w:i/>
        </w:rPr>
        <w:t>National Waste Policy: Less Waste More Resources</w:t>
      </w:r>
      <w:r>
        <w:t>, Australian Government, Canberra.</w:t>
      </w:r>
    </w:p>
    <w:p w:rsidR="0010732A" w:rsidRDefault="0010732A" w:rsidP="0010732A">
      <w:pPr>
        <w:pStyle w:val="MJAnormal"/>
        <w:ind w:left="284" w:hanging="284"/>
      </w:pPr>
      <w:proofErr w:type="gramStart"/>
      <w:r>
        <w:t>Department of the Environment, 2014.</w:t>
      </w:r>
      <w:proofErr w:type="gramEnd"/>
      <w:r>
        <w:t xml:space="preserve"> </w:t>
      </w:r>
      <w:r w:rsidRPr="0010732A">
        <w:rPr>
          <w:i/>
        </w:rPr>
        <w:t>National Inventory Report 2012 Volume 3</w:t>
      </w:r>
      <w:r>
        <w:t>, Australian Government, Canberra.</w:t>
      </w:r>
    </w:p>
    <w:p w:rsidR="009F457B" w:rsidRDefault="009F457B" w:rsidP="00D625B0">
      <w:pPr>
        <w:pStyle w:val="MJAnormal"/>
        <w:ind w:left="284" w:hanging="284"/>
      </w:pPr>
      <w:r>
        <w:t xml:space="preserve">Department of Industry Innovation, Climate Change, Science, Research &amp; Tertiary Education, 2013. </w:t>
      </w:r>
      <w:r w:rsidRPr="009F457B">
        <w:rPr>
          <w:i/>
        </w:rPr>
        <w:t>Australian National Greenhouse Accounts: National Greenhouse Accounts Factors</w:t>
      </w:r>
      <w:r>
        <w:t>, Australian Government, Canberra.</w:t>
      </w:r>
    </w:p>
    <w:p w:rsidR="001A3F7F" w:rsidRDefault="001A3F7F" w:rsidP="001A3F7F">
      <w:pPr>
        <w:pStyle w:val="MJAnormal"/>
        <w:ind w:left="284" w:hanging="284"/>
      </w:pPr>
      <w:proofErr w:type="gramStart"/>
      <w:r w:rsidRPr="001A3F7F">
        <w:t>Dietz</w:t>
      </w:r>
      <w:r>
        <w:t xml:space="preserve">, S. and </w:t>
      </w:r>
      <w:r w:rsidRPr="001A3F7F">
        <w:t>Stern</w:t>
      </w:r>
      <w:r>
        <w:t>, N. 2014.</w:t>
      </w:r>
      <w:proofErr w:type="gramEnd"/>
      <w:r>
        <w:t xml:space="preserve"> </w:t>
      </w:r>
      <w:r w:rsidRPr="001A3F7F">
        <w:rPr>
          <w:i/>
        </w:rPr>
        <w:t xml:space="preserve">Endogenous growth, convexity of damages and climate risk: how </w:t>
      </w:r>
      <w:proofErr w:type="spellStart"/>
      <w:r w:rsidRPr="001A3F7F">
        <w:rPr>
          <w:i/>
        </w:rPr>
        <w:t>Nordhaus</w:t>
      </w:r>
      <w:proofErr w:type="spellEnd"/>
      <w:r w:rsidRPr="001A3F7F">
        <w:rPr>
          <w:i/>
        </w:rPr>
        <w:t>’ framework supports deep cuts in carbon emissions</w:t>
      </w:r>
      <w:r>
        <w:t>, Centre for Climate Change Economics and Policy Working Paper No. 180.</w:t>
      </w:r>
    </w:p>
    <w:p w:rsidR="00A82A68" w:rsidRDefault="00D625B0" w:rsidP="00D625B0">
      <w:pPr>
        <w:pStyle w:val="MJAnormal"/>
        <w:ind w:left="284" w:hanging="284"/>
      </w:pPr>
      <w:proofErr w:type="spellStart"/>
      <w:proofErr w:type="gramStart"/>
      <w:r>
        <w:t>Encycle</w:t>
      </w:r>
      <w:proofErr w:type="spellEnd"/>
      <w:r>
        <w:t xml:space="preserve"> and SRU, 2013.</w:t>
      </w:r>
      <w:proofErr w:type="gramEnd"/>
      <w:r>
        <w:t xml:space="preserve"> </w:t>
      </w:r>
      <w:r>
        <w:rPr>
          <w:i/>
        </w:rPr>
        <w:t>A s</w:t>
      </w:r>
      <w:r w:rsidRPr="00D625B0">
        <w:rPr>
          <w:i/>
        </w:rPr>
        <w:t>tudy into commercial &amp; industrial (C&amp;I) waste and recycling in Australia by industry division</w:t>
      </w:r>
      <w:r>
        <w:t>, Department of Susta</w:t>
      </w:r>
      <w:r w:rsidR="00070452">
        <w:t>inability</w:t>
      </w:r>
      <w:r>
        <w:t>, Environment, Wate</w:t>
      </w:r>
      <w:r w:rsidR="008E68C4">
        <w:t xml:space="preserve">r, Population and Communities, </w:t>
      </w:r>
      <w:r>
        <w:t>Canberra.</w:t>
      </w:r>
    </w:p>
    <w:p w:rsidR="00F55F05" w:rsidRDefault="00F55F05" w:rsidP="00F55F05">
      <w:pPr>
        <w:pStyle w:val="MJAnormal"/>
        <w:ind w:left="284" w:hanging="284"/>
      </w:pPr>
      <w:r>
        <w:t>EPA Victoria, 2009. Draft Environment Protection (Industrial Waste Resource) Regulations – Regulatory Impact Statement, Victorian Government, Melbourne.</w:t>
      </w:r>
    </w:p>
    <w:p w:rsidR="00035C47" w:rsidRDefault="00035C47" w:rsidP="00035C47">
      <w:pPr>
        <w:pStyle w:val="MJAnormal"/>
        <w:ind w:left="284" w:hanging="284"/>
      </w:pPr>
      <w:r>
        <w:t xml:space="preserve">EPA Victoria, 2007. </w:t>
      </w:r>
      <w:proofErr w:type="gramStart"/>
      <w:r w:rsidRPr="00035C47">
        <w:rPr>
          <w:i/>
        </w:rPr>
        <w:t>Impact assessment of the proposed classification of rigid packaging (small containers)</w:t>
      </w:r>
      <w:r>
        <w:t>, EPA Victoria, Melbourne.</w:t>
      </w:r>
      <w:proofErr w:type="gramEnd"/>
    </w:p>
    <w:p w:rsidR="00035C47" w:rsidRDefault="00035C47" w:rsidP="00035C47">
      <w:pPr>
        <w:pStyle w:val="MJAnormal"/>
        <w:ind w:left="284" w:hanging="284"/>
      </w:pPr>
      <w:r>
        <w:t xml:space="preserve">EPA Victoria, 2009. </w:t>
      </w:r>
      <w:r w:rsidRPr="00035C47">
        <w:rPr>
          <w:i/>
        </w:rPr>
        <w:t>Environment Protection (Industrial Waste Resource) Regulations</w:t>
      </w:r>
      <w:r>
        <w:t>, EPA Victoria, Melbourne.</w:t>
      </w:r>
    </w:p>
    <w:p w:rsidR="00035C47" w:rsidRDefault="00035C47" w:rsidP="00035C47">
      <w:pPr>
        <w:pStyle w:val="MJAnormal"/>
        <w:ind w:left="284" w:hanging="284"/>
      </w:pPr>
      <w:r>
        <w:t xml:space="preserve">EPA Victoria, 2011. </w:t>
      </w:r>
      <w:r w:rsidRPr="00035C47">
        <w:rPr>
          <w:i/>
        </w:rPr>
        <w:t>Prescribed Industrial Waste Disposal to Landfills and Licensed Treatment Facilities 2007-08 and 2008-09</w:t>
      </w:r>
      <w:r>
        <w:t>, EPA Victoria, Melbourne.</w:t>
      </w:r>
    </w:p>
    <w:p w:rsidR="00F77234" w:rsidRDefault="00F77234" w:rsidP="00035C47">
      <w:pPr>
        <w:pStyle w:val="MJAnormal"/>
        <w:ind w:left="284" w:hanging="284"/>
      </w:pPr>
    </w:p>
    <w:p w:rsidR="0010732A" w:rsidRDefault="0010732A" w:rsidP="00AF67D0">
      <w:pPr>
        <w:pStyle w:val="MJAnormal"/>
        <w:ind w:left="284" w:hanging="284"/>
      </w:pPr>
      <w:proofErr w:type="spellStart"/>
      <w:r>
        <w:lastRenderedPageBreak/>
        <w:t>Garnaut</w:t>
      </w:r>
      <w:proofErr w:type="spellEnd"/>
      <w:r>
        <w:t>, R.</w:t>
      </w:r>
      <w:r w:rsidR="00AF67D0">
        <w:t xml:space="preserve">, 2011. </w:t>
      </w:r>
      <w:proofErr w:type="gramStart"/>
      <w:r w:rsidR="00AF67D0">
        <w:t xml:space="preserve">The </w:t>
      </w:r>
      <w:proofErr w:type="spellStart"/>
      <w:r w:rsidR="00AF67D0">
        <w:t>Garnaut</w:t>
      </w:r>
      <w:proofErr w:type="spellEnd"/>
      <w:r w:rsidR="00AF67D0">
        <w:t xml:space="preserve"> Review 2011, Australia in the Global Response to Climate Change, Cambridge University Press, Cambridge.</w:t>
      </w:r>
      <w:proofErr w:type="gramEnd"/>
    </w:p>
    <w:p w:rsidR="00F77234" w:rsidRDefault="00F77234" w:rsidP="00F77234">
      <w:pPr>
        <w:pStyle w:val="MJAnormal"/>
        <w:ind w:left="284" w:hanging="284"/>
      </w:pPr>
      <w:proofErr w:type="spellStart"/>
      <w:r>
        <w:t>IBISWorld</w:t>
      </w:r>
      <w:proofErr w:type="spellEnd"/>
      <w:r>
        <w:t xml:space="preserve"> (2014a) Basic Organic Chemical Manufacturing in Australia, Report C1812 (accessed 3 July 2014).</w:t>
      </w:r>
    </w:p>
    <w:p w:rsidR="00F77234" w:rsidRDefault="00F77234" w:rsidP="00F77234">
      <w:pPr>
        <w:pStyle w:val="MJAnormal"/>
        <w:ind w:left="284" w:hanging="284"/>
      </w:pPr>
      <w:proofErr w:type="spellStart"/>
      <w:r>
        <w:t>IBISWorld</w:t>
      </w:r>
      <w:proofErr w:type="spellEnd"/>
      <w:r>
        <w:t xml:space="preserve"> (2014b) Basic Inorganic Chemical Manufacturing in Australia, Report C1813 (accessed 3 July 2014).</w:t>
      </w:r>
    </w:p>
    <w:p w:rsidR="00F77234" w:rsidRDefault="00F77234" w:rsidP="00F77234">
      <w:pPr>
        <w:pStyle w:val="MJAnormal"/>
        <w:ind w:left="284" w:hanging="284"/>
      </w:pPr>
      <w:proofErr w:type="spellStart"/>
      <w:r>
        <w:t>IBISWorld</w:t>
      </w:r>
      <w:proofErr w:type="spellEnd"/>
      <w:r>
        <w:t xml:space="preserve"> (2014c) Tyre Retailing in Australia, Report G3922 (accessed 3 July 2014).</w:t>
      </w:r>
    </w:p>
    <w:p w:rsidR="0010732A" w:rsidRDefault="0010732A" w:rsidP="0010732A">
      <w:pPr>
        <w:pStyle w:val="MJAnormal"/>
        <w:ind w:left="284" w:hanging="284"/>
      </w:pPr>
      <w:proofErr w:type="gramStart"/>
      <w:r>
        <w:t>KMH, 2013.</w:t>
      </w:r>
      <w:proofErr w:type="gramEnd"/>
      <w:r>
        <w:t xml:space="preserve"> </w:t>
      </w:r>
      <w:r w:rsidRPr="00035C47">
        <w:rPr>
          <w:i/>
        </w:rPr>
        <w:t>Hazardous Waste Data Assessment</w:t>
      </w:r>
      <w:r>
        <w:t>, prepared for the Department of Sustainability, the Environment, Water, Population and Communities, Australian Government, Canberra.</w:t>
      </w:r>
    </w:p>
    <w:p w:rsidR="00EC4E58" w:rsidRDefault="00EC4E58" w:rsidP="00035C47">
      <w:pPr>
        <w:pStyle w:val="MJAnormal"/>
        <w:ind w:left="284" w:hanging="284"/>
      </w:pPr>
      <w:proofErr w:type="gramStart"/>
      <w:r>
        <w:t>Marsden Jacob Associates 2012.</w:t>
      </w:r>
      <w:proofErr w:type="gramEnd"/>
      <w:r>
        <w:t xml:space="preserve"> </w:t>
      </w:r>
      <w:r w:rsidRPr="00EC4E58">
        <w:rPr>
          <w:i/>
        </w:rPr>
        <w:t>Cost Benefit Analysis of tools to achieve Victoria’s waste policy objectives</w:t>
      </w:r>
      <w:r>
        <w:t xml:space="preserve">, report </w:t>
      </w:r>
      <w:r w:rsidRPr="00EC4E58">
        <w:t>for the Victorian Government Department of Sustainability &amp; Environment</w:t>
      </w:r>
      <w:r>
        <w:t>, Melbourne.</w:t>
      </w:r>
    </w:p>
    <w:p w:rsidR="00035C47" w:rsidRDefault="00035C47" w:rsidP="00035C47">
      <w:pPr>
        <w:pStyle w:val="MJAnormal"/>
        <w:ind w:left="284" w:hanging="284"/>
      </w:pPr>
      <w:proofErr w:type="spellStart"/>
      <w:r>
        <w:t>McKenny</w:t>
      </w:r>
      <w:proofErr w:type="spellEnd"/>
      <w:r>
        <w:t xml:space="preserve">, L., 2013. ‘Queensland: Beautiful one day, NSW's tip the next’. The Sydney Morning Herald, 27 April. </w:t>
      </w:r>
    </w:p>
    <w:p w:rsidR="00E4391F" w:rsidRDefault="00035C47" w:rsidP="00E4391F">
      <w:pPr>
        <w:pStyle w:val="MJAnormal"/>
        <w:ind w:left="284" w:hanging="284"/>
      </w:pPr>
      <w:proofErr w:type="gramStart"/>
      <w:r>
        <w:t>NEPC, 2009.</w:t>
      </w:r>
      <w:proofErr w:type="gramEnd"/>
      <w:r>
        <w:t xml:space="preserve"> </w:t>
      </w:r>
      <w:proofErr w:type="gramStart"/>
      <w:r w:rsidRPr="00035C47">
        <w:rPr>
          <w:i/>
        </w:rPr>
        <w:t>Review of the National Environmental Protection (Movement of Controlled Waste between States and Territories) Measure</w:t>
      </w:r>
      <w:r>
        <w:t>, Discussion Paper, National Environmenta</w:t>
      </w:r>
      <w:r w:rsidR="00E4391F">
        <w:t>l Protection Council, Canberra.</w:t>
      </w:r>
      <w:proofErr w:type="gramEnd"/>
    </w:p>
    <w:p w:rsidR="006C72CD" w:rsidRDefault="006C72CD" w:rsidP="00427ECE">
      <w:pPr>
        <w:pStyle w:val="MJAnormal"/>
        <w:ind w:left="284" w:hanging="284"/>
      </w:pPr>
      <w:proofErr w:type="gramStart"/>
      <w:r w:rsidRPr="006C72CD">
        <w:t>NEPC, 2014.</w:t>
      </w:r>
      <w:proofErr w:type="gramEnd"/>
      <w:r w:rsidRPr="006C72CD">
        <w:t xml:space="preserve"> </w:t>
      </w:r>
      <w:proofErr w:type="gramStart"/>
      <w:r w:rsidRPr="006C72CD">
        <w:t>National Environment Protection Council Annual Report, National Environment Protection Council Service Corporation, Canberra</w:t>
      </w:r>
      <w:r>
        <w:t>.</w:t>
      </w:r>
      <w:proofErr w:type="gramEnd"/>
    </w:p>
    <w:p w:rsidR="00427ECE" w:rsidRDefault="00427ECE" w:rsidP="00427ECE">
      <w:pPr>
        <w:pStyle w:val="MJAnormal"/>
        <w:ind w:left="284" w:hanging="284"/>
      </w:pPr>
      <w:proofErr w:type="gramStart"/>
      <w:r>
        <w:t>Safe Work Australia, 2011.</w:t>
      </w:r>
      <w:proofErr w:type="gramEnd"/>
      <w:r w:rsidRPr="00953B3B">
        <w:t xml:space="preserve"> </w:t>
      </w:r>
      <w:r w:rsidRPr="00953B3B">
        <w:rPr>
          <w:i/>
        </w:rPr>
        <w:t xml:space="preserve">National Hazard Exposure Worker Surveillance: </w:t>
      </w:r>
      <w:r>
        <w:rPr>
          <w:i/>
        </w:rPr>
        <w:t>Exposure to biological hazards and the provision of controls against biological hazards</w:t>
      </w:r>
      <w:r w:rsidRPr="00953B3B">
        <w:rPr>
          <w:i/>
        </w:rPr>
        <w:t xml:space="preserve"> in Australian workplaces</w:t>
      </w:r>
      <w:r>
        <w:t>, Australian Government, Canberra.</w:t>
      </w:r>
    </w:p>
    <w:p w:rsidR="00E4391F" w:rsidRDefault="00E4391F" w:rsidP="00E4391F">
      <w:pPr>
        <w:pStyle w:val="MJAnormal"/>
        <w:ind w:left="284" w:hanging="284"/>
      </w:pPr>
      <w:proofErr w:type="gramStart"/>
      <w:r>
        <w:t>Safe Work Australia, 2012</w:t>
      </w:r>
      <w:r w:rsidR="00E16E65">
        <w:t>a</w:t>
      </w:r>
      <w:r>
        <w:t>.</w:t>
      </w:r>
      <w:proofErr w:type="gramEnd"/>
      <w:r>
        <w:rPr>
          <w:i/>
        </w:rPr>
        <w:t xml:space="preserve"> The cost of workplace-related injuries and illnesses for Australian workers, employers and the community</w:t>
      </w:r>
      <w:r w:rsidR="00E16E65">
        <w:rPr>
          <w:i/>
        </w:rPr>
        <w:t>: 2008-09</w:t>
      </w:r>
      <w:r>
        <w:t>, Australian Government, Canberra.</w:t>
      </w:r>
    </w:p>
    <w:p w:rsidR="00953B3B" w:rsidRDefault="00E4391F" w:rsidP="00E4391F">
      <w:pPr>
        <w:pStyle w:val="MJAnormal"/>
        <w:ind w:left="284" w:hanging="284"/>
      </w:pPr>
      <w:proofErr w:type="gramStart"/>
      <w:r>
        <w:t>Safe Work Australia, 2012b</w:t>
      </w:r>
      <w:r w:rsidR="00427ECE">
        <w:t>.</w:t>
      </w:r>
      <w:proofErr w:type="gramEnd"/>
      <w:r w:rsidR="00953B3B">
        <w:t xml:space="preserve"> </w:t>
      </w:r>
      <w:r w:rsidR="00953B3B" w:rsidRPr="00953B3B">
        <w:rPr>
          <w:i/>
        </w:rPr>
        <w:t>National Hazard Exposure Worker Surveillance: Chemical exposure and the provision of chemical exposure control measures in Australian workplaces</w:t>
      </w:r>
      <w:r w:rsidR="00953B3B">
        <w:t>, A</w:t>
      </w:r>
      <w:r>
        <w:t>ustralian Government, Canberra.</w:t>
      </w:r>
    </w:p>
    <w:p w:rsidR="00D625B0" w:rsidRDefault="008E68C4" w:rsidP="008E68C4">
      <w:pPr>
        <w:pStyle w:val="MJAnormal"/>
        <w:ind w:left="284" w:hanging="284"/>
      </w:pPr>
      <w:proofErr w:type="gramStart"/>
      <w:r>
        <w:t>Safe Work Australia, 2013.</w:t>
      </w:r>
      <w:proofErr w:type="gramEnd"/>
      <w:r>
        <w:t xml:space="preserve"> </w:t>
      </w:r>
      <w:proofErr w:type="gramStart"/>
      <w:r w:rsidRPr="008E68C4">
        <w:rPr>
          <w:i/>
        </w:rPr>
        <w:t>Compendium of Workers’ Compensation Statistics Australia 2010-11</w:t>
      </w:r>
      <w:r>
        <w:t>, Australian Government, Canberra.</w:t>
      </w:r>
      <w:proofErr w:type="gramEnd"/>
    </w:p>
    <w:p w:rsidR="009F457B" w:rsidRDefault="009F457B" w:rsidP="008E68C4">
      <w:pPr>
        <w:pStyle w:val="MJAnormal"/>
        <w:ind w:left="284" w:hanging="284"/>
      </w:pPr>
      <w:proofErr w:type="spellStart"/>
      <w:r>
        <w:t>Schollum</w:t>
      </w:r>
      <w:proofErr w:type="spellEnd"/>
      <w:r>
        <w:t>, P., 2010.</w:t>
      </w:r>
      <w:r w:rsidRPr="009F457B">
        <w:t xml:space="preserve"> </w:t>
      </w:r>
      <w:proofErr w:type="gramStart"/>
      <w:r w:rsidRPr="009F457B">
        <w:rPr>
          <w:i/>
        </w:rPr>
        <w:t>Evaluation of the social optimum for the landfill levy in WA</w:t>
      </w:r>
      <w:r w:rsidRPr="009F457B">
        <w:t>, CEED (Cooperative Education for Enterprise Developm</w:t>
      </w:r>
      <w:r>
        <w:t>ent) Project Number 09/002</w:t>
      </w:r>
      <w:r w:rsidRPr="009F457B">
        <w:t>, University of Western Australia</w:t>
      </w:r>
      <w:r>
        <w:t>.</w:t>
      </w:r>
      <w:proofErr w:type="gramEnd"/>
    </w:p>
    <w:p w:rsidR="00EF733B" w:rsidRDefault="00EF733B" w:rsidP="00891E8E">
      <w:pPr>
        <w:pStyle w:val="MJAnormal"/>
        <w:ind w:left="284" w:hanging="284"/>
      </w:pPr>
      <w:r>
        <w:t xml:space="preserve">US Government, Interagency Working Group on Social Cost of Carbon, 2013. </w:t>
      </w:r>
      <w:r w:rsidR="00891E8E" w:rsidRPr="00891E8E">
        <w:rPr>
          <w:i/>
        </w:rPr>
        <w:t xml:space="preserve">Technical Update of the Social Cost of Carbon for Regulatory Impact Analysis </w:t>
      </w:r>
      <w:proofErr w:type="gramStart"/>
      <w:r w:rsidR="00891E8E" w:rsidRPr="00891E8E">
        <w:rPr>
          <w:i/>
        </w:rPr>
        <w:t>Under</w:t>
      </w:r>
      <w:proofErr w:type="gramEnd"/>
      <w:r w:rsidR="00891E8E" w:rsidRPr="00891E8E">
        <w:rPr>
          <w:i/>
        </w:rPr>
        <w:t xml:space="preserve"> Executive Order 12866</w:t>
      </w:r>
      <w:r w:rsidR="00891E8E">
        <w:t xml:space="preserve">, Department of the Treasury and </w:t>
      </w:r>
      <w:r w:rsidR="00891E8E" w:rsidRPr="00891E8E">
        <w:t>Environmental Protection Agency</w:t>
      </w:r>
      <w:r w:rsidR="00891E8E">
        <w:t>.</w:t>
      </w:r>
    </w:p>
    <w:p w:rsidR="008E68C4" w:rsidRPr="00F51B77" w:rsidRDefault="008E68C4" w:rsidP="008E68C4">
      <w:pPr>
        <w:pStyle w:val="MJAnormal"/>
        <w:ind w:left="284" w:hanging="284"/>
      </w:pPr>
    </w:p>
    <w:sectPr w:rsidR="008E68C4" w:rsidRPr="00F51B77" w:rsidSect="00EB41EE">
      <w:headerReference w:type="default" r:id="rId37"/>
      <w:footerReference w:type="default" r:id="rId38"/>
      <w:pgSz w:w="11906" w:h="16838" w:code="9"/>
      <w:pgMar w:top="1701" w:right="1134" w:bottom="1021" w:left="2268" w:header="680"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A52" w:rsidRDefault="005F5A52" w:rsidP="00F80890">
      <w:pPr>
        <w:spacing w:after="0" w:line="240" w:lineRule="auto"/>
      </w:pPr>
      <w:r>
        <w:separator/>
      </w:r>
    </w:p>
  </w:endnote>
  <w:endnote w:type="continuationSeparator" w:id="0">
    <w:p w:rsidR="005F5A52" w:rsidRDefault="005F5A52" w:rsidP="00F808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Gotham Bold">
    <w:altName w:val="Times New Roman"/>
    <w:panose1 w:val="00000000000000000000"/>
    <w:charset w:val="00"/>
    <w:family w:val="auto"/>
    <w:notTrueType/>
    <w:pitch w:val="variable"/>
    <w:sig w:usb0="00000001" w:usb1="4000005B" w:usb2="00000000" w:usb3="00000000" w:csb0="0000009B"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5F5A52" w:rsidRPr="00F80890" w:rsidTr="00F80890">
      <w:tc>
        <w:tcPr>
          <w:tcW w:w="6487" w:type="dxa"/>
        </w:tcPr>
        <w:p w:rsidR="005F5A52" w:rsidRPr="00F80890" w:rsidRDefault="005F5A52">
          <w:pPr>
            <w:rPr>
              <w:i/>
              <w:color w:val="A6A6A6" w:themeColor="background1" w:themeShade="A6"/>
            </w:rPr>
          </w:pPr>
          <w:r w:rsidRPr="000A56D6">
            <w:rPr>
              <w:i/>
              <w:noProof/>
              <w:color w:val="A6A6A6" w:themeColor="background1" w:themeShade="A6"/>
              <w:lang w:eastAsia="en-AU"/>
            </w:rPr>
            <w:drawing>
              <wp:inline distT="0" distB="0" distL="0" distR="0">
                <wp:extent cx="1665870" cy="176230"/>
                <wp:effectExtent l="19050" t="0" r="0" b="0"/>
                <wp:docPr id="9"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sden.MARSDENJACOB\Desktop\Marsden Jacob logo 2011_files\image001.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870" cy="176230"/>
                        </a:xfrm>
                        <a:prstGeom prst="rect">
                          <a:avLst/>
                        </a:prstGeom>
                        <a:noFill/>
                        <a:ln>
                          <a:noFill/>
                        </a:ln>
                      </pic:spPr>
                    </pic:pic>
                  </a:graphicData>
                </a:graphic>
              </wp:inline>
            </w:drawing>
          </w:r>
          <w:r>
            <w:rPr>
              <w:i/>
              <w:color w:val="A6A6A6" w:themeColor="background1" w:themeShade="A6"/>
            </w:rPr>
            <w:t xml:space="preserve"> </w:t>
          </w:r>
        </w:p>
      </w:tc>
      <w:tc>
        <w:tcPr>
          <w:tcW w:w="2233" w:type="dxa"/>
        </w:tcPr>
        <w:p w:rsidR="005F5A52" w:rsidRPr="00F80890" w:rsidRDefault="005F5A52" w:rsidP="00F80890">
          <w:pPr>
            <w:jc w:val="right"/>
            <w:rPr>
              <w:i/>
              <w:color w:val="A6A6A6" w:themeColor="background1" w:themeShade="A6"/>
              <w:sz w:val="16"/>
              <w:szCs w:val="16"/>
            </w:rPr>
          </w:pPr>
          <w:r>
            <w:rPr>
              <w:i/>
              <w:noProof/>
              <w:color w:val="A6A6A6" w:themeColor="background1" w:themeShade="A6"/>
              <w:lang w:eastAsia="en-AU"/>
            </w:rPr>
            <w:drawing>
              <wp:anchor distT="0" distB="0" distL="114300" distR="114300" simplePos="0" relativeHeight="251666432" behindDoc="0" locked="0" layoutInCell="1" allowOverlap="1">
                <wp:simplePos x="0" y="0"/>
                <wp:positionH relativeFrom="column">
                  <wp:posOffset>136525</wp:posOffset>
                </wp:positionH>
                <wp:positionV relativeFrom="paragraph">
                  <wp:posOffset>-27940</wp:posOffset>
                </wp:positionV>
                <wp:extent cx="1162050" cy="220583"/>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220583"/>
                        </a:xfrm>
                        <a:prstGeom prst="rect">
                          <a:avLst/>
                        </a:prstGeom>
                        <a:noFill/>
                        <a:ln>
                          <a:noFill/>
                        </a:ln>
                      </pic:spPr>
                    </pic:pic>
                  </a:graphicData>
                </a:graphic>
              </wp:anchor>
            </w:drawing>
          </w:r>
        </w:p>
      </w:tc>
    </w:tr>
  </w:tbl>
  <w:p w:rsidR="005F5A52" w:rsidRDefault="005F5A52"/>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5F5A52" w:rsidRPr="00F80890" w:rsidTr="00F80890">
      <w:tc>
        <w:tcPr>
          <w:tcW w:w="6487" w:type="dxa"/>
        </w:tcPr>
        <w:p w:rsidR="005F5A52" w:rsidRPr="00F80890" w:rsidRDefault="005F5A52" w:rsidP="00692D34">
          <w:pPr>
            <w:rPr>
              <w:i/>
              <w:color w:val="A6A6A6" w:themeColor="background1" w:themeShade="A6"/>
              <w:sz w:val="16"/>
              <w:szCs w:val="16"/>
            </w:rPr>
          </w:pPr>
          <w:r>
            <w:rPr>
              <w:i/>
              <w:color w:val="A6A6A6" w:themeColor="background1" w:themeShade="A6"/>
              <w:sz w:val="16"/>
              <w:szCs w:val="16"/>
            </w:rPr>
            <w:t>Department of the Environment</w:t>
          </w:r>
        </w:p>
        <w:p w:rsidR="005F5A52" w:rsidRPr="00F80890" w:rsidRDefault="005F5A52" w:rsidP="00692D34">
          <w:pPr>
            <w:rPr>
              <w:i/>
              <w:color w:val="A6A6A6" w:themeColor="background1" w:themeShade="A6"/>
            </w:rPr>
          </w:pPr>
          <w:r>
            <w:rPr>
              <w:i/>
              <w:color w:val="A6A6A6" w:themeColor="background1" w:themeShade="A6"/>
              <w:sz w:val="16"/>
              <w:szCs w:val="16"/>
            </w:rPr>
            <w:t>Estimate of the cost of hazardous waste in Australia</w:t>
          </w:r>
        </w:p>
      </w:tc>
      <w:tc>
        <w:tcPr>
          <w:tcW w:w="2233" w:type="dxa"/>
        </w:tcPr>
        <w:p w:rsidR="005F5A52" w:rsidRPr="00F80890" w:rsidRDefault="00732F35" w:rsidP="00F80890">
          <w:pPr>
            <w:jc w:val="right"/>
            <w:rPr>
              <w:i/>
              <w:color w:val="A6A6A6" w:themeColor="background1" w:themeShade="A6"/>
              <w:sz w:val="16"/>
              <w:szCs w:val="16"/>
            </w:rPr>
          </w:pPr>
          <w:r w:rsidRPr="00F80890">
            <w:rPr>
              <w:i/>
              <w:color w:val="A6A6A6" w:themeColor="background1" w:themeShade="A6"/>
              <w:sz w:val="16"/>
              <w:szCs w:val="16"/>
            </w:rPr>
            <w:fldChar w:fldCharType="begin"/>
          </w:r>
          <w:r w:rsidR="005F5A52"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195625">
            <w:rPr>
              <w:i/>
              <w:noProof/>
              <w:color w:val="A6A6A6" w:themeColor="background1" w:themeShade="A6"/>
              <w:sz w:val="16"/>
              <w:szCs w:val="16"/>
            </w:rPr>
            <w:t>44</w:t>
          </w:r>
          <w:r w:rsidRPr="00F80890">
            <w:rPr>
              <w:i/>
              <w:color w:val="A6A6A6" w:themeColor="background1" w:themeShade="A6"/>
              <w:sz w:val="16"/>
              <w:szCs w:val="16"/>
            </w:rPr>
            <w:fldChar w:fldCharType="end"/>
          </w:r>
          <w:r w:rsidR="005F5A52">
            <w:rPr>
              <w:i/>
              <w:color w:val="A6A6A6" w:themeColor="background1" w:themeShade="A6"/>
              <w:sz w:val="16"/>
              <w:szCs w:val="16"/>
            </w:rPr>
            <w:t>.</w:t>
          </w:r>
        </w:p>
      </w:tc>
    </w:tr>
  </w:tbl>
  <w:p w:rsidR="005F5A52" w:rsidRDefault="005F5A52"/>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4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15"/>
      <w:gridCol w:w="3688"/>
    </w:tblGrid>
    <w:tr w:rsidR="005F5A52" w:rsidRPr="00F80890" w:rsidTr="00C416D7">
      <w:trPr>
        <w:trHeight w:val="475"/>
      </w:trPr>
      <w:tc>
        <w:tcPr>
          <w:tcW w:w="10715" w:type="dxa"/>
        </w:tcPr>
        <w:p w:rsidR="005F5A52" w:rsidRPr="00F80890" w:rsidRDefault="005F5A52" w:rsidP="00692D34">
          <w:pPr>
            <w:rPr>
              <w:i/>
              <w:color w:val="A6A6A6" w:themeColor="background1" w:themeShade="A6"/>
              <w:sz w:val="16"/>
              <w:szCs w:val="16"/>
            </w:rPr>
          </w:pPr>
          <w:r>
            <w:rPr>
              <w:i/>
              <w:color w:val="A6A6A6" w:themeColor="background1" w:themeShade="A6"/>
              <w:sz w:val="16"/>
              <w:szCs w:val="16"/>
            </w:rPr>
            <w:t>Department of the Environment</w:t>
          </w:r>
        </w:p>
        <w:p w:rsidR="005F5A52" w:rsidRPr="00F80890" w:rsidRDefault="005F5A52" w:rsidP="00692D34">
          <w:pPr>
            <w:rPr>
              <w:i/>
              <w:color w:val="A6A6A6" w:themeColor="background1" w:themeShade="A6"/>
            </w:rPr>
          </w:pPr>
          <w:r>
            <w:rPr>
              <w:i/>
              <w:color w:val="A6A6A6" w:themeColor="background1" w:themeShade="A6"/>
              <w:sz w:val="16"/>
              <w:szCs w:val="16"/>
            </w:rPr>
            <w:t>Estimate of the cost of hazardous waste in Australia</w:t>
          </w:r>
        </w:p>
      </w:tc>
      <w:tc>
        <w:tcPr>
          <w:tcW w:w="3688" w:type="dxa"/>
        </w:tcPr>
        <w:p w:rsidR="005F5A52" w:rsidRPr="00F80890" w:rsidRDefault="00732F35" w:rsidP="00F80890">
          <w:pPr>
            <w:jc w:val="right"/>
            <w:rPr>
              <w:i/>
              <w:color w:val="A6A6A6" w:themeColor="background1" w:themeShade="A6"/>
              <w:sz w:val="16"/>
              <w:szCs w:val="16"/>
            </w:rPr>
          </w:pPr>
          <w:r w:rsidRPr="00F80890">
            <w:rPr>
              <w:i/>
              <w:color w:val="A6A6A6" w:themeColor="background1" w:themeShade="A6"/>
              <w:sz w:val="16"/>
              <w:szCs w:val="16"/>
            </w:rPr>
            <w:fldChar w:fldCharType="begin"/>
          </w:r>
          <w:r w:rsidR="005F5A52"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195625">
            <w:rPr>
              <w:i/>
              <w:noProof/>
              <w:color w:val="A6A6A6" w:themeColor="background1" w:themeShade="A6"/>
              <w:sz w:val="16"/>
              <w:szCs w:val="16"/>
            </w:rPr>
            <w:t>45</w:t>
          </w:r>
          <w:r w:rsidRPr="00F80890">
            <w:rPr>
              <w:i/>
              <w:color w:val="A6A6A6" w:themeColor="background1" w:themeShade="A6"/>
              <w:sz w:val="16"/>
              <w:szCs w:val="16"/>
            </w:rPr>
            <w:fldChar w:fldCharType="end"/>
          </w:r>
          <w:r w:rsidR="005F5A52">
            <w:rPr>
              <w:i/>
              <w:color w:val="A6A6A6" w:themeColor="background1" w:themeShade="A6"/>
              <w:sz w:val="16"/>
              <w:szCs w:val="16"/>
            </w:rPr>
            <w:t>.</w:t>
          </w:r>
        </w:p>
      </w:tc>
    </w:tr>
  </w:tbl>
  <w:p w:rsidR="005F5A52" w:rsidRDefault="005F5A52"/>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5F5A52" w:rsidRPr="00F80890" w:rsidTr="00F80890">
      <w:tc>
        <w:tcPr>
          <w:tcW w:w="6487" w:type="dxa"/>
        </w:tcPr>
        <w:p w:rsidR="005F5A52" w:rsidRPr="00F80890" w:rsidRDefault="005F5A52" w:rsidP="00692D34">
          <w:pPr>
            <w:rPr>
              <w:i/>
              <w:color w:val="A6A6A6" w:themeColor="background1" w:themeShade="A6"/>
              <w:sz w:val="16"/>
              <w:szCs w:val="16"/>
            </w:rPr>
          </w:pPr>
          <w:r>
            <w:rPr>
              <w:i/>
              <w:color w:val="A6A6A6" w:themeColor="background1" w:themeShade="A6"/>
              <w:sz w:val="16"/>
              <w:szCs w:val="16"/>
            </w:rPr>
            <w:t>Department of the Environment</w:t>
          </w:r>
        </w:p>
        <w:p w:rsidR="005F5A52" w:rsidRPr="00F80890" w:rsidRDefault="005F5A52" w:rsidP="00692D34">
          <w:pPr>
            <w:rPr>
              <w:i/>
              <w:color w:val="A6A6A6" w:themeColor="background1" w:themeShade="A6"/>
            </w:rPr>
          </w:pPr>
          <w:r>
            <w:rPr>
              <w:i/>
              <w:color w:val="A6A6A6" w:themeColor="background1" w:themeShade="A6"/>
              <w:sz w:val="16"/>
              <w:szCs w:val="16"/>
            </w:rPr>
            <w:t>Estimate of the cost of hazardous waste in Australia</w:t>
          </w:r>
        </w:p>
      </w:tc>
      <w:tc>
        <w:tcPr>
          <w:tcW w:w="2233" w:type="dxa"/>
        </w:tcPr>
        <w:p w:rsidR="005F5A52" w:rsidRPr="00F80890" w:rsidRDefault="00732F35" w:rsidP="00F80890">
          <w:pPr>
            <w:jc w:val="right"/>
            <w:rPr>
              <w:i/>
              <w:color w:val="A6A6A6" w:themeColor="background1" w:themeShade="A6"/>
              <w:sz w:val="16"/>
              <w:szCs w:val="16"/>
            </w:rPr>
          </w:pPr>
          <w:r w:rsidRPr="00F80890">
            <w:rPr>
              <w:i/>
              <w:color w:val="A6A6A6" w:themeColor="background1" w:themeShade="A6"/>
              <w:sz w:val="16"/>
              <w:szCs w:val="16"/>
            </w:rPr>
            <w:fldChar w:fldCharType="begin"/>
          </w:r>
          <w:r w:rsidR="005F5A52"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195625">
            <w:rPr>
              <w:i/>
              <w:noProof/>
              <w:color w:val="A6A6A6" w:themeColor="background1" w:themeShade="A6"/>
              <w:sz w:val="16"/>
              <w:szCs w:val="16"/>
            </w:rPr>
            <w:t>51</w:t>
          </w:r>
          <w:r w:rsidRPr="00F80890">
            <w:rPr>
              <w:i/>
              <w:color w:val="A6A6A6" w:themeColor="background1" w:themeShade="A6"/>
              <w:sz w:val="16"/>
              <w:szCs w:val="16"/>
            </w:rPr>
            <w:fldChar w:fldCharType="end"/>
          </w:r>
          <w:r w:rsidR="005F5A52">
            <w:rPr>
              <w:i/>
              <w:color w:val="A6A6A6" w:themeColor="background1" w:themeShade="A6"/>
              <w:sz w:val="16"/>
              <w:szCs w:val="16"/>
            </w:rPr>
            <w:t>.</w:t>
          </w:r>
        </w:p>
      </w:tc>
    </w:tr>
  </w:tbl>
  <w:p w:rsidR="005F5A52" w:rsidRDefault="005F5A5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5F5A52" w:rsidRPr="00F80890" w:rsidTr="00F80890">
      <w:tc>
        <w:tcPr>
          <w:tcW w:w="6487" w:type="dxa"/>
        </w:tcPr>
        <w:p w:rsidR="005F5A52" w:rsidRPr="00F80890" w:rsidRDefault="005F5A52">
          <w:pPr>
            <w:rPr>
              <w:i/>
              <w:color w:val="A6A6A6" w:themeColor="background1" w:themeShade="A6"/>
            </w:rPr>
          </w:pPr>
        </w:p>
      </w:tc>
      <w:tc>
        <w:tcPr>
          <w:tcW w:w="2233" w:type="dxa"/>
        </w:tcPr>
        <w:p w:rsidR="005F5A52" w:rsidRPr="00F80890" w:rsidRDefault="005F5A52" w:rsidP="00F80890">
          <w:pPr>
            <w:jc w:val="right"/>
            <w:rPr>
              <w:i/>
              <w:color w:val="A6A6A6" w:themeColor="background1" w:themeShade="A6"/>
              <w:sz w:val="16"/>
              <w:szCs w:val="16"/>
            </w:rPr>
          </w:pPr>
        </w:p>
      </w:tc>
    </w:tr>
  </w:tbl>
  <w:p w:rsidR="005F5A52" w:rsidRDefault="005F5A5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5F5A52" w:rsidRPr="00F80890" w:rsidTr="00F80890">
      <w:tc>
        <w:tcPr>
          <w:tcW w:w="6487" w:type="dxa"/>
        </w:tcPr>
        <w:p w:rsidR="005F5A52" w:rsidRPr="00F80890" w:rsidRDefault="005F5A52" w:rsidP="00692D34">
          <w:pPr>
            <w:rPr>
              <w:i/>
              <w:color w:val="A6A6A6" w:themeColor="background1" w:themeShade="A6"/>
              <w:sz w:val="16"/>
              <w:szCs w:val="16"/>
            </w:rPr>
          </w:pPr>
          <w:r>
            <w:rPr>
              <w:i/>
              <w:color w:val="A6A6A6" w:themeColor="background1" w:themeShade="A6"/>
              <w:sz w:val="16"/>
              <w:szCs w:val="16"/>
            </w:rPr>
            <w:t>Department of the Environment</w:t>
          </w:r>
        </w:p>
        <w:p w:rsidR="005F5A52" w:rsidRPr="00F80890" w:rsidRDefault="005F5A52" w:rsidP="00692D34">
          <w:pPr>
            <w:rPr>
              <w:i/>
              <w:color w:val="A6A6A6" w:themeColor="background1" w:themeShade="A6"/>
            </w:rPr>
          </w:pPr>
          <w:r>
            <w:rPr>
              <w:i/>
              <w:color w:val="A6A6A6" w:themeColor="background1" w:themeShade="A6"/>
              <w:sz w:val="16"/>
              <w:szCs w:val="16"/>
            </w:rPr>
            <w:t>Estimate of the cost of hazardous waste in Australia</w:t>
          </w:r>
        </w:p>
      </w:tc>
      <w:tc>
        <w:tcPr>
          <w:tcW w:w="2233" w:type="dxa"/>
        </w:tcPr>
        <w:p w:rsidR="005F5A52" w:rsidRPr="00F80890" w:rsidRDefault="00732F35" w:rsidP="00F80890">
          <w:pPr>
            <w:jc w:val="right"/>
            <w:rPr>
              <w:i/>
              <w:color w:val="A6A6A6" w:themeColor="background1" w:themeShade="A6"/>
              <w:sz w:val="16"/>
              <w:szCs w:val="16"/>
            </w:rPr>
          </w:pPr>
          <w:r w:rsidRPr="00F80890">
            <w:rPr>
              <w:i/>
              <w:color w:val="A6A6A6" w:themeColor="background1" w:themeShade="A6"/>
              <w:sz w:val="16"/>
              <w:szCs w:val="16"/>
            </w:rPr>
            <w:fldChar w:fldCharType="begin"/>
          </w:r>
          <w:r w:rsidR="005F5A52"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195625">
            <w:rPr>
              <w:i/>
              <w:noProof/>
              <w:color w:val="A6A6A6" w:themeColor="background1" w:themeShade="A6"/>
              <w:sz w:val="16"/>
              <w:szCs w:val="16"/>
            </w:rPr>
            <w:t>11</w:t>
          </w:r>
          <w:r w:rsidRPr="00F80890">
            <w:rPr>
              <w:i/>
              <w:color w:val="A6A6A6" w:themeColor="background1" w:themeShade="A6"/>
              <w:sz w:val="16"/>
              <w:szCs w:val="16"/>
            </w:rPr>
            <w:fldChar w:fldCharType="end"/>
          </w:r>
          <w:r w:rsidR="005F5A52">
            <w:rPr>
              <w:i/>
              <w:color w:val="A6A6A6" w:themeColor="background1" w:themeShade="A6"/>
              <w:sz w:val="16"/>
              <w:szCs w:val="16"/>
            </w:rPr>
            <w:t>.</w:t>
          </w:r>
        </w:p>
      </w:tc>
    </w:tr>
  </w:tbl>
  <w:p w:rsidR="005F5A52" w:rsidRDefault="005F5A5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76"/>
      <w:gridCol w:w="3606"/>
    </w:tblGrid>
    <w:tr w:rsidR="005F5A52" w:rsidRPr="00F80890" w:rsidTr="00EB41EE">
      <w:trPr>
        <w:trHeight w:val="452"/>
      </w:trPr>
      <w:tc>
        <w:tcPr>
          <w:tcW w:w="10476" w:type="dxa"/>
        </w:tcPr>
        <w:p w:rsidR="005F5A52" w:rsidRPr="00F80890" w:rsidRDefault="005F5A52" w:rsidP="00692D34">
          <w:pPr>
            <w:rPr>
              <w:i/>
              <w:color w:val="A6A6A6" w:themeColor="background1" w:themeShade="A6"/>
              <w:sz w:val="16"/>
              <w:szCs w:val="16"/>
            </w:rPr>
          </w:pPr>
          <w:r>
            <w:rPr>
              <w:i/>
              <w:color w:val="A6A6A6" w:themeColor="background1" w:themeShade="A6"/>
              <w:sz w:val="16"/>
              <w:szCs w:val="16"/>
            </w:rPr>
            <w:t>Department of the Environment</w:t>
          </w:r>
        </w:p>
        <w:p w:rsidR="005F5A52" w:rsidRPr="00F80890" w:rsidRDefault="005F5A52" w:rsidP="00692D34">
          <w:pPr>
            <w:rPr>
              <w:i/>
              <w:color w:val="A6A6A6" w:themeColor="background1" w:themeShade="A6"/>
            </w:rPr>
          </w:pPr>
          <w:r>
            <w:rPr>
              <w:i/>
              <w:color w:val="A6A6A6" w:themeColor="background1" w:themeShade="A6"/>
              <w:sz w:val="16"/>
              <w:szCs w:val="16"/>
            </w:rPr>
            <w:t>Estimate of the cost of hazardous waste in Australia</w:t>
          </w:r>
        </w:p>
      </w:tc>
      <w:tc>
        <w:tcPr>
          <w:tcW w:w="3606" w:type="dxa"/>
        </w:tcPr>
        <w:p w:rsidR="005F5A52" w:rsidRPr="00F80890" w:rsidRDefault="00732F35" w:rsidP="00F80890">
          <w:pPr>
            <w:jc w:val="right"/>
            <w:rPr>
              <w:i/>
              <w:color w:val="A6A6A6" w:themeColor="background1" w:themeShade="A6"/>
              <w:sz w:val="16"/>
              <w:szCs w:val="16"/>
            </w:rPr>
          </w:pPr>
          <w:r w:rsidRPr="00F80890">
            <w:rPr>
              <w:i/>
              <w:color w:val="A6A6A6" w:themeColor="background1" w:themeShade="A6"/>
              <w:sz w:val="16"/>
              <w:szCs w:val="16"/>
            </w:rPr>
            <w:fldChar w:fldCharType="begin"/>
          </w:r>
          <w:r w:rsidR="005F5A52"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195625">
            <w:rPr>
              <w:i/>
              <w:noProof/>
              <w:color w:val="A6A6A6" w:themeColor="background1" w:themeShade="A6"/>
              <w:sz w:val="16"/>
              <w:szCs w:val="16"/>
            </w:rPr>
            <w:t>12</w:t>
          </w:r>
          <w:r w:rsidRPr="00F80890">
            <w:rPr>
              <w:i/>
              <w:color w:val="A6A6A6" w:themeColor="background1" w:themeShade="A6"/>
              <w:sz w:val="16"/>
              <w:szCs w:val="16"/>
            </w:rPr>
            <w:fldChar w:fldCharType="end"/>
          </w:r>
          <w:r w:rsidR="005F5A52">
            <w:rPr>
              <w:i/>
              <w:color w:val="A6A6A6" w:themeColor="background1" w:themeShade="A6"/>
              <w:sz w:val="16"/>
              <w:szCs w:val="16"/>
            </w:rPr>
            <w:t>.</w:t>
          </w:r>
        </w:p>
      </w:tc>
    </w:tr>
  </w:tbl>
  <w:p w:rsidR="005F5A52" w:rsidRDefault="005F5A5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5F5A52" w:rsidRPr="00F80890" w:rsidTr="00F80890">
      <w:tc>
        <w:tcPr>
          <w:tcW w:w="6487" w:type="dxa"/>
        </w:tcPr>
        <w:p w:rsidR="005F5A52" w:rsidRPr="00F80890" w:rsidRDefault="005F5A52" w:rsidP="00692D34">
          <w:pPr>
            <w:rPr>
              <w:i/>
              <w:color w:val="A6A6A6" w:themeColor="background1" w:themeShade="A6"/>
              <w:sz w:val="16"/>
              <w:szCs w:val="16"/>
            </w:rPr>
          </w:pPr>
          <w:r>
            <w:rPr>
              <w:i/>
              <w:color w:val="A6A6A6" w:themeColor="background1" w:themeShade="A6"/>
              <w:sz w:val="16"/>
              <w:szCs w:val="16"/>
            </w:rPr>
            <w:t>Department of the Environment</w:t>
          </w:r>
        </w:p>
        <w:p w:rsidR="005F5A52" w:rsidRPr="00F80890" w:rsidRDefault="005F5A52" w:rsidP="00692D34">
          <w:pPr>
            <w:rPr>
              <w:i/>
              <w:color w:val="A6A6A6" w:themeColor="background1" w:themeShade="A6"/>
            </w:rPr>
          </w:pPr>
          <w:r>
            <w:rPr>
              <w:i/>
              <w:color w:val="A6A6A6" w:themeColor="background1" w:themeShade="A6"/>
              <w:sz w:val="16"/>
              <w:szCs w:val="16"/>
            </w:rPr>
            <w:t>Estimate of the cost of hazardous waste in Australia</w:t>
          </w:r>
        </w:p>
      </w:tc>
      <w:tc>
        <w:tcPr>
          <w:tcW w:w="2233" w:type="dxa"/>
        </w:tcPr>
        <w:p w:rsidR="005F5A52" w:rsidRPr="00F80890" w:rsidRDefault="00732F35" w:rsidP="00F80890">
          <w:pPr>
            <w:jc w:val="right"/>
            <w:rPr>
              <w:i/>
              <w:color w:val="A6A6A6" w:themeColor="background1" w:themeShade="A6"/>
              <w:sz w:val="16"/>
              <w:szCs w:val="16"/>
            </w:rPr>
          </w:pPr>
          <w:r w:rsidRPr="00F80890">
            <w:rPr>
              <w:i/>
              <w:color w:val="A6A6A6" w:themeColor="background1" w:themeShade="A6"/>
              <w:sz w:val="16"/>
              <w:szCs w:val="16"/>
            </w:rPr>
            <w:fldChar w:fldCharType="begin"/>
          </w:r>
          <w:r w:rsidR="005F5A52"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195625">
            <w:rPr>
              <w:i/>
              <w:noProof/>
              <w:color w:val="A6A6A6" w:themeColor="background1" w:themeShade="A6"/>
              <w:sz w:val="16"/>
              <w:szCs w:val="16"/>
            </w:rPr>
            <w:t>18</w:t>
          </w:r>
          <w:r w:rsidRPr="00F80890">
            <w:rPr>
              <w:i/>
              <w:color w:val="A6A6A6" w:themeColor="background1" w:themeShade="A6"/>
              <w:sz w:val="16"/>
              <w:szCs w:val="16"/>
            </w:rPr>
            <w:fldChar w:fldCharType="end"/>
          </w:r>
          <w:r w:rsidR="005F5A52">
            <w:rPr>
              <w:i/>
              <w:color w:val="A6A6A6" w:themeColor="background1" w:themeShade="A6"/>
              <w:sz w:val="16"/>
              <w:szCs w:val="16"/>
            </w:rPr>
            <w:t>.</w:t>
          </w:r>
        </w:p>
      </w:tc>
    </w:tr>
  </w:tbl>
  <w:p w:rsidR="005F5A52" w:rsidRDefault="005F5A52"/>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4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18"/>
      <w:gridCol w:w="3689"/>
    </w:tblGrid>
    <w:tr w:rsidR="005F5A52" w:rsidRPr="00F80890" w:rsidTr="00F96658">
      <w:trPr>
        <w:trHeight w:val="465"/>
      </w:trPr>
      <w:tc>
        <w:tcPr>
          <w:tcW w:w="10718" w:type="dxa"/>
        </w:tcPr>
        <w:p w:rsidR="005F5A52" w:rsidRPr="00F80890" w:rsidRDefault="005F5A52" w:rsidP="00692D34">
          <w:pPr>
            <w:rPr>
              <w:i/>
              <w:color w:val="A6A6A6" w:themeColor="background1" w:themeShade="A6"/>
              <w:sz w:val="16"/>
              <w:szCs w:val="16"/>
            </w:rPr>
          </w:pPr>
          <w:r>
            <w:rPr>
              <w:i/>
              <w:color w:val="A6A6A6" w:themeColor="background1" w:themeShade="A6"/>
              <w:sz w:val="16"/>
              <w:szCs w:val="16"/>
            </w:rPr>
            <w:t>Department of the Environment</w:t>
          </w:r>
        </w:p>
        <w:p w:rsidR="005F5A52" w:rsidRPr="00F80890" w:rsidRDefault="005F5A52" w:rsidP="00692D34">
          <w:pPr>
            <w:rPr>
              <w:i/>
              <w:color w:val="A6A6A6" w:themeColor="background1" w:themeShade="A6"/>
            </w:rPr>
          </w:pPr>
          <w:r>
            <w:rPr>
              <w:i/>
              <w:color w:val="A6A6A6" w:themeColor="background1" w:themeShade="A6"/>
              <w:sz w:val="16"/>
              <w:szCs w:val="16"/>
            </w:rPr>
            <w:t>Estimate of the cost of hazardous waste in Australia</w:t>
          </w:r>
        </w:p>
      </w:tc>
      <w:tc>
        <w:tcPr>
          <w:tcW w:w="3689" w:type="dxa"/>
        </w:tcPr>
        <w:p w:rsidR="005F5A52" w:rsidRPr="00F80890" w:rsidRDefault="00732F35" w:rsidP="00F80890">
          <w:pPr>
            <w:jc w:val="right"/>
            <w:rPr>
              <w:i/>
              <w:color w:val="A6A6A6" w:themeColor="background1" w:themeShade="A6"/>
              <w:sz w:val="16"/>
              <w:szCs w:val="16"/>
            </w:rPr>
          </w:pPr>
          <w:r w:rsidRPr="00F80890">
            <w:rPr>
              <w:i/>
              <w:color w:val="A6A6A6" w:themeColor="background1" w:themeShade="A6"/>
              <w:sz w:val="16"/>
              <w:szCs w:val="16"/>
            </w:rPr>
            <w:fldChar w:fldCharType="begin"/>
          </w:r>
          <w:r w:rsidR="005F5A52"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195625">
            <w:rPr>
              <w:i/>
              <w:noProof/>
              <w:color w:val="A6A6A6" w:themeColor="background1" w:themeShade="A6"/>
              <w:sz w:val="16"/>
              <w:szCs w:val="16"/>
            </w:rPr>
            <w:t>19</w:t>
          </w:r>
          <w:r w:rsidRPr="00F80890">
            <w:rPr>
              <w:i/>
              <w:color w:val="A6A6A6" w:themeColor="background1" w:themeShade="A6"/>
              <w:sz w:val="16"/>
              <w:szCs w:val="16"/>
            </w:rPr>
            <w:fldChar w:fldCharType="end"/>
          </w:r>
          <w:r w:rsidR="005F5A52">
            <w:rPr>
              <w:i/>
              <w:color w:val="A6A6A6" w:themeColor="background1" w:themeShade="A6"/>
              <w:sz w:val="16"/>
              <w:szCs w:val="16"/>
            </w:rPr>
            <w:t>.</w:t>
          </w:r>
        </w:p>
      </w:tc>
    </w:tr>
  </w:tbl>
  <w:p w:rsidR="005F5A52" w:rsidRDefault="005F5A52"/>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5F5A52" w:rsidRPr="00F80890" w:rsidTr="00F80890">
      <w:tc>
        <w:tcPr>
          <w:tcW w:w="6487" w:type="dxa"/>
        </w:tcPr>
        <w:p w:rsidR="005F5A52" w:rsidRPr="00F80890" w:rsidRDefault="005F5A52" w:rsidP="00692D34">
          <w:pPr>
            <w:rPr>
              <w:i/>
              <w:color w:val="A6A6A6" w:themeColor="background1" w:themeShade="A6"/>
              <w:sz w:val="16"/>
              <w:szCs w:val="16"/>
            </w:rPr>
          </w:pPr>
          <w:r>
            <w:rPr>
              <w:i/>
              <w:color w:val="A6A6A6" w:themeColor="background1" w:themeShade="A6"/>
              <w:sz w:val="16"/>
              <w:szCs w:val="16"/>
            </w:rPr>
            <w:t>Department of the Environment</w:t>
          </w:r>
        </w:p>
        <w:p w:rsidR="005F5A52" w:rsidRPr="00F80890" w:rsidRDefault="005F5A52" w:rsidP="00692D34">
          <w:pPr>
            <w:rPr>
              <w:i/>
              <w:color w:val="A6A6A6" w:themeColor="background1" w:themeShade="A6"/>
            </w:rPr>
          </w:pPr>
          <w:r>
            <w:rPr>
              <w:i/>
              <w:color w:val="A6A6A6" w:themeColor="background1" w:themeShade="A6"/>
              <w:sz w:val="16"/>
              <w:szCs w:val="16"/>
            </w:rPr>
            <w:t>Estimate of the cost of hazardous waste in Australia</w:t>
          </w:r>
        </w:p>
      </w:tc>
      <w:tc>
        <w:tcPr>
          <w:tcW w:w="2233" w:type="dxa"/>
        </w:tcPr>
        <w:p w:rsidR="005F5A52" w:rsidRPr="00F80890" w:rsidRDefault="00732F35" w:rsidP="00F80890">
          <w:pPr>
            <w:jc w:val="right"/>
            <w:rPr>
              <w:i/>
              <w:color w:val="A6A6A6" w:themeColor="background1" w:themeShade="A6"/>
              <w:sz w:val="16"/>
              <w:szCs w:val="16"/>
            </w:rPr>
          </w:pPr>
          <w:r w:rsidRPr="00F80890">
            <w:rPr>
              <w:i/>
              <w:color w:val="A6A6A6" w:themeColor="background1" w:themeShade="A6"/>
              <w:sz w:val="16"/>
              <w:szCs w:val="16"/>
            </w:rPr>
            <w:fldChar w:fldCharType="begin"/>
          </w:r>
          <w:r w:rsidR="005F5A52"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195625">
            <w:rPr>
              <w:i/>
              <w:noProof/>
              <w:color w:val="A6A6A6" w:themeColor="background1" w:themeShade="A6"/>
              <w:sz w:val="16"/>
              <w:szCs w:val="16"/>
            </w:rPr>
            <w:t>20</w:t>
          </w:r>
          <w:r w:rsidRPr="00F80890">
            <w:rPr>
              <w:i/>
              <w:color w:val="A6A6A6" w:themeColor="background1" w:themeShade="A6"/>
              <w:sz w:val="16"/>
              <w:szCs w:val="16"/>
            </w:rPr>
            <w:fldChar w:fldCharType="end"/>
          </w:r>
          <w:r w:rsidR="005F5A52">
            <w:rPr>
              <w:i/>
              <w:color w:val="A6A6A6" w:themeColor="background1" w:themeShade="A6"/>
              <w:sz w:val="16"/>
              <w:szCs w:val="16"/>
            </w:rPr>
            <w:t>.</w:t>
          </w:r>
        </w:p>
      </w:tc>
    </w:tr>
  </w:tbl>
  <w:p w:rsidR="005F5A52" w:rsidRDefault="005F5A52"/>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4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19"/>
      <w:gridCol w:w="3828"/>
    </w:tblGrid>
    <w:tr w:rsidR="005F5A52" w:rsidRPr="00F80890" w:rsidTr="00991F83">
      <w:trPr>
        <w:trHeight w:val="465"/>
      </w:trPr>
      <w:tc>
        <w:tcPr>
          <w:tcW w:w="11119" w:type="dxa"/>
        </w:tcPr>
        <w:p w:rsidR="005F5A52" w:rsidRPr="00F80890" w:rsidRDefault="005F5A52" w:rsidP="00692D34">
          <w:pPr>
            <w:rPr>
              <w:i/>
              <w:color w:val="A6A6A6" w:themeColor="background1" w:themeShade="A6"/>
              <w:sz w:val="16"/>
              <w:szCs w:val="16"/>
            </w:rPr>
          </w:pPr>
          <w:r>
            <w:rPr>
              <w:i/>
              <w:color w:val="A6A6A6" w:themeColor="background1" w:themeShade="A6"/>
              <w:sz w:val="16"/>
              <w:szCs w:val="16"/>
            </w:rPr>
            <w:t>Department of the Environment</w:t>
          </w:r>
        </w:p>
        <w:p w:rsidR="005F5A52" w:rsidRPr="00F80890" w:rsidRDefault="005F5A52" w:rsidP="00692D34">
          <w:pPr>
            <w:rPr>
              <w:i/>
              <w:color w:val="A6A6A6" w:themeColor="background1" w:themeShade="A6"/>
            </w:rPr>
          </w:pPr>
          <w:r>
            <w:rPr>
              <w:i/>
              <w:color w:val="A6A6A6" w:themeColor="background1" w:themeShade="A6"/>
              <w:sz w:val="16"/>
              <w:szCs w:val="16"/>
            </w:rPr>
            <w:t>Estimate of the cost of hazardous waste in Australia</w:t>
          </w:r>
        </w:p>
      </w:tc>
      <w:tc>
        <w:tcPr>
          <w:tcW w:w="3828" w:type="dxa"/>
        </w:tcPr>
        <w:p w:rsidR="005F5A52" w:rsidRPr="00F80890" w:rsidRDefault="00732F35" w:rsidP="00F80890">
          <w:pPr>
            <w:jc w:val="right"/>
            <w:rPr>
              <w:i/>
              <w:color w:val="A6A6A6" w:themeColor="background1" w:themeShade="A6"/>
              <w:sz w:val="16"/>
              <w:szCs w:val="16"/>
            </w:rPr>
          </w:pPr>
          <w:r w:rsidRPr="00F80890">
            <w:rPr>
              <w:i/>
              <w:color w:val="A6A6A6" w:themeColor="background1" w:themeShade="A6"/>
              <w:sz w:val="16"/>
              <w:szCs w:val="16"/>
            </w:rPr>
            <w:fldChar w:fldCharType="begin"/>
          </w:r>
          <w:r w:rsidR="005F5A52"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195625">
            <w:rPr>
              <w:i/>
              <w:noProof/>
              <w:color w:val="A6A6A6" w:themeColor="background1" w:themeShade="A6"/>
              <w:sz w:val="16"/>
              <w:szCs w:val="16"/>
            </w:rPr>
            <w:t>26</w:t>
          </w:r>
          <w:r w:rsidRPr="00F80890">
            <w:rPr>
              <w:i/>
              <w:color w:val="A6A6A6" w:themeColor="background1" w:themeShade="A6"/>
              <w:sz w:val="16"/>
              <w:szCs w:val="16"/>
            </w:rPr>
            <w:fldChar w:fldCharType="end"/>
          </w:r>
          <w:r w:rsidR="005F5A52">
            <w:rPr>
              <w:i/>
              <w:color w:val="A6A6A6" w:themeColor="background1" w:themeShade="A6"/>
              <w:sz w:val="16"/>
              <w:szCs w:val="16"/>
            </w:rPr>
            <w:t>.</w:t>
          </w:r>
        </w:p>
      </w:tc>
    </w:tr>
  </w:tbl>
  <w:p w:rsidR="005F5A52" w:rsidRDefault="005F5A52"/>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5F5A52" w:rsidRPr="00F80890" w:rsidTr="00F80890">
      <w:tc>
        <w:tcPr>
          <w:tcW w:w="6487" w:type="dxa"/>
        </w:tcPr>
        <w:p w:rsidR="005F5A52" w:rsidRPr="00F80890" w:rsidRDefault="005F5A52" w:rsidP="00692D34">
          <w:pPr>
            <w:rPr>
              <w:i/>
              <w:color w:val="A6A6A6" w:themeColor="background1" w:themeShade="A6"/>
              <w:sz w:val="16"/>
              <w:szCs w:val="16"/>
            </w:rPr>
          </w:pPr>
          <w:r>
            <w:rPr>
              <w:i/>
              <w:color w:val="A6A6A6" w:themeColor="background1" w:themeShade="A6"/>
              <w:sz w:val="16"/>
              <w:szCs w:val="16"/>
            </w:rPr>
            <w:t>Department of the Environment</w:t>
          </w:r>
        </w:p>
        <w:p w:rsidR="005F5A52" w:rsidRPr="00F80890" w:rsidRDefault="005F5A52" w:rsidP="00692D34">
          <w:pPr>
            <w:rPr>
              <w:i/>
              <w:color w:val="A6A6A6" w:themeColor="background1" w:themeShade="A6"/>
            </w:rPr>
          </w:pPr>
          <w:r>
            <w:rPr>
              <w:i/>
              <w:color w:val="A6A6A6" w:themeColor="background1" w:themeShade="A6"/>
              <w:sz w:val="16"/>
              <w:szCs w:val="16"/>
            </w:rPr>
            <w:t>Estimate of the cost of hazardous waste in Australia</w:t>
          </w:r>
        </w:p>
      </w:tc>
      <w:tc>
        <w:tcPr>
          <w:tcW w:w="2233" w:type="dxa"/>
        </w:tcPr>
        <w:p w:rsidR="005F5A52" w:rsidRPr="00F80890" w:rsidRDefault="00732F35" w:rsidP="00F80890">
          <w:pPr>
            <w:jc w:val="right"/>
            <w:rPr>
              <w:i/>
              <w:color w:val="A6A6A6" w:themeColor="background1" w:themeShade="A6"/>
              <w:sz w:val="16"/>
              <w:szCs w:val="16"/>
            </w:rPr>
          </w:pPr>
          <w:r w:rsidRPr="00F80890">
            <w:rPr>
              <w:i/>
              <w:color w:val="A6A6A6" w:themeColor="background1" w:themeShade="A6"/>
              <w:sz w:val="16"/>
              <w:szCs w:val="16"/>
            </w:rPr>
            <w:fldChar w:fldCharType="begin"/>
          </w:r>
          <w:r w:rsidR="005F5A52"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195625">
            <w:rPr>
              <w:i/>
              <w:noProof/>
              <w:color w:val="A6A6A6" w:themeColor="background1" w:themeShade="A6"/>
              <w:sz w:val="16"/>
              <w:szCs w:val="16"/>
            </w:rPr>
            <w:t>29</w:t>
          </w:r>
          <w:r w:rsidRPr="00F80890">
            <w:rPr>
              <w:i/>
              <w:color w:val="A6A6A6" w:themeColor="background1" w:themeShade="A6"/>
              <w:sz w:val="16"/>
              <w:szCs w:val="16"/>
            </w:rPr>
            <w:fldChar w:fldCharType="end"/>
          </w:r>
          <w:r w:rsidR="005F5A52">
            <w:rPr>
              <w:i/>
              <w:color w:val="A6A6A6" w:themeColor="background1" w:themeShade="A6"/>
              <w:sz w:val="16"/>
              <w:szCs w:val="16"/>
            </w:rPr>
            <w:t>.</w:t>
          </w:r>
        </w:p>
      </w:tc>
    </w:tr>
  </w:tbl>
  <w:p w:rsidR="005F5A52" w:rsidRDefault="005F5A5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A52" w:rsidRDefault="005F5A52" w:rsidP="00F80890">
      <w:pPr>
        <w:spacing w:after="0" w:line="240" w:lineRule="auto"/>
      </w:pPr>
      <w:r>
        <w:separator/>
      </w:r>
    </w:p>
  </w:footnote>
  <w:footnote w:type="continuationSeparator" w:id="0">
    <w:p w:rsidR="005F5A52" w:rsidRDefault="005F5A52" w:rsidP="00F80890">
      <w:pPr>
        <w:spacing w:after="0" w:line="240" w:lineRule="auto"/>
      </w:pPr>
      <w:r>
        <w:continuationSeparator/>
      </w:r>
    </w:p>
  </w:footnote>
  <w:footnote w:id="1">
    <w:p w:rsidR="005F5A52" w:rsidRDefault="005F5A52" w:rsidP="009341B3">
      <w:pPr>
        <w:pStyle w:val="FootnoteText"/>
      </w:pPr>
      <w:r>
        <w:rPr>
          <w:rStyle w:val="FootnoteReference"/>
        </w:rPr>
        <w:footnoteRef/>
      </w:r>
      <w:r>
        <w:t xml:space="preserve"> </w:t>
      </w:r>
      <w:r>
        <w:tab/>
        <w:t xml:space="preserve">It is expected that these </w:t>
      </w:r>
      <w:r w:rsidRPr="00E87B7C">
        <w:t>costs will be reflected in the charges for those activities</w:t>
      </w:r>
      <w:r>
        <w:t xml:space="preserve">. </w:t>
      </w:r>
    </w:p>
  </w:footnote>
  <w:footnote w:id="2">
    <w:p w:rsidR="005F5A52" w:rsidRDefault="005F5A52" w:rsidP="009341B3">
      <w:pPr>
        <w:pStyle w:val="FootnoteText"/>
      </w:pPr>
      <w:r>
        <w:rPr>
          <w:rStyle w:val="FootnoteReference"/>
        </w:rPr>
        <w:footnoteRef/>
      </w:r>
      <w:r>
        <w:t xml:space="preserve"> </w:t>
      </w:r>
      <w:r>
        <w:tab/>
        <w:t>Unpublished, containing in-confidence information.</w:t>
      </w:r>
    </w:p>
  </w:footnote>
  <w:footnote w:id="3">
    <w:p w:rsidR="005F5A52" w:rsidRDefault="005F5A52" w:rsidP="009341B3">
      <w:pPr>
        <w:pStyle w:val="FootnoteText"/>
      </w:pPr>
      <w:r>
        <w:rPr>
          <w:rStyle w:val="FootnoteReference"/>
        </w:rPr>
        <w:footnoteRef/>
      </w:r>
      <w:r>
        <w:t xml:space="preserve"> </w:t>
      </w:r>
      <w:r w:rsidR="00560F07">
        <w:tab/>
      </w:r>
      <w:r>
        <w:t xml:space="preserve">Assuming landfill levies represent approximately 10-20% of all compliance costs. </w:t>
      </w:r>
    </w:p>
  </w:footnote>
  <w:footnote w:id="4">
    <w:p w:rsidR="005F5A52" w:rsidRDefault="005F5A52">
      <w:pPr>
        <w:pStyle w:val="FootnoteText"/>
      </w:pPr>
      <w:r>
        <w:rPr>
          <w:rStyle w:val="FootnoteReference"/>
        </w:rPr>
        <w:footnoteRef/>
      </w:r>
      <w:r>
        <w:t xml:space="preserve"> </w:t>
      </w:r>
      <w:r>
        <w:tab/>
        <w:t>T</w:t>
      </w:r>
      <w:r w:rsidRPr="008E5D89">
        <w:t>he 2012 calendar year was chosen, as this period had the latest, comprehensive, waste generation data available.</w:t>
      </w:r>
    </w:p>
  </w:footnote>
  <w:footnote w:id="5">
    <w:p w:rsidR="005F5A52" w:rsidRDefault="005F5A52">
      <w:pPr>
        <w:pStyle w:val="FootnoteText"/>
      </w:pPr>
      <w:r>
        <w:rPr>
          <w:rStyle w:val="FootnoteReference"/>
        </w:rPr>
        <w:footnoteRef/>
      </w:r>
      <w:r>
        <w:t xml:space="preserve"> </w:t>
      </w:r>
      <w:r>
        <w:tab/>
        <w:t xml:space="preserve">All cost estimates discussed in this section are based on data provided through consultations with industry and jurisdictional stakeholders unless otherwise stated. </w:t>
      </w:r>
    </w:p>
  </w:footnote>
  <w:footnote w:id="6">
    <w:p w:rsidR="00B93483" w:rsidRDefault="00B93483">
      <w:pPr>
        <w:pStyle w:val="FootnoteText"/>
      </w:pPr>
      <w:r>
        <w:rPr>
          <w:rStyle w:val="FootnoteReference"/>
        </w:rPr>
        <w:footnoteRef/>
      </w:r>
      <w:r>
        <w:t xml:space="preserve"> </w:t>
      </w:r>
      <w:r>
        <w:tab/>
        <w:t>Note the costs associated with greenhouse gas emissions and other pollutants produced by the treatment and transport of hazardous waste were not assessed for this study but are estimated to be minor.</w:t>
      </w:r>
    </w:p>
  </w:footnote>
  <w:footnote w:id="7">
    <w:p w:rsidR="005F5A52" w:rsidRDefault="005F5A52">
      <w:pPr>
        <w:pStyle w:val="FootnoteText"/>
      </w:pPr>
      <w:r>
        <w:rPr>
          <w:rStyle w:val="FootnoteReference"/>
        </w:rPr>
        <w:footnoteRef/>
      </w:r>
      <w:r>
        <w:t xml:space="preserve"> </w:t>
      </w:r>
      <w:r>
        <w:tab/>
        <w:t xml:space="preserve">The </w:t>
      </w:r>
      <w:r w:rsidRPr="0041105E">
        <w:t>hedonic pricing method is used to estimate economic values for environmental services that directly affect market prices.  It is most commonly applied to variations in housing prices that reflect the value of local environmental attributes</w:t>
      </w:r>
      <w:r>
        <w:t>, either positive or (in the case of landfills) negative</w:t>
      </w:r>
      <w:r w:rsidRPr="0041105E">
        <w:t>.</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52" w:rsidRDefault="005F5A52">
    <w:r w:rsidRPr="00426980">
      <w:rPr>
        <w:noProof/>
        <w:lang w:eastAsia="en-AU"/>
      </w:rPr>
      <w:drawing>
        <wp:anchor distT="0" distB="0" distL="114300" distR="114300" simplePos="0" relativeHeight="251665408" behindDoc="0" locked="0" layoutInCell="1" allowOverlap="1">
          <wp:simplePos x="0" y="0"/>
          <wp:positionH relativeFrom="column">
            <wp:posOffset>3598545</wp:posOffset>
          </wp:positionH>
          <wp:positionV relativeFrom="paragraph">
            <wp:posOffset>349250</wp:posOffset>
          </wp:positionV>
          <wp:extent cx="1628775" cy="209550"/>
          <wp:effectExtent l="19050" t="0" r="9525" b="0"/>
          <wp:wrapNone/>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1628775" cy="209550"/>
                  </a:xfrm>
                  <a:prstGeom prst="rect">
                    <a:avLst/>
                  </a:prstGeom>
                  <a:noFill/>
                  <a:ln w="9525">
                    <a:noFill/>
                    <a:miter lim="800000"/>
                    <a:headEnd/>
                    <a:tailEnd/>
                  </a:ln>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52" w:rsidRDefault="005F5A52" w:rsidP="000A56D6">
    <w:pPr>
      <w:tabs>
        <w:tab w:val="left" w:pos="1770"/>
      </w:tabs>
      <w:jc w:val="right"/>
    </w:pPr>
    <w:r>
      <w:rPr>
        <w:i/>
        <w:noProof/>
        <w:color w:val="A6A6A6" w:themeColor="background1" w:themeShade="A6"/>
        <w:lang w:eastAsia="en-AU"/>
      </w:rPr>
      <w:drawing>
        <wp:anchor distT="0" distB="0" distL="114300" distR="114300" simplePos="0" relativeHeight="251691008" behindDoc="0" locked="0" layoutInCell="1" allowOverlap="1">
          <wp:simplePos x="0" y="0"/>
          <wp:positionH relativeFrom="column">
            <wp:posOffset>-11430</wp:posOffset>
          </wp:positionH>
          <wp:positionV relativeFrom="paragraph">
            <wp:posOffset>-6350</wp:posOffset>
          </wp:positionV>
          <wp:extent cx="1162050" cy="220345"/>
          <wp:effectExtent l="0" t="0" r="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220345"/>
                  </a:xfrm>
                  <a:prstGeom prst="rect">
                    <a:avLst/>
                  </a:prstGeom>
                  <a:noFill/>
                  <a:ln>
                    <a:noFill/>
                  </a:ln>
                </pic:spPr>
              </pic:pic>
            </a:graphicData>
          </a:graphic>
        </wp:anchor>
      </w:drawing>
    </w:r>
    <w:r>
      <w:tab/>
    </w:r>
    <w:r w:rsidRPr="000A56D6">
      <w:rPr>
        <w:noProof/>
        <w:lang w:eastAsia="en-AU"/>
      </w:rPr>
      <w:drawing>
        <wp:inline distT="0" distB="0" distL="0" distR="0">
          <wp:extent cx="1665870" cy="176230"/>
          <wp:effectExtent l="19050" t="0" r="0" b="0"/>
          <wp:docPr id="41"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sden.MARSDENJACOB\Desktop\Marsden Jacob logo 2011_files\image001.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870" cy="176230"/>
                  </a:xfrm>
                  <a:prstGeom prst="rect">
                    <a:avLst/>
                  </a:prstGeom>
                  <a:noFill/>
                  <a:ln>
                    <a:noFill/>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52" w:rsidRDefault="005F5A52" w:rsidP="000A56D6">
    <w:pPr>
      <w:tabs>
        <w:tab w:val="left" w:pos="1770"/>
      </w:tabs>
      <w:jc w:val="right"/>
    </w:pPr>
    <w:r>
      <w:rPr>
        <w:i/>
        <w:noProof/>
        <w:color w:val="A6A6A6" w:themeColor="background1" w:themeShade="A6"/>
        <w:lang w:eastAsia="en-AU"/>
      </w:rPr>
      <w:drawing>
        <wp:anchor distT="0" distB="0" distL="114300" distR="114300" simplePos="0" relativeHeight="251688960" behindDoc="0" locked="0" layoutInCell="1" allowOverlap="1">
          <wp:simplePos x="0" y="0"/>
          <wp:positionH relativeFrom="column">
            <wp:posOffset>-11430</wp:posOffset>
          </wp:positionH>
          <wp:positionV relativeFrom="paragraph">
            <wp:posOffset>-6350</wp:posOffset>
          </wp:positionV>
          <wp:extent cx="1162050" cy="220345"/>
          <wp:effectExtent l="0" t="0" r="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220345"/>
                  </a:xfrm>
                  <a:prstGeom prst="rect">
                    <a:avLst/>
                  </a:prstGeom>
                  <a:noFill/>
                  <a:ln>
                    <a:noFill/>
                  </a:ln>
                </pic:spPr>
              </pic:pic>
            </a:graphicData>
          </a:graphic>
        </wp:anchor>
      </w:drawing>
    </w:r>
    <w:r>
      <w:tab/>
    </w:r>
    <w:r w:rsidRPr="000A56D6">
      <w:rPr>
        <w:noProof/>
        <w:lang w:eastAsia="en-AU"/>
      </w:rPr>
      <w:drawing>
        <wp:inline distT="0" distB="0" distL="0" distR="0">
          <wp:extent cx="1665870" cy="176230"/>
          <wp:effectExtent l="19050" t="0" r="0" b="0"/>
          <wp:docPr id="39"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sden.MARSDENJACOB\Desktop\Marsden Jacob logo 2011_files\image001.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870" cy="17623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52" w:rsidRDefault="005F5A52" w:rsidP="000A56D6">
    <w:pPr>
      <w:tabs>
        <w:tab w:val="left" w:pos="1770"/>
      </w:tabs>
      <w:jc w:val="right"/>
    </w:pPr>
    <w:r>
      <w:rPr>
        <w:i/>
        <w:noProof/>
        <w:color w:val="A6A6A6" w:themeColor="background1" w:themeShade="A6"/>
        <w:lang w:eastAsia="en-AU"/>
      </w:rPr>
      <w:drawing>
        <wp:anchor distT="0" distB="0" distL="114300" distR="114300" simplePos="0" relativeHeight="251670528" behindDoc="0" locked="0" layoutInCell="1" allowOverlap="1">
          <wp:simplePos x="0" y="0"/>
          <wp:positionH relativeFrom="column">
            <wp:posOffset>-11430</wp:posOffset>
          </wp:positionH>
          <wp:positionV relativeFrom="paragraph">
            <wp:posOffset>-6350</wp:posOffset>
          </wp:positionV>
          <wp:extent cx="1162050" cy="2203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220345"/>
                  </a:xfrm>
                  <a:prstGeom prst="rect">
                    <a:avLst/>
                  </a:prstGeom>
                  <a:noFill/>
                  <a:ln>
                    <a:noFill/>
                  </a:ln>
                </pic:spPr>
              </pic:pic>
            </a:graphicData>
          </a:graphic>
        </wp:anchor>
      </w:drawing>
    </w:r>
    <w:r>
      <w:tab/>
    </w:r>
    <w:r w:rsidRPr="000A56D6">
      <w:rPr>
        <w:noProof/>
        <w:lang w:eastAsia="en-AU"/>
      </w:rPr>
      <w:drawing>
        <wp:inline distT="0" distB="0" distL="0" distR="0">
          <wp:extent cx="1665870" cy="176230"/>
          <wp:effectExtent l="19050" t="0" r="0" b="0"/>
          <wp:docPr id="6"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sden.MARSDENJACOB\Desktop\Marsden Jacob logo 2011_files\image001.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870" cy="17623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52" w:rsidRDefault="005F5A52" w:rsidP="000A56D6">
    <w:pPr>
      <w:tabs>
        <w:tab w:val="left" w:pos="1770"/>
      </w:tabs>
      <w:jc w:val="right"/>
    </w:pPr>
    <w:r>
      <w:rPr>
        <w:i/>
        <w:noProof/>
        <w:color w:val="A6A6A6" w:themeColor="background1" w:themeShade="A6"/>
        <w:lang w:eastAsia="en-AU"/>
      </w:rPr>
      <w:drawing>
        <wp:anchor distT="0" distB="0" distL="114300" distR="114300" simplePos="0" relativeHeight="251672576" behindDoc="0" locked="0" layoutInCell="1" allowOverlap="1">
          <wp:simplePos x="0" y="0"/>
          <wp:positionH relativeFrom="column">
            <wp:posOffset>-11430</wp:posOffset>
          </wp:positionH>
          <wp:positionV relativeFrom="paragraph">
            <wp:posOffset>-6350</wp:posOffset>
          </wp:positionV>
          <wp:extent cx="1162050" cy="220345"/>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220345"/>
                  </a:xfrm>
                  <a:prstGeom prst="rect">
                    <a:avLst/>
                  </a:prstGeom>
                  <a:noFill/>
                  <a:ln>
                    <a:noFill/>
                  </a:ln>
                </pic:spPr>
              </pic:pic>
            </a:graphicData>
          </a:graphic>
        </wp:anchor>
      </w:drawing>
    </w:r>
    <w:r>
      <w:tab/>
    </w:r>
    <w:r w:rsidRPr="000A56D6">
      <w:rPr>
        <w:noProof/>
        <w:lang w:eastAsia="en-AU"/>
      </w:rPr>
      <w:drawing>
        <wp:inline distT="0" distB="0" distL="0" distR="0">
          <wp:extent cx="1665870" cy="176230"/>
          <wp:effectExtent l="19050" t="0" r="0" b="0"/>
          <wp:docPr id="19"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sden.MARSDENJACOB\Desktop\Marsden Jacob logo 2011_files\image001.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870" cy="176230"/>
                  </a:xfrm>
                  <a:prstGeom prst="rect">
                    <a:avLst/>
                  </a:prstGeom>
                  <a:noFill/>
                  <a:ln>
                    <a:noFill/>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52" w:rsidRDefault="005F5A52" w:rsidP="000A56D6">
    <w:pPr>
      <w:tabs>
        <w:tab w:val="left" w:pos="1770"/>
      </w:tabs>
      <w:jc w:val="right"/>
    </w:pPr>
    <w:r>
      <w:rPr>
        <w:i/>
        <w:noProof/>
        <w:color w:val="A6A6A6" w:themeColor="background1" w:themeShade="A6"/>
        <w:lang w:eastAsia="en-AU"/>
      </w:rPr>
      <w:drawing>
        <wp:anchor distT="0" distB="0" distL="114300" distR="114300" simplePos="0" relativeHeight="251674624" behindDoc="0" locked="0" layoutInCell="1" allowOverlap="1">
          <wp:simplePos x="0" y="0"/>
          <wp:positionH relativeFrom="column">
            <wp:posOffset>-11430</wp:posOffset>
          </wp:positionH>
          <wp:positionV relativeFrom="paragraph">
            <wp:posOffset>-6350</wp:posOffset>
          </wp:positionV>
          <wp:extent cx="1162050" cy="220345"/>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220345"/>
                  </a:xfrm>
                  <a:prstGeom prst="rect">
                    <a:avLst/>
                  </a:prstGeom>
                  <a:noFill/>
                  <a:ln>
                    <a:noFill/>
                  </a:ln>
                </pic:spPr>
              </pic:pic>
            </a:graphicData>
          </a:graphic>
        </wp:anchor>
      </w:drawing>
    </w:r>
    <w:r>
      <w:tab/>
    </w:r>
    <w:r w:rsidRPr="000A56D6">
      <w:rPr>
        <w:noProof/>
        <w:lang w:eastAsia="en-AU"/>
      </w:rPr>
      <w:drawing>
        <wp:inline distT="0" distB="0" distL="0" distR="0">
          <wp:extent cx="1665870" cy="176230"/>
          <wp:effectExtent l="19050" t="0" r="0" b="0"/>
          <wp:docPr id="21"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sden.MARSDENJACOB\Desktop\Marsden Jacob logo 2011_files\image001.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870" cy="176230"/>
                  </a:xfrm>
                  <a:prstGeom prst="rect">
                    <a:avLst/>
                  </a:prstGeom>
                  <a:noFill/>
                  <a:ln>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52" w:rsidRDefault="005F5A52" w:rsidP="000A56D6">
    <w:pPr>
      <w:tabs>
        <w:tab w:val="left" w:pos="1770"/>
      </w:tabs>
      <w:jc w:val="right"/>
    </w:pPr>
    <w:r>
      <w:rPr>
        <w:i/>
        <w:noProof/>
        <w:color w:val="A6A6A6" w:themeColor="background1" w:themeShade="A6"/>
        <w:lang w:eastAsia="en-AU"/>
      </w:rPr>
      <w:drawing>
        <wp:anchor distT="0" distB="0" distL="114300" distR="114300" simplePos="0" relativeHeight="251684864" behindDoc="0" locked="0" layoutInCell="1" allowOverlap="1">
          <wp:simplePos x="0" y="0"/>
          <wp:positionH relativeFrom="column">
            <wp:posOffset>-11430</wp:posOffset>
          </wp:positionH>
          <wp:positionV relativeFrom="paragraph">
            <wp:posOffset>-6350</wp:posOffset>
          </wp:positionV>
          <wp:extent cx="1162050" cy="22034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220345"/>
                  </a:xfrm>
                  <a:prstGeom prst="rect">
                    <a:avLst/>
                  </a:prstGeom>
                  <a:noFill/>
                  <a:ln>
                    <a:noFill/>
                  </a:ln>
                </pic:spPr>
              </pic:pic>
            </a:graphicData>
          </a:graphic>
        </wp:anchor>
      </w:drawing>
    </w:r>
    <w:r>
      <w:tab/>
    </w:r>
    <w:r w:rsidRPr="000A56D6">
      <w:rPr>
        <w:noProof/>
        <w:lang w:eastAsia="en-AU"/>
      </w:rPr>
      <w:drawing>
        <wp:inline distT="0" distB="0" distL="0" distR="0">
          <wp:extent cx="1665870" cy="176230"/>
          <wp:effectExtent l="19050" t="0" r="0" b="0"/>
          <wp:docPr id="32"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sden.MARSDENJACOB\Desktop\Marsden Jacob logo 2011_files\image001.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870" cy="176230"/>
                  </a:xfrm>
                  <a:prstGeom prst="rect">
                    <a:avLst/>
                  </a:prstGeom>
                  <a:noFill/>
                  <a:ln>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52" w:rsidRDefault="005F5A52" w:rsidP="000A56D6">
    <w:pPr>
      <w:tabs>
        <w:tab w:val="left" w:pos="1770"/>
      </w:tabs>
      <w:jc w:val="right"/>
    </w:pPr>
    <w:r>
      <w:rPr>
        <w:i/>
        <w:noProof/>
        <w:color w:val="A6A6A6" w:themeColor="background1" w:themeShade="A6"/>
        <w:lang w:eastAsia="en-AU"/>
      </w:rPr>
      <w:drawing>
        <wp:anchor distT="0" distB="0" distL="114300" distR="114300" simplePos="0" relativeHeight="251686912" behindDoc="0" locked="0" layoutInCell="1" allowOverlap="1">
          <wp:simplePos x="0" y="0"/>
          <wp:positionH relativeFrom="column">
            <wp:posOffset>-11430</wp:posOffset>
          </wp:positionH>
          <wp:positionV relativeFrom="paragraph">
            <wp:posOffset>-6350</wp:posOffset>
          </wp:positionV>
          <wp:extent cx="1162050" cy="220345"/>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220345"/>
                  </a:xfrm>
                  <a:prstGeom prst="rect">
                    <a:avLst/>
                  </a:prstGeom>
                  <a:noFill/>
                  <a:ln>
                    <a:noFill/>
                  </a:ln>
                </pic:spPr>
              </pic:pic>
            </a:graphicData>
          </a:graphic>
        </wp:anchor>
      </w:drawing>
    </w:r>
    <w:r>
      <w:tab/>
    </w:r>
    <w:r w:rsidRPr="000A56D6">
      <w:rPr>
        <w:noProof/>
        <w:lang w:eastAsia="en-AU"/>
      </w:rPr>
      <w:drawing>
        <wp:inline distT="0" distB="0" distL="0" distR="0">
          <wp:extent cx="1665870" cy="176230"/>
          <wp:effectExtent l="19050" t="0" r="0" b="0"/>
          <wp:docPr id="34"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sden.MARSDENJACOB\Desktop\Marsden Jacob logo 2011_files\image001.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870" cy="176230"/>
                  </a:xfrm>
                  <a:prstGeom prst="rect">
                    <a:avLst/>
                  </a:prstGeom>
                  <a:noFill/>
                  <a:ln>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52" w:rsidRDefault="005F5A52" w:rsidP="000A56D6">
    <w:pPr>
      <w:tabs>
        <w:tab w:val="left" w:pos="1770"/>
      </w:tabs>
      <w:jc w:val="right"/>
    </w:pPr>
    <w:r>
      <w:rPr>
        <w:i/>
        <w:noProof/>
        <w:color w:val="A6A6A6" w:themeColor="background1" w:themeShade="A6"/>
        <w:lang w:eastAsia="en-AU"/>
      </w:rPr>
      <w:drawing>
        <wp:anchor distT="0" distB="0" distL="114300" distR="114300" simplePos="0" relativeHeight="251680768" behindDoc="0" locked="0" layoutInCell="1" allowOverlap="1">
          <wp:simplePos x="0" y="0"/>
          <wp:positionH relativeFrom="column">
            <wp:posOffset>-11430</wp:posOffset>
          </wp:positionH>
          <wp:positionV relativeFrom="paragraph">
            <wp:posOffset>-6350</wp:posOffset>
          </wp:positionV>
          <wp:extent cx="1162050" cy="22034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220345"/>
                  </a:xfrm>
                  <a:prstGeom prst="rect">
                    <a:avLst/>
                  </a:prstGeom>
                  <a:noFill/>
                  <a:ln>
                    <a:noFill/>
                  </a:ln>
                </pic:spPr>
              </pic:pic>
            </a:graphicData>
          </a:graphic>
        </wp:anchor>
      </w:drawing>
    </w:r>
    <w:r>
      <w:tab/>
    </w:r>
    <w:r w:rsidRPr="000A56D6">
      <w:rPr>
        <w:noProof/>
        <w:lang w:eastAsia="en-AU"/>
      </w:rPr>
      <w:drawing>
        <wp:inline distT="0" distB="0" distL="0" distR="0">
          <wp:extent cx="1665870" cy="176230"/>
          <wp:effectExtent l="19050" t="0" r="0" b="0"/>
          <wp:docPr id="26"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sden.MARSDENJACOB\Desktop\Marsden Jacob logo 2011_files\image001.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870" cy="176230"/>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52" w:rsidRDefault="005F5A52" w:rsidP="000A56D6">
    <w:pPr>
      <w:tabs>
        <w:tab w:val="left" w:pos="1770"/>
      </w:tabs>
      <w:jc w:val="right"/>
    </w:pPr>
    <w:r>
      <w:rPr>
        <w:i/>
        <w:noProof/>
        <w:color w:val="A6A6A6" w:themeColor="background1" w:themeShade="A6"/>
        <w:lang w:eastAsia="en-AU"/>
      </w:rPr>
      <w:drawing>
        <wp:anchor distT="0" distB="0" distL="114300" distR="114300" simplePos="0" relativeHeight="251682816" behindDoc="0" locked="0" layoutInCell="1" allowOverlap="1">
          <wp:simplePos x="0" y="0"/>
          <wp:positionH relativeFrom="column">
            <wp:posOffset>-11430</wp:posOffset>
          </wp:positionH>
          <wp:positionV relativeFrom="paragraph">
            <wp:posOffset>-6350</wp:posOffset>
          </wp:positionV>
          <wp:extent cx="1162050" cy="220345"/>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220345"/>
                  </a:xfrm>
                  <a:prstGeom prst="rect">
                    <a:avLst/>
                  </a:prstGeom>
                  <a:noFill/>
                  <a:ln>
                    <a:noFill/>
                  </a:ln>
                </pic:spPr>
              </pic:pic>
            </a:graphicData>
          </a:graphic>
        </wp:anchor>
      </w:drawing>
    </w:r>
    <w:r>
      <w:tab/>
    </w:r>
    <w:r w:rsidRPr="000A56D6">
      <w:rPr>
        <w:noProof/>
        <w:lang w:eastAsia="en-AU"/>
      </w:rPr>
      <w:drawing>
        <wp:inline distT="0" distB="0" distL="0" distR="0">
          <wp:extent cx="1665870" cy="176230"/>
          <wp:effectExtent l="19050" t="0" r="0" b="0"/>
          <wp:docPr id="28"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sden.MARSDENJACOB\Desktop\Marsden Jacob logo 2011_files\image001.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870" cy="176230"/>
                  </a:xfrm>
                  <a:prstGeom prst="rect">
                    <a:avLst/>
                  </a:prstGeom>
                  <a:noFill/>
                  <a:ln>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A52" w:rsidRDefault="005F5A52" w:rsidP="000A56D6">
    <w:pPr>
      <w:tabs>
        <w:tab w:val="left" w:pos="1770"/>
      </w:tabs>
      <w:jc w:val="right"/>
    </w:pPr>
    <w:r>
      <w:rPr>
        <w:i/>
        <w:noProof/>
        <w:color w:val="A6A6A6" w:themeColor="background1" w:themeShade="A6"/>
        <w:lang w:eastAsia="en-AU"/>
      </w:rPr>
      <w:drawing>
        <wp:anchor distT="0" distB="0" distL="114300" distR="114300" simplePos="0" relativeHeight="251678720" behindDoc="0" locked="0" layoutInCell="1" allowOverlap="1">
          <wp:simplePos x="0" y="0"/>
          <wp:positionH relativeFrom="column">
            <wp:posOffset>-11430</wp:posOffset>
          </wp:positionH>
          <wp:positionV relativeFrom="paragraph">
            <wp:posOffset>-6350</wp:posOffset>
          </wp:positionV>
          <wp:extent cx="1162050" cy="22034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220345"/>
                  </a:xfrm>
                  <a:prstGeom prst="rect">
                    <a:avLst/>
                  </a:prstGeom>
                  <a:noFill/>
                  <a:ln>
                    <a:noFill/>
                  </a:ln>
                </pic:spPr>
              </pic:pic>
            </a:graphicData>
          </a:graphic>
        </wp:anchor>
      </w:drawing>
    </w:r>
    <w:r>
      <w:tab/>
    </w:r>
    <w:r w:rsidRPr="000A56D6">
      <w:rPr>
        <w:noProof/>
        <w:lang w:eastAsia="en-AU"/>
      </w:rPr>
      <w:drawing>
        <wp:inline distT="0" distB="0" distL="0" distR="0">
          <wp:extent cx="1665870" cy="176230"/>
          <wp:effectExtent l="19050" t="0" r="0" b="0"/>
          <wp:docPr id="24"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sden.MARSDENJACOB\Desktop\Marsden Jacob logo 2011_files\image001.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5870" cy="17623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3E7A"/>
    <w:multiLevelType w:val="hybridMultilevel"/>
    <w:tmpl w:val="FA80869C"/>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B0794"/>
    <w:multiLevelType w:val="hybridMultilevel"/>
    <w:tmpl w:val="C26C1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7B5E3E"/>
    <w:multiLevelType w:val="hybridMultilevel"/>
    <w:tmpl w:val="7D549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5A4425"/>
    <w:multiLevelType w:val="multilevel"/>
    <w:tmpl w:val="2CD41EC6"/>
    <w:lvl w:ilvl="0">
      <w:start w:val="1"/>
      <w:numFmt w:val="decimal"/>
      <w:pStyle w:val="MJAheading1"/>
      <w:lvlText w:val="%1."/>
      <w:lvlJc w:val="left"/>
      <w:pPr>
        <w:ind w:left="360" w:hanging="360"/>
      </w:pPr>
      <w:rPr>
        <w:rFonts w:hint="default"/>
      </w:rPr>
    </w:lvl>
    <w:lvl w:ilvl="1">
      <w:start w:val="1"/>
      <w:numFmt w:val="decimal"/>
      <w:pStyle w:val="MJAheading2"/>
      <w:lvlText w:val="%1.%2"/>
      <w:lvlJc w:val="left"/>
      <w:pPr>
        <w:ind w:left="720" w:hanging="360"/>
      </w:pPr>
      <w:rPr>
        <w:rFonts w:hint="default"/>
      </w:rPr>
    </w:lvl>
    <w:lvl w:ilvl="2">
      <w:start w:val="1"/>
      <w:numFmt w:val="decimal"/>
      <w:pStyle w:val="MJA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C603CDB"/>
    <w:multiLevelType w:val="singleLevel"/>
    <w:tmpl w:val="2118E954"/>
    <w:lvl w:ilvl="0">
      <w:start w:val="1"/>
      <w:numFmt w:val="bullet"/>
      <w:lvlText w:val=""/>
      <w:lvlJc w:val="left"/>
      <w:pPr>
        <w:ind w:left="927" w:hanging="360"/>
      </w:pPr>
      <w:rPr>
        <w:rFonts w:ascii="Symbol" w:hAnsi="Symbol" w:hint="default"/>
        <w:color w:val="447C7A"/>
      </w:rPr>
    </w:lvl>
  </w:abstractNum>
  <w:abstractNum w:abstractNumId="5">
    <w:nsid w:val="22A265FC"/>
    <w:multiLevelType w:val="multilevel"/>
    <w:tmpl w:val="3198ECA8"/>
    <w:lvl w:ilvl="0">
      <w:start w:val="1"/>
      <w:numFmt w:val="bullet"/>
      <w:pStyle w:val="ListBullet"/>
      <w:lvlText w:val=""/>
      <w:lvlJc w:val="left"/>
      <w:pPr>
        <w:tabs>
          <w:tab w:val="num" w:pos="360"/>
        </w:tabs>
        <w:ind w:left="360" w:hanging="360"/>
      </w:pPr>
      <w:rPr>
        <w:rFonts w:ascii="Symbol" w:hAnsi="Symbol" w:hint="default"/>
        <w:b w:val="0"/>
        <w:i w:val="0"/>
        <w:sz w:val="22"/>
        <w:szCs w:val="22"/>
      </w:rPr>
    </w:lvl>
    <w:lvl w:ilvl="1">
      <w:start w:val="1"/>
      <w:numFmt w:val="bullet"/>
      <w:lvlText w:val="○"/>
      <w:lvlJc w:val="left"/>
      <w:pPr>
        <w:tabs>
          <w:tab w:val="num" w:pos="720"/>
        </w:tabs>
        <w:ind w:left="720" w:hanging="360"/>
      </w:pPr>
      <w:rPr>
        <w:rFonts w:ascii="Arial" w:hAnsi="Arial" w:cs="Times New Roman" w:hint="default"/>
        <w:b w:val="0"/>
        <w:i w:val="0"/>
        <w:sz w:val="22"/>
        <w:szCs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239B20CF"/>
    <w:multiLevelType w:val="hybridMultilevel"/>
    <w:tmpl w:val="AC4ED874"/>
    <w:lvl w:ilvl="0" w:tplc="228828D4">
      <w:start w:val="1"/>
      <w:numFmt w:val="decimal"/>
      <w:pStyle w:val="MJAESnormal"/>
      <w:lvlText w:val="ES.%1."/>
      <w:lvlJc w:val="left"/>
      <w:pPr>
        <w:ind w:left="360" w:hanging="360"/>
      </w:pPr>
      <w:rPr>
        <w:rFonts w:ascii="Times New Roman" w:hAnsi="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9ED3099"/>
    <w:multiLevelType w:val="singleLevel"/>
    <w:tmpl w:val="EFFC6048"/>
    <w:lvl w:ilvl="0">
      <w:start w:val="1"/>
      <w:numFmt w:val="decimal"/>
      <w:pStyle w:val="NumberPoints"/>
      <w:lvlText w:val="%1."/>
      <w:lvlJc w:val="left"/>
      <w:pPr>
        <w:ind w:left="360" w:hanging="360"/>
      </w:pPr>
      <w:rPr>
        <w:rFonts w:hint="default"/>
        <w:b w:val="0"/>
        <w:i w:val="0"/>
        <w:sz w:val="22"/>
      </w:rPr>
    </w:lvl>
  </w:abstractNum>
  <w:abstractNum w:abstractNumId="8">
    <w:nsid w:val="2B5A4F77"/>
    <w:multiLevelType w:val="hybridMultilevel"/>
    <w:tmpl w:val="8A0EAA6E"/>
    <w:lvl w:ilvl="0" w:tplc="2B4099CA">
      <w:start w:val="1"/>
      <w:numFmt w:val="bullet"/>
      <w:pStyle w:val="MJAdashbullet"/>
      <w:lvlText w:val=""/>
      <w:lvlJc w:val="left"/>
      <w:pPr>
        <w:ind w:left="720" w:hanging="360"/>
      </w:pPr>
      <w:rPr>
        <w:rFonts w:ascii="Symbol" w:hAnsi="Symbol" w:hint="default"/>
        <w:color w:val="0093D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560C9E"/>
    <w:multiLevelType w:val="hybridMultilevel"/>
    <w:tmpl w:val="8AE6F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4345D1"/>
    <w:multiLevelType w:val="singleLevel"/>
    <w:tmpl w:val="3C02756A"/>
    <w:lvl w:ilvl="0">
      <w:start w:val="1"/>
      <w:numFmt w:val="bullet"/>
      <w:lvlText w:val=""/>
      <w:lvlJc w:val="left"/>
      <w:pPr>
        <w:ind w:left="360" w:hanging="360"/>
      </w:pPr>
      <w:rPr>
        <w:rFonts w:ascii="Wingdings" w:hAnsi="Wingdings" w:hint="default"/>
        <w:color w:val="0093D0"/>
      </w:rPr>
    </w:lvl>
  </w:abstractNum>
  <w:abstractNum w:abstractNumId="11">
    <w:nsid w:val="456B4D3A"/>
    <w:multiLevelType w:val="multilevel"/>
    <w:tmpl w:val="3E3A857A"/>
    <w:lvl w:ilvl="0">
      <w:start w:val="1"/>
      <w:numFmt w:val="bullet"/>
      <w:pStyle w:val="BulletPoints"/>
      <w:lvlText w:val=""/>
      <w:lvlJc w:val="left"/>
      <w:pPr>
        <w:ind w:left="1211"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58F91ACC"/>
    <w:multiLevelType w:val="multilevel"/>
    <w:tmpl w:val="0409001D"/>
    <w:styleLink w:val="NEWMJAListStyle"/>
    <w:lvl w:ilvl="0">
      <w:start w:val="1"/>
      <w:numFmt w:val="bullet"/>
      <w:lvlText w:val=""/>
      <w:lvlJc w:val="left"/>
      <w:pPr>
        <w:ind w:left="360" w:hanging="360"/>
      </w:pPr>
      <w:rPr>
        <w:rFonts w:asciiTheme="minorHAnsi" w:hAnsiTheme="minorHAnsi" w:hint="default"/>
      </w:rPr>
    </w:lvl>
    <w:lvl w:ilvl="1">
      <w:start w:val="1"/>
      <w:numFmt w:val="bullet"/>
      <w:lvlText w:val=""/>
      <w:lvlJc w:val="left"/>
      <w:pPr>
        <w:ind w:left="720" w:hanging="360"/>
      </w:pPr>
      <w:rPr>
        <w:rFonts w:asciiTheme="minorHAnsi" w:hAnsiTheme="minorHAnsi" w:hint="default"/>
      </w:rPr>
    </w:lvl>
    <w:lvl w:ilvl="2">
      <w:start w:val="1"/>
      <w:numFmt w:val="bullet"/>
      <w:lvlText w:val=""/>
      <w:lvlJc w:val="left"/>
      <w:pPr>
        <w:ind w:left="1080" w:hanging="360"/>
      </w:pPr>
      <w:rPr>
        <w:rFonts w:asciiTheme="minorHAnsi" w:hAnsiTheme="minorHAnsi"/>
      </w:rPr>
    </w:lvl>
    <w:lvl w:ilvl="3">
      <w:start w:val="1"/>
      <w:numFmt w:val="bullet"/>
      <w:lvlText w:val=""/>
      <w:lvlJc w:val="left"/>
      <w:pPr>
        <w:ind w:left="1440" w:hanging="360"/>
      </w:pPr>
      <w:rPr>
        <w:rFonts w:asciiTheme="minorHAnsi" w:hAnsiTheme="minorHAns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CE50753"/>
    <w:multiLevelType w:val="hybridMultilevel"/>
    <w:tmpl w:val="6A8E32F2"/>
    <w:lvl w:ilvl="0" w:tplc="3C02756A">
      <w:start w:val="1"/>
      <w:numFmt w:val="bullet"/>
      <w:lvlText w:val=""/>
      <w:lvlJc w:val="left"/>
      <w:pPr>
        <w:ind w:left="720" w:hanging="360"/>
      </w:pPr>
      <w:rPr>
        <w:rFonts w:ascii="Symbol" w:hAnsi="Symbol" w:hint="default"/>
        <w:color w:val="447C7A"/>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E8C6E1A"/>
    <w:multiLevelType w:val="multilevel"/>
    <w:tmpl w:val="AD700E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nsid w:val="622336B8"/>
    <w:multiLevelType w:val="hybridMultilevel"/>
    <w:tmpl w:val="D20CBEF4"/>
    <w:lvl w:ilvl="0" w:tplc="04090001">
      <w:start w:val="1"/>
      <w:numFmt w:val="bullet"/>
      <w:lvlText w:val=""/>
      <w:lvlJc w:val="left"/>
      <w:pPr>
        <w:ind w:left="1080" w:hanging="360"/>
      </w:pPr>
      <w:rPr>
        <w:rFonts w:ascii="Wingdings" w:hAnsi="Wingdings" w:hint="default"/>
        <w:color w:val="31849B" w:themeColor="accent5" w:themeShade="BF"/>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9522F77"/>
    <w:multiLevelType w:val="hybridMultilevel"/>
    <w:tmpl w:val="E78EE060"/>
    <w:lvl w:ilvl="0" w:tplc="2A02D646">
      <w:numFmt w:val="bullet"/>
      <w:lvlText w:val="-"/>
      <w:lvlJc w:val="left"/>
      <w:pPr>
        <w:ind w:left="644" w:hanging="360"/>
      </w:pPr>
      <w:rPr>
        <w:rFonts w:ascii="Times New Roman" w:eastAsia="Times New Roman" w:hAnsi="Times New Roman"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cs="Wingdings" w:hint="default"/>
      </w:rPr>
    </w:lvl>
    <w:lvl w:ilvl="3" w:tplc="0C090001">
      <w:start w:val="1"/>
      <w:numFmt w:val="bullet"/>
      <w:lvlText w:val=""/>
      <w:lvlJc w:val="left"/>
      <w:pPr>
        <w:ind w:left="2804" w:hanging="360"/>
      </w:pPr>
      <w:rPr>
        <w:rFonts w:ascii="Symbol" w:hAnsi="Symbol" w:cs="Symbol" w:hint="default"/>
      </w:rPr>
    </w:lvl>
    <w:lvl w:ilvl="4" w:tplc="0C090003">
      <w:start w:val="1"/>
      <w:numFmt w:val="bullet"/>
      <w:lvlText w:val="o"/>
      <w:lvlJc w:val="left"/>
      <w:pPr>
        <w:ind w:left="3524" w:hanging="360"/>
      </w:pPr>
      <w:rPr>
        <w:rFonts w:ascii="Courier New" w:hAnsi="Courier New" w:cs="Courier New" w:hint="default"/>
      </w:rPr>
    </w:lvl>
    <w:lvl w:ilvl="5" w:tplc="0C090005">
      <w:start w:val="1"/>
      <w:numFmt w:val="bullet"/>
      <w:lvlText w:val=""/>
      <w:lvlJc w:val="left"/>
      <w:pPr>
        <w:ind w:left="4244" w:hanging="360"/>
      </w:pPr>
      <w:rPr>
        <w:rFonts w:ascii="Wingdings" w:hAnsi="Wingdings" w:cs="Wingdings" w:hint="default"/>
      </w:rPr>
    </w:lvl>
    <w:lvl w:ilvl="6" w:tplc="0C090001">
      <w:start w:val="1"/>
      <w:numFmt w:val="bullet"/>
      <w:lvlText w:val=""/>
      <w:lvlJc w:val="left"/>
      <w:pPr>
        <w:ind w:left="4964" w:hanging="360"/>
      </w:pPr>
      <w:rPr>
        <w:rFonts w:ascii="Symbol" w:hAnsi="Symbol" w:cs="Symbol" w:hint="default"/>
      </w:rPr>
    </w:lvl>
    <w:lvl w:ilvl="7" w:tplc="0C090003">
      <w:start w:val="1"/>
      <w:numFmt w:val="bullet"/>
      <w:lvlText w:val="o"/>
      <w:lvlJc w:val="left"/>
      <w:pPr>
        <w:ind w:left="5684" w:hanging="360"/>
      </w:pPr>
      <w:rPr>
        <w:rFonts w:ascii="Courier New" w:hAnsi="Courier New" w:cs="Courier New" w:hint="default"/>
      </w:rPr>
    </w:lvl>
    <w:lvl w:ilvl="8" w:tplc="0C090005">
      <w:start w:val="1"/>
      <w:numFmt w:val="bullet"/>
      <w:lvlText w:val=""/>
      <w:lvlJc w:val="left"/>
      <w:pPr>
        <w:ind w:left="6404" w:hanging="360"/>
      </w:pPr>
      <w:rPr>
        <w:rFonts w:ascii="Wingdings" w:hAnsi="Wingdings" w:cs="Wingdings" w:hint="default"/>
      </w:rPr>
    </w:lvl>
  </w:abstractNum>
  <w:abstractNum w:abstractNumId="17">
    <w:nsid w:val="6D55204D"/>
    <w:multiLevelType w:val="hybridMultilevel"/>
    <w:tmpl w:val="AA749F20"/>
    <w:lvl w:ilvl="0" w:tplc="A4E4369E">
      <w:numFmt w:val="bullet"/>
      <w:lvlText w:val="-"/>
      <w:lvlJc w:val="left"/>
      <w:pPr>
        <w:ind w:left="581" w:hanging="360"/>
      </w:pPr>
      <w:rPr>
        <w:rFonts w:ascii="Calibri" w:eastAsiaTheme="minorHAnsi" w:hAnsi="Calibri" w:cs="Calibri" w:hint="default"/>
      </w:rPr>
    </w:lvl>
    <w:lvl w:ilvl="1" w:tplc="0C090003" w:tentative="1">
      <w:start w:val="1"/>
      <w:numFmt w:val="bullet"/>
      <w:lvlText w:val="o"/>
      <w:lvlJc w:val="left"/>
      <w:pPr>
        <w:ind w:left="1301" w:hanging="360"/>
      </w:pPr>
      <w:rPr>
        <w:rFonts w:ascii="Courier New" w:hAnsi="Courier New" w:cs="Courier New" w:hint="default"/>
      </w:rPr>
    </w:lvl>
    <w:lvl w:ilvl="2" w:tplc="0C090005" w:tentative="1">
      <w:start w:val="1"/>
      <w:numFmt w:val="bullet"/>
      <w:lvlText w:val=""/>
      <w:lvlJc w:val="left"/>
      <w:pPr>
        <w:ind w:left="2021" w:hanging="360"/>
      </w:pPr>
      <w:rPr>
        <w:rFonts w:ascii="Wingdings" w:hAnsi="Wingdings" w:hint="default"/>
      </w:rPr>
    </w:lvl>
    <w:lvl w:ilvl="3" w:tplc="0C090001" w:tentative="1">
      <w:start w:val="1"/>
      <w:numFmt w:val="bullet"/>
      <w:lvlText w:val=""/>
      <w:lvlJc w:val="left"/>
      <w:pPr>
        <w:ind w:left="2741" w:hanging="360"/>
      </w:pPr>
      <w:rPr>
        <w:rFonts w:ascii="Symbol" w:hAnsi="Symbol" w:hint="default"/>
      </w:rPr>
    </w:lvl>
    <w:lvl w:ilvl="4" w:tplc="0C090003" w:tentative="1">
      <w:start w:val="1"/>
      <w:numFmt w:val="bullet"/>
      <w:lvlText w:val="o"/>
      <w:lvlJc w:val="left"/>
      <w:pPr>
        <w:ind w:left="3461" w:hanging="360"/>
      </w:pPr>
      <w:rPr>
        <w:rFonts w:ascii="Courier New" w:hAnsi="Courier New" w:cs="Courier New" w:hint="default"/>
      </w:rPr>
    </w:lvl>
    <w:lvl w:ilvl="5" w:tplc="0C090005" w:tentative="1">
      <w:start w:val="1"/>
      <w:numFmt w:val="bullet"/>
      <w:lvlText w:val=""/>
      <w:lvlJc w:val="left"/>
      <w:pPr>
        <w:ind w:left="4181" w:hanging="360"/>
      </w:pPr>
      <w:rPr>
        <w:rFonts w:ascii="Wingdings" w:hAnsi="Wingdings" w:hint="default"/>
      </w:rPr>
    </w:lvl>
    <w:lvl w:ilvl="6" w:tplc="0C090001" w:tentative="1">
      <w:start w:val="1"/>
      <w:numFmt w:val="bullet"/>
      <w:lvlText w:val=""/>
      <w:lvlJc w:val="left"/>
      <w:pPr>
        <w:ind w:left="4901" w:hanging="360"/>
      </w:pPr>
      <w:rPr>
        <w:rFonts w:ascii="Symbol" w:hAnsi="Symbol" w:hint="default"/>
      </w:rPr>
    </w:lvl>
    <w:lvl w:ilvl="7" w:tplc="0C090003" w:tentative="1">
      <w:start w:val="1"/>
      <w:numFmt w:val="bullet"/>
      <w:lvlText w:val="o"/>
      <w:lvlJc w:val="left"/>
      <w:pPr>
        <w:ind w:left="5621" w:hanging="360"/>
      </w:pPr>
      <w:rPr>
        <w:rFonts w:ascii="Courier New" w:hAnsi="Courier New" w:cs="Courier New" w:hint="default"/>
      </w:rPr>
    </w:lvl>
    <w:lvl w:ilvl="8" w:tplc="0C090005" w:tentative="1">
      <w:start w:val="1"/>
      <w:numFmt w:val="bullet"/>
      <w:lvlText w:val=""/>
      <w:lvlJc w:val="left"/>
      <w:pPr>
        <w:ind w:left="6341" w:hanging="360"/>
      </w:pPr>
      <w:rPr>
        <w:rFonts w:ascii="Wingdings" w:hAnsi="Wingdings" w:hint="default"/>
      </w:rPr>
    </w:lvl>
  </w:abstractNum>
  <w:abstractNum w:abstractNumId="18">
    <w:nsid w:val="6DD256CA"/>
    <w:multiLevelType w:val="hybridMultilevel"/>
    <w:tmpl w:val="7184477A"/>
    <w:lvl w:ilvl="0" w:tplc="607A90A8">
      <w:start w:val="1"/>
      <w:numFmt w:val="bullet"/>
      <w:lvlText w:val=""/>
      <w:lvlJc w:val="left"/>
      <w:pPr>
        <w:ind w:left="720" w:hanging="360"/>
      </w:pPr>
      <w:rPr>
        <w:rFonts w:ascii="Wingdings" w:hAnsi="Wingdings" w:hint="default"/>
        <w:color w:val="0093D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46C3114"/>
    <w:multiLevelType w:val="hybridMultilevel"/>
    <w:tmpl w:val="12A24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F3D1E64"/>
    <w:multiLevelType w:val="singleLevel"/>
    <w:tmpl w:val="0809000F"/>
    <w:lvl w:ilvl="0">
      <w:start w:val="1"/>
      <w:numFmt w:val="decimal"/>
      <w:lvlText w:val="%1."/>
      <w:lvlJc w:val="left"/>
      <w:pPr>
        <w:tabs>
          <w:tab w:val="num" w:pos="360"/>
        </w:tabs>
        <w:ind w:left="360" w:hanging="360"/>
      </w:pPr>
    </w:lvl>
  </w:abstractNum>
  <w:num w:numId="1">
    <w:abstractNumId w:val="3"/>
  </w:num>
  <w:num w:numId="2">
    <w:abstractNumId w:val="10"/>
  </w:num>
  <w:num w:numId="3">
    <w:abstractNumId w:val="4"/>
  </w:num>
  <w:num w:numId="4">
    <w:abstractNumId w:val="12"/>
  </w:num>
  <w:num w:numId="5">
    <w:abstractNumId w:val="20"/>
  </w:num>
  <w:num w:numId="6">
    <w:abstractNumId w:val="0"/>
  </w:num>
  <w:num w:numId="7">
    <w:abstractNumId w:val="15"/>
  </w:num>
  <w:num w:numId="8">
    <w:abstractNumId w:val="5"/>
  </w:num>
  <w:num w:numId="9">
    <w:abstractNumId w:val="6"/>
  </w:num>
  <w:num w:numId="10">
    <w:abstractNumId w:val="8"/>
  </w:num>
  <w:num w:numId="11">
    <w:abstractNumId w:val="16"/>
  </w:num>
  <w:num w:numId="12">
    <w:abstractNumId w:val="10"/>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 w:ilvl="0">
        <w:start w:val="1"/>
        <w:numFmt w:val="decimal"/>
        <w:lvlText w:val="%1"/>
        <w:lvlJc w:val="left"/>
        <w:pPr>
          <w:ind w:left="360" w:hanging="360"/>
        </w:pPr>
        <w:rPr>
          <w:rFonts w:hint="default"/>
        </w:rPr>
      </w:lvl>
    </w:lvlOverride>
  </w:num>
  <w:num w:numId="15">
    <w:abstractNumId w:val="11"/>
  </w:num>
  <w:num w:numId="16">
    <w:abstractNumId w:val="7"/>
  </w:num>
  <w:num w:numId="17">
    <w:abstractNumId w:val="14"/>
    <w:lvlOverride w:ilvl="0">
      <w:lvl w:ilvl="0">
        <w:start w:val="1"/>
        <w:numFmt w:val="decimal"/>
        <w:lvlText w:val="%1"/>
        <w:lvlJc w:val="left"/>
        <w:pPr>
          <w:ind w:left="360" w:hanging="360"/>
        </w:pPr>
        <w:rPr>
          <w:rFonts w:hint="default"/>
        </w:rPr>
      </w:lvl>
    </w:lvlOverride>
  </w:num>
  <w:num w:numId="18">
    <w:abstractNumId w:val="19"/>
  </w:num>
  <w:num w:numId="19">
    <w:abstractNumId w:val="2"/>
  </w:num>
  <w:num w:numId="20">
    <w:abstractNumId w:val="1"/>
  </w:num>
  <w:num w:numId="21">
    <w:abstractNumId w:val="9"/>
  </w:num>
  <w:num w:numId="22">
    <w:abstractNumId w:val="18"/>
  </w:num>
  <w:num w:numId="23">
    <w:abstractNumId w:val="13"/>
  </w:num>
  <w:num w:numId="24">
    <w:abstractNumId w:val="1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rsids>
    <w:rsidRoot w:val="006411D5"/>
    <w:rsid w:val="00000BC4"/>
    <w:rsid w:val="00011DD9"/>
    <w:rsid w:val="000135D7"/>
    <w:rsid w:val="000141CE"/>
    <w:rsid w:val="00016FB4"/>
    <w:rsid w:val="0002240A"/>
    <w:rsid w:val="00022FDB"/>
    <w:rsid w:val="0002449D"/>
    <w:rsid w:val="0002454B"/>
    <w:rsid w:val="00027FC1"/>
    <w:rsid w:val="00035C47"/>
    <w:rsid w:val="00036824"/>
    <w:rsid w:val="00044642"/>
    <w:rsid w:val="00045657"/>
    <w:rsid w:val="00045D95"/>
    <w:rsid w:val="00054710"/>
    <w:rsid w:val="00061851"/>
    <w:rsid w:val="00062D22"/>
    <w:rsid w:val="00066563"/>
    <w:rsid w:val="00070452"/>
    <w:rsid w:val="000706D8"/>
    <w:rsid w:val="00076511"/>
    <w:rsid w:val="00077F6E"/>
    <w:rsid w:val="00092102"/>
    <w:rsid w:val="0009271F"/>
    <w:rsid w:val="00095C5D"/>
    <w:rsid w:val="000A121E"/>
    <w:rsid w:val="000A2364"/>
    <w:rsid w:val="000A44A7"/>
    <w:rsid w:val="000A56D6"/>
    <w:rsid w:val="000A69CA"/>
    <w:rsid w:val="000A6F5A"/>
    <w:rsid w:val="000B0AB5"/>
    <w:rsid w:val="000B1277"/>
    <w:rsid w:val="000B19D7"/>
    <w:rsid w:val="000B1A4D"/>
    <w:rsid w:val="000B7DED"/>
    <w:rsid w:val="000C0DF2"/>
    <w:rsid w:val="000C38CD"/>
    <w:rsid w:val="000D2C87"/>
    <w:rsid w:val="000D4F20"/>
    <w:rsid w:val="000D65D4"/>
    <w:rsid w:val="000D76D9"/>
    <w:rsid w:val="000E2192"/>
    <w:rsid w:val="000E6197"/>
    <w:rsid w:val="000F0B8D"/>
    <w:rsid w:val="000F1739"/>
    <w:rsid w:val="000F2000"/>
    <w:rsid w:val="000F355B"/>
    <w:rsid w:val="000F376E"/>
    <w:rsid w:val="000F4733"/>
    <w:rsid w:val="000F75E9"/>
    <w:rsid w:val="00101596"/>
    <w:rsid w:val="001018FC"/>
    <w:rsid w:val="00105F72"/>
    <w:rsid w:val="0010732A"/>
    <w:rsid w:val="001109B3"/>
    <w:rsid w:val="00112971"/>
    <w:rsid w:val="00122C2B"/>
    <w:rsid w:val="0012303F"/>
    <w:rsid w:val="00131381"/>
    <w:rsid w:val="00132799"/>
    <w:rsid w:val="00136F31"/>
    <w:rsid w:val="00146039"/>
    <w:rsid w:val="00146223"/>
    <w:rsid w:val="00147C7D"/>
    <w:rsid w:val="001503C5"/>
    <w:rsid w:val="00151A29"/>
    <w:rsid w:val="0015202E"/>
    <w:rsid w:val="00155230"/>
    <w:rsid w:val="00155BB1"/>
    <w:rsid w:val="001561E1"/>
    <w:rsid w:val="00163B39"/>
    <w:rsid w:val="00164E7B"/>
    <w:rsid w:val="00165ACD"/>
    <w:rsid w:val="00170011"/>
    <w:rsid w:val="001708CB"/>
    <w:rsid w:val="001777E6"/>
    <w:rsid w:val="00184DA6"/>
    <w:rsid w:val="0018532D"/>
    <w:rsid w:val="00190809"/>
    <w:rsid w:val="00191C9C"/>
    <w:rsid w:val="00193F76"/>
    <w:rsid w:val="00194D1C"/>
    <w:rsid w:val="00195625"/>
    <w:rsid w:val="001A3F7F"/>
    <w:rsid w:val="001B0D96"/>
    <w:rsid w:val="001B4185"/>
    <w:rsid w:val="001B66C0"/>
    <w:rsid w:val="001C191A"/>
    <w:rsid w:val="001C672C"/>
    <w:rsid w:val="001D0501"/>
    <w:rsid w:val="001D35AA"/>
    <w:rsid w:val="001D7617"/>
    <w:rsid w:val="001D7D60"/>
    <w:rsid w:val="001E28CD"/>
    <w:rsid w:val="001E6719"/>
    <w:rsid w:val="001F2754"/>
    <w:rsid w:val="001F41E4"/>
    <w:rsid w:val="001F42EB"/>
    <w:rsid w:val="001F681E"/>
    <w:rsid w:val="00201AD8"/>
    <w:rsid w:val="00202788"/>
    <w:rsid w:val="00204CD5"/>
    <w:rsid w:val="002109AB"/>
    <w:rsid w:val="002236EE"/>
    <w:rsid w:val="00225CE7"/>
    <w:rsid w:val="0022661A"/>
    <w:rsid w:val="00230426"/>
    <w:rsid w:val="00233219"/>
    <w:rsid w:val="002339AA"/>
    <w:rsid w:val="00235023"/>
    <w:rsid w:val="002404F4"/>
    <w:rsid w:val="00242536"/>
    <w:rsid w:val="0024334A"/>
    <w:rsid w:val="0024365D"/>
    <w:rsid w:val="002444DE"/>
    <w:rsid w:val="0024451F"/>
    <w:rsid w:val="00246C98"/>
    <w:rsid w:val="002471FE"/>
    <w:rsid w:val="0025323F"/>
    <w:rsid w:val="00262DA1"/>
    <w:rsid w:val="00264408"/>
    <w:rsid w:val="00266932"/>
    <w:rsid w:val="00274635"/>
    <w:rsid w:val="00274640"/>
    <w:rsid w:val="002802F3"/>
    <w:rsid w:val="00285472"/>
    <w:rsid w:val="0028705C"/>
    <w:rsid w:val="0029005D"/>
    <w:rsid w:val="0029340C"/>
    <w:rsid w:val="002957D6"/>
    <w:rsid w:val="002B3DF9"/>
    <w:rsid w:val="002B48CC"/>
    <w:rsid w:val="002C11EF"/>
    <w:rsid w:val="002C16D3"/>
    <w:rsid w:val="002C2832"/>
    <w:rsid w:val="002C77DA"/>
    <w:rsid w:val="002D0B57"/>
    <w:rsid w:val="002D682D"/>
    <w:rsid w:val="002E0D08"/>
    <w:rsid w:val="002E2C03"/>
    <w:rsid w:val="002E36FD"/>
    <w:rsid w:val="002E374E"/>
    <w:rsid w:val="002F633A"/>
    <w:rsid w:val="00301C33"/>
    <w:rsid w:val="00302C34"/>
    <w:rsid w:val="00307DD2"/>
    <w:rsid w:val="00316214"/>
    <w:rsid w:val="00321467"/>
    <w:rsid w:val="00325084"/>
    <w:rsid w:val="003252D6"/>
    <w:rsid w:val="00326732"/>
    <w:rsid w:val="00326B87"/>
    <w:rsid w:val="00327760"/>
    <w:rsid w:val="0032797E"/>
    <w:rsid w:val="00332090"/>
    <w:rsid w:val="003325B7"/>
    <w:rsid w:val="00332E5B"/>
    <w:rsid w:val="003337E0"/>
    <w:rsid w:val="0033574D"/>
    <w:rsid w:val="003377A9"/>
    <w:rsid w:val="003379D4"/>
    <w:rsid w:val="0034154F"/>
    <w:rsid w:val="003443F6"/>
    <w:rsid w:val="00350226"/>
    <w:rsid w:val="00351A81"/>
    <w:rsid w:val="003530D3"/>
    <w:rsid w:val="00360F92"/>
    <w:rsid w:val="00364283"/>
    <w:rsid w:val="0036491B"/>
    <w:rsid w:val="0037049A"/>
    <w:rsid w:val="00373A92"/>
    <w:rsid w:val="003761D5"/>
    <w:rsid w:val="00376A64"/>
    <w:rsid w:val="003802CF"/>
    <w:rsid w:val="0038142F"/>
    <w:rsid w:val="003860AC"/>
    <w:rsid w:val="00396226"/>
    <w:rsid w:val="003A0B3A"/>
    <w:rsid w:val="003A4943"/>
    <w:rsid w:val="003A510D"/>
    <w:rsid w:val="003A740D"/>
    <w:rsid w:val="003B1310"/>
    <w:rsid w:val="003B2C15"/>
    <w:rsid w:val="003B72D5"/>
    <w:rsid w:val="003C3A21"/>
    <w:rsid w:val="003C4A02"/>
    <w:rsid w:val="003D73AE"/>
    <w:rsid w:val="003E4789"/>
    <w:rsid w:val="003E71D3"/>
    <w:rsid w:val="003F4B57"/>
    <w:rsid w:val="003F61BD"/>
    <w:rsid w:val="003F64C9"/>
    <w:rsid w:val="004028E9"/>
    <w:rsid w:val="0040543D"/>
    <w:rsid w:val="00405D7B"/>
    <w:rsid w:val="004063EC"/>
    <w:rsid w:val="00407226"/>
    <w:rsid w:val="0041105E"/>
    <w:rsid w:val="00412C41"/>
    <w:rsid w:val="004170C2"/>
    <w:rsid w:val="00417375"/>
    <w:rsid w:val="004174A1"/>
    <w:rsid w:val="00421D58"/>
    <w:rsid w:val="00425AC9"/>
    <w:rsid w:val="00426133"/>
    <w:rsid w:val="00426980"/>
    <w:rsid w:val="00427ECE"/>
    <w:rsid w:val="0043042F"/>
    <w:rsid w:val="00446698"/>
    <w:rsid w:val="00454085"/>
    <w:rsid w:val="004666EB"/>
    <w:rsid w:val="004671E2"/>
    <w:rsid w:val="0046757B"/>
    <w:rsid w:val="00472FCA"/>
    <w:rsid w:val="00480EB3"/>
    <w:rsid w:val="00486DA4"/>
    <w:rsid w:val="00487083"/>
    <w:rsid w:val="00487898"/>
    <w:rsid w:val="00487C09"/>
    <w:rsid w:val="00491A2C"/>
    <w:rsid w:val="00492156"/>
    <w:rsid w:val="004938AD"/>
    <w:rsid w:val="004941F6"/>
    <w:rsid w:val="0049735A"/>
    <w:rsid w:val="004A52ED"/>
    <w:rsid w:val="004A70C0"/>
    <w:rsid w:val="004A76B9"/>
    <w:rsid w:val="004B6498"/>
    <w:rsid w:val="004B6B84"/>
    <w:rsid w:val="004C7D68"/>
    <w:rsid w:val="004D0541"/>
    <w:rsid w:val="004D1223"/>
    <w:rsid w:val="004D6DA1"/>
    <w:rsid w:val="004E4292"/>
    <w:rsid w:val="004E47D9"/>
    <w:rsid w:val="004E6A62"/>
    <w:rsid w:val="004F0DB8"/>
    <w:rsid w:val="0050347E"/>
    <w:rsid w:val="0050348F"/>
    <w:rsid w:val="0051000B"/>
    <w:rsid w:val="0051079F"/>
    <w:rsid w:val="00510BC3"/>
    <w:rsid w:val="00514BB8"/>
    <w:rsid w:val="005155EA"/>
    <w:rsid w:val="00516873"/>
    <w:rsid w:val="0051796B"/>
    <w:rsid w:val="00522D4D"/>
    <w:rsid w:val="00525682"/>
    <w:rsid w:val="00530C1B"/>
    <w:rsid w:val="0053158B"/>
    <w:rsid w:val="0053332F"/>
    <w:rsid w:val="00534D3A"/>
    <w:rsid w:val="005419A6"/>
    <w:rsid w:val="005475AE"/>
    <w:rsid w:val="0055232A"/>
    <w:rsid w:val="00554981"/>
    <w:rsid w:val="005568C3"/>
    <w:rsid w:val="00560F07"/>
    <w:rsid w:val="0056160A"/>
    <w:rsid w:val="005650AC"/>
    <w:rsid w:val="005679C1"/>
    <w:rsid w:val="00570F64"/>
    <w:rsid w:val="00577828"/>
    <w:rsid w:val="00591FB0"/>
    <w:rsid w:val="005A135E"/>
    <w:rsid w:val="005A7C71"/>
    <w:rsid w:val="005B095D"/>
    <w:rsid w:val="005B14A9"/>
    <w:rsid w:val="005B1A00"/>
    <w:rsid w:val="005B2F11"/>
    <w:rsid w:val="005B60F2"/>
    <w:rsid w:val="005B6A70"/>
    <w:rsid w:val="005C79A9"/>
    <w:rsid w:val="005D2B93"/>
    <w:rsid w:val="005D2D4C"/>
    <w:rsid w:val="005D4226"/>
    <w:rsid w:val="005E2719"/>
    <w:rsid w:val="005E3381"/>
    <w:rsid w:val="005F0008"/>
    <w:rsid w:val="005F489B"/>
    <w:rsid w:val="005F5A52"/>
    <w:rsid w:val="005F69CC"/>
    <w:rsid w:val="00603D63"/>
    <w:rsid w:val="00604B74"/>
    <w:rsid w:val="00604FB1"/>
    <w:rsid w:val="00605159"/>
    <w:rsid w:val="00610744"/>
    <w:rsid w:val="0061188F"/>
    <w:rsid w:val="00611C37"/>
    <w:rsid w:val="00615B76"/>
    <w:rsid w:val="00616BC4"/>
    <w:rsid w:val="0061754E"/>
    <w:rsid w:val="00621858"/>
    <w:rsid w:val="0062342C"/>
    <w:rsid w:val="00624071"/>
    <w:rsid w:val="006244E1"/>
    <w:rsid w:val="00634194"/>
    <w:rsid w:val="0063511A"/>
    <w:rsid w:val="00635D93"/>
    <w:rsid w:val="00635F23"/>
    <w:rsid w:val="006379E0"/>
    <w:rsid w:val="006411D5"/>
    <w:rsid w:val="00643FEB"/>
    <w:rsid w:val="0064777B"/>
    <w:rsid w:val="00651BA0"/>
    <w:rsid w:val="00652489"/>
    <w:rsid w:val="006550D0"/>
    <w:rsid w:val="00656038"/>
    <w:rsid w:val="00656278"/>
    <w:rsid w:val="00664AE2"/>
    <w:rsid w:val="00667D9B"/>
    <w:rsid w:val="0067160D"/>
    <w:rsid w:val="006753A3"/>
    <w:rsid w:val="006754C6"/>
    <w:rsid w:val="006762ED"/>
    <w:rsid w:val="00677141"/>
    <w:rsid w:val="00677494"/>
    <w:rsid w:val="00677804"/>
    <w:rsid w:val="0068465F"/>
    <w:rsid w:val="00684D65"/>
    <w:rsid w:val="006907C2"/>
    <w:rsid w:val="00692D34"/>
    <w:rsid w:val="0069400A"/>
    <w:rsid w:val="00694AB9"/>
    <w:rsid w:val="00695C9A"/>
    <w:rsid w:val="00697E6F"/>
    <w:rsid w:val="006A0464"/>
    <w:rsid w:val="006A1888"/>
    <w:rsid w:val="006A5438"/>
    <w:rsid w:val="006B257E"/>
    <w:rsid w:val="006B36E5"/>
    <w:rsid w:val="006C55F0"/>
    <w:rsid w:val="006C72CD"/>
    <w:rsid w:val="006D0592"/>
    <w:rsid w:val="006D1842"/>
    <w:rsid w:val="006D5BCB"/>
    <w:rsid w:val="006E2890"/>
    <w:rsid w:val="006E2FDD"/>
    <w:rsid w:val="006E654D"/>
    <w:rsid w:val="006F2613"/>
    <w:rsid w:val="006F3750"/>
    <w:rsid w:val="006F5657"/>
    <w:rsid w:val="0070402C"/>
    <w:rsid w:val="007054D7"/>
    <w:rsid w:val="007069BB"/>
    <w:rsid w:val="00707182"/>
    <w:rsid w:val="007101E5"/>
    <w:rsid w:val="00712B5E"/>
    <w:rsid w:val="0071385E"/>
    <w:rsid w:val="00721A91"/>
    <w:rsid w:val="007230FC"/>
    <w:rsid w:val="00732F35"/>
    <w:rsid w:val="007339C7"/>
    <w:rsid w:val="00744401"/>
    <w:rsid w:val="0074666B"/>
    <w:rsid w:val="0074770A"/>
    <w:rsid w:val="007500E3"/>
    <w:rsid w:val="007558ED"/>
    <w:rsid w:val="00757C4E"/>
    <w:rsid w:val="00764471"/>
    <w:rsid w:val="0076588B"/>
    <w:rsid w:val="00765BCA"/>
    <w:rsid w:val="00766479"/>
    <w:rsid w:val="00767BC4"/>
    <w:rsid w:val="007748C6"/>
    <w:rsid w:val="007801F1"/>
    <w:rsid w:val="00780FBB"/>
    <w:rsid w:val="00792617"/>
    <w:rsid w:val="00793E50"/>
    <w:rsid w:val="00794E1C"/>
    <w:rsid w:val="007972B0"/>
    <w:rsid w:val="007973ED"/>
    <w:rsid w:val="007A144B"/>
    <w:rsid w:val="007A7935"/>
    <w:rsid w:val="007B51B0"/>
    <w:rsid w:val="007B7B3D"/>
    <w:rsid w:val="007C4E03"/>
    <w:rsid w:val="007C5BE8"/>
    <w:rsid w:val="007D22A1"/>
    <w:rsid w:val="007D594B"/>
    <w:rsid w:val="007D69B3"/>
    <w:rsid w:val="007D7F2C"/>
    <w:rsid w:val="007E1119"/>
    <w:rsid w:val="007E48C8"/>
    <w:rsid w:val="007E6CD1"/>
    <w:rsid w:val="007E75E4"/>
    <w:rsid w:val="007E7E2E"/>
    <w:rsid w:val="00803749"/>
    <w:rsid w:val="008056C2"/>
    <w:rsid w:val="00806BDD"/>
    <w:rsid w:val="008079EF"/>
    <w:rsid w:val="00810CA7"/>
    <w:rsid w:val="00812FD8"/>
    <w:rsid w:val="0081408C"/>
    <w:rsid w:val="008175AC"/>
    <w:rsid w:val="0082496B"/>
    <w:rsid w:val="00827D47"/>
    <w:rsid w:val="00833C8B"/>
    <w:rsid w:val="0083449B"/>
    <w:rsid w:val="00835404"/>
    <w:rsid w:val="008477FC"/>
    <w:rsid w:val="00850E04"/>
    <w:rsid w:val="00851FE5"/>
    <w:rsid w:val="00852028"/>
    <w:rsid w:val="00854171"/>
    <w:rsid w:val="0086174F"/>
    <w:rsid w:val="008637A1"/>
    <w:rsid w:val="00866CDA"/>
    <w:rsid w:val="00867075"/>
    <w:rsid w:val="008705F7"/>
    <w:rsid w:val="00873D29"/>
    <w:rsid w:val="00874E74"/>
    <w:rsid w:val="008751B1"/>
    <w:rsid w:val="008773CD"/>
    <w:rsid w:val="008849BF"/>
    <w:rsid w:val="00886F67"/>
    <w:rsid w:val="00891E8E"/>
    <w:rsid w:val="008939F1"/>
    <w:rsid w:val="00897522"/>
    <w:rsid w:val="00897CE5"/>
    <w:rsid w:val="008A451D"/>
    <w:rsid w:val="008A767A"/>
    <w:rsid w:val="008A77ED"/>
    <w:rsid w:val="008B1003"/>
    <w:rsid w:val="008B43AF"/>
    <w:rsid w:val="008B697A"/>
    <w:rsid w:val="008C049C"/>
    <w:rsid w:val="008C1706"/>
    <w:rsid w:val="008C23EF"/>
    <w:rsid w:val="008C2A7A"/>
    <w:rsid w:val="008C35CC"/>
    <w:rsid w:val="008C4C48"/>
    <w:rsid w:val="008C6AD0"/>
    <w:rsid w:val="008C6FE1"/>
    <w:rsid w:val="008D62B8"/>
    <w:rsid w:val="008D6470"/>
    <w:rsid w:val="008E1546"/>
    <w:rsid w:val="008E5D89"/>
    <w:rsid w:val="008E68C4"/>
    <w:rsid w:val="008E7FCE"/>
    <w:rsid w:val="008F03D4"/>
    <w:rsid w:val="008F0BE1"/>
    <w:rsid w:val="009118C5"/>
    <w:rsid w:val="0091267F"/>
    <w:rsid w:val="009134AA"/>
    <w:rsid w:val="009174CB"/>
    <w:rsid w:val="00920E30"/>
    <w:rsid w:val="009213FC"/>
    <w:rsid w:val="009214E6"/>
    <w:rsid w:val="009305CF"/>
    <w:rsid w:val="00933F1D"/>
    <w:rsid w:val="009341B3"/>
    <w:rsid w:val="0093536D"/>
    <w:rsid w:val="009423AB"/>
    <w:rsid w:val="00947897"/>
    <w:rsid w:val="00953586"/>
    <w:rsid w:val="00953B3B"/>
    <w:rsid w:val="00954D15"/>
    <w:rsid w:val="00956E6D"/>
    <w:rsid w:val="00957B10"/>
    <w:rsid w:val="00966182"/>
    <w:rsid w:val="00967B7B"/>
    <w:rsid w:val="009746C3"/>
    <w:rsid w:val="00975BAA"/>
    <w:rsid w:val="00980390"/>
    <w:rsid w:val="009815D0"/>
    <w:rsid w:val="00984036"/>
    <w:rsid w:val="00985BE6"/>
    <w:rsid w:val="00986159"/>
    <w:rsid w:val="009863E8"/>
    <w:rsid w:val="00986666"/>
    <w:rsid w:val="00991F83"/>
    <w:rsid w:val="009A0001"/>
    <w:rsid w:val="009B517F"/>
    <w:rsid w:val="009B76B4"/>
    <w:rsid w:val="009B7D12"/>
    <w:rsid w:val="009C0C69"/>
    <w:rsid w:val="009C2E01"/>
    <w:rsid w:val="009C3271"/>
    <w:rsid w:val="009D21C9"/>
    <w:rsid w:val="009D391E"/>
    <w:rsid w:val="009D3B4F"/>
    <w:rsid w:val="009D5C61"/>
    <w:rsid w:val="009D5DD8"/>
    <w:rsid w:val="009D7EAA"/>
    <w:rsid w:val="009F457B"/>
    <w:rsid w:val="00A00A08"/>
    <w:rsid w:val="00A0175E"/>
    <w:rsid w:val="00A10C49"/>
    <w:rsid w:val="00A15392"/>
    <w:rsid w:val="00A16B1C"/>
    <w:rsid w:val="00A1798D"/>
    <w:rsid w:val="00A17C40"/>
    <w:rsid w:val="00A204CF"/>
    <w:rsid w:val="00A20681"/>
    <w:rsid w:val="00A20AA9"/>
    <w:rsid w:val="00A2336D"/>
    <w:rsid w:val="00A262ED"/>
    <w:rsid w:val="00A36ABC"/>
    <w:rsid w:val="00A4756A"/>
    <w:rsid w:val="00A51D7A"/>
    <w:rsid w:val="00A534FC"/>
    <w:rsid w:val="00A5472D"/>
    <w:rsid w:val="00A5707B"/>
    <w:rsid w:val="00A5741E"/>
    <w:rsid w:val="00A6004C"/>
    <w:rsid w:val="00A6428A"/>
    <w:rsid w:val="00A677E4"/>
    <w:rsid w:val="00A73116"/>
    <w:rsid w:val="00A761C7"/>
    <w:rsid w:val="00A7703A"/>
    <w:rsid w:val="00A823ED"/>
    <w:rsid w:val="00A82A68"/>
    <w:rsid w:val="00A92FBB"/>
    <w:rsid w:val="00A94DC2"/>
    <w:rsid w:val="00A953C5"/>
    <w:rsid w:val="00A95AA7"/>
    <w:rsid w:val="00AA04B4"/>
    <w:rsid w:val="00AB16A8"/>
    <w:rsid w:val="00AB1F8E"/>
    <w:rsid w:val="00AB6368"/>
    <w:rsid w:val="00AB6B4F"/>
    <w:rsid w:val="00AC3DFA"/>
    <w:rsid w:val="00AC7354"/>
    <w:rsid w:val="00AC79CB"/>
    <w:rsid w:val="00AD1A9B"/>
    <w:rsid w:val="00AD323F"/>
    <w:rsid w:val="00AD3E36"/>
    <w:rsid w:val="00AD4A87"/>
    <w:rsid w:val="00AD75FE"/>
    <w:rsid w:val="00AD7E5C"/>
    <w:rsid w:val="00AE3619"/>
    <w:rsid w:val="00AE39F0"/>
    <w:rsid w:val="00AF4AEB"/>
    <w:rsid w:val="00AF67D0"/>
    <w:rsid w:val="00B02108"/>
    <w:rsid w:val="00B02835"/>
    <w:rsid w:val="00B0458B"/>
    <w:rsid w:val="00B0613D"/>
    <w:rsid w:val="00B12066"/>
    <w:rsid w:val="00B141CB"/>
    <w:rsid w:val="00B15547"/>
    <w:rsid w:val="00B2321C"/>
    <w:rsid w:val="00B23B15"/>
    <w:rsid w:val="00B30B48"/>
    <w:rsid w:val="00B3396A"/>
    <w:rsid w:val="00B34DF3"/>
    <w:rsid w:val="00B41DD1"/>
    <w:rsid w:val="00B4649D"/>
    <w:rsid w:val="00B504A6"/>
    <w:rsid w:val="00B53FA4"/>
    <w:rsid w:val="00B62DF7"/>
    <w:rsid w:val="00B62FB6"/>
    <w:rsid w:val="00B6445A"/>
    <w:rsid w:val="00B6683E"/>
    <w:rsid w:val="00B734A1"/>
    <w:rsid w:val="00B75900"/>
    <w:rsid w:val="00B76AD4"/>
    <w:rsid w:val="00B80256"/>
    <w:rsid w:val="00B81D3C"/>
    <w:rsid w:val="00B825BD"/>
    <w:rsid w:val="00B83F7F"/>
    <w:rsid w:val="00B84203"/>
    <w:rsid w:val="00B84FE8"/>
    <w:rsid w:val="00B93483"/>
    <w:rsid w:val="00B93ABF"/>
    <w:rsid w:val="00BA0CBE"/>
    <w:rsid w:val="00BA2AF2"/>
    <w:rsid w:val="00BA41FA"/>
    <w:rsid w:val="00BA49C9"/>
    <w:rsid w:val="00BA5DEF"/>
    <w:rsid w:val="00BA6A88"/>
    <w:rsid w:val="00BB62DD"/>
    <w:rsid w:val="00BC2816"/>
    <w:rsid w:val="00BC5EA3"/>
    <w:rsid w:val="00BD087B"/>
    <w:rsid w:val="00BD28BF"/>
    <w:rsid w:val="00BE084D"/>
    <w:rsid w:val="00BE139F"/>
    <w:rsid w:val="00BE3E4E"/>
    <w:rsid w:val="00BE4819"/>
    <w:rsid w:val="00BE5570"/>
    <w:rsid w:val="00BE7DFD"/>
    <w:rsid w:val="00BF4B57"/>
    <w:rsid w:val="00BF536B"/>
    <w:rsid w:val="00BF5734"/>
    <w:rsid w:val="00BF6224"/>
    <w:rsid w:val="00C0594D"/>
    <w:rsid w:val="00C1329A"/>
    <w:rsid w:val="00C154E6"/>
    <w:rsid w:val="00C16A33"/>
    <w:rsid w:val="00C217C3"/>
    <w:rsid w:val="00C233D1"/>
    <w:rsid w:val="00C2553D"/>
    <w:rsid w:val="00C2625B"/>
    <w:rsid w:val="00C31B4F"/>
    <w:rsid w:val="00C3201E"/>
    <w:rsid w:val="00C34C1A"/>
    <w:rsid w:val="00C36AF4"/>
    <w:rsid w:val="00C416D7"/>
    <w:rsid w:val="00C41BF3"/>
    <w:rsid w:val="00C43263"/>
    <w:rsid w:val="00C4559B"/>
    <w:rsid w:val="00C461D8"/>
    <w:rsid w:val="00C46D42"/>
    <w:rsid w:val="00C51BD0"/>
    <w:rsid w:val="00C56F0D"/>
    <w:rsid w:val="00C6402C"/>
    <w:rsid w:val="00C776EC"/>
    <w:rsid w:val="00C82888"/>
    <w:rsid w:val="00C83E13"/>
    <w:rsid w:val="00C858F4"/>
    <w:rsid w:val="00C907D5"/>
    <w:rsid w:val="00C91A4C"/>
    <w:rsid w:val="00C9428D"/>
    <w:rsid w:val="00C966A5"/>
    <w:rsid w:val="00CA0BF3"/>
    <w:rsid w:val="00CA3D19"/>
    <w:rsid w:val="00CB2996"/>
    <w:rsid w:val="00CB333D"/>
    <w:rsid w:val="00CC144B"/>
    <w:rsid w:val="00CC33CC"/>
    <w:rsid w:val="00CC749D"/>
    <w:rsid w:val="00CD1142"/>
    <w:rsid w:val="00CD2212"/>
    <w:rsid w:val="00CD377D"/>
    <w:rsid w:val="00CD70F8"/>
    <w:rsid w:val="00CD72DD"/>
    <w:rsid w:val="00CD7DC9"/>
    <w:rsid w:val="00CE1AF1"/>
    <w:rsid w:val="00CE232B"/>
    <w:rsid w:val="00CF5BCF"/>
    <w:rsid w:val="00D02760"/>
    <w:rsid w:val="00D04367"/>
    <w:rsid w:val="00D0454A"/>
    <w:rsid w:val="00D066D1"/>
    <w:rsid w:val="00D073C5"/>
    <w:rsid w:val="00D1076A"/>
    <w:rsid w:val="00D21C07"/>
    <w:rsid w:val="00D23E04"/>
    <w:rsid w:val="00D333B4"/>
    <w:rsid w:val="00D3453D"/>
    <w:rsid w:val="00D35727"/>
    <w:rsid w:val="00D37EF0"/>
    <w:rsid w:val="00D543CE"/>
    <w:rsid w:val="00D54C27"/>
    <w:rsid w:val="00D5777A"/>
    <w:rsid w:val="00D57E50"/>
    <w:rsid w:val="00D60375"/>
    <w:rsid w:val="00D60E90"/>
    <w:rsid w:val="00D625B0"/>
    <w:rsid w:val="00D67FB6"/>
    <w:rsid w:val="00D73817"/>
    <w:rsid w:val="00D82538"/>
    <w:rsid w:val="00D9202F"/>
    <w:rsid w:val="00D92BDB"/>
    <w:rsid w:val="00D9421A"/>
    <w:rsid w:val="00D958F7"/>
    <w:rsid w:val="00DA1A70"/>
    <w:rsid w:val="00DA3558"/>
    <w:rsid w:val="00DA376F"/>
    <w:rsid w:val="00DA3820"/>
    <w:rsid w:val="00DA3954"/>
    <w:rsid w:val="00DA5B3A"/>
    <w:rsid w:val="00DA75DE"/>
    <w:rsid w:val="00DB0F68"/>
    <w:rsid w:val="00DB31DA"/>
    <w:rsid w:val="00DB36EE"/>
    <w:rsid w:val="00DB3850"/>
    <w:rsid w:val="00DB415D"/>
    <w:rsid w:val="00DC2575"/>
    <w:rsid w:val="00DD2DF1"/>
    <w:rsid w:val="00DD4D11"/>
    <w:rsid w:val="00DE14FE"/>
    <w:rsid w:val="00DE6027"/>
    <w:rsid w:val="00DE67EB"/>
    <w:rsid w:val="00DE6A0C"/>
    <w:rsid w:val="00DF58E8"/>
    <w:rsid w:val="00DF5BB9"/>
    <w:rsid w:val="00DF6FA6"/>
    <w:rsid w:val="00DF72DB"/>
    <w:rsid w:val="00DF7D85"/>
    <w:rsid w:val="00E0103D"/>
    <w:rsid w:val="00E03BB7"/>
    <w:rsid w:val="00E140F8"/>
    <w:rsid w:val="00E16E65"/>
    <w:rsid w:val="00E21C11"/>
    <w:rsid w:val="00E220F8"/>
    <w:rsid w:val="00E22BC3"/>
    <w:rsid w:val="00E2669E"/>
    <w:rsid w:val="00E305A5"/>
    <w:rsid w:val="00E4391F"/>
    <w:rsid w:val="00E47F15"/>
    <w:rsid w:val="00E55263"/>
    <w:rsid w:val="00E55EDC"/>
    <w:rsid w:val="00E67B5E"/>
    <w:rsid w:val="00E72635"/>
    <w:rsid w:val="00E81072"/>
    <w:rsid w:val="00E81EBC"/>
    <w:rsid w:val="00E83318"/>
    <w:rsid w:val="00E85B25"/>
    <w:rsid w:val="00E87ABE"/>
    <w:rsid w:val="00E87B7C"/>
    <w:rsid w:val="00E90435"/>
    <w:rsid w:val="00E904D7"/>
    <w:rsid w:val="00EA5097"/>
    <w:rsid w:val="00EA69BA"/>
    <w:rsid w:val="00EB0F05"/>
    <w:rsid w:val="00EB3271"/>
    <w:rsid w:val="00EB41EE"/>
    <w:rsid w:val="00EB5120"/>
    <w:rsid w:val="00EB79D6"/>
    <w:rsid w:val="00EB7EB3"/>
    <w:rsid w:val="00EC04D1"/>
    <w:rsid w:val="00EC4E58"/>
    <w:rsid w:val="00ED0913"/>
    <w:rsid w:val="00ED34A7"/>
    <w:rsid w:val="00ED49B1"/>
    <w:rsid w:val="00ED75E9"/>
    <w:rsid w:val="00EE2123"/>
    <w:rsid w:val="00EE3A17"/>
    <w:rsid w:val="00EF12D3"/>
    <w:rsid w:val="00EF5BB8"/>
    <w:rsid w:val="00EF733B"/>
    <w:rsid w:val="00EF74A5"/>
    <w:rsid w:val="00F07A71"/>
    <w:rsid w:val="00F106E4"/>
    <w:rsid w:val="00F1071B"/>
    <w:rsid w:val="00F11A1A"/>
    <w:rsid w:val="00F164FF"/>
    <w:rsid w:val="00F16F76"/>
    <w:rsid w:val="00F20A6A"/>
    <w:rsid w:val="00F22D97"/>
    <w:rsid w:val="00F25695"/>
    <w:rsid w:val="00F260C2"/>
    <w:rsid w:val="00F27125"/>
    <w:rsid w:val="00F36368"/>
    <w:rsid w:val="00F37237"/>
    <w:rsid w:val="00F406C4"/>
    <w:rsid w:val="00F41C63"/>
    <w:rsid w:val="00F436C8"/>
    <w:rsid w:val="00F46CA0"/>
    <w:rsid w:val="00F51B77"/>
    <w:rsid w:val="00F54C52"/>
    <w:rsid w:val="00F55F05"/>
    <w:rsid w:val="00F60FA8"/>
    <w:rsid w:val="00F64FD4"/>
    <w:rsid w:val="00F6696F"/>
    <w:rsid w:val="00F7150C"/>
    <w:rsid w:val="00F728A1"/>
    <w:rsid w:val="00F77234"/>
    <w:rsid w:val="00F80890"/>
    <w:rsid w:val="00F81C82"/>
    <w:rsid w:val="00F83B08"/>
    <w:rsid w:val="00F850EA"/>
    <w:rsid w:val="00F87B86"/>
    <w:rsid w:val="00F900C5"/>
    <w:rsid w:val="00F9142B"/>
    <w:rsid w:val="00F9178C"/>
    <w:rsid w:val="00F926CA"/>
    <w:rsid w:val="00F96658"/>
    <w:rsid w:val="00F9693A"/>
    <w:rsid w:val="00FA2ECA"/>
    <w:rsid w:val="00FA3AF2"/>
    <w:rsid w:val="00FA4478"/>
    <w:rsid w:val="00FA6B2E"/>
    <w:rsid w:val="00FA6CEF"/>
    <w:rsid w:val="00FA6F21"/>
    <w:rsid w:val="00FA746E"/>
    <w:rsid w:val="00FB2A03"/>
    <w:rsid w:val="00FB2A96"/>
    <w:rsid w:val="00FB3211"/>
    <w:rsid w:val="00FC4036"/>
    <w:rsid w:val="00FC4F19"/>
    <w:rsid w:val="00FC72F6"/>
    <w:rsid w:val="00FD4DB4"/>
    <w:rsid w:val="00FE6FD2"/>
    <w:rsid w:val="00FF353F"/>
    <w:rsid w:val="00FF5A43"/>
    <w:rsid w:val="00FF6E8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2" w:qFormat="1"/>
    <w:lsdException w:name="heading 3" w:uiPriority="3" w:qFormat="1"/>
    <w:lsdException w:name="heading 4" w:uiPriority="4" w:qFormat="1"/>
    <w:lsdException w:name="index 1" w:uiPriority="0"/>
    <w:lsdException w:name="toc 1" w:uiPriority="39"/>
    <w:lsdException w:name="toc 2"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uiPriority="10"/>
    <w:lsdException w:name="footer" w:uiPriority="11"/>
    <w:lsdException w:name="caption" w:uiPriority="0" w:qFormat="1"/>
    <w:lsdException w:name="annotation reference" w:uiPriority="0"/>
    <w:lsdException w:name="page number" w:uiPriority="0"/>
    <w:lsdException w:name="List Bullet" w:uiPriority="0"/>
    <w:lsdException w:name="Title" w:semiHidden="0" w:uiPriority="10" w:unhideWhenUsed="0"/>
    <w:lsdException w:name="Default Paragraph Font" w:uiPriority="1"/>
    <w:lsdException w:name="Body Text" w:uiPriority="0"/>
    <w:lsdException w:name="Subtitle" w:semiHidden="0" w:uiPriority="11" w:unhideWhenUsed="0"/>
    <w:lsdException w:name="Body Text 3" w:uiPriority="0"/>
    <w:lsdException w:name="FollowedHyperlink" w:uiPriority="0"/>
    <w:lsdException w:name="Strong" w:semiHidden="0" w:uiPriority="22" w:unhideWhenUsed="0"/>
    <w:lsdException w:name="Emphasis" w:semiHidden="0" w:uiPriority="20" w:unhideWhenUsed="0"/>
    <w:lsdException w:name="annotation subject" w:uiPriority="0"/>
    <w:lsdException w:name="Table Simple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9178C"/>
  </w:style>
  <w:style w:type="paragraph" w:styleId="Heading1">
    <w:name w:val="heading 1"/>
    <w:basedOn w:val="Normal"/>
    <w:next w:val="Normal"/>
    <w:link w:val="Heading1Char"/>
    <w:uiPriority w:val="1"/>
    <w:qFormat/>
    <w:rsid w:val="00F80890"/>
    <w:pPr>
      <w:keepNext/>
      <w:tabs>
        <w:tab w:val="left" w:pos="397"/>
      </w:tabs>
      <w:spacing w:before="240" w:after="60" w:line="240" w:lineRule="auto"/>
      <w:jc w:val="both"/>
      <w:outlineLvl w:val="0"/>
    </w:pPr>
    <w:rPr>
      <w:rFonts w:ascii="Arial" w:eastAsia="Times New Roman" w:hAnsi="Arial" w:cs="Times New Roman"/>
      <w:b/>
      <w:kern w:val="28"/>
      <w:sz w:val="28"/>
      <w:szCs w:val="20"/>
    </w:rPr>
  </w:style>
  <w:style w:type="paragraph" w:styleId="Heading2">
    <w:name w:val="heading 2"/>
    <w:basedOn w:val="Normal"/>
    <w:next w:val="Normal"/>
    <w:link w:val="Heading2Char"/>
    <w:uiPriority w:val="2"/>
    <w:qFormat/>
    <w:rsid w:val="00F80890"/>
    <w:pPr>
      <w:keepNext/>
      <w:tabs>
        <w:tab w:val="left" w:pos="397"/>
      </w:tabs>
      <w:spacing w:before="120" w:after="120" w:line="240" w:lineRule="auto"/>
      <w:ind w:right="-766"/>
      <w:jc w:val="right"/>
      <w:outlineLvl w:val="1"/>
    </w:pPr>
    <w:rPr>
      <w:rFonts w:ascii="Times New Roman" w:eastAsia="Times New Roman" w:hAnsi="Times New Roman" w:cs="Times New Roman"/>
      <w:b/>
      <w:sz w:val="40"/>
      <w:szCs w:val="20"/>
    </w:rPr>
  </w:style>
  <w:style w:type="paragraph" w:styleId="Heading3">
    <w:name w:val="heading 3"/>
    <w:basedOn w:val="Normal"/>
    <w:next w:val="Normal"/>
    <w:link w:val="Heading3Char"/>
    <w:uiPriority w:val="3"/>
    <w:qFormat/>
    <w:rsid w:val="00F80890"/>
    <w:pPr>
      <w:keepNext/>
      <w:tabs>
        <w:tab w:val="left" w:pos="397"/>
      </w:tabs>
      <w:spacing w:after="0" w:line="240" w:lineRule="auto"/>
      <w:ind w:right="-766"/>
      <w:jc w:val="right"/>
      <w:outlineLvl w:val="2"/>
    </w:pPr>
    <w:rPr>
      <w:rFonts w:ascii="Times New Roman" w:eastAsia="Times New Roman" w:hAnsi="Times New Roman" w:cs="Times New Roman"/>
      <w:b/>
      <w:sz w:val="32"/>
      <w:szCs w:val="20"/>
    </w:rPr>
  </w:style>
  <w:style w:type="paragraph" w:styleId="Heading4">
    <w:name w:val="heading 4"/>
    <w:basedOn w:val="Normal"/>
    <w:next w:val="Normal"/>
    <w:link w:val="Heading4Char"/>
    <w:uiPriority w:val="4"/>
    <w:qFormat/>
    <w:rsid w:val="00F80890"/>
    <w:pPr>
      <w:keepNext/>
      <w:tabs>
        <w:tab w:val="left" w:pos="397"/>
      </w:tabs>
      <w:spacing w:after="0" w:line="240" w:lineRule="auto"/>
      <w:ind w:left="176"/>
      <w:jc w:val="both"/>
      <w:outlineLvl w:val="3"/>
    </w:pPr>
    <w:rPr>
      <w:rFonts w:ascii="Times New Roman" w:eastAsia="Times New Roman" w:hAnsi="Times New Roman" w:cs="Times New Roman"/>
      <w:i/>
      <w:sz w:val="24"/>
      <w:szCs w:val="20"/>
      <w:lang w:val="en-US"/>
    </w:rPr>
  </w:style>
  <w:style w:type="paragraph" w:styleId="Heading5">
    <w:name w:val="heading 5"/>
    <w:basedOn w:val="Normal"/>
    <w:next w:val="Normal"/>
    <w:link w:val="Heading5Char"/>
    <w:uiPriority w:val="99"/>
    <w:rsid w:val="00F80890"/>
    <w:pPr>
      <w:keepNext/>
      <w:tabs>
        <w:tab w:val="left" w:pos="397"/>
      </w:tabs>
      <w:spacing w:after="0" w:line="240" w:lineRule="auto"/>
      <w:ind w:left="176"/>
      <w:outlineLvl w:val="4"/>
    </w:pPr>
    <w:rPr>
      <w:rFonts w:ascii="Times New Roman" w:eastAsia="Times New Roman" w:hAnsi="Times New Roman" w:cs="Times New Roman"/>
      <w:i/>
      <w:sz w:val="20"/>
      <w:szCs w:val="20"/>
      <w:lang w:val="en-US"/>
    </w:rPr>
  </w:style>
  <w:style w:type="paragraph" w:styleId="Heading6">
    <w:name w:val="heading 6"/>
    <w:basedOn w:val="Normal"/>
    <w:next w:val="Normal"/>
    <w:link w:val="Heading6Char"/>
    <w:uiPriority w:val="99"/>
    <w:rsid w:val="00F80890"/>
    <w:pPr>
      <w:keepNext/>
      <w:tabs>
        <w:tab w:val="left" w:pos="397"/>
      </w:tabs>
      <w:spacing w:after="120" w:line="240" w:lineRule="auto"/>
      <w:ind w:left="176"/>
      <w:outlineLvl w:val="5"/>
    </w:pPr>
    <w:rPr>
      <w:rFonts w:ascii="Times New Roman" w:eastAsia="Times New Roman" w:hAnsi="Times New Roman" w:cs="Times New Roman"/>
      <w:i/>
      <w:sz w:val="24"/>
      <w:szCs w:val="20"/>
      <w:lang w:val="en-US"/>
    </w:rPr>
  </w:style>
  <w:style w:type="paragraph" w:styleId="Heading7">
    <w:name w:val="heading 7"/>
    <w:basedOn w:val="Normal"/>
    <w:next w:val="Normal"/>
    <w:link w:val="Heading7Char"/>
    <w:uiPriority w:val="99"/>
    <w:rsid w:val="00F80890"/>
    <w:pPr>
      <w:keepNext/>
      <w:spacing w:before="120" w:after="0" w:line="240" w:lineRule="auto"/>
      <w:ind w:left="176"/>
      <w:outlineLvl w:val="6"/>
    </w:pPr>
    <w:rPr>
      <w:rFonts w:ascii="Times New Roman" w:eastAsia="Times New Roman" w:hAnsi="Times New Roman" w:cs="Times New Roman"/>
      <w:i/>
      <w:sz w:val="18"/>
      <w:szCs w:val="20"/>
    </w:rPr>
  </w:style>
  <w:style w:type="paragraph" w:styleId="Heading8">
    <w:name w:val="heading 8"/>
    <w:basedOn w:val="Normal"/>
    <w:next w:val="Normal"/>
    <w:link w:val="Heading8Char"/>
    <w:uiPriority w:val="99"/>
    <w:rsid w:val="00F80890"/>
    <w:pPr>
      <w:keepNext/>
      <w:tabs>
        <w:tab w:val="left" w:pos="397"/>
      </w:tabs>
      <w:spacing w:after="0" w:line="240" w:lineRule="auto"/>
      <w:jc w:val="right"/>
      <w:outlineLvl w:val="7"/>
    </w:pPr>
    <w:rPr>
      <w:rFonts w:ascii="Times New Roman" w:eastAsia="Times New Roman" w:hAnsi="Times New Roman" w:cs="Times New Roman"/>
      <w:b/>
      <w:bCs/>
      <w:sz w:val="36"/>
      <w:szCs w:val="20"/>
    </w:rPr>
  </w:style>
  <w:style w:type="paragraph" w:styleId="Heading9">
    <w:name w:val="heading 9"/>
    <w:basedOn w:val="Normal"/>
    <w:next w:val="Normal"/>
    <w:link w:val="Heading9Char"/>
    <w:uiPriority w:val="99"/>
    <w:rsid w:val="00F80890"/>
    <w:pPr>
      <w:keepNext/>
      <w:tabs>
        <w:tab w:val="left" w:pos="397"/>
      </w:tabs>
      <w:spacing w:after="0" w:line="240" w:lineRule="auto"/>
      <w:jc w:val="right"/>
      <w:outlineLvl w:val="8"/>
    </w:pPr>
    <w:rPr>
      <w:rFonts w:ascii="Times New Roman" w:eastAsia="Times New Roman" w:hAnsi="Times New Roman" w:cs="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F20"/>
    <w:pPr>
      <w:spacing w:after="0" w:line="240" w:lineRule="auto"/>
    </w:pPr>
    <w:rPr>
      <w:rFonts w:ascii="Tahoma" w:hAnsi="Tahoma" w:cs="Tahoma"/>
      <w:sz w:val="16"/>
      <w:szCs w:val="16"/>
    </w:rPr>
  </w:style>
  <w:style w:type="paragraph" w:customStyle="1" w:styleId="MJAheading1">
    <w:name w:val="MJA heading 1"/>
    <w:basedOn w:val="MJAnormal"/>
    <w:next w:val="MJAnormal"/>
    <w:uiPriority w:val="99"/>
    <w:qFormat/>
    <w:rsid w:val="003F64C9"/>
    <w:pPr>
      <w:numPr>
        <w:numId w:val="1"/>
      </w:numPr>
      <w:pBdr>
        <w:bottom w:val="single" w:sz="18" w:space="1" w:color="0093D0"/>
      </w:pBdr>
      <w:tabs>
        <w:tab w:val="left" w:pos="425"/>
      </w:tabs>
      <w:spacing w:before="0" w:after="360" w:line="240" w:lineRule="auto"/>
    </w:pPr>
    <w:rPr>
      <w:rFonts w:ascii="Corbel" w:hAnsi="Corbel"/>
      <w:color w:val="0093D0"/>
      <w:sz w:val="44"/>
    </w:rPr>
  </w:style>
  <w:style w:type="paragraph" w:customStyle="1" w:styleId="MJAheading2">
    <w:name w:val="MJA heading 2"/>
    <w:basedOn w:val="Normal"/>
    <w:next w:val="MJAnormal"/>
    <w:qFormat/>
    <w:rsid w:val="008C23EF"/>
    <w:pPr>
      <w:keepNext/>
      <w:keepLines/>
      <w:numPr>
        <w:ilvl w:val="1"/>
        <w:numId w:val="1"/>
      </w:numPr>
      <w:tabs>
        <w:tab w:val="left" w:pos="709"/>
      </w:tabs>
      <w:spacing w:before="360" w:after="240" w:line="240" w:lineRule="auto"/>
    </w:pPr>
    <w:rPr>
      <w:rFonts w:ascii="Corbel" w:hAnsi="Corbel"/>
      <w:color w:val="0093D0"/>
      <w:sz w:val="32"/>
    </w:rPr>
  </w:style>
  <w:style w:type="paragraph" w:customStyle="1" w:styleId="MJAheading3">
    <w:name w:val="MJA heading 3"/>
    <w:basedOn w:val="MJAnormal"/>
    <w:next w:val="MJAnormal"/>
    <w:qFormat/>
    <w:rsid w:val="008C23EF"/>
    <w:pPr>
      <w:keepNext/>
      <w:keepLines/>
      <w:numPr>
        <w:ilvl w:val="2"/>
        <w:numId w:val="1"/>
      </w:numPr>
      <w:tabs>
        <w:tab w:val="left" w:pos="709"/>
      </w:tabs>
      <w:spacing w:before="360" w:line="240" w:lineRule="auto"/>
    </w:pPr>
    <w:rPr>
      <w:rFonts w:ascii="Corbel" w:hAnsi="Corbel"/>
      <w:color w:val="0093D0"/>
      <w:sz w:val="24"/>
    </w:rPr>
  </w:style>
  <w:style w:type="paragraph" w:customStyle="1" w:styleId="MJATableRow">
    <w:name w:val="MJA Table Row"/>
    <w:basedOn w:val="Normal"/>
    <w:qFormat/>
    <w:rsid w:val="00F728A1"/>
    <w:pPr>
      <w:spacing w:before="60" w:after="60" w:line="240" w:lineRule="auto"/>
    </w:pPr>
    <w:rPr>
      <w:rFonts w:ascii="Calibri" w:hAnsi="Calibri"/>
      <w:sz w:val="20"/>
    </w:rPr>
  </w:style>
  <w:style w:type="paragraph" w:customStyle="1" w:styleId="MJAsource">
    <w:name w:val="MJA source"/>
    <w:basedOn w:val="Normal"/>
    <w:next w:val="BalloonText"/>
    <w:qFormat/>
    <w:rsid w:val="00426980"/>
    <w:pPr>
      <w:spacing w:before="120" w:after="120" w:line="240" w:lineRule="auto"/>
    </w:pPr>
    <w:rPr>
      <w:rFonts w:ascii="Calibri" w:hAnsi="Calibri"/>
      <w:i/>
      <w:sz w:val="18"/>
    </w:rPr>
  </w:style>
  <w:style w:type="paragraph" w:styleId="Caption">
    <w:name w:val="caption"/>
    <w:basedOn w:val="Normal"/>
    <w:next w:val="Normal"/>
    <w:unhideWhenUsed/>
    <w:qFormat/>
    <w:rsid w:val="008C23EF"/>
    <w:pPr>
      <w:keepNext/>
      <w:spacing w:before="120" w:after="120" w:line="240" w:lineRule="auto"/>
    </w:pPr>
    <w:rPr>
      <w:rFonts w:ascii="Calibri" w:hAnsi="Calibri"/>
      <w:b/>
      <w:bCs/>
      <w:sz w:val="20"/>
      <w:szCs w:val="18"/>
    </w:rPr>
  </w:style>
  <w:style w:type="paragraph" w:styleId="NoSpacing">
    <w:name w:val="No Spacing"/>
    <w:uiPriority w:val="1"/>
    <w:rsid w:val="00FC4036"/>
    <w:pPr>
      <w:spacing w:after="0" w:line="240" w:lineRule="auto"/>
    </w:pPr>
  </w:style>
  <w:style w:type="table" w:styleId="TableGrid">
    <w:name w:val="Table Grid"/>
    <w:basedOn w:val="TableNormal"/>
    <w:uiPriority w:val="59"/>
    <w:rsid w:val="00F80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F80890"/>
    <w:rPr>
      <w:rFonts w:ascii="Arial" w:eastAsia="Times New Roman" w:hAnsi="Arial" w:cs="Times New Roman"/>
      <w:b/>
      <w:kern w:val="28"/>
      <w:sz w:val="28"/>
      <w:szCs w:val="20"/>
    </w:rPr>
  </w:style>
  <w:style w:type="character" w:customStyle="1" w:styleId="Heading2Char">
    <w:name w:val="Heading 2 Char"/>
    <w:basedOn w:val="DefaultParagraphFont"/>
    <w:link w:val="Heading2"/>
    <w:uiPriority w:val="2"/>
    <w:rsid w:val="00F80890"/>
    <w:rPr>
      <w:rFonts w:ascii="Times New Roman" w:eastAsia="Times New Roman" w:hAnsi="Times New Roman" w:cs="Times New Roman"/>
      <w:b/>
      <w:sz w:val="40"/>
      <w:szCs w:val="20"/>
    </w:rPr>
  </w:style>
  <w:style w:type="character" w:customStyle="1" w:styleId="Heading3Char">
    <w:name w:val="Heading 3 Char"/>
    <w:basedOn w:val="DefaultParagraphFont"/>
    <w:link w:val="Heading3"/>
    <w:uiPriority w:val="3"/>
    <w:rsid w:val="00F80890"/>
    <w:rPr>
      <w:rFonts w:ascii="Times New Roman" w:eastAsia="Times New Roman" w:hAnsi="Times New Roman" w:cs="Times New Roman"/>
      <w:b/>
      <w:sz w:val="32"/>
      <w:szCs w:val="20"/>
    </w:rPr>
  </w:style>
  <w:style w:type="character" w:customStyle="1" w:styleId="Heading4Char">
    <w:name w:val="Heading 4 Char"/>
    <w:basedOn w:val="DefaultParagraphFont"/>
    <w:link w:val="Heading4"/>
    <w:uiPriority w:val="4"/>
    <w:rsid w:val="00F80890"/>
    <w:rPr>
      <w:rFonts w:ascii="Times New Roman" w:eastAsia="Times New Roman" w:hAnsi="Times New Roman" w:cs="Times New Roman"/>
      <w:i/>
      <w:sz w:val="24"/>
      <w:szCs w:val="20"/>
      <w:lang w:val="en-US"/>
    </w:rPr>
  </w:style>
  <w:style w:type="character" w:customStyle="1" w:styleId="Heading5Char">
    <w:name w:val="Heading 5 Char"/>
    <w:basedOn w:val="DefaultParagraphFont"/>
    <w:link w:val="Heading5"/>
    <w:uiPriority w:val="99"/>
    <w:rsid w:val="00F80890"/>
    <w:rPr>
      <w:rFonts w:ascii="Times New Roman" w:eastAsia="Times New Roman" w:hAnsi="Times New Roman" w:cs="Times New Roman"/>
      <w:i/>
      <w:sz w:val="20"/>
      <w:szCs w:val="20"/>
      <w:lang w:val="en-US"/>
    </w:rPr>
  </w:style>
  <w:style w:type="character" w:customStyle="1" w:styleId="Heading6Char">
    <w:name w:val="Heading 6 Char"/>
    <w:basedOn w:val="DefaultParagraphFont"/>
    <w:link w:val="Heading6"/>
    <w:uiPriority w:val="99"/>
    <w:rsid w:val="00F80890"/>
    <w:rPr>
      <w:rFonts w:ascii="Times New Roman" w:eastAsia="Times New Roman" w:hAnsi="Times New Roman" w:cs="Times New Roman"/>
      <w:i/>
      <w:sz w:val="24"/>
      <w:szCs w:val="20"/>
      <w:lang w:val="en-US"/>
    </w:rPr>
  </w:style>
  <w:style w:type="character" w:customStyle="1" w:styleId="Heading7Char">
    <w:name w:val="Heading 7 Char"/>
    <w:basedOn w:val="DefaultParagraphFont"/>
    <w:link w:val="Heading7"/>
    <w:uiPriority w:val="99"/>
    <w:rsid w:val="00F80890"/>
    <w:rPr>
      <w:rFonts w:ascii="Times New Roman" w:eastAsia="Times New Roman" w:hAnsi="Times New Roman" w:cs="Times New Roman"/>
      <w:i/>
      <w:sz w:val="18"/>
      <w:szCs w:val="20"/>
    </w:rPr>
  </w:style>
  <w:style w:type="character" w:customStyle="1" w:styleId="Heading8Char">
    <w:name w:val="Heading 8 Char"/>
    <w:basedOn w:val="DefaultParagraphFont"/>
    <w:link w:val="Heading8"/>
    <w:uiPriority w:val="99"/>
    <w:rsid w:val="00F80890"/>
    <w:rPr>
      <w:rFonts w:ascii="Times New Roman" w:eastAsia="Times New Roman" w:hAnsi="Times New Roman" w:cs="Times New Roman"/>
      <w:b/>
      <w:bCs/>
      <w:sz w:val="36"/>
      <w:szCs w:val="20"/>
    </w:rPr>
  </w:style>
  <w:style w:type="character" w:customStyle="1" w:styleId="Heading9Char">
    <w:name w:val="Heading 9 Char"/>
    <w:basedOn w:val="DefaultParagraphFont"/>
    <w:link w:val="Heading9"/>
    <w:uiPriority w:val="99"/>
    <w:rsid w:val="00F80890"/>
    <w:rPr>
      <w:rFonts w:ascii="Times New Roman" w:eastAsia="Times New Roman" w:hAnsi="Times New Roman" w:cs="Times New Roman"/>
      <w:b/>
      <w:bCs/>
      <w:sz w:val="32"/>
      <w:szCs w:val="20"/>
    </w:rPr>
  </w:style>
  <w:style w:type="paragraph" w:customStyle="1" w:styleId="MJAESheading">
    <w:name w:val="MJA ES heading"/>
    <w:basedOn w:val="MJAnormal"/>
    <w:next w:val="MJAnormal"/>
    <w:qFormat/>
    <w:rsid w:val="0069400A"/>
    <w:pPr>
      <w:tabs>
        <w:tab w:val="left" w:pos="425"/>
      </w:tabs>
      <w:spacing w:before="360" w:after="240" w:line="240" w:lineRule="auto"/>
      <w:ind w:left="425" w:hanging="425"/>
    </w:pPr>
    <w:rPr>
      <w:rFonts w:ascii="Corbel" w:hAnsi="Corbel"/>
      <w:color w:val="0093D0"/>
      <w:sz w:val="32"/>
    </w:rPr>
  </w:style>
  <w:style w:type="character" w:styleId="PageNumber">
    <w:name w:val="page number"/>
    <w:basedOn w:val="DefaultParagraphFont"/>
    <w:rsid w:val="00F80890"/>
  </w:style>
  <w:style w:type="paragraph" w:customStyle="1" w:styleId="MJAbulletnormal">
    <w:name w:val="MJA bullet normal"/>
    <w:basedOn w:val="Normal"/>
    <w:link w:val="MJAbulletnormalChar"/>
    <w:uiPriority w:val="99"/>
    <w:qFormat/>
    <w:rsid w:val="009C3271"/>
    <w:pPr>
      <w:tabs>
        <w:tab w:val="left" w:pos="567"/>
      </w:tabs>
      <w:spacing w:before="120" w:after="120" w:line="280" w:lineRule="atLeast"/>
    </w:pPr>
    <w:rPr>
      <w:rFonts w:ascii="Times New Roman" w:eastAsia="Times New Roman" w:hAnsi="Times New Roman" w:cs="Times New Roman"/>
    </w:rPr>
  </w:style>
  <w:style w:type="paragraph" w:styleId="TOC1">
    <w:name w:val="toc 1"/>
    <w:basedOn w:val="Normal"/>
    <w:next w:val="Normal"/>
    <w:uiPriority w:val="39"/>
    <w:rsid w:val="009C3271"/>
    <w:pPr>
      <w:tabs>
        <w:tab w:val="right" w:leader="dot" w:pos="426"/>
        <w:tab w:val="right" w:leader="dot" w:pos="8222"/>
      </w:tabs>
      <w:spacing w:before="240" w:after="0" w:line="240" w:lineRule="auto"/>
      <w:ind w:left="425" w:hanging="425"/>
      <w:jc w:val="both"/>
    </w:pPr>
    <w:rPr>
      <w:rFonts w:ascii="Corbel" w:eastAsia="Times New Roman" w:hAnsi="Corbel" w:cs="Times New Roman"/>
      <w:b/>
      <w:noProof/>
      <w:sz w:val="20"/>
      <w:szCs w:val="20"/>
    </w:rPr>
  </w:style>
  <w:style w:type="paragraph" w:styleId="TOC2">
    <w:name w:val="toc 2"/>
    <w:basedOn w:val="Normal"/>
    <w:next w:val="Normal"/>
    <w:uiPriority w:val="39"/>
    <w:rsid w:val="009C3271"/>
    <w:pPr>
      <w:tabs>
        <w:tab w:val="left" w:pos="992"/>
        <w:tab w:val="right" w:leader="dot" w:pos="8222"/>
      </w:tabs>
      <w:spacing w:before="60" w:after="0" w:line="240" w:lineRule="auto"/>
      <w:ind w:left="1417" w:hanging="992"/>
    </w:pPr>
    <w:rPr>
      <w:rFonts w:ascii="Corbel" w:eastAsia="Times New Roman" w:hAnsi="Corbel" w:cs="Times New Roman"/>
      <w:noProof/>
      <w:sz w:val="18"/>
      <w:szCs w:val="20"/>
    </w:rPr>
  </w:style>
  <w:style w:type="paragraph" w:styleId="TOC3">
    <w:name w:val="toc 3"/>
    <w:basedOn w:val="Normal"/>
    <w:next w:val="Normal"/>
    <w:uiPriority w:val="99"/>
    <w:rsid w:val="00F80890"/>
    <w:pPr>
      <w:tabs>
        <w:tab w:val="left" w:leader="dot" w:pos="1418"/>
        <w:tab w:val="right" w:leader="dot" w:pos="8222"/>
      </w:tabs>
      <w:spacing w:after="0" w:line="240" w:lineRule="auto"/>
      <w:ind w:left="851"/>
      <w:jc w:val="both"/>
    </w:pPr>
    <w:rPr>
      <w:rFonts w:ascii="Arial" w:eastAsia="Times New Roman" w:hAnsi="Arial" w:cs="Times New Roman"/>
      <w:noProof/>
      <w:sz w:val="18"/>
      <w:szCs w:val="20"/>
    </w:rPr>
  </w:style>
  <w:style w:type="character" w:styleId="FootnoteReference">
    <w:name w:val="footnote reference"/>
    <w:basedOn w:val="DefaultParagraphFont"/>
    <w:uiPriority w:val="99"/>
    <w:semiHidden/>
    <w:rsid w:val="00F80890"/>
    <w:rPr>
      <w:vertAlign w:val="superscript"/>
    </w:rPr>
  </w:style>
  <w:style w:type="paragraph" w:customStyle="1" w:styleId="MJAitalicsheading">
    <w:name w:val="MJA italics heading"/>
    <w:basedOn w:val="MJAnormal"/>
    <w:next w:val="MJAnormal"/>
    <w:qFormat/>
    <w:rsid w:val="008C23EF"/>
    <w:pPr>
      <w:keepNext/>
      <w:keepLines/>
      <w:tabs>
        <w:tab w:val="left" w:pos="397"/>
      </w:tabs>
      <w:spacing w:before="240" w:line="240" w:lineRule="auto"/>
      <w:jc w:val="both"/>
    </w:pPr>
    <w:rPr>
      <w:i/>
    </w:rPr>
  </w:style>
  <w:style w:type="paragraph" w:styleId="FootnoteText">
    <w:name w:val="footnote text"/>
    <w:basedOn w:val="Normal"/>
    <w:link w:val="FootnoteTextChar"/>
    <w:uiPriority w:val="99"/>
    <w:rsid w:val="00F80890"/>
    <w:pPr>
      <w:tabs>
        <w:tab w:val="left" w:pos="397"/>
      </w:tabs>
      <w:spacing w:after="120" w:line="240" w:lineRule="auto"/>
      <w:ind w:left="397" w:hanging="397"/>
      <w:jc w:val="both"/>
    </w:pPr>
    <w:rPr>
      <w:rFonts w:ascii="Times New Roman" w:eastAsia="Times New Roman" w:hAnsi="Times New Roman" w:cs="Times New Roman"/>
      <w:sz w:val="18"/>
      <w:szCs w:val="18"/>
    </w:rPr>
  </w:style>
  <w:style w:type="character" w:customStyle="1" w:styleId="FootnoteTextChar">
    <w:name w:val="Footnote Text Char"/>
    <w:basedOn w:val="DefaultParagraphFont"/>
    <w:link w:val="FootnoteText"/>
    <w:uiPriority w:val="99"/>
    <w:rsid w:val="00F80890"/>
    <w:rPr>
      <w:rFonts w:ascii="Times New Roman" w:eastAsia="Times New Roman" w:hAnsi="Times New Roman" w:cs="Times New Roman"/>
      <w:sz w:val="18"/>
      <w:szCs w:val="18"/>
    </w:rPr>
  </w:style>
  <w:style w:type="paragraph" w:customStyle="1" w:styleId="MJAquote">
    <w:name w:val="MJA quote"/>
    <w:basedOn w:val="Normal"/>
    <w:next w:val="MJAnormal"/>
    <w:qFormat/>
    <w:rsid w:val="003F64C9"/>
    <w:pPr>
      <w:tabs>
        <w:tab w:val="left" w:pos="397"/>
      </w:tabs>
      <w:spacing w:before="120" w:after="120" w:line="280" w:lineRule="atLeast"/>
      <w:ind w:left="567" w:right="567"/>
    </w:pPr>
    <w:rPr>
      <w:rFonts w:ascii="Times New Roman" w:eastAsia="Times New Roman" w:hAnsi="Times New Roman" w:cs="Times New Roman"/>
      <w:i/>
    </w:rPr>
  </w:style>
  <w:style w:type="paragraph" w:customStyle="1" w:styleId="MJAheading4">
    <w:name w:val="MJA heading 4"/>
    <w:basedOn w:val="MJAnormal"/>
    <w:next w:val="MJAnormal"/>
    <w:qFormat/>
    <w:rsid w:val="008C23EF"/>
    <w:pPr>
      <w:keepNext/>
      <w:keepLines/>
      <w:tabs>
        <w:tab w:val="left" w:pos="397"/>
      </w:tabs>
      <w:spacing w:before="360"/>
      <w:jc w:val="both"/>
    </w:pPr>
    <w:rPr>
      <w:rFonts w:ascii="Corbel" w:hAnsi="Corbel"/>
      <w:color w:val="0093D0"/>
      <w:szCs w:val="20"/>
    </w:rPr>
  </w:style>
  <w:style w:type="paragraph" w:styleId="TOC4">
    <w:name w:val="toc 4"/>
    <w:basedOn w:val="Normal"/>
    <w:next w:val="Normal"/>
    <w:autoRedefine/>
    <w:uiPriority w:val="99"/>
    <w:rsid w:val="00F80890"/>
    <w:pPr>
      <w:spacing w:after="0" w:line="240" w:lineRule="auto"/>
      <w:ind w:left="720"/>
      <w:jc w:val="both"/>
    </w:pPr>
    <w:rPr>
      <w:rFonts w:ascii="Times New Roman" w:eastAsia="Times New Roman" w:hAnsi="Times New Roman" w:cs="Times New Roman"/>
      <w:sz w:val="24"/>
      <w:szCs w:val="20"/>
    </w:rPr>
  </w:style>
  <w:style w:type="paragraph" w:styleId="Index1">
    <w:name w:val="index 1"/>
    <w:basedOn w:val="Normal"/>
    <w:next w:val="Normal"/>
    <w:autoRedefine/>
    <w:semiHidden/>
    <w:rsid w:val="00F80890"/>
    <w:pPr>
      <w:spacing w:after="0" w:line="240" w:lineRule="auto"/>
      <w:ind w:left="240" w:hanging="240"/>
      <w:jc w:val="both"/>
    </w:pPr>
    <w:rPr>
      <w:rFonts w:ascii="Times New Roman" w:eastAsia="Times New Roman" w:hAnsi="Times New Roman" w:cs="Times New Roman"/>
      <w:sz w:val="24"/>
      <w:szCs w:val="20"/>
    </w:rPr>
  </w:style>
  <w:style w:type="paragraph" w:styleId="TOC5">
    <w:name w:val="toc 5"/>
    <w:basedOn w:val="Normal"/>
    <w:next w:val="Normal"/>
    <w:autoRedefine/>
    <w:semiHidden/>
    <w:rsid w:val="00F80890"/>
    <w:pPr>
      <w:spacing w:after="0" w:line="240" w:lineRule="auto"/>
      <w:ind w:left="960"/>
      <w:jc w:val="both"/>
    </w:pPr>
    <w:rPr>
      <w:rFonts w:ascii="Times New Roman" w:eastAsia="Times New Roman" w:hAnsi="Times New Roman" w:cs="Times New Roman"/>
      <w:sz w:val="24"/>
      <w:szCs w:val="20"/>
    </w:rPr>
  </w:style>
  <w:style w:type="paragraph" w:styleId="TOC6">
    <w:name w:val="toc 6"/>
    <w:basedOn w:val="Normal"/>
    <w:next w:val="Normal"/>
    <w:autoRedefine/>
    <w:semiHidden/>
    <w:rsid w:val="00F80890"/>
    <w:pPr>
      <w:spacing w:after="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semiHidden/>
    <w:rsid w:val="00F80890"/>
    <w:pPr>
      <w:spacing w:after="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semiHidden/>
    <w:rsid w:val="00F80890"/>
    <w:pPr>
      <w:spacing w:after="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semiHidden/>
    <w:rsid w:val="00F80890"/>
    <w:pPr>
      <w:spacing w:after="0" w:line="240" w:lineRule="auto"/>
      <w:ind w:left="1920"/>
      <w:jc w:val="both"/>
    </w:pPr>
    <w:rPr>
      <w:rFonts w:ascii="Times New Roman" w:eastAsia="Times New Roman" w:hAnsi="Times New Roman" w:cs="Times New Roman"/>
      <w:sz w:val="24"/>
      <w:szCs w:val="20"/>
    </w:rPr>
  </w:style>
  <w:style w:type="character" w:styleId="Hyperlink">
    <w:name w:val="Hyperlink"/>
    <w:basedOn w:val="DefaultParagraphFont"/>
    <w:uiPriority w:val="99"/>
    <w:rsid w:val="00F80890"/>
    <w:rPr>
      <w:color w:val="0000FF"/>
      <w:u w:val="single"/>
    </w:rPr>
  </w:style>
  <w:style w:type="paragraph" w:customStyle="1" w:styleId="MJAbulletsubpara">
    <w:name w:val="MJA bullet sub para"/>
    <w:basedOn w:val="Normal"/>
    <w:next w:val="MJAbulletnormal"/>
    <w:qFormat/>
    <w:rsid w:val="000D4F20"/>
    <w:pPr>
      <w:spacing w:after="120" w:line="280" w:lineRule="atLeast"/>
      <w:ind w:left="397"/>
    </w:pPr>
    <w:rPr>
      <w:rFonts w:ascii="Times New Roman" w:eastAsia="Times New Roman" w:hAnsi="Times New Roman" w:cs="Times New Roman"/>
    </w:rPr>
  </w:style>
  <w:style w:type="paragraph" w:customStyle="1" w:styleId="MJAdashbullet">
    <w:name w:val="MJA dash bullet"/>
    <w:basedOn w:val="Normal"/>
    <w:uiPriority w:val="99"/>
    <w:qFormat/>
    <w:rsid w:val="008C23EF"/>
    <w:pPr>
      <w:numPr>
        <w:numId w:val="10"/>
      </w:numPr>
      <w:tabs>
        <w:tab w:val="left" w:pos="794"/>
      </w:tabs>
      <w:spacing w:after="120" w:line="280" w:lineRule="atLeast"/>
    </w:pPr>
    <w:rPr>
      <w:rFonts w:ascii="Times New Roman" w:eastAsia="Times New Roman" w:hAnsi="Times New Roman" w:cs="Times New Roman"/>
    </w:rPr>
  </w:style>
  <w:style w:type="paragraph" w:customStyle="1" w:styleId="MJAnormal">
    <w:name w:val="MJA normal"/>
    <w:basedOn w:val="Normal"/>
    <w:link w:val="MJAnormalChar1"/>
    <w:qFormat/>
    <w:rsid w:val="003F64C9"/>
    <w:pPr>
      <w:spacing w:before="120" w:after="120" w:line="280" w:lineRule="atLeast"/>
    </w:pPr>
    <w:rPr>
      <w:rFonts w:ascii="Times New Roman" w:eastAsia="Times New Roman" w:hAnsi="Times New Roman" w:cs="Times New Roman"/>
    </w:rPr>
  </w:style>
  <w:style w:type="paragraph" w:styleId="TableofFigures">
    <w:name w:val="table of figures"/>
    <w:aliases w:val="MJA Table of Figures"/>
    <w:basedOn w:val="Normal"/>
    <w:next w:val="Normal"/>
    <w:uiPriority w:val="99"/>
    <w:rsid w:val="00F80890"/>
    <w:pPr>
      <w:spacing w:before="40" w:after="0" w:line="240" w:lineRule="auto"/>
      <w:jc w:val="both"/>
    </w:pPr>
    <w:rPr>
      <w:rFonts w:ascii="Corbel" w:eastAsia="Times New Roman" w:hAnsi="Corbel" w:cs="Times New Roman"/>
      <w:sz w:val="18"/>
      <w:szCs w:val="20"/>
    </w:rPr>
  </w:style>
  <w:style w:type="character" w:customStyle="1" w:styleId="MJAnormalChar1">
    <w:name w:val="MJA normal Char1"/>
    <w:basedOn w:val="DefaultParagraphFont"/>
    <w:link w:val="MJAnormal"/>
    <w:rsid w:val="003F64C9"/>
    <w:rPr>
      <w:rFonts w:ascii="Times New Roman" w:eastAsia="Times New Roman" w:hAnsi="Times New Roman" w:cs="Times New Roman"/>
    </w:rPr>
  </w:style>
  <w:style w:type="character" w:customStyle="1" w:styleId="BalloonTextChar">
    <w:name w:val="Balloon Text Char"/>
    <w:basedOn w:val="DefaultParagraphFont"/>
    <w:link w:val="BalloonText"/>
    <w:uiPriority w:val="99"/>
    <w:semiHidden/>
    <w:rsid w:val="000D4F20"/>
    <w:rPr>
      <w:rFonts w:ascii="Tahoma" w:hAnsi="Tahoma" w:cs="Tahoma"/>
      <w:sz w:val="16"/>
      <w:szCs w:val="16"/>
    </w:rPr>
  </w:style>
  <w:style w:type="numbering" w:customStyle="1" w:styleId="NEWMJAListStyle">
    <w:name w:val="NEW MJA List Style"/>
    <w:rsid w:val="00F80890"/>
    <w:pPr>
      <w:numPr>
        <w:numId w:val="4"/>
      </w:numPr>
    </w:pPr>
  </w:style>
  <w:style w:type="table" w:styleId="TableSimple1">
    <w:name w:val="Table Simple 1"/>
    <w:basedOn w:val="TableNormal"/>
    <w:rsid w:val="00F80890"/>
    <w:pPr>
      <w:tabs>
        <w:tab w:val="left" w:pos="397"/>
      </w:tabs>
      <w:spacing w:after="0" w:line="240" w:lineRule="auto"/>
      <w:jc w:val="both"/>
    </w:pPr>
    <w:rPr>
      <w:rFonts w:ascii="Calibri" w:eastAsia="Times New Roman" w:hAnsi="Calibri" w:cs="Times New Roman"/>
      <w:sz w:val="24"/>
      <w:szCs w:val="24"/>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JAESnormal">
    <w:name w:val="MJA ES normal"/>
    <w:basedOn w:val="MJAnormal"/>
    <w:qFormat/>
    <w:rsid w:val="00136F31"/>
    <w:pPr>
      <w:numPr>
        <w:numId w:val="9"/>
      </w:numPr>
      <w:tabs>
        <w:tab w:val="left" w:pos="709"/>
      </w:tabs>
    </w:pPr>
  </w:style>
  <w:style w:type="paragraph" w:styleId="Revision">
    <w:name w:val="Revision"/>
    <w:hidden/>
    <w:uiPriority w:val="99"/>
    <w:semiHidden/>
    <w:rsid w:val="00F80890"/>
    <w:pPr>
      <w:spacing w:after="0" w:line="240" w:lineRule="auto"/>
    </w:pPr>
    <w:rPr>
      <w:rFonts w:ascii="Times New Roman" w:eastAsia="Times New Roman" w:hAnsi="Times New Roman" w:cs="Times New Roman"/>
      <w:sz w:val="24"/>
      <w:szCs w:val="20"/>
    </w:rPr>
  </w:style>
  <w:style w:type="paragraph" w:customStyle="1" w:styleId="Default">
    <w:name w:val="Default"/>
    <w:rsid w:val="00F80890"/>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numbering" w:customStyle="1" w:styleId="List1">
    <w:name w:val="List 1"/>
    <w:autoRedefine/>
    <w:rsid w:val="00F80890"/>
    <w:pPr>
      <w:numPr>
        <w:numId w:val="6"/>
      </w:numPr>
    </w:pPr>
  </w:style>
  <w:style w:type="paragraph" w:styleId="ListBullet">
    <w:name w:val="List Bullet"/>
    <w:basedOn w:val="Normal"/>
    <w:unhideWhenUsed/>
    <w:rsid w:val="00F80890"/>
    <w:pPr>
      <w:numPr>
        <w:numId w:val="8"/>
      </w:numPr>
      <w:spacing w:before="90" w:after="90" w:line="264" w:lineRule="auto"/>
      <w:contextualSpacing/>
    </w:pPr>
    <w:rPr>
      <w:rFonts w:ascii="Verdana" w:eastAsia="Times New Roman" w:hAnsi="Verdana" w:cs="Times"/>
      <w:sz w:val="20"/>
      <w:szCs w:val="20"/>
    </w:rPr>
  </w:style>
  <w:style w:type="paragraph" w:customStyle="1" w:styleId="MJAnotes">
    <w:name w:val="MJA notes"/>
    <w:basedOn w:val="MJAnormal"/>
    <w:next w:val="Normal"/>
    <w:qFormat/>
    <w:rsid w:val="0051000B"/>
    <w:pPr>
      <w:tabs>
        <w:tab w:val="left" w:pos="425"/>
      </w:tabs>
      <w:spacing w:before="0" w:after="60" w:line="240" w:lineRule="auto"/>
      <w:ind w:left="425" w:hanging="425"/>
    </w:pPr>
    <w:rPr>
      <w:rFonts w:ascii="Calibri" w:hAnsi="Calibri"/>
      <w:i/>
      <w:sz w:val="20"/>
    </w:rPr>
  </w:style>
  <w:style w:type="paragraph" w:styleId="Header">
    <w:name w:val="header"/>
    <w:basedOn w:val="Normal"/>
    <w:link w:val="HeaderChar"/>
    <w:uiPriority w:val="10"/>
    <w:unhideWhenUsed/>
    <w:rsid w:val="00F164FF"/>
    <w:pPr>
      <w:tabs>
        <w:tab w:val="center" w:pos="4513"/>
        <w:tab w:val="right" w:pos="9026"/>
      </w:tabs>
      <w:spacing w:after="0" w:line="240" w:lineRule="auto"/>
    </w:pPr>
  </w:style>
  <w:style w:type="character" w:customStyle="1" w:styleId="HeaderChar">
    <w:name w:val="Header Char"/>
    <w:basedOn w:val="DefaultParagraphFont"/>
    <w:link w:val="Header"/>
    <w:uiPriority w:val="10"/>
    <w:rsid w:val="00F164FF"/>
  </w:style>
  <w:style w:type="paragraph" w:styleId="Footer">
    <w:name w:val="footer"/>
    <w:basedOn w:val="Normal"/>
    <w:link w:val="FooterChar"/>
    <w:uiPriority w:val="11"/>
    <w:unhideWhenUsed/>
    <w:rsid w:val="00F164FF"/>
    <w:pPr>
      <w:tabs>
        <w:tab w:val="center" w:pos="4513"/>
        <w:tab w:val="right" w:pos="9026"/>
      </w:tabs>
      <w:spacing w:after="0" w:line="240" w:lineRule="auto"/>
    </w:pPr>
  </w:style>
  <w:style w:type="character" w:customStyle="1" w:styleId="FooterChar">
    <w:name w:val="Footer Char"/>
    <w:basedOn w:val="DefaultParagraphFont"/>
    <w:link w:val="Footer"/>
    <w:uiPriority w:val="11"/>
    <w:rsid w:val="00F164FF"/>
  </w:style>
  <w:style w:type="table" w:customStyle="1" w:styleId="MJATable1">
    <w:name w:val="MJA Table1"/>
    <w:basedOn w:val="TableNormal"/>
    <w:uiPriority w:val="99"/>
    <w:rsid w:val="00525682"/>
    <w:pPr>
      <w:spacing w:before="60" w:after="60" w:line="240" w:lineRule="auto"/>
      <w:jc w:val="center"/>
    </w:pPr>
    <w:rPr>
      <w:sz w:val="20"/>
    </w:rPr>
    <w:tblPr>
      <w:tblInd w:w="0" w:type="dxa"/>
      <w:tblCellMar>
        <w:top w:w="0" w:type="dxa"/>
        <w:left w:w="108" w:type="dxa"/>
        <w:bottom w:w="0" w:type="dxa"/>
        <w:right w:w="108" w:type="dxa"/>
      </w:tblCellMar>
    </w:tblPr>
    <w:tcPr>
      <w:shd w:val="clear" w:color="auto" w:fill="auto"/>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character" w:styleId="CommentReference">
    <w:name w:val="annotation reference"/>
    <w:basedOn w:val="DefaultParagraphFont"/>
    <w:semiHidden/>
    <w:unhideWhenUsed/>
    <w:rsid w:val="00DF7D85"/>
    <w:rPr>
      <w:sz w:val="16"/>
      <w:szCs w:val="16"/>
    </w:rPr>
  </w:style>
  <w:style w:type="paragraph" w:styleId="CommentText">
    <w:name w:val="annotation text"/>
    <w:basedOn w:val="Normal"/>
    <w:link w:val="CommentTextChar"/>
    <w:semiHidden/>
    <w:unhideWhenUsed/>
    <w:rsid w:val="00DF7D85"/>
    <w:pPr>
      <w:spacing w:line="240" w:lineRule="auto"/>
    </w:pPr>
    <w:rPr>
      <w:sz w:val="20"/>
      <w:szCs w:val="20"/>
    </w:rPr>
  </w:style>
  <w:style w:type="character" w:customStyle="1" w:styleId="CommentTextChar">
    <w:name w:val="Comment Text Char"/>
    <w:basedOn w:val="DefaultParagraphFont"/>
    <w:link w:val="CommentText"/>
    <w:semiHidden/>
    <w:rsid w:val="00DF7D85"/>
    <w:rPr>
      <w:sz w:val="20"/>
      <w:szCs w:val="20"/>
    </w:rPr>
  </w:style>
  <w:style w:type="paragraph" w:styleId="CommentSubject">
    <w:name w:val="annotation subject"/>
    <w:basedOn w:val="CommentText"/>
    <w:next w:val="CommentText"/>
    <w:link w:val="CommentSubjectChar"/>
    <w:semiHidden/>
    <w:unhideWhenUsed/>
    <w:rsid w:val="00DF7D85"/>
    <w:rPr>
      <w:b/>
      <w:bCs/>
    </w:rPr>
  </w:style>
  <w:style w:type="character" w:customStyle="1" w:styleId="CommentSubjectChar">
    <w:name w:val="Comment Subject Char"/>
    <w:basedOn w:val="CommentTextChar"/>
    <w:link w:val="CommentSubject"/>
    <w:semiHidden/>
    <w:rsid w:val="00DF7D85"/>
    <w:rPr>
      <w:b/>
      <w:bCs/>
      <w:sz w:val="20"/>
      <w:szCs w:val="20"/>
    </w:rPr>
  </w:style>
  <w:style w:type="character" w:customStyle="1" w:styleId="MJAbulletnormalChar">
    <w:name w:val="MJA bullet normal Char"/>
    <w:link w:val="MJAbulletnormal"/>
    <w:uiPriority w:val="99"/>
    <w:locked/>
    <w:rsid w:val="00A5741E"/>
    <w:rPr>
      <w:rFonts w:ascii="Times New Roman" w:eastAsia="Times New Roman" w:hAnsi="Times New Roman" w:cs="Times New Roman"/>
    </w:rPr>
  </w:style>
  <w:style w:type="paragraph" w:styleId="ListParagraph">
    <w:name w:val="List Paragraph"/>
    <w:basedOn w:val="Normal"/>
    <w:uiPriority w:val="99"/>
    <w:rsid w:val="00ED34A7"/>
    <w:pPr>
      <w:ind w:left="720"/>
      <w:contextualSpacing/>
    </w:pPr>
  </w:style>
  <w:style w:type="character" w:styleId="PlaceholderText">
    <w:name w:val="Placeholder Text"/>
    <w:basedOn w:val="DefaultParagraphFont"/>
    <w:uiPriority w:val="99"/>
    <w:semiHidden/>
    <w:rsid w:val="0049735A"/>
    <w:rPr>
      <w:color w:val="808080"/>
    </w:rPr>
  </w:style>
  <w:style w:type="table" w:customStyle="1" w:styleId="SRUTable">
    <w:name w:val="SRU Table"/>
    <w:basedOn w:val="TableNormal"/>
    <w:uiPriority w:val="99"/>
    <w:rsid w:val="000A2364"/>
    <w:pPr>
      <w:spacing w:after="0" w:line="240" w:lineRule="auto"/>
    </w:pPr>
    <w:rPr>
      <w:rFonts w:ascii="Arial" w:eastAsia="Times New Roman" w:hAnsi="Arial" w:cs="Times New Roman"/>
      <w:sz w:val="20"/>
      <w:szCs w:val="20"/>
      <w:lang w:eastAsia="en-AU"/>
    </w:rPr>
    <w:tblPr>
      <w:tblInd w:w="0" w:type="dxa"/>
      <w:tblBorders>
        <w:top w:val="single" w:sz="4" w:space="0" w:color="00B082"/>
        <w:bottom w:val="single" w:sz="4" w:space="0" w:color="00B082"/>
      </w:tblBorders>
      <w:tblCellMar>
        <w:top w:w="0" w:type="dxa"/>
        <w:left w:w="108" w:type="dxa"/>
        <w:bottom w:w="0" w:type="dxa"/>
        <w:right w:w="108" w:type="dxa"/>
      </w:tblCellMar>
    </w:tblPr>
    <w:tblStylePr w:type="firstRow">
      <w:rPr>
        <w:rFonts w:ascii="Arial" w:hAnsi="Arial"/>
        <w:b/>
      </w:rPr>
      <w:tblPr/>
      <w:tcPr>
        <w:tcBorders>
          <w:bottom w:val="single" w:sz="4" w:space="0" w:color="00B082"/>
        </w:tcBorders>
      </w:tcPr>
    </w:tblStylePr>
  </w:style>
  <w:style w:type="numbering" w:customStyle="1" w:styleId="NoList1">
    <w:name w:val="No List1"/>
    <w:next w:val="NoList"/>
    <w:uiPriority w:val="99"/>
    <w:semiHidden/>
    <w:unhideWhenUsed/>
    <w:rsid w:val="00DE6A0C"/>
  </w:style>
  <w:style w:type="paragraph" w:customStyle="1" w:styleId="ReportTitle">
    <w:name w:val="Report Title"/>
    <w:basedOn w:val="Normal"/>
    <w:uiPriority w:val="9"/>
    <w:rsid w:val="00DE6A0C"/>
    <w:pPr>
      <w:spacing w:after="180" w:line="280" w:lineRule="atLeast"/>
    </w:pPr>
    <w:rPr>
      <w:rFonts w:ascii="Gotham Bold" w:eastAsia="Times New Roman" w:hAnsi="Gotham Bold" w:cs="Times New Roman"/>
      <w:sz w:val="56"/>
      <w:lang w:eastAsia="en-AU"/>
    </w:rPr>
  </w:style>
  <w:style w:type="paragraph" w:customStyle="1" w:styleId="ReportSubtitle">
    <w:name w:val="Report Subtitle"/>
    <w:basedOn w:val="Normal"/>
    <w:uiPriority w:val="10"/>
    <w:rsid w:val="00DE6A0C"/>
    <w:pPr>
      <w:spacing w:after="0" w:line="280" w:lineRule="atLeast"/>
    </w:pPr>
    <w:rPr>
      <w:rFonts w:ascii="Gotham Bold" w:eastAsia="Times New Roman" w:hAnsi="Gotham Bold" w:cs="Times New Roman"/>
      <w:color w:val="00AD68"/>
      <w:sz w:val="48"/>
      <w:lang w:eastAsia="en-AU"/>
    </w:rPr>
  </w:style>
  <w:style w:type="paragraph" w:customStyle="1" w:styleId="ReportNumber">
    <w:name w:val="Report Number"/>
    <w:basedOn w:val="Normal"/>
    <w:uiPriority w:val="9"/>
    <w:rsid w:val="00DE6A0C"/>
    <w:pPr>
      <w:spacing w:after="180" w:line="280" w:lineRule="atLeast"/>
    </w:pPr>
    <w:rPr>
      <w:rFonts w:ascii="Calibri" w:eastAsia="Times New Roman" w:hAnsi="Calibri" w:cs="Times New Roman"/>
      <w:b/>
      <w:color w:val="0BB082"/>
      <w:sz w:val="28"/>
      <w:lang w:eastAsia="en-AU"/>
    </w:rPr>
  </w:style>
  <w:style w:type="paragraph" w:customStyle="1" w:styleId="BulletPoints">
    <w:name w:val="Bullet Points"/>
    <w:basedOn w:val="Normal"/>
    <w:link w:val="BulletPointsChar"/>
    <w:uiPriority w:val="5"/>
    <w:qFormat/>
    <w:rsid w:val="00DE6A0C"/>
    <w:pPr>
      <w:numPr>
        <w:numId w:val="15"/>
      </w:numPr>
      <w:spacing w:after="120" w:line="240" w:lineRule="auto"/>
      <w:ind w:left="567" w:hanging="567"/>
    </w:pPr>
    <w:rPr>
      <w:rFonts w:ascii="Calibri" w:eastAsia="Times New Roman" w:hAnsi="Calibri" w:cs="Times New Roman"/>
      <w:lang w:eastAsia="en-AU"/>
    </w:rPr>
  </w:style>
  <w:style w:type="table" w:customStyle="1" w:styleId="SRUTable1">
    <w:name w:val="SRU Table1"/>
    <w:basedOn w:val="TableNormal"/>
    <w:uiPriority w:val="99"/>
    <w:rsid w:val="00DE6A0C"/>
    <w:pPr>
      <w:spacing w:after="0" w:line="240" w:lineRule="auto"/>
    </w:pPr>
    <w:rPr>
      <w:rFonts w:ascii="Arial" w:eastAsia="Times New Roman" w:hAnsi="Arial" w:cs="Times New Roman"/>
      <w:sz w:val="20"/>
      <w:szCs w:val="20"/>
      <w:lang w:eastAsia="en-AU"/>
    </w:rPr>
    <w:tblPr>
      <w:tblInd w:w="0" w:type="dxa"/>
      <w:tblBorders>
        <w:top w:val="single" w:sz="4" w:space="0" w:color="00B082"/>
        <w:bottom w:val="single" w:sz="4" w:space="0" w:color="00B082"/>
      </w:tblBorders>
      <w:tblCellMar>
        <w:top w:w="0" w:type="dxa"/>
        <w:left w:w="108" w:type="dxa"/>
        <w:bottom w:w="0" w:type="dxa"/>
        <w:right w:w="108" w:type="dxa"/>
      </w:tblCellMar>
    </w:tblPr>
    <w:tblStylePr w:type="firstRow">
      <w:rPr>
        <w:rFonts w:ascii="Arial" w:hAnsi="Arial"/>
        <w:b/>
      </w:rPr>
      <w:tblPr/>
      <w:tcPr>
        <w:tcBorders>
          <w:bottom w:val="single" w:sz="4" w:space="0" w:color="00B082"/>
        </w:tcBorders>
      </w:tcPr>
    </w:tblStylePr>
  </w:style>
  <w:style w:type="paragraph" w:customStyle="1" w:styleId="NumberPoints">
    <w:name w:val="Number Points"/>
    <w:basedOn w:val="Normal"/>
    <w:uiPriority w:val="6"/>
    <w:qFormat/>
    <w:rsid w:val="00DE6A0C"/>
    <w:pPr>
      <w:numPr>
        <w:numId w:val="16"/>
      </w:numPr>
      <w:spacing w:after="120" w:line="240" w:lineRule="auto"/>
      <w:ind w:left="567" w:hanging="567"/>
    </w:pPr>
    <w:rPr>
      <w:rFonts w:ascii="Calibri" w:eastAsia="Times New Roman" w:hAnsi="Calibri" w:cs="Times New Roman"/>
      <w:lang w:eastAsia="en-AU"/>
    </w:rPr>
  </w:style>
  <w:style w:type="paragraph" w:customStyle="1" w:styleId="TableText">
    <w:name w:val="Table Text"/>
    <w:basedOn w:val="Normal"/>
    <w:uiPriority w:val="8"/>
    <w:qFormat/>
    <w:rsid w:val="00DE6A0C"/>
    <w:pPr>
      <w:spacing w:before="60" w:after="60" w:line="240" w:lineRule="auto"/>
    </w:pPr>
    <w:rPr>
      <w:rFonts w:eastAsia="Times New Roman" w:cstheme="minorHAnsi"/>
      <w:sz w:val="20"/>
      <w:szCs w:val="18"/>
      <w:lang w:eastAsia="en-AU"/>
    </w:rPr>
  </w:style>
  <w:style w:type="character" w:customStyle="1" w:styleId="BulletPointsChar">
    <w:name w:val="Bullet Points Char"/>
    <w:link w:val="BulletPoints"/>
    <w:uiPriority w:val="5"/>
    <w:rsid w:val="00DE6A0C"/>
    <w:rPr>
      <w:rFonts w:ascii="Calibri" w:eastAsia="Times New Roman" w:hAnsi="Calibri" w:cs="Times New Roman"/>
      <w:lang w:eastAsia="en-AU"/>
    </w:rPr>
  </w:style>
  <w:style w:type="paragraph" w:customStyle="1" w:styleId="TableHeading">
    <w:name w:val="Table Heading"/>
    <w:basedOn w:val="Normal"/>
    <w:uiPriority w:val="7"/>
    <w:qFormat/>
    <w:rsid w:val="00DE6A0C"/>
    <w:pPr>
      <w:spacing w:before="60" w:after="60" w:line="240" w:lineRule="auto"/>
      <w:jc w:val="center"/>
    </w:pPr>
    <w:rPr>
      <w:rFonts w:eastAsia="Times New Roman" w:cstheme="minorHAnsi"/>
      <w:b/>
      <w:sz w:val="20"/>
      <w:szCs w:val="16"/>
      <w:lang w:eastAsia="en-AU"/>
    </w:rPr>
  </w:style>
  <w:style w:type="paragraph" w:customStyle="1" w:styleId="Disclaimer-footer">
    <w:name w:val="Disclaimer - footer"/>
    <w:basedOn w:val="Normal"/>
    <w:next w:val="Normal"/>
    <w:link w:val="Disclaimer-footerChar"/>
    <w:autoRedefine/>
    <w:qFormat/>
    <w:rsid w:val="00DE6A0C"/>
    <w:pPr>
      <w:tabs>
        <w:tab w:val="left" w:pos="0"/>
      </w:tabs>
      <w:spacing w:after="0" w:line="260" w:lineRule="atLeast"/>
      <w:jc w:val="both"/>
    </w:pPr>
    <w:rPr>
      <w:rFonts w:ascii="Calibri" w:eastAsia="Times New Roman" w:hAnsi="Calibri" w:cs="Arial"/>
      <w:color w:val="00AD68"/>
      <w:sz w:val="24"/>
      <w:szCs w:val="24"/>
    </w:rPr>
  </w:style>
  <w:style w:type="paragraph" w:styleId="BodyText2">
    <w:name w:val="Body Text 2"/>
    <w:basedOn w:val="Normal"/>
    <w:link w:val="BodyText2Char"/>
    <w:uiPriority w:val="99"/>
    <w:rsid w:val="00DE6A0C"/>
    <w:pPr>
      <w:spacing w:after="120" w:line="480" w:lineRule="auto"/>
      <w:jc w:val="both"/>
    </w:pPr>
    <w:rPr>
      <w:rFonts w:ascii="Calibri" w:eastAsia="Times New Roman" w:hAnsi="Calibri" w:cs="Tahoma"/>
      <w:szCs w:val="20"/>
    </w:rPr>
  </w:style>
  <w:style w:type="character" w:customStyle="1" w:styleId="BodyText2Char">
    <w:name w:val="Body Text 2 Char"/>
    <w:basedOn w:val="DefaultParagraphFont"/>
    <w:link w:val="BodyText2"/>
    <w:uiPriority w:val="99"/>
    <w:rsid w:val="00DE6A0C"/>
    <w:rPr>
      <w:rFonts w:ascii="Calibri" w:eastAsia="Times New Roman" w:hAnsi="Calibri" w:cs="Tahoma"/>
      <w:szCs w:val="20"/>
    </w:rPr>
  </w:style>
  <w:style w:type="character" w:customStyle="1" w:styleId="Disclaimer-footerChar">
    <w:name w:val="Disclaimer - footer Char"/>
    <w:link w:val="Disclaimer-footer"/>
    <w:locked/>
    <w:rsid w:val="00DE6A0C"/>
    <w:rPr>
      <w:rFonts w:ascii="Calibri" w:eastAsia="Times New Roman" w:hAnsi="Calibri" w:cs="Arial"/>
      <w:color w:val="00AD68"/>
      <w:sz w:val="24"/>
      <w:szCs w:val="24"/>
    </w:rPr>
  </w:style>
  <w:style w:type="table" w:customStyle="1" w:styleId="MJATable111">
    <w:name w:val="MJA Table111"/>
    <w:basedOn w:val="TableNormal"/>
    <w:uiPriority w:val="99"/>
    <w:rsid w:val="00DE6A0C"/>
    <w:pPr>
      <w:spacing w:before="60" w:after="60" w:line="240" w:lineRule="auto"/>
      <w:jc w:val="center"/>
    </w:pPr>
    <w:rPr>
      <w:sz w:val="20"/>
    </w:rPr>
    <w:tblPr>
      <w:tblInd w:w="0" w:type="dxa"/>
      <w:tblCellMar>
        <w:top w:w="0" w:type="dxa"/>
        <w:left w:w="108" w:type="dxa"/>
        <w:bottom w:w="0" w:type="dxa"/>
        <w:right w:w="108" w:type="dxa"/>
      </w:tblCellMar>
    </w:tblPr>
    <w:tcPr>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tcPr>
    </w:tblStylePr>
    <w:tblStylePr w:type="firstCol">
      <w:pPr>
        <w:jc w:val="left"/>
      </w:pPr>
    </w:tblStylePr>
  </w:style>
  <w:style w:type="table" w:customStyle="1" w:styleId="TableGrid1">
    <w:name w:val="Table Grid1"/>
    <w:basedOn w:val="TableNormal"/>
    <w:next w:val="TableGrid"/>
    <w:locked/>
    <w:rsid w:val="00DE6A0C"/>
    <w:pPr>
      <w:spacing w:after="0" w:line="240" w:lineRule="auto"/>
    </w:pPr>
    <w:rPr>
      <w:rFonts w:ascii="Calibri" w:eastAsia="Times New Roman" w:hAnsi="Calibri"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RUTable2">
    <w:name w:val="SRU Table2"/>
    <w:basedOn w:val="TableNormal"/>
    <w:uiPriority w:val="99"/>
    <w:rsid w:val="009D5C61"/>
    <w:pPr>
      <w:spacing w:after="0" w:line="240" w:lineRule="auto"/>
    </w:pPr>
    <w:rPr>
      <w:rFonts w:ascii="Arial" w:eastAsia="Times New Roman" w:hAnsi="Arial" w:cs="Times New Roman"/>
      <w:sz w:val="20"/>
      <w:szCs w:val="20"/>
      <w:lang w:eastAsia="en-AU"/>
    </w:rPr>
    <w:tblPr>
      <w:tblInd w:w="0" w:type="dxa"/>
      <w:tblBorders>
        <w:top w:val="single" w:sz="4" w:space="0" w:color="00B082"/>
        <w:bottom w:val="single" w:sz="4" w:space="0" w:color="00B082"/>
      </w:tblBorders>
      <w:tblCellMar>
        <w:top w:w="0" w:type="dxa"/>
        <w:left w:w="108" w:type="dxa"/>
        <w:bottom w:w="0" w:type="dxa"/>
        <w:right w:w="108" w:type="dxa"/>
      </w:tblCellMar>
    </w:tblPr>
    <w:tblStylePr w:type="firstRow">
      <w:rPr>
        <w:rFonts w:ascii="Arial" w:hAnsi="Arial"/>
        <w:b/>
      </w:rPr>
      <w:tblPr/>
      <w:tcPr>
        <w:tcBorders>
          <w:bottom w:val="single" w:sz="4" w:space="0" w:color="00B082"/>
        </w:tcBorders>
      </w:tcPr>
    </w:tblStylePr>
  </w:style>
  <w:style w:type="table" w:customStyle="1" w:styleId="SRUTable3">
    <w:name w:val="SRU Table3"/>
    <w:basedOn w:val="TableNormal"/>
    <w:uiPriority w:val="99"/>
    <w:rsid w:val="002E2C03"/>
    <w:pPr>
      <w:spacing w:after="0" w:line="240" w:lineRule="auto"/>
    </w:pPr>
    <w:rPr>
      <w:rFonts w:ascii="Arial" w:eastAsia="Times New Roman" w:hAnsi="Arial" w:cs="Times New Roman"/>
      <w:sz w:val="20"/>
      <w:szCs w:val="20"/>
      <w:lang w:eastAsia="en-AU"/>
    </w:rPr>
    <w:tblPr>
      <w:tblInd w:w="0" w:type="dxa"/>
      <w:tblBorders>
        <w:top w:val="single" w:sz="4" w:space="0" w:color="00B082"/>
        <w:bottom w:val="single" w:sz="4" w:space="0" w:color="00B082"/>
      </w:tblBorders>
      <w:tblCellMar>
        <w:top w:w="0" w:type="dxa"/>
        <w:left w:w="108" w:type="dxa"/>
        <w:bottom w:w="0" w:type="dxa"/>
        <w:right w:w="108" w:type="dxa"/>
      </w:tblCellMar>
    </w:tblPr>
    <w:tblStylePr w:type="firstRow">
      <w:rPr>
        <w:rFonts w:ascii="Arial" w:hAnsi="Arial"/>
        <w:b/>
      </w:rPr>
      <w:tblPr/>
      <w:tcPr>
        <w:tcBorders>
          <w:bottom w:val="single" w:sz="4" w:space="0" w:color="00B08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2" w:qFormat="1"/>
    <w:lsdException w:name="heading 3" w:uiPriority="3" w:qFormat="1"/>
    <w:lsdException w:name="heading 4" w:uiPriority="4" w:qFormat="1"/>
    <w:lsdException w:name="index 1" w:uiPriority="0"/>
    <w:lsdException w:name="toc 1" w:uiPriority="39"/>
    <w:lsdException w:name="toc 2"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uiPriority="10"/>
    <w:lsdException w:name="footer" w:uiPriority="11"/>
    <w:lsdException w:name="caption" w:uiPriority="0" w:qFormat="1"/>
    <w:lsdException w:name="annotation reference" w:uiPriority="0"/>
    <w:lsdException w:name="page number" w:uiPriority="0"/>
    <w:lsdException w:name="List Bullet" w:uiPriority="0"/>
    <w:lsdException w:name="Title" w:semiHidden="0" w:uiPriority="10" w:unhideWhenUsed="0"/>
    <w:lsdException w:name="Default Paragraph Font" w:uiPriority="1"/>
    <w:lsdException w:name="Body Text" w:uiPriority="0"/>
    <w:lsdException w:name="Subtitle" w:semiHidden="0" w:uiPriority="11" w:unhideWhenUsed="0"/>
    <w:lsdException w:name="Body Text 3" w:uiPriority="0"/>
    <w:lsdException w:name="FollowedHyperlink" w:uiPriority="0"/>
    <w:lsdException w:name="Strong" w:semiHidden="0" w:uiPriority="22" w:unhideWhenUsed="0"/>
    <w:lsdException w:name="Emphasis" w:semiHidden="0" w:uiPriority="20" w:unhideWhenUsed="0"/>
    <w:lsdException w:name="annotation subject" w:uiPriority="0"/>
    <w:lsdException w:name="Table Simple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9178C"/>
  </w:style>
  <w:style w:type="paragraph" w:styleId="Heading1">
    <w:name w:val="heading 1"/>
    <w:basedOn w:val="Normal"/>
    <w:next w:val="Normal"/>
    <w:link w:val="Heading1Char"/>
    <w:uiPriority w:val="1"/>
    <w:qFormat/>
    <w:rsid w:val="00F80890"/>
    <w:pPr>
      <w:keepNext/>
      <w:tabs>
        <w:tab w:val="left" w:pos="397"/>
      </w:tabs>
      <w:spacing w:before="240" w:after="60" w:line="240" w:lineRule="auto"/>
      <w:jc w:val="both"/>
      <w:outlineLvl w:val="0"/>
    </w:pPr>
    <w:rPr>
      <w:rFonts w:ascii="Arial" w:eastAsia="Times New Roman" w:hAnsi="Arial" w:cs="Times New Roman"/>
      <w:b/>
      <w:kern w:val="28"/>
      <w:sz w:val="28"/>
      <w:szCs w:val="20"/>
    </w:rPr>
  </w:style>
  <w:style w:type="paragraph" w:styleId="Heading2">
    <w:name w:val="heading 2"/>
    <w:basedOn w:val="Normal"/>
    <w:next w:val="Normal"/>
    <w:link w:val="Heading2Char"/>
    <w:uiPriority w:val="2"/>
    <w:qFormat/>
    <w:rsid w:val="00F80890"/>
    <w:pPr>
      <w:keepNext/>
      <w:tabs>
        <w:tab w:val="left" w:pos="397"/>
      </w:tabs>
      <w:spacing w:before="120" w:after="120" w:line="240" w:lineRule="auto"/>
      <w:ind w:right="-766"/>
      <w:jc w:val="right"/>
      <w:outlineLvl w:val="1"/>
    </w:pPr>
    <w:rPr>
      <w:rFonts w:ascii="Times New Roman" w:eastAsia="Times New Roman" w:hAnsi="Times New Roman" w:cs="Times New Roman"/>
      <w:b/>
      <w:sz w:val="40"/>
      <w:szCs w:val="20"/>
    </w:rPr>
  </w:style>
  <w:style w:type="paragraph" w:styleId="Heading3">
    <w:name w:val="heading 3"/>
    <w:basedOn w:val="Normal"/>
    <w:next w:val="Normal"/>
    <w:link w:val="Heading3Char"/>
    <w:uiPriority w:val="3"/>
    <w:qFormat/>
    <w:rsid w:val="00F80890"/>
    <w:pPr>
      <w:keepNext/>
      <w:tabs>
        <w:tab w:val="left" w:pos="397"/>
      </w:tabs>
      <w:spacing w:after="0" w:line="240" w:lineRule="auto"/>
      <w:ind w:right="-766"/>
      <w:jc w:val="right"/>
      <w:outlineLvl w:val="2"/>
    </w:pPr>
    <w:rPr>
      <w:rFonts w:ascii="Times New Roman" w:eastAsia="Times New Roman" w:hAnsi="Times New Roman" w:cs="Times New Roman"/>
      <w:b/>
      <w:sz w:val="32"/>
      <w:szCs w:val="20"/>
    </w:rPr>
  </w:style>
  <w:style w:type="paragraph" w:styleId="Heading4">
    <w:name w:val="heading 4"/>
    <w:basedOn w:val="Normal"/>
    <w:next w:val="Normal"/>
    <w:link w:val="Heading4Char"/>
    <w:uiPriority w:val="4"/>
    <w:qFormat/>
    <w:rsid w:val="00F80890"/>
    <w:pPr>
      <w:keepNext/>
      <w:tabs>
        <w:tab w:val="left" w:pos="397"/>
      </w:tabs>
      <w:spacing w:after="0" w:line="240" w:lineRule="auto"/>
      <w:ind w:left="176"/>
      <w:jc w:val="both"/>
      <w:outlineLvl w:val="3"/>
    </w:pPr>
    <w:rPr>
      <w:rFonts w:ascii="Times New Roman" w:eastAsia="Times New Roman" w:hAnsi="Times New Roman" w:cs="Times New Roman"/>
      <w:i/>
      <w:sz w:val="24"/>
      <w:szCs w:val="20"/>
      <w:lang w:val="en-US"/>
    </w:rPr>
  </w:style>
  <w:style w:type="paragraph" w:styleId="Heading5">
    <w:name w:val="heading 5"/>
    <w:basedOn w:val="Normal"/>
    <w:next w:val="Normal"/>
    <w:link w:val="Heading5Char"/>
    <w:uiPriority w:val="99"/>
    <w:rsid w:val="00F80890"/>
    <w:pPr>
      <w:keepNext/>
      <w:tabs>
        <w:tab w:val="left" w:pos="397"/>
      </w:tabs>
      <w:spacing w:after="0" w:line="240" w:lineRule="auto"/>
      <w:ind w:left="176"/>
      <w:outlineLvl w:val="4"/>
    </w:pPr>
    <w:rPr>
      <w:rFonts w:ascii="Times New Roman" w:eastAsia="Times New Roman" w:hAnsi="Times New Roman" w:cs="Times New Roman"/>
      <w:i/>
      <w:sz w:val="20"/>
      <w:szCs w:val="20"/>
      <w:lang w:val="en-US"/>
    </w:rPr>
  </w:style>
  <w:style w:type="paragraph" w:styleId="Heading6">
    <w:name w:val="heading 6"/>
    <w:basedOn w:val="Normal"/>
    <w:next w:val="Normal"/>
    <w:link w:val="Heading6Char"/>
    <w:uiPriority w:val="99"/>
    <w:rsid w:val="00F80890"/>
    <w:pPr>
      <w:keepNext/>
      <w:tabs>
        <w:tab w:val="left" w:pos="397"/>
      </w:tabs>
      <w:spacing w:after="120" w:line="240" w:lineRule="auto"/>
      <w:ind w:left="176"/>
      <w:outlineLvl w:val="5"/>
    </w:pPr>
    <w:rPr>
      <w:rFonts w:ascii="Times New Roman" w:eastAsia="Times New Roman" w:hAnsi="Times New Roman" w:cs="Times New Roman"/>
      <w:i/>
      <w:sz w:val="24"/>
      <w:szCs w:val="20"/>
      <w:lang w:val="en-US"/>
    </w:rPr>
  </w:style>
  <w:style w:type="paragraph" w:styleId="Heading7">
    <w:name w:val="heading 7"/>
    <w:basedOn w:val="Normal"/>
    <w:next w:val="Normal"/>
    <w:link w:val="Heading7Char"/>
    <w:uiPriority w:val="99"/>
    <w:rsid w:val="00F80890"/>
    <w:pPr>
      <w:keepNext/>
      <w:spacing w:before="120" w:after="0" w:line="240" w:lineRule="auto"/>
      <w:ind w:left="176"/>
      <w:outlineLvl w:val="6"/>
    </w:pPr>
    <w:rPr>
      <w:rFonts w:ascii="Times New Roman" w:eastAsia="Times New Roman" w:hAnsi="Times New Roman" w:cs="Times New Roman"/>
      <w:i/>
      <w:sz w:val="18"/>
      <w:szCs w:val="20"/>
    </w:rPr>
  </w:style>
  <w:style w:type="paragraph" w:styleId="Heading8">
    <w:name w:val="heading 8"/>
    <w:basedOn w:val="Normal"/>
    <w:next w:val="Normal"/>
    <w:link w:val="Heading8Char"/>
    <w:uiPriority w:val="99"/>
    <w:rsid w:val="00F80890"/>
    <w:pPr>
      <w:keepNext/>
      <w:tabs>
        <w:tab w:val="left" w:pos="397"/>
      </w:tabs>
      <w:spacing w:after="0" w:line="240" w:lineRule="auto"/>
      <w:jc w:val="right"/>
      <w:outlineLvl w:val="7"/>
    </w:pPr>
    <w:rPr>
      <w:rFonts w:ascii="Times New Roman" w:eastAsia="Times New Roman" w:hAnsi="Times New Roman" w:cs="Times New Roman"/>
      <w:b/>
      <w:bCs/>
      <w:sz w:val="36"/>
      <w:szCs w:val="20"/>
    </w:rPr>
  </w:style>
  <w:style w:type="paragraph" w:styleId="Heading9">
    <w:name w:val="heading 9"/>
    <w:basedOn w:val="Normal"/>
    <w:next w:val="Normal"/>
    <w:link w:val="Heading9Char"/>
    <w:uiPriority w:val="99"/>
    <w:rsid w:val="00F80890"/>
    <w:pPr>
      <w:keepNext/>
      <w:tabs>
        <w:tab w:val="left" w:pos="397"/>
      </w:tabs>
      <w:spacing w:after="0" w:line="240" w:lineRule="auto"/>
      <w:jc w:val="right"/>
      <w:outlineLvl w:val="8"/>
    </w:pPr>
    <w:rPr>
      <w:rFonts w:ascii="Times New Roman" w:eastAsia="Times New Roman" w:hAnsi="Times New Roman" w:cs="Times New Roman"/>
      <w:b/>
      <w:bCs/>
      <w:sz w:val="3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F20"/>
    <w:pPr>
      <w:spacing w:after="0" w:line="240" w:lineRule="auto"/>
    </w:pPr>
    <w:rPr>
      <w:rFonts w:ascii="Tahoma" w:hAnsi="Tahoma" w:cs="Tahoma"/>
      <w:sz w:val="16"/>
      <w:szCs w:val="16"/>
    </w:rPr>
  </w:style>
  <w:style w:type="paragraph" w:customStyle="1" w:styleId="MJAheading1">
    <w:name w:val="MJA heading 1"/>
    <w:basedOn w:val="MJAnormal"/>
    <w:next w:val="MJAnormal"/>
    <w:uiPriority w:val="99"/>
    <w:qFormat/>
    <w:rsid w:val="003F64C9"/>
    <w:pPr>
      <w:numPr>
        <w:numId w:val="1"/>
      </w:numPr>
      <w:pBdr>
        <w:bottom w:val="single" w:sz="18" w:space="1" w:color="0093D0"/>
      </w:pBdr>
      <w:tabs>
        <w:tab w:val="left" w:pos="425"/>
      </w:tabs>
      <w:spacing w:before="0" w:after="360" w:line="240" w:lineRule="auto"/>
    </w:pPr>
    <w:rPr>
      <w:rFonts w:ascii="Corbel" w:hAnsi="Corbel"/>
      <w:color w:val="0093D0"/>
      <w:sz w:val="44"/>
    </w:rPr>
  </w:style>
  <w:style w:type="paragraph" w:customStyle="1" w:styleId="MJAheading2">
    <w:name w:val="MJA heading 2"/>
    <w:basedOn w:val="Normal"/>
    <w:next w:val="MJAnormal"/>
    <w:qFormat/>
    <w:rsid w:val="008C23EF"/>
    <w:pPr>
      <w:keepNext/>
      <w:keepLines/>
      <w:numPr>
        <w:ilvl w:val="1"/>
        <w:numId w:val="1"/>
      </w:numPr>
      <w:tabs>
        <w:tab w:val="left" w:pos="709"/>
      </w:tabs>
      <w:spacing w:before="360" w:after="240" w:line="240" w:lineRule="auto"/>
    </w:pPr>
    <w:rPr>
      <w:rFonts w:ascii="Corbel" w:hAnsi="Corbel"/>
      <w:color w:val="0093D0"/>
      <w:sz w:val="32"/>
    </w:rPr>
  </w:style>
  <w:style w:type="paragraph" w:customStyle="1" w:styleId="MJAheading3">
    <w:name w:val="MJA heading 3"/>
    <w:basedOn w:val="MJAnormal"/>
    <w:next w:val="MJAnormal"/>
    <w:qFormat/>
    <w:rsid w:val="008C23EF"/>
    <w:pPr>
      <w:keepNext/>
      <w:keepLines/>
      <w:numPr>
        <w:ilvl w:val="2"/>
        <w:numId w:val="1"/>
      </w:numPr>
      <w:tabs>
        <w:tab w:val="left" w:pos="709"/>
      </w:tabs>
      <w:spacing w:before="360" w:line="240" w:lineRule="auto"/>
    </w:pPr>
    <w:rPr>
      <w:rFonts w:ascii="Corbel" w:hAnsi="Corbel"/>
      <w:color w:val="0093D0"/>
      <w:sz w:val="24"/>
    </w:rPr>
  </w:style>
  <w:style w:type="paragraph" w:customStyle="1" w:styleId="MJATableRow">
    <w:name w:val="MJA Table Row"/>
    <w:basedOn w:val="Normal"/>
    <w:qFormat/>
    <w:rsid w:val="00F728A1"/>
    <w:pPr>
      <w:spacing w:before="60" w:after="60" w:line="240" w:lineRule="auto"/>
    </w:pPr>
    <w:rPr>
      <w:rFonts w:ascii="Calibri" w:hAnsi="Calibri"/>
      <w:sz w:val="20"/>
    </w:rPr>
  </w:style>
  <w:style w:type="paragraph" w:customStyle="1" w:styleId="MJAsource">
    <w:name w:val="MJA source"/>
    <w:basedOn w:val="Normal"/>
    <w:next w:val="BalloonText"/>
    <w:qFormat/>
    <w:rsid w:val="00426980"/>
    <w:pPr>
      <w:spacing w:before="120" w:after="120" w:line="240" w:lineRule="auto"/>
    </w:pPr>
    <w:rPr>
      <w:rFonts w:ascii="Calibri" w:hAnsi="Calibri"/>
      <w:i/>
      <w:sz w:val="18"/>
    </w:rPr>
  </w:style>
  <w:style w:type="paragraph" w:styleId="Caption">
    <w:name w:val="caption"/>
    <w:basedOn w:val="Normal"/>
    <w:next w:val="Normal"/>
    <w:unhideWhenUsed/>
    <w:qFormat/>
    <w:rsid w:val="008C23EF"/>
    <w:pPr>
      <w:keepNext/>
      <w:spacing w:before="120" w:after="120" w:line="240" w:lineRule="auto"/>
    </w:pPr>
    <w:rPr>
      <w:rFonts w:ascii="Calibri" w:hAnsi="Calibri"/>
      <w:b/>
      <w:bCs/>
      <w:sz w:val="20"/>
      <w:szCs w:val="18"/>
    </w:rPr>
  </w:style>
  <w:style w:type="paragraph" w:styleId="NoSpacing">
    <w:name w:val="No Spacing"/>
    <w:uiPriority w:val="1"/>
    <w:rsid w:val="00FC4036"/>
    <w:pPr>
      <w:spacing w:after="0" w:line="240" w:lineRule="auto"/>
    </w:pPr>
  </w:style>
  <w:style w:type="table" w:styleId="TableGrid">
    <w:name w:val="Table Grid"/>
    <w:basedOn w:val="TableNormal"/>
    <w:uiPriority w:val="59"/>
    <w:rsid w:val="00F80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80890"/>
    <w:rPr>
      <w:rFonts w:ascii="Arial" w:eastAsia="Times New Roman" w:hAnsi="Arial" w:cs="Times New Roman"/>
      <w:b/>
      <w:kern w:val="28"/>
      <w:sz w:val="28"/>
      <w:szCs w:val="20"/>
    </w:rPr>
  </w:style>
  <w:style w:type="character" w:customStyle="1" w:styleId="Heading2Char">
    <w:name w:val="Heading 2 Char"/>
    <w:basedOn w:val="DefaultParagraphFont"/>
    <w:link w:val="Heading2"/>
    <w:uiPriority w:val="2"/>
    <w:rsid w:val="00F80890"/>
    <w:rPr>
      <w:rFonts w:ascii="Times New Roman" w:eastAsia="Times New Roman" w:hAnsi="Times New Roman" w:cs="Times New Roman"/>
      <w:b/>
      <w:sz w:val="40"/>
      <w:szCs w:val="20"/>
    </w:rPr>
  </w:style>
  <w:style w:type="character" w:customStyle="1" w:styleId="Heading3Char">
    <w:name w:val="Heading 3 Char"/>
    <w:basedOn w:val="DefaultParagraphFont"/>
    <w:link w:val="Heading3"/>
    <w:uiPriority w:val="3"/>
    <w:rsid w:val="00F80890"/>
    <w:rPr>
      <w:rFonts w:ascii="Times New Roman" w:eastAsia="Times New Roman" w:hAnsi="Times New Roman" w:cs="Times New Roman"/>
      <w:b/>
      <w:sz w:val="32"/>
      <w:szCs w:val="20"/>
    </w:rPr>
  </w:style>
  <w:style w:type="character" w:customStyle="1" w:styleId="Heading4Char">
    <w:name w:val="Heading 4 Char"/>
    <w:basedOn w:val="DefaultParagraphFont"/>
    <w:link w:val="Heading4"/>
    <w:uiPriority w:val="4"/>
    <w:rsid w:val="00F80890"/>
    <w:rPr>
      <w:rFonts w:ascii="Times New Roman" w:eastAsia="Times New Roman" w:hAnsi="Times New Roman" w:cs="Times New Roman"/>
      <w:i/>
      <w:sz w:val="24"/>
      <w:szCs w:val="20"/>
      <w:lang w:val="en-US"/>
    </w:rPr>
  </w:style>
  <w:style w:type="character" w:customStyle="1" w:styleId="Heading5Char">
    <w:name w:val="Heading 5 Char"/>
    <w:basedOn w:val="DefaultParagraphFont"/>
    <w:link w:val="Heading5"/>
    <w:uiPriority w:val="99"/>
    <w:rsid w:val="00F80890"/>
    <w:rPr>
      <w:rFonts w:ascii="Times New Roman" w:eastAsia="Times New Roman" w:hAnsi="Times New Roman" w:cs="Times New Roman"/>
      <w:i/>
      <w:sz w:val="20"/>
      <w:szCs w:val="20"/>
      <w:lang w:val="en-US"/>
    </w:rPr>
  </w:style>
  <w:style w:type="character" w:customStyle="1" w:styleId="Heading6Char">
    <w:name w:val="Heading 6 Char"/>
    <w:basedOn w:val="DefaultParagraphFont"/>
    <w:link w:val="Heading6"/>
    <w:uiPriority w:val="99"/>
    <w:rsid w:val="00F80890"/>
    <w:rPr>
      <w:rFonts w:ascii="Times New Roman" w:eastAsia="Times New Roman" w:hAnsi="Times New Roman" w:cs="Times New Roman"/>
      <w:i/>
      <w:sz w:val="24"/>
      <w:szCs w:val="20"/>
      <w:lang w:val="en-US"/>
    </w:rPr>
  </w:style>
  <w:style w:type="character" w:customStyle="1" w:styleId="Heading7Char">
    <w:name w:val="Heading 7 Char"/>
    <w:basedOn w:val="DefaultParagraphFont"/>
    <w:link w:val="Heading7"/>
    <w:uiPriority w:val="99"/>
    <w:rsid w:val="00F80890"/>
    <w:rPr>
      <w:rFonts w:ascii="Times New Roman" w:eastAsia="Times New Roman" w:hAnsi="Times New Roman" w:cs="Times New Roman"/>
      <w:i/>
      <w:sz w:val="18"/>
      <w:szCs w:val="20"/>
    </w:rPr>
  </w:style>
  <w:style w:type="character" w:customStyle="1" w:styleId="Heading8Char">
    <w:name w:val="Heading 8 Char"/>
    <w:basedOn w:val="DefaultParagraphFont"/>
    <w:link w:val="Heading8"/>
    <w:uiPriority w:val="99"/>
    <w:rsid w:val="00F80890"/>
    <w:rPr>
      <w:rFonts w:ascii="Times New Roman" w:eastAsia="Times New Roman" w:hAnsi="Times New Roman" w:cs="Times New Roman"/>
      <w:b/>
      <w:bCs/>
      <w:sz w:val="36"/>
      <w:szCs w:val="20"/>
    </w:rPr>
  </w:style>
  <w:style w:type="character" w:customStyle="1" w:styleId="Heading9Char">
    <w:name w:val="Heading 9 Char"/>
    <w:basedOn w:val="DefaultParagraphFont"/>
    <w:link w:val="Heading9"/>
    <w:uiPriority w:val="99"/>
    <w:rsid w:val="00F80890"/>
    <w:rPr>
      <w:rFonts w:ascii="Times New Roman" w:eastAsia="Times New Roman" w:hAnsi="Times New Roman" w:cs="Times New Roman"/>
      <w:b/>
      <w:bCs/>
      <w:sz w:val="32"/>
      <w:szCs w:val="20"/>
    </w:rPr>
  </w:style>
  <w:style w:type="paragraph" w:customStyle="1" w:styleId="MJAESheading">
    <w:name w:val="MJA ES heading"/>
    <w:basedOn w:val="MJAnormal"/>
    <w:next w:val="MJAnormal"/>
    <w:qFormat/>
    <w:rsid w:val="0069400A"/>
    <w:pPr>
      <w:tabs>
        <w:tab w:val="left" w:pos="425"/>
      </w:tabs>
      <w:spacing w:before="360" w:after="240" w:line="240" w:lineRule="auto"/>
      <w:ind w:left="425" w:hanging="425"/>
    </w:pPr>
    <w:rPr>
      <w:rFonts w:ascii="Corbel" w:hAnsi="Corbel"/>
      <w:color w:val="0093D0"/>
      <w:sz w:val="32"/>
    </w:rPr>
  </w:style>
  <w:style w:type="character" w:styleId="PageNumber">
    <w:name w:val="page number"/>
    <w:basedOn w:val="DefaultParagraphFont"/>
    <w:rsid w:val="00F80890"/>
  </w:style>
  <w:style w:type="paragraph" w:customStyle="1" w:styleId="MJAbulletnormal">
    <w:name w:val="MJA bullet normal"/>
    <w:basedOn w:val="Normal"/>
    <w:link w:val="MJAbulletnormalChar"/>
    <w:uiPriority w:val="99"/>
    <w:qFormat/>
    <w:rsid w:val="009C3271"/>
    <w:pPr>
      <w:tabs>
        <w:tab w:val="left" w:pos="567"/>
      </w:tabs>
      <w:spacing w:before="120" w:after="120" w:line="280" w:lineRule="atLeast"/>
    </w:pPr>
    <w:rPr>
      <w:rFonts w:ascii="Times New Roman" w:eastAsia="Times New Roman" w:hAnsi="Times New Roman" w:cs="Times New Roman"/>
    </w:rPr>
  </w:style>
  <w:style w:type="paragraph" w:styleId="TOC1">
    <w:name w:val="toc 1"/>
    <w:basedOn w:val="Normal"/>
    <w:next w:val="Normal"/>
    <w:uiPriority w:val="39"/>
    <w:rsid w:val="009C3271"/>
    <w:pPr>
      <w:tabs>
        <w:tab w:val="right" w:leader="dot" w:pos="426"/>
        <w:tab w:val="right" w:leader="dot" w:pos="8222"/>
      </w:tabs>
      <w:spacing w:before="240" w:after="0" w:line="240" w:lineRule="auto"/>
      <w:ind w:left="425" w:hanging="425"/>
      <w:jc w:val="both"/>
    </w:pPr>
    <w:rPr>
      <w:rFonts w:ascii="Corbel" w:eastAsia="Times New Roman" w:hAnsi="Corbel" w:cs="Times New Roman"/>
      <w:b/>
      <w:noProof/>
      <w:sz w:val="20"/>
      <w:szCs w:val="20"/>
    </w:rPr>
  </w:style>
  <w:style w:type="paragraph" w:styleId="TOC2">
    <w:name w:val="toc 2"/>
    <w:basedOn w:val="Normal"/>
    <w:next w:val="Normal"/>
    <w:uiPriority w:val="39"/>
    <w:rsid w:val="009C3271"/>
    <w:pPr>
      <w:tabs>
        <w:tab w:val="left" w:pos="992"/>
        <w:tab w:val="right" w:leader="dot" w:pos="8222"/>
      </w:tabs>
      <w:spacing w:before="60" w:after="0" w:line="240" w:lineRule="auto"/>
      <w:ind w:left="1417" w:hanging="992"/>
    </w:pPr>
    <w:rPr>
      <w:rFonts w:ascii="Corbel" w:eastAsia="Times New Roman" w:hAnsi="Corbel" w:cs="Times New Roman"/>
      <w:noProof/>
      <w:sz w:val="18"/>
      <w:szCs w:val="20"/>
    </w:rPr>
  </w:style>
  <w:style w:type="paragraph" w:styleId="TOC3">
    <w:name w:val="toc 3"/>
    <w:basedOn w:val="Normal"/>
    <w:next w:val="Normal"/>
    <w:uiPriority w:val="99"/>
    <w:rsid w:val="00F80890"/>
    <w:pPr>
      <w:tabs>
        <w:tab w:val="left" w:leader="dot" w:pos="1418"/>
        <w:tab w:val="right" w:leader="dot" w:pos="8222"/>
      </w:tabs>
      <w:spacing w:after="0" w:line="240" w:lineRule="auto"/>
      <w:ind w:left="851"/>
      <w:jc w:val="both"/>
    </w:pPr>
    <w:rPr>
      <w:rFonts w:ascii="Arial" w:eastAsia="Times New Roman" w:hAnsi="Arial" w:cs="Times New Roman"/>
      <w:noProof/>
      <w:sz w:val="18"/>
      <w:szCs w:val="20"/>
    </w:rPr>
  </w:style>
  <w:style w:type="character" w:styleId="FootnoteReference">
    <w:name w:val="footnote reference"/>
    <w:basedOn w:val="DefaultParagraphFont"/>
    <w:uiPriority w:val="99"/>
    <w:semiHidden/>
    <w:rsid w:val="00F80890"/>
    <w:rPr>
      <w:vertAlign w:val="superscript"/>
    </w:rPr>
  </w:style>
  <w:style w:type="paragraph" w:customStyle="1" w:styleId="MJAitalicsheading">
    <w:name w:val="MJA italics heading"/>
    <w:basedOn w:val="MJAnormal"/>
    <w:next w:val="MJAnormal"/>
    <w:qFormat/>
    <w:rsid w:val="008C23EF"/>
    <w:pPr>
      <w:keepNext/>
      <w:keepLines/>
      <w:tabs>
        <w:tab w:val="left" w:pos="397"/>
      </w:tabs>
      <w:spacing w:before="240" w:line="240" w:lineRule="auto"/>
      <w:jc w:val="both"/>
    </w:pPr>
    <w:rPr>
      <w:i/>
    </w:rPr>
  </w:style>
  <w:style w:type="paragraph" w:styleId="FootnoteText">
    <w:name w:val="footnote text"/>
    <w:basedOn w:val="Normal"/>
    <w:link w:val="FootnoteTextChar"/>
    <w:uiPriority w:val="99"/>
    <w:rsid w:val="00F80890"/>
    <w:pPr>
      <w:tabs>
        <w:tab w:val="left" w:pos="397"/>
      </w:tabs>
      <w:spacing w:after="120" w:line="240" w:lineRule="auto"/>
      <w:ind w:left="397" w:hanging="397"/>
      <w:jc w:val="both"/>
    </w:pPr>
    <w:rPr>
      <w:rFonts w:ascii="Times New Roman" w:eastAsia="Times New Roman" w:hAnsi="Times New Roman" w:cs="Times New Roman"/>
      <w:sz w:val="18"/>
      <w:szCs w:val="18"/>
    </w:rPr>
  </w:style>
  <w:style w:type="character" w:customStyle="1" w:styleId="FootnoteTextChar">
    <w:name w:val="Footnote Text Char"/>
    <w:basedOn w:val="DefaultParagraphFont"/>
    <w:link w:val="FootnoteText"/>
    <w:uiPriority w:val="99"/>
    <w:rsid w:val="00F80890"/>
    <w:rPr>
      <w:rFonts w:ascii="Times New Roman" w:eastAsia="Times New Roman" w:hAnsi="Times New Roman" w:cs="Times New Roman"/>
      <w:sz w:val="18"/>
      <w:szCs w:val="18"/>
    </w:rPr>
  </w:style>
  <w:style w:type="paragraph" w:customStyle="1" w:styleId="MJAquote">
    <w:name w:val="MJA quote"/>
    <w:basedOn w:val="Normal"/>
    <w:next w:val="MJAnormal"/>
    <w:qFormat/>
    <w:rsid w:val="003F64C9"/>
    <w:pPr>
      <w:tabs>
        <w:tab w:val="left" w:pos="397"/>
      </w:tabs>
      <w:spacing w:before="120" w:after="120" w:line="280" w:lineRule="atLeast"/>
      <w:ind w:left="567" w:right="567"/>
    </w:pPr>
    <w:rPr>
      <w:rFonts w:ascii="Times New Roman" w:eastAsia="Times New Roman" w:hAnsi="Times New Roman" w:cs="Times New Roman"/>
      <w:i/>
    </w:rPr>
  </w:style>
  <w:style w:type="paragraph" w:customStyle="1" w:styleId="MJAheading4">
    <w:name w:val="MJA heading 4"/>
    <w:basedOn w:val="MJAnormal"/>
    <w:next w:val="MJAnormal"/>
    <w:qFormat/>
    <w:rsid w:val="008C23EF"/>
    <w:pPr>
      <w:keepNext/>
      <w:keepLines/>
      <w:tabs>
        <w:tab w:val="left" w:pos="397"/>
      </w:tabs>
      <w:spacing w:before="360"/>
      <w:jc w:val="both"/>
    </w:pPr>
    <w:rPr>
      <w:rFonts w:ascii="Corbel" w:hAnsi="Corbel"/>
      <w:color w:val="0093D0"/>
      <w:szCs w:val="20"/>
    </w:rPr>
  </w:style>
  <w:style w:type="paragraph" w:styleId="TOC4">
    <w:name w:val="toc 4"/>
    <w:basedOn w:val="Normal"/>
    <w:next w:val="Normal"/>
    <w:autoRedefine/>
    <w:uiPriority w:val="99"/>
    <w:rsid w:val="00F80890"/>
    <w:pPr>
      <w:spacing w:after="0" w:line="240" w:lineRule="auto"/>
      <w:ind w:left="720"/>
      <w:jc w:val="both"/>
    </w:pPr>
    <w:rPr>
      <w:rFonts w:ascii="Times New Roman" w:eastAsia="Times New Roman" w:hAnsi="Times New Roman" w:cs="Times New Roman"/>
      <w:sz w:val="24"/>
      <w:szCs w:val="20"/>
    </w:rPr>
  </w:style>
  <w:style w:type="paragraph" w:styleId="Index1">
    <w:name w:val="index 1"/>
    <w:basedOn w:val="Normal"/>
    <w:next w:val="Normal"/>
    <w:autoRedefine/>
    <w:semiHidden/>
    <w:rsid w:val="00F80890"/>
    <w:pPr>
      <w:spacing w:after="0" w:line="240" w:lineRule="auto"/>
      <w:ind w:left="240" w:hanging="240"/>
      <w:jc w:val="both"/>
    </w:pPr>
    <w:rPr>
      <w:rFonts w:ascii="Times New Roman" w:eastAsia="Times New Roman" w:hAnsi="Times New Roman" w:cs="Times New Roman"/>
      <w:sz w:val="24"/>
      <w:szCs w:val="20"/>
    </w:rPr>
  </w:style>
  <w:style w:type="paragraph" w:styleId="TOC5">
    <w:name w:val="toc 5"/>
    <w:basedOn w:val="Normal"/>
    <w:next w:val="Normal"/>
    <w:autoRedefine/>
    <w:semiHidden/>
    <w:rsid w:val="00F80890"/>
    <w:pPr>
      <w:spacing w:after="0" w:line="240" w:lineRule="auto"/>
      <w:ind w:left="960"/>
      <w:jc w:val="both"/>
    </w:pPr>
    <w:rPr>
      <w:rFonts w:ascii="Times New Roman" w:eastAsia="Times New Roman" w:hAnsi="Times New Roman" w:cs="Times New Roman"/>
      <w:sz w:val="24"/>
      <w:szCs w:val="20"/>
    </w:rPr>
  </w:style>
  <w:style w:type="paragraph" w:styleId="TOC6">
    <w:name w:val="toc 6"/>
    <w:basedOn w:val="Normal"/>
    <w:next w:val="Normal"/>
    <w:autoRedefine/>
    <w:semiHidden/>
    <w:rsid w:val="00F80890"/>
    <w:pPr>
      <w:spacing w:after="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semiHidden/>
    <w:rsid w:val="00F80890"/>
    <w:pPr>
      <w:spacing w:after="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semiHidden/>
    <w:rsid w:val="00F80890"/>
    <w:pPr>
      <w:spacing w:after="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semiHidden/>
    <w:rsid w:val="00F80890"/>
    <w:pPr>
      <w:spacing w:after="0" w:line="240" w:lineRule="auto"/>
      <w:ind w:left="1920"/>
      <w:jc w:val="both"/>
    </w:pPr>
    <w:rPr>
      <w:rFonts w:ascii="Times New Roman" w:eastAsia="Times New Roman" w:hAnsi="Times New Roman" w:cs="Times New Roman"/>
      <w:sz w:val="24"/>
      <w:szCs w:val="20"/>
    </w:rPr>
  </w:style>
  <w:style w:type="character" w:styleId="Hyperlink">
    <w:name w:val="Hyperlink"/>
    <w:basedOn w:val="DefaultParagraphFont"/>
    <w:uiPriority w:val="99"/>
    <w:rsid w:val="00F80890"/>
    <w:rPr>
      <w:color w:val="0000FF"/>
      <w:u w:val="single"/>
    </w:rPr>
  </w:style>
  <w:style w:type="paragraph" w:customStyle="1" w:styleId="MJAbulletsubpara">
    <w:name w:val="MJA bullet sub para"/>
    <w:basedOn w:val="Normal"/>
    <w:next w:val="MJAbulletnormal"/>
    <w:qFormat/>
    <w:rsid w:val="000D4F20"/>
    <w:pPr>
      <w:spacing w:after="120" w:line="280" w:lineRule="atLeast"/>
      <w:ind w:left="397"/>
    </w:pPr>
    <w:rPr>
      <w:rFonts w:ascii="Times New Roman" w:eastAsia="Times New Roman" w:hAnsi="Times New Roman" w:cs="Times New Roman"/>
    </w:rPr>
  </w:style>
  <w:style w:type="paragraph" w:customStyle="1" w:styleId="MJAdashbullet">
    <w:name w:val="MJA dash bullet"/>
    <w:basedOn w:val="Normal"/>
    <w:uiPriority w:val="99"/>
    <w:qFormat/>
    <w:rsid w:val="008C23EF"/>
    <w:pPr>
      <w:numPr>
        <w:numId w:val="10"/>
      </w:numPr>
      <w:tabs>
        <w:tab w:val="left" w:pos="794"/>
      </w:tabs>
      <w:spacing w:after="120" w:line="280" w:lineRule="atLeast"/>
    </w:pPr>
    <w:rPr>
      <w:rFonts w:ascii="Times New Roman" w:eastAsia="Times New Roman" w:hAnsi="Times New Roman" w:cs="Times New Roman"/>
    </w:rPr>
  </w:style>
  <w:style w:type="paragraph" w:customStyle="1" w:styleId="MJAnormal">
    <w:name w:val="MJA normal"/>
    <w:basedOn w:val="Normal"/>
    <w:link w:val="MJAnormalChar1"/>
    <w:qFormat/>
    <w:rsid w:val="003F64C9"/>
    <w:pPr>
      <w:spacing w:before="120" w:after="120" w:line="280" w:lineRule="atLeast"/>
    </w:pPr>
    <w:rPr>
      <w:rFonts w:ascii="Times New Roman" w:eastAsia="Times New Roman" w:hAnsi="Times New Roman" w:cs="Times New Roman"/>
    </w:rPr>
  </w:style>
  <w:style w:type="paragraph" w:styleId="TableofFigures">
    <w:name w:val="table of figures"/>
    <w:aliases w:val="MJA Table of Figures"/>
    <w:basedOn w:val="Normal"/>
    <w:next w:val="Normal"/>
    <w:uiPriority w:val="99"/>
    <w:rsid w:val="00F80890"/>
    <w:pPr>
      <w:spacing w:before="40" w:after="0" w:line="240" w:lineRule="auto"/>
      <w:jc w:val="both"/>
    </w:pPr>
    <w:rPr>
      <w:rFonts w:ascii="Corbel" w:eastAsia="Times New Roman" w:hAnsi="Corbel" w:cs="Times New Roman"/>
      <w:sz w:val="18"/>
      <w:szCs w:val="20"/>
    </w:rPr>
  </w:style>
  <w:style w:type="character" w:customStyle="1" w:styleId="MJAnormalChar1">
    <w:name w:val="MJA normal Char1"/>
    <w:basedOn w:val="DefaultParagraphFont"/>
    <w:link w:val="MJAnormal"/>
    <w:rsid w:val="003F64C9"/>
    <w:rPr>
      <w:rFonts w:ascii="Times New Roman" w:eastAsia="Times New Roman" w:hAnsi="Times New Roman" w:cs="Times New Roman"/>
    </w:rPr>
  </w:style>
  <w:style w:type="character" w:customStyle="1" w:styleId="BalloonTextChar">
    <w:name w:val="Balloon Text Char"/>
    <w:basedOn w:val="DefaultParagraphFont"/>
    <w:link w:val="BalloonText"/>
    <w:uiPriority w:val="99"/>
    <w:semiHidden/>
    <w:rsid w:val="000D4F20"/>
    <w:rPr>
      <w:rFonts w:ascii="Tahoma" w:hAnsi="Tahoma" w:cs="Tahoma"/>
      <w:sz w:val="16"/>
      <w:szCs w:val="16"/>
    </w:rPr>
  </w:style>
  <w:style w:type="numbering" w:customStyle="1" w:styleId="NEWMJAListStyle">
    <w:name w:val="NEW MJA List Style"/>
    <w:rsid w:val="00F80890"/>
    <w:pPr>
      <w:numPr>
        <w:numId w:val="4"/>
      </w:numPr>
    </w:pPr>
  </w:style>
  <w:style w:type="table" w:styleId="TableSimple1">
    <w:name w:val="Table Simple 1"/>
    <w:basedOn w:val="TableNormal"/>
    <w:rsid w:val="00F80890"/>
    <w:pPr>
      <w:tabs>
        <w:tab w:val="left" w:pos="397"/>
      </w:tabs>
      <w:spacing w:after="0" w:line="240" w:lineRule="auto"/>
      <w:jc w:val="both"/>
    </w:pPr>
    <w:rPr>
      <w:rFonts w:ascii="Calibri" w:eastAsia="Times New Roman" w:hAnsi="Calibri" w:cs="Times New Roman"/>
      <w:sz w:val="24"/>
      <w:szCs w:val="24"/>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JAESnormal">
    <w:name w:val="MJA ES normal"/>
    <w:basedOn w:val="MJAnormal"/>
    <w:qFormat/>
    <w:rsid w:val="00136F31"/>
    <w:pPr>
      <w:numPr>
        <w:numId w:val="9"/>
      </w:numPr>
      <w:tabs>
        <w:tab w:val="left" w:pos="709"/>
      </w:tabs>
    </w:pPr>
  </w:style>
  <w:style w:type="paragraph" w:styleId="Revision">
    <w:name w:val="Revision"/>
    <w:hidden/>
    <w:uiPriority w:val="99"/>
    <w:semiHidden/>
    <w:rsid w:val="00F80890"/>
    <w:pPr>
      <w:spacing w:after="0" w:line="240" w:lineRule="auto"/>
    </w:pPr>
    <w:rPr>
      <w:rFonts w:ascii="Times New Roman" w:eastAsia="Times New Roman" w:hAnsi="Times New Roman" w:cs="Times New Roman"/>
      <w:sz w:val="24"/>
      <w:szCs w:val="20"/>
    </w:rPr>
  </w:style>
  <w:style w:type="paragraph" w:customStyle="1" w:styleId="Default">
    <w:name w:val="Default"/>
    <w:rsid w:val="00F80890"/>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numbering" w:customStyle="1" w:styleId="List1">
    <w:name w:val="List 1"/>
    <w:autoRedefine/>
    <w:rsid w:val="00F80890"/>
    <w:pPr>
      <w:numPr>
        <w:numId w:val="6"/>
      </w:numPr>
    </w:pPr>
  </w:style>
  <w:style w:type="paragraph" w:styleId="ListBullet">
    <w:name w:val="List Bullet"/>
    <w:basedOn w:val="Normal"/>
    <w:unhideWhenUsed/>
    <w:rsid w:val="00F80890"/>
    <w:pPr>
      <w:numPr>
        <w:numId w:val="8"/>
      </w:numPr>
      <w:spacing w:before="90" w:after="90" w:line="264" w:lineRule="auto"/>
      <w:contextualSpacing/>
    </w:pPr>
    <w:rPr>
      <w:rFonts w:ascii="Verdana" w:eastAsia="Times New Roman" w:hAnsi="Verdana" w:cs="Times"/>
      <w:sz w:val="20"/>
      <w:szCs w:val="20"/>
    </w:rPr>
  </w:style>
  <w:style w:type="paragraph" w:customStyle="1" w:styleId="MJAnotes">
    <w:name w:val="MJA notes"/>
    <w:basedOn w:val="MJAnormal"/>
    <w:next w:val="Normal"/>
    <w:qFormat/>
    <w:rsid w:val="0051000B"/>
    <w:pPr>
      <w:tabs>
        <w:tab w:val="left" w:pos="425"/>
      </w:tabs>
      <w:spacing w:before="0" w:after="60" w:line="240" w:lineRule="auto"/>
      <w:ind w:left="425" w:hanging="425"/>
    </w:pPr>
    <w:rPr>
      <w:rFonts w:ascii="Calibri" w:hAnsi="Calibri"/>
      <w:i/>
      <w:sz w:val="20"/>
    </w:rPr>
  </w:style>
  <w:style w:type="paragraph" w:styleId="Header">
    <w:name w:val="header"/>
    <w:basedOn w:val="Normal"/>
    <w:link w:val="HeaderChar"/>
    <w:uiPriority w:val="10"/>
    <w:unhideWhenUsed/>
    <w:rsid w:val="00F164FF"/>
    <w:pPr>
      <w:tabs>
        <w:tab w:val="center" w:pos="4513"/>
        <w:tab w:val="right" w:pos="9026"/>
      </w:tabs>
      <w:spacing w:after="0" w:line="240" w:lineRule="auto"/>
    </w:pPr>
  </w:style>
  <w:style w:type="character" w:customStyle="1" w:styleId="HeaderChar">
    <w:name w:val="Header Char"/>
    <w:basedOn w:val="DefaultParagraphFont"/>
    <w:link w:val="Header"/>
    <w:uiPriority w:val="10"/>
    <w:rsid w:val="00F164FF"/>
  </w:style>
  <w:style w:type="paragraph" w:styleId="Footer">
    <w:name w:val="footer"/>
    <w:basedOn w:val="Normal"/>
    <w:link w:val="FooterChar"/>
    <w:uiPriority w:val="11"/>
    <w:unhideWhenUsed/>
    <w:rsid w:val="00F164FF"/>
    <w:pPr>
      <w:tabs>
        <w:tab w:val="center" w:pos="4513"/>
        <w:tab w:val="right" w:pos="9026"/>
      </w:tabs>
      <w:spacing w:after="0" w:line="240" w:lineRule="auto"/>
    </w:pPr>
  </w:style>
  <w:style w:type="character" w:customStyle="1" w:styleId="FooterChar">
    <w:name w:val="Footer Char"/>
    <w:basedOn w:val="DefaultParagraphFont"/>
    <w:link w:val="Footer"/>
    <w:uiPriority w:val="11"/>
    <w:rsid w:val="00F164FF"/>
  </w:style>
  <w:style w:type="table" w:customStyle="1" w:styleId="MJATable1">
    <w:name w:val="MJA Table1"/>
    <w:basedOn w:val="TableNormal"/>
    <w:uiPriority w:val="99"/>
    <w:rsid w:val="00525682"/>
    <w:pPr>
      <w:spacing w:before="60" w:after="60" w:line="240" w:lineRule="auto"/>
      <w:jc w:val="center"/>
    </w:pPr>
    <w:rPr>
      <w:sz w:val="20"/>
    </w:rPr>
    <w:tblPr/>
    <w:tcPr>
      <w:shd w:val="clear" w:color="auto" w:fill="auto"/>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character" w:styleId="CommentReference">
    <w:name w:val="annotation reference"/>
    <w:basedOn w:val="DefaultParagraphFont"/>
    <w:semiHidden/>
    <w:unhideWhenUsed/>
    <w:rsid w:val="00DF7D85"/>
    <w:rPr>
      <w:sz w:val="16"/>
      <w:szCs w:val="16"/>
    </w:rPr>
  </w:style>
  <w:style w:type="paragraph" w:styleId="CommentText">
    <w:name w:val="annotation text"/>
    <w:basedOn w:val="Normal"/>
    <w:link w:val="CommentTextChar"/>
    <w:semiHidden/>
    <w:unhideWhenUsed/>
    <w:rsid w:val="00DF7D85"/>
    <w:pPr>
      <w:spacing w:line="240" w:lineRule="auto"/>
    </w:pPr>
    <w:rPr>
      <w:sz w:val="20"/>
      <w:szCs w:val="20"/>
    </w:rPr>
  </w:style>
  <w:style w:type="character" w:customStyle="1" w:styleId="CommentTextChar">
    <w:name w:val="Comment Text Char"/>
    <w:basedOn w:val="DefaultParagraphFont"/>
    <w:link w:val="CommentText"/>
    <w:semiHidden/>
    <w:rsid w:val="00DF7D85"/>
    <w:rPr>
      <w:sz w:val="20"/>
      <w:szCs w:val="20"/>
    </w:rPr>
  </w:style>
  <w:style w:type="paragraph" w:styleId="CommentSubject">
    <w:name w:val="annotation subject"/>
    <w:basedOn w:val="CommentText"/>
    <w:next w:val="CommentText"/>
    <w:link w:val="CommentSubjectChar"/>
    <w:semiHidden/>
    <w:unhideWhenUsed/>
    <w:rsid w:val="00DF7D85"/>
    <w:rPr>
      <w:b/>
      <w:bCs/>
    </w:rPr>
  </w:style>
  <w:style w:type="character" w:customStyle="1" w:styleId="CommentSubjectChar">
    <w:name w:val="Comment Subject Char"/>
    <w:basedOn w:val="CommentTextChar"/>
    <w:link w:val="CommentSubject"/>
    <w:semiHidden/>
    <w:rsid w:val="00DF7D85"/>
    <w:rPr>
      <w:b/>
      <w:bCs/>
      <w:sz w:val="20"/>
      <w:szCs w:val="20"/>
    </w:rPr>
  </w:style>
  <w:style w:type="character" w:customStyle="1" w:styleId="MJAbulletnormalChar">
    <w:name w:val="MJA bullet normal Char"/>
    <w:link w:val="MJAbulletnormal"/>
    <w:uiPriority w:val="99"/>
    <w:locked/>
    <w:rsid w:val="00A5741E"/>
    <w:rPr>
      <w:rFonts w:ascii="Times New Roman" w:eastAsia="Times New Roman" w:hAnsi="Times New Roman" w:cs="Times New Roman"/>
    </w:rPr>
  </w:style>
  <w:style w:type="paragraph" w:styleId="ListParagraph">
    <w:name w:val="List Paragraph"/>
    <w:basedOn w:val="Normal"/>
    <w:uiPriority w:val="99"/>
    <w:rsid w:val="00ED34A7"/>
    <w:pPr>
      <w:ind w:left="720"/>
      <w:contextualSpacing/>
    </w:pPr>
  </w:style>
  <w:style w:type="character" w:styleId="PlaceholderText">
    <w:name w:val="Placeholder Text"/>
    <w:basedOn w:val="DefaultParagraphFont"/>
    <w:uiPriority w:val="99"/>
    <w:semiHidden/>
    <w:rsid w:val="0049735A"/>
    <w:rPr>
      <w:color w:val="808080"/>
    </w:rPr>
  </w:style>
  <w:style w:type="table" w:customStyle="1" w:styleId="SRUTable">
    <w:name w:val="SRU Table"/>
    <w:basedOn w:val="TableNormal"/>
    <w:uiPriority w:val="99"/>
    <w:rsid w:val="000A2364"/>
    <w:pPr>
      <w:spacing w:after="0" w:line="240" w:lineRule="auto"/>
    </w:pPr>
    <w:rPr>
      <w:rFonts w:ascii="Arial" w:eastAsia="Times New Roman" w:hAnsi="Arial" w:cs="Times New Roman"/>
      <w:sz w:val="20"/>
      <w:szCs w:val="20"/>
      <w:lang w:eastAsia="en-AU"/>
    </w:rPr>
    <w:tblPr>
      <w:tblBorders>
        <w:top w:val="single" w:sz="4" w:space="0" w:color="00B082"/>
        <w:bottom w:val="single" w:sz="4" w:space="0" w:color="00B082"/>
      </w:tblBorders>
    </w:tblPr>
    <w:tblStylePr w:type="firstRow">
      <w:rPr>
        <w:rFonts w:ascii="Arial" w:hAnsi="Arial"/>
        <w:b/>
      </w:rPr>
      <w:tblPr/>
      <w:tcPr>
        <w:tcBorders>
          <w:bottom w:val="single" w:sz="4" w:space="0" w:color="00B082"/>
        </w:tcBorders>
      </w:tcPr>
    </w:tblStylePr>
  </w:style>
  <w:style w:type="numbering" w:customStyle="1" w:styleId="NoList1">
    <w:name w:val="No List1"/>
    <w:next w:val="NoList"/>
    <w:uiPriority w:val="99"/>
    <w:semiHidden/>
    <w:unhideWhenUsed/>
    <w:rsid w:val="00DE6A0C"/>
  </w:style>
  <w:style w:type="paragraph" w:customStyle="1" w:styleId="ReportTitle">
    <w:name w:val="Report Title"/>
    <w:basedOn w:val="Normal"/>
    <w:uiPriority w:val="9"/>
    <w:rsid w:val="00DE6A0C"/>
    <w:pPr>
      <w:spacing w:after="180" w:line="280" w:lineRule="atLeast"/>
    </w:pPr>
    <w:rPr>
      <w:rFonts w:ascii="Gotham Bold" w:eastAsia="Times New Roman" w:hAnsi="Gotham Bold" w:cs="Times New Roman"/>
      <w:sz w:val="56"/>
      <w:lang w:eastAsia="en-AU"/>
    </w:rPr>
  </w:style>
  <w:style w:type="paragraph" w:customStyle="1" w:styleId="ReportSubtitle">
    <w:name w:val="Report Subtitle"/>
    <w:basedOn w:val="Normal"/>
    <w:uiPriority w:val="10"/>
    <w:rsid w:val="00DE6A0C"/>
    <w:pPr>
      <w:spacing w:after="0" w:line="280" w:lineRule="atLeast"/>
    </w:pPr>
    <w:rPr>
      <w:rFonts w:ascii="Gotham Bold" w:eastAsia="Times New Roman" w:hAnsi="Gotham Bold" w:cs="Times New Roman"/>
      <w:color w:val="00AD68"/>
      <w:sz w:val="48"/>
      <w:lang w:eastAsia="en-AU"/>
    </w:rPr>
  </w:style>
  <w:style w:type="paragraph" w:customStyle="1" w:styleId="ReportNumber">
    <w:name w:val="Report Number"/>
    <w:basedOn w:val="Normal"/>
    <w:uiPriority w:val="9"/>
    <w:rsid w:val="00DE6A0C"/>
    <w:pPr>
      <w:spacing w:after="180" w:line="280" w:lineRule="atLeast"/>
    </w:pPr>
    <w:rPr>
      <w:rFonts w:ascii="Calibri" w:eastAsia="Times New Roman" w:hAnsi="Calibri" w:cs="Times New Roman"/>
      <w:b/>
      <w:color w:val="0BB082"/>
      <w:sz w:val="28"/>
      <w:lang w:eastAsia="en-AU"/>
    </w:rPr>
  </w:style>
  <w:style w:type="paragraph" w:customStyle="1" w:styleId="BulletPoints">
    <w:name w:val="Bullet Points"/>
    <w:basedOn w:val="Normal"/>
    <w:link w:val="BulletPointsChar"/>
    <w:uiPriority w:val="5"/>
    <w:qFormat/>
    <w:rsid w:val="00DE6A0C"/>
    <w:pPr>
      <w:numPr>
        <w:numId w:val="15"/>
      </w:numPr>
      <w:spacing w:after="120" w:line="240" w:lineRule="auto"/>
      <w:ind w:left="567" w:hanging="567"/>
    </w:pPr>
    <w:rPr>
      <w:rFonts w:ascii="Calibri" w:eastAsia="Times New Roman" w:hAnsi="Calibri" w:cs="Times New Roman"/>
      <w:lang w:eastAsia="en-AU"/>
    </w:rPr>
  </w:style>
  <w:style w:type="table" w:customStyle="1" w:styleId="SRUTable1">
    <w:name w:val="SRU Table1"/>
    <w:basedOn w:val="TableNormal"/>
    <w:uiPriority w:val="99"/>
    <w:rsid w:val="00DE6A0C"/>
    <w:pPr>
      <w:spacing w:after="0" w:line="240" w:lineRule="auto"/>
    </w:pPr>
    <w:rPr>
      <w:rFonts w:ascii="Arial" w:eastAsia="Times New Roman" w:hAnsi="Arial" w:cs="Times New Roman"/>
      <w:sz w:val="20"/>
      <w:szCs w:val="20"/>
      <w:lang w:eastAsia="en-AU"/>
    </w:rPr>
    <w:tblPr>
      <w:tblBorders>
        <w:top w:val="single" w:sz="4" w:space="0" w:color="00B082"/>
        <w:bottom w:val="single" w:sz="4" w:space="0" w:color="00B082"/>
      </w:tblBorders>
    </w:tblPr>
    <w:tblStylePr w:type="firstRow">
      <w:rPr>
        <w:rFonts w:ascii="Arial" w:hAnsi="Arial"/>
        <w:b/>
      </w:rPr>
      <w:tblPr/>
      <w:tcPr>
        <w:tcBorders>
          <w:bottom w:val="single" w:sz="4" w:space="0" w:color="00B082"/>
        </w:tcBorders>
      </w:tcPr>
    </w:tblStylePr>
  </w:style>
  <w:style w:type="paragraph" w:customStyle="1" w:styleId="NumberPoints">
    <w:name w:val="Number Points"/>
    <w:basedOn w:val="Normal"/>
    <w:uiPriority w:val="6"/>
    <w:qFormat/>
    <w:rsid w:val="00DE6A0C"/>
    <w:pPr>
      <w:numPr>
        <w:numId w:val="16"/>
      </w:numPr>
      <w:spacing w:after="120" w:line="240" w:lineRule="auto"/>
      <w:ind w:left="567" w:hanging="567"/>
    </w:pPr>
    <w:rPr>
      <w:rFonts w:ascii="Calibri" w:eastAsia="Times New Roman" w:hAnsi="Calibri" w:cs="Times New Roman"/>
      <w:lang w:eastAsia="en-AU"/>
    </w:rPr>
  </w:style>
  <w:style w:type="paragraph" w:customStyle="1" w:styleId="TableText">
    <w:name w:val="Table Text"/>
    <w:basedOn w:val="Normal"/>
    <w:uiPriority w:val="8"/>
    <w:qFormat/>
    <w:rsid w:val="00DE6A0C"/>
    <w:pPr>
      <w:spacing w:before="60" w:after="60" w:line="240" w:lineRule="auto"/>
    </w:pPr>
    <w:rPr>
      <w:rFonts w:eastAsia="Times New Roman" w:cstheme="minorHAnsi"/>
      <w:sz w:val="20"/>
      <w:szCs w:val="18"/>
      <w:lang w:eastAsia="en-AU"/>
    </w:rPr>
  </w:style>
  <w:style w:type="character" w:customStyle="1" w:styleId="BulletPointsChar">
    <w:name w:val="Bullet Points Char"/>
    <w:link w:val="BulletPoints"/>
    <w:uiPriority w:val="5"/>
    <w:rsid w:val="00DE6A0C"/>
    <w:rPr>
      <w:rFonts w:ascii="Calibri" w:eastAsia="Times New Roman" w:hAnsi="Calibri" w:cs="Times New Roman"/>
      <w:lang w:eastAsia="en-AU"/>
    </w:rPr>
  </w:style>
  <w:style w:type="paragraph" w:customStyle="1" w:styleId="TableHeading">
    <w:name w:val="Table Heading"/>
    <w:basedOn w:val="Normal"/>
    <w:uiPriority w:val="7"/>
    <w:qFormat/>
    <w:rsid w:val="00DE6A0C"/>
    <w:pPr>
      <w:spacing w:before="60" w:after="60" w:line="240" w:lineRule="auto"/>
      <w:jc w:val="center"/>
    </w:pPr>
    <w:rPr>
      <w:rFonts w:eastAsia="Times New Roman" w:cstheme="minorHAnsi"/>
      <w:b/>
      <w:sz w:val="20"/>
      <w:szCs w:val="16"/>
      <w:lang w:eastAsia="en-AU"/>
    </w:rPr>
  </w:style>
  <w:style w:type="paragraph" w:customStyle="1" w:styleId="Disclaimer-footer">
    <w:name w:val="Disclaimer - footer"/>
    <w:basedOn w:val="Normal"/>
    <w:next w:val="Normal"/>
    <w:link w:val="Disclaimer-footerChar"/>
    <w:autoRedefine/>
    <w:qFormat/>
    <w:rsid w:val="00DE6A0C"/>
    <w:pPr>
      <w:tabs>
        <w:tab w:val="left" w:pos="0"/>
      </w:tabs>
      <w:spacing w:after="0" w:line="260" w:lineRule="atLeast"/>
      <w:jc w:val="both"/>
    </w:pPr>
    <w:rPr>
      <w:rFonts w:ascii="Calibri" w:eastAsia="Times New Roman" w:hAnsi="Calibri" w:cs="Arial"/>
      <w:color w:val="00AD68"/>
      <w:sz w:val="24"/>
      <w:szCs w:val="24"/>
    </w:rPr>
  </w:style>
  <w:style w:type="paragraph" w:styleId="BodyText2">
    <w:name w:val="Body Text 2"/>
    <w:basedOn w:val="Normal"/>
    <w:link w:val="BodyText2Char"/>
    <w:uiPriority w:val="99"/>
    <w:rsid w:val="00DE6A0C"/>
    <w:pPr>
      <w:spacing w:after="120" w:line="480" w:lineRule="auto"/>
      <w:jc w:val="both"/>
    </w:pPr>
    <w:rPr>
      <w:rFonts w:ascii="Calibri" w:eastAsia="Times New Roman" w:hAnsi="Calibri" w:cs="Tahoma"/>
      <w:szCs w:val="20"/>
    </w:rPr>
  </w:style>
  <w:style w:type="character" w:customStyle="1" w:styleId="BodyText2Char">
    <w:name w:val="Body Text 2 Char"/>
    <w:basedOn w:val="DefaultParagraphFont"/>
    <w:link w:val="BodyText2"/>
    <w:uiPriority w:val="99"/>
    <w:rsid w:val="00DE6A0C"/>
    <w:rPr>
      <w:rFonts w:ascii="Calibri" w:eastAsia="Times New Roman" w:hAnsi="Calibri" w:cs="Tahoma"/>
      <w:szCs w:val="20"/>
    </w:rPr>
  </w:style>
  <w:style w:type="character" w:customStyle="1" w:styleId="Disclaimer-footerChar">
    <w:name w:val="Disclaimer - footer Char"/>
    <w:link w:val="Disclaimer-footer"/>
    <w:locked/>
    <w:rsid w:val="00DE6A0C"/>
    <w:rPr>
      <w:rFonts w:ascii="Calibri" w:eastAsia="Times New Roman" w:hAnsi="Calibri" w:cs="Arial"/>
      <w:color w:val="00AD68"/>
      <w:sz w:val="24"/>
      <w:szCs w:val="24"/>
    </w:rPr>
  </w:style>
  <w:style w:type="table" w:customStyle="1" w:styleId="MJATable111">
    <w:name w:val="MJA Table111"/>
    <w:basedOn w:val="TableNormal"/>
    <w:uiPriority w:val="99"/>
    <w:rsid w:val="00DE6A0C"/>
    <w:pPr>
      <w:spacing w:before="60" w:after="60" w:line="240" w:lineRule="auto"/>
      <w:jc w:val="center"/>
    </w:pPr>
    <w:rPr>
      <w:sz w:val="20"/>
    </w:rPr>
    <w:tblPr/>
    <w:tcPr>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tcPr>
    </w:tblStylePr>
    <w:tblStylePr w:type="firstCol">
      <w:pPr>
        <w:jc w:val="left"/>
      </w:pPr>
    </w:tblStylePr>
  </w:style>
  <w:style w:type="table" w:customStyle="1" w:styleId="TableGrid1">
    <w:name w:val="Table Grid1"/>
    <w:basedOn w:val="TableNormal"/>
    <w:next w:val="TableGrid"/>
    <w:locked/>
    <w:rsid w:val="00DE6A0C"/>
    <w:pPr>
      <w:spacing w:after="0" w:line="240" w:lineRule="auto"/>
    </w:pPr>
    <w:rPr>
      <w:rFonts w:ascii="Calibri" w:eastAsia="Times New Roman"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UTable2">
    <w:name w:val="SRU Table2"/>
    <w:basedOn w:val="TableNormal"/>
    <w:uiPriority w:val="99"/>
    <w:rsid w:val="009D5C61"/>
    <w:pPr>
      <w:spacing w:after="0" w:line="240" w:lineRule="auto"/>
    </w:pPr>
    <w:rPr>
      <w:rFonts w:ascii="Arial" w:eastAsia="Times New Roman" w:hAnsi="Arial" w:cs="Times New Roman"/>
      <w:sz w:val="20"/>
      <w:szCs w:val="20"/>
      <w:lang w:eastAsia="en-AU"/>
    </w:rPr>
    <w:tblPr>
      <w:tblBorders>
        <w:top w:val="single" w:sz="4" w:space="0" w:color="00B082"/>
        <w:bottom w:val="single" w:sz="4" w:space="0" w:color="00B082"/>
      </w:tblBorders>
    </w:tblPr>
    <w:tblStylePr w:type="firstRow">
      <w:rPr>
        <w:rFonts w:ascii="Arial" w:hAnsi="Arial"/>
        <w:b/>
      </w:rPr>
      <w:tblPr/>
      <w:tcPr>
        <w:tcBorders>
          <w:bottom w:val="single" w:sz="4" w:space="0" w:color="00B082"/>
        </w:tcBorders>
      </w:tcPr>
    </w:tblStylePr>
  </w:style>
  <w:style w:type="table" w:customStyle="1" w:styleId="SRUTable3">
    <w:name w:val="SRU Table3"/>
    <w:basedOn w:val="TableNormal"/>
    <w:uiPriority w:val="99"/>
    <w:rsid w:val="002E2C03"/>
    <w:pPr>
      <w:spacing w:after="0" w:line="240" w:lineRule="auto"/>
    </w:pPr>
    <w:rPr>
      <w:rFonts w:ascii="Arial" w:eastAsia="Times New Roman" w:hAnsi="Arial" w:cs="Times New Roman"/>
      <w:sz w:val="20"/>
      <w:szCs w:val="20"/>
      <w:lang w:eastAsia="en-AU"/>
    </w:rPr>
    <w:tblPr>
      <w:tblBorders>
        <w:top w:val="single" w:sz="4" w:space="0" w:color="00B082"/>
        <w:bottom w:val="single" w:sz="4" w:space="0" w:color="00B082"/>
      </w:tblBorders>
    </w:tblPr>
    <w:tblStylePr w:type="firstRow">
      <w:rPr>
        <w:rFonts w:ascii="Arial" w:hAnsi="Arial"/>
        <w:b/>
      </w:rPr>
      <w:tblPr/>
      <w:tcPr>
        <w:tcBorders>
          <w:bottom w:val="single" w:sz="4" w:space="0" w:color="00B082"/>
        </w:tcBorders>
      </w:tcPr>
    </w:tblStylePr>
  </w:style>
</w:styles>
</file>

<file path=word/webSettings.xml><?xml version="1.0" encoding="utf-8"?>
<w:webSettings xmlns:r="http://schemas.openxmlformats.org/officeDocument/2006/relationships" xmlns:w="http://schemas.openxmlformats.org/wordprocessingml/2006/main">
  <w:divs>
    <w:div w:id="100535352">
      <w:bodyDiv w:val="1"/>
      <w:marLeft w:val="0"/>
      <w:marRight w:val="0"/>
      <w:marTop w:val="0"/>
      <w:marBottom w:val="0"/>
      <w:divBdr>
        <w:top w:val="none" w:sz="0" w:space="0" w:color="auto"/>
        <w:left w:val="none" w:sz="0" w:space="0" w:color="auto"/>
        <w:bottom w:val="none" w:sz="0" w:space="0" w:color="auto"/>
        <w:right w:val="none" w:sz="0" w:space="0" w:color="auto"/>
      </w:divBdr>
    </w:div>
    <w:div w:id="158231942">
      <w:bodyDiv w:val="1"/>
      <w:marLeft w:val="0"/>
      <w:marRight w:val="0"/>
      <w:marTop w:val="0"/>
      <w:marBottom w:val="0"/>
      <w:divBdr>
        <w:top w:val="none" w:sz="0" w:space="0" w:color="auto"/>
        <w:left w:val="none" w:sz="0" w:space="0" w:color="auto"/>
        <w:bottom w:val="none" w:sz="0" w:space="0" w:color="auto"/>
        <w:right w:val="none" w:sz="0" w:space="0" w:color="auto"/>
      </w:divBdr>
    </w:div>
    <w:div w:id="232203309">
      <w:bodyDiv w:val="1"/>
      <w:marLeft w:val="0"/>
      <w:marRight w:val="0"/>
      <w:marTop w:val="0"/>
      <w:marBottom w:val="0"/>
      <w:divBdr>
        <w:top w:val="none" w:sz="0" w:space="0" w:color="auto"/>
        <w:left w:val="none" w:sz="0" w:space="0" w:color="auto"/>
        <w:bottom w:val="none" w:sz="0" w:space="0" w:color="auto"/>
        <w:right w:val="none" w:sz="0" w:space="0" w:color="auto"/>
      </w:divBdr>
    </w:div>
    <w:div w:id="266741385">
      <w:bodyDiv w:val="1"/>
      <w:marLeft w:val="0"/>
      <w:marRight w:val="0"/>
      <w:marTop w:val="0"/>
      <w:marBottom w:val="0"/>
      <w:divBdr>
        <w:top w:val="none" w:sz="0" w:space="0" w:color="auto"/>
        <w:left w:val="none" w:sz="0" w:space="0" w:color="auto"/>
        <w:bottom w:val="none" w:sz="0" w:space="0" w:color="auto"/>
        <w:right w:val="none" w:sz="0" w:space="0" w:color="auto"/>
      </w:divBdr>
    </w:div>
    <w:div w:id="280653494">
      <w:bodyDiv w:val="1"/>
      <w:marLeft w:val="0"/>
      <w:marRight w:val="0"/>
      <w:marTop w:val="0"/>
      <w:marBottom w:val="0"/>
      <w:divBdr>
        <w:top w:val="none" w:sz="0" w:space="0" w:color="auto"/>
        <w:left w:val="none" w:sz="0" w:space="0" w:color="auto"/>
        <w:bottom w:val="none" w:sz="0" w:space="0" w:color="auto"/>
        <w:right w:val="none" w:sz="0" w:space="0" w:color="auto"/>
      </w:divBdr>
    </w:div>
    <w:div w:id="334458310">
      <w:bodyDiv w:val="1"/>
      <w:marLeft w:val="0"/>
      <w:marRight w:val="0"/>
      <w:marTop w:val="0"/>
      <w:marBottom w:val="0"/>
      <w:divBdr>
        <w:top w:val="none" w:sz="0" w:space="0" w:color="auto"/>
        <w:left w:val="none" w:sz="0" w:space="0" w:color="auto"/>
        <w:bottom w:val="none" w:sz="0" w:space="0" w:color="auto"/>
        <w:right w:val="none" w:sz="0" w:space="0" w:color="auto"/>
      </w:divBdr>
    </w:div>
    <w:div w:id="446045225">
      <w:bodyDiv w:val="1"/>
      <w:marLeft w:val="0"/>
      <w:marRight w:val="0"/>
      <w:marTop w:val="0"/>
      <w:marBottom w:val="0"/>
      <w:divBdr>
        <w:top w:val="none" w:sz="0" w:space="0" w:color="auto"/>
        <w:left w:val="none" w:sz="0" w:space="0" w:color="auto"/>
        <w:bottom w:val="none" w:sz="0" w:space="0" w:color="auto"/>
        <w:right w:val="none" w:sz="0" w:space="0" w:color="auto"/>
      </w:divBdr>
    </w:div>
    <w:div w:id="488404365">
      <w:bodyDiv w:val="1"/>
      <w:marLeft w:val="0"/>
      <w:marRight w:val="0"/>
      <w:marTop w:val="0"/>
      <w:marBottom w:val="0"/>
      <w:divBdr>
        <w:top w:val="none" w:sz="0" w:space="0" w:color="auto"/>
        <w:left w:val="none" w:sz="0" w:space="0" w:color="auto"/>
        <w:bottom w:val="none" w:sz="0" w:space="0" w:color="auto"/>
        <w:right w:val="none" w:sz="0" w:space="0" w:color="auto"/>
      </w:divBdr>
    </w:div>
    <w:div w:id="602491799">
      <w:bodyDiv w:val="1"/>
      <w:marLeft w:val="0"/>
      <w:marRight w:val="0"/>
      <w:marTop w:val="0"/>
      <w:marBottom w:val="0"/>
      <w:divBdr>
        <w:top w:val="none" w:sz="0" w:space="0" w:color="auto"/>
        <w:left w:val="none" w:sz="0" w:space="0" w:color="auto"/>
        <w:bottom w:val="none" w:sz="0" w:space="0" w:color="auto"/>
        <w:right w:val="none" w:sz="0" w:space="0" w:color="auto"/>
      </w:divBdr>
    </w:div>
    <w:div w:id="648561506">
      <w:bodyDiv w:val="1"/>
      <w:marLeft w:val="0"/>
      <w:marRight w:val="0"/>
      <w:marTop w:val="0"/>
      <w:marBottom w:val="0"/>
      <w:divBdr>
        <w:top w:val="none" w:sz="0" w:space="0" w:color="auto"/>
        <w:left w:val="none" w:sz="0" w:space="0" w:color="auto"/>
        <w:bottom w:val="none" w:sz="0" w:space="0" w:color="auto"/>
        <w:right w:val="none" w:sz="0" w:space="0" w:color="auto"/>
      </w:divBdr>
    </w:div>
    <w:div w:id="738214703">
      <w:bodyDiv w:val="1"/>
      <w:marLeft w:val="0"/>
      <w:marRight w:val="0"/>
      <w:marTop w:val="0"/>
      <w:marBottom w:val="0"/>
      <w:divBdr>
        <w:top w:val="none" w:sz="0" w:space="0" w:color="auto"/>
        <w:left w:val="none" w:sz="0" w:space="0" w:color="auto"/>
        <w:bottom w:val="none" w:sz="0" w:space="0" w:color="auto"/>
        <w:right w:val="none" w:sz="0" w:space="0" w:color="auto"/>
      </w:divBdr>
    </w:div>
    <w:div w:id="762800242">
      <w:bodyDiv w:val="1"/>
      <w:marLeft w:val="0"/>
      <w:marRight w:val="0"/>
      <w:marTop w:val="0"/>
      <w:marBottom w:val="0"/>
      <w:divBdr>
        <w:top w:val="none" w:sz="0" w:space="0" w:color="auto"/>
        <w:left w:val="none" w:sz="0" w:space="0" w:color="auto"/>
        <w:bottom w:val="none" w:sz="0" w:space="0" w:color="auto"/>
        <w:right w:val="none" w:sz="0" w:space="0" w:color="auto"/>
      </w:divBdr>
    </w:div>
    <w:div w:id="936135764">
      <w:bodyDiv w:val="1"/>
      <w:marLeft w:val="0"/>
      <w:marRight w:val="0"/>
      <w:marTop w:val="0"/>
      <w:marBottom w:val="0"/>
      <w:divBdr>
        <w:top w:val="none" w:sz="0" w:space="0" w:color="auto"/>
        <w:left w:val="none" w:sz="0" w:space="0" w:color="auto"/>
        <w:bottom w:val="none" w:sz="0" w:space="0" w:color="auto"/>
        <w:right w:val="none" w:sz="0" w:space="0" w:color="auto"/>
      </w:divBdr>
    </w:div>
    <w:div w:id="984818091">
      <w:bodyDiv w:val="1"/>
      <w:marLeft w:val="0"/>
      <w:marRight w:val="0"/>
      <w:marTop w:val="0"/>
      <w:marBottom w:val="0"/>
      <w:divBdr>
        <w:top w:val="none" w:sz="0" w:space="0" w:color="auto"/>
        <w:left w:val="none" w:sz="0" w:space="0" w:color="auto"/>
        <w:bottom w:val="none" w:sz="0" w:space="0" w:color="auto"/>
        <w:right w:val="none" w:sz="0" w:space="0" w:color="auto"/>
      </w:divBdr>
    </w:div>
    <w:div w:id="1134101437">
      <w:bodyDiv w:val="1"/>
      <w:marLeft w:val="0"/>
      <w:marRight w:val="0"/>
      <w:marTop w:val="0"/>
      <w:marBottom w:val="0"/>
      <w:divBdr>
        <w:top w:val="none" w:sz="0" w:space="0" w:color="auto"/>
        <w:left w:val="none" w:sz="0" w:space="0" w:color="auto"/>
        <w:bottom w:val="none" w:sz="0" w:space="0" w:color="auto"/>
        <w:right w:val="none" w:sz="0" w:space="0" w:color="auto"/>
      </w:divBdr>
    </w:div>
    <w:div w:id="1239709950">
      <w:bodyDiv w:val="1"/>
      <w:marLeft w:val="0"/>
      <w:marRight w:val="0"/>
      <w:marTop w:val="0"/>
      <w:marBottom w:val="0"/>
      <w:divBdr>
        <w:top w:val="none" w:sz="0" w:space="0" w:color="auto"/>
        <w:left w:val="none" w:sz="0" w:space="0" w:color="auto"/>
        <w:bottom w:val="none" w:sz="0" w:space="0" w:color="auto"/>
        <w:right w:val="none" w:sz="0" w:space="0" w:color="auto"/>
      </w:divBdr>
    </w:div>
    <w:div w:id="1396005361">
      <w:bodyDiv w:val="1"/>
      <w:marLeft w:val="0"/>
      <w:marRight w:val="0"/>
      <w:marTop w:val="0"/>
      <w:marBottom w:val="0"/>
      <w:divBdr>
        <w:top w:val="none" w:sz="0" w:space="0" w:color="auto"/>
        <w:left w:val="none" w:sz="0" w:space="0" w:color="auto"/>
        <w:bottom w:val="none" w:sz="0" w:space="0" w:color="auto"/>
        <w:right w:val="none" w:sz="0" w:space="0" w:color="auto"/>
      </w:divBdr>
    </w:div>
    <w:div w:id="1411153255">
      <w:bodyDiv w:val="1"/>
      <w:marLeft w:val="0"/>
      <w:marRight w:val="0"/>
      <w:marTop w:val="0"/>
      <w:marBottom w:val="0"/>
      <w:divBdr>
        <w:top w:val="none" w:sz="0" w:space="0" w:color="auto"/>
        <w:left w:val="none" w:sz="0" w:space="0" w:color="auto"/>
        <w:bottom w:val="none" w:sz="0" w:space="0" w:color="auto"/>
        <w:right w:val="none" w:sz="0" w:space="0" w:color="auto"/>
      </w:divBdr>
    </w:div>
    <w:div w:id="1442147344">
      <w:bodyDiv w:val="1"/>
      <w:marLeft w:val="0"/>
      <w:marRight w:val="0"/>
      <w:marTop w:val="0"/>
      <w:marBottom w:val="0"/>
      <w:divBdr>
        <w:top w:val="none" w:sz="0" w:space="0" w:color="auto"/>
        <w:left w:val="none" w:sz="0" w:space="0" w:color="auto"/>
        <w:bottom w:val="none" w:sz="0" w:space="0" w:color="auto"/>
        <w:right w:val="none" w:sz="0" w:space="0" w:color="auto"/>
      </w:divBdr>
    </w:div>
    <w:div w:id="1511066003">
      <w:bodyDiv w:val="1"/>
      <w:marLeft w:val="0"/>
      <w:marRight w:val="0"/>
      <w:marTop w:val="0"/>
      <w:marBottom w:val="0"/>
      <w:divBdr>
        <w:top w:val="none" w:sz="0" w:space="0" w:color="auto"/>
        <w:left w:val="none" w:sz="0" w:space="0" w:color="auto"/>
        <w:bottom w:val="none" w:sz="0" w:space="0" w:color="auto"/>
        <w:right w:val="none" w:sz="0" w:space="0" w:color="auto"/>
      </w:divBdr>
    </w:div>
    <w:div w:id="1540238908">
      <w:bodyDiv w:val="1"/>
      <w:marLeft w:val="0"/>
      <w:marRight w:val="0"/>
      <w:marTop w:val="0"/>
      <w:marBottom w:val="0"/>
      <w:divBdr>
        <w:top w:val="none" w:sz="0" w:space="0" w:color="auto"/>
        <w:left w:val="none" w:sz="0" w:space="0" w:color="auto"/>
        <w:bottom w:val="none" w:sz="0" w:space="0" w:color="auto"/>
        <w:right w:val="none" w:sz="0" w:space="0" w:color="auto"/>
      </w:divBdr>
    </w:div>
    <w:div w:id="1567061894">
      <w:bodyDiv w:val="1"/>
      <w:marLeft w:val="0"/>
      <w:marRight w:val="0"/>
      <w:marTop w:val="0"/>
      <w:marBottom w:val="0"/>
      <w:divBdr>
        <w:top w:val="none" w:sz="0" w:space="0" w:color="auto"/>
        <w:left w:val="none" w:sz="0" w:space="0" w:color="auto"/>
        <w:bottom w:val="none" w:sz="0" w:space="0" w:color="auto"/>
        <w:right w:val="none" w:sz="0" w:space="0" w:color="auto"/>
      </w:divBdr>
    </w:div>
    <w:div w:id="1673682592">
      <w:bodyDiv w:val="1"/>
      <w:marLeft w:val="0"/>
      <w:marRight w:val="0"/>
      <w:marTop w:val="0"/>
      <w:marBottom w:val="0"/>
      <w:divBdr>
        <w:top w:val="none" w:sz="0" w:space="0" w:color="auto"/>
        <w:left w:val="none" w:sz="0" w:space="0" w:color="auto"/>
        <w:bottom w:val="none" w:sz="0" w:space="0" w:color="auto"/>
        <w:right w:val="none" w:sz="0" w:space="0" w:color="auto"/>
      </w:divBdr>
    </w:div>
    <w:div w:id="1713117123">
      <w:bodyDiv w:val="1"/>
      <w:marLeft w:val="0"/>
      <w:marRight w:val="0"/>
      <w:marTop w:val="0"/>
      <w:marBottom w:val="0"/>
      <w:divBdr>
        <w:top w:val="none" w:sz="0" w:space="0" w:color="auto"/>
        <w:left w:val="none" w:sz="0" w:space="0" w:color="auto"/>
        <w:bottom w:val="none" w:sz="0" w:space="0" w:color="auto"/>
        <w:right w:val="none" w:sz="0" w:space="0" w:color="auto"/>
      </w:divBdr>
    </w:div>
    <w:div w:id="1755082824">
      <w:bodyDiv w:val="1"/>
      <w:marLeft w:val="0"/>
      <w:marRight w:val="0"/>
      <w:marTop w:val="0"/>
      <w:marBottom w:val="0"/>
      <w:divBdr>
        <w:top w:val="none" w:sz="0" w:space="0" w:color="auto"/>
        <w:left w:val="none" w:sz="0" w:space="0" w:color="auto"/>
        <w:bottom w:val="none" w:sz="0" w:space="0" w:color="auto"/>
        <w:right w:val="none" w:sz="0" w:space="0" w:color="auto"/>
      </w:divBdr>
    </w:div>
    <w:div w:id="1808159780">
      <w:bodyDiv w:val="1"/>
      <w:marLeft w:val="0"/>
      <w:marRight w:val="0"/>
      <w:marTop w:val="0"/>
      <w:marBottom w:val="0"/>
      <w:divBdr>
        <w:top w:val="none" w:sz="0" w:space="0" w:color="auto"/>
        <w:left w:val="none" w:sz="0" w:space="0" w:color="auto"/>
        <w:bottom w:val="none" w:sz="0" w:space="0" w:color="auto"/>
        <w:right w:val="none" w:sz="0" w:space="0" w:color="auto"/>
      </w:divBdr>
    </w:div>
    <w:div w:id="1897007330">
      <w:bodyDiv w:val="1"/>
      <w:marLeft w:val="0"/>
      <w:marRight w:val="0"/>
      <w:marTop w:val="0"/>
      <w:marBottom w:val="0"/>
      <w:divBdr>
        <w:top w:val="none" w:sz="0" w:space="0" w:color="auto"/>
        <w:left w:val="none" w:sz="0" w:space="0" w:color="auto"/>
        <w:bottom w:val="none" w:sz="0" w:space="0" w:color="auto"/>
        <w:right w:val="none" w:sz="0" w:space="0" w:color="auto"/>
      </w:divBdr>
    </w:div>
    <w:div w:id="1921676591">
      <w:bodyDiv w:val="1"/>
      <w:marLeft w:val="0"/>
      <w:marRight w:val="0"/>
      <w:marTop w:val="0"/>
      <w:marBottom w:val="0"/>
      <w:divBdr>
        <w:top w:val="none" w:sz="0" w:space="0" w:color="auto"/>
        <w:left w:val="none" w:sz="0" w:space="0" w:color="auto"/>
        <w:bottom w:val="none" w:sz="0" w:space="0" w:color="auto"/>
        <w:right w:val="none" w:sz="0" w:space="0" w:color="auto"/>
      </w:divBdr>
    </w:div>
    <w:div w:id="200639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footer" Target="footer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4.xml"/><Relationship Id="rId29" Type="http://schemas.openxmlformats.org/officeDocument/2006/relationships/header" Target="header7.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footer" Target="footer11.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footer" Target="footer8.xml"/><Relationship Id="rId35" Type="http://schemas.openxmlformats.org/officeDocument/2006/relationships/header" Target="header10.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1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_rels/header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KINRA~1.MAR\AppData\Local\Temp\2014%20MJA%20report%20and%20proposal%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clustered"/>
        <c:ser>
          <c:idx val="0"/>
          <c:order val="0"/>
          <c:tx>
            <c:strRef>
              <c:f>'Summary overview'!$C$29</c:f>
              <c:strCache>
                <c:ptCount val="1"/>
                <c:pt idx="0">
                  <c:v>Volume of hazardous waste</c:v>
                </c:pt>
              </c:strCache>
            </c:strRef>
          </c:tx>
          <c:cat>
            <c:strRef>
              <c:f>'Summary overview'!$A$30:$A$37</c:f>
              <c:strCache>
                <c:ptCount val="8"/>
                <c:pt idx="0">
                  <c:v>NSW</c:v>
                </c:pt>
                <c:pt idx="1">
                  <c:v>Vic</c:v>
                </c:pt>
                <c:pt idx="2">
                  <c:v>Qld</c:v>
                </c:pt>
                <c:pt idx="3">
                  <c:v>SA</c:v>
                </c:pt>
                <c:pt idx="4">
                  <c:v>WA</c:v>
                </c:pt>
                <c:pt idx="5">
                  <c:v>Tas</c:v>
                </c:pt>
                <c:pt idx="6">
                  <c:v>NT</c:v>
                </c:pt>
                <c:pt idx="7">
                  <c:v>ACT</c:v>
                </c:pt>
              </c:strCache>
            </c:strRef>
          </c:cat>
          <c:val>
            <c:numRef>
              <c:f>'Summary overview'!$C$30:$C$37</c:f>
              <c:numCache>
                <c:formatCode>0%</c:formatCode>
                <c:ptCount val="8"/>
                <c:pt idx="0">
                  <c:v>0.26746117445208661</c:v>
                </c:pt>
                <c:pt idx="1">
                  <c:v>0.20555231518959641</c:v>
                </c:pt>
                <c:pt idx="2">
                  <c:v>0.2620787629813795</c:v>
                </c:pt>
                <c:pt idx="3">
                  <c:v>0.133094671659168</c:v>
                </c:pt>
                <c:pt idx="4">
                  <c:v>9.1655314964586454E-2</c:v>
                </c:pt>
                <c:pt idx="5">
                  <c:v>2.6123246300243281E-2</c:v>
                </c:pt>
                <c:pt idx="6">
                  <c:v>3.7067274455554484E-3</c:v>
                </c:pt>
                <c:pt idx="7">
                  <c:v>1.0327787007384442E-2</c:v>
                </c:pt>
              </c:numCache>
            </c:numRef>
          </c:val>
        </c:ser>
        <c:ser>
          <c:idx val="1"/>
          <c:order val="1"/>
          <c:tx>
            <c:strRef>
              <c:f>'Summary overview'!$D$29</c:f>
              <c:strCache>
                <c:ptCount val="1"/>
                <c:pt idx="0">
                  <c:v>Hazardous waste costs</c:v>
                </c:pt>
              </c:strCache>
            </c:strRef>
          </c:tx>
          <c:cat>
            <c:strRef>
              <c:f>'Summary overview'!$A$30:$A$37</c:f>
              <c:strCache>
                <c:ptCount val="8"/>
                <c:pt idx="0">
                  <c:v>NSW</c:v>
                </c:pt>
                <c:pt idx="1">
                  <c:v>Vic</c:v>
                </c:pt>
                <c:pt idx="2">
                  <c:v>Qld</c:v>
                </c:pt>
                <c:pt idx="3">
                  <c:v>SA</c:v>
                </c:pt>
                <c:pt idx="4">
                  <c:v>WA</c:v>
                </c:pt>
                <c:pt idx="5">
                  <c:v>Tas</c:v>
                </c:pt>
                <c:pt idx="6">
                  <c:v>NT</c:v>
                </c:pt>
                <c:pt idx="7">
                  <c:v>ACT</c:v>
                </c:pt>
              </c:strCache>
            </c:strRef>
          </c:cat>
          <c:val>
            <c:numRef>
              <c:f>'Summary overview'!$D$30:$D$37</c:f>
              <c:numCache>
                <c:formatCode>0%</c:formatCode>
                <c:ptCount val="8"/>
                <c:pt idx="0">
                  <c:v>0.24532709150505622</c:v>
                </c:pt>
                <c:pt idx="1">
                  <c:v>0.15688225594614572</c:v>
                </c:pt>
                <c:pt idx="2">
                  <c:v>0.31090882246150292</c:v>
                </c:pt>
                <c:pt idx="3">
                  <c:v>0.13260595336150127</c:v>
                </c:pt>
                <c:pt idx="4">
                  <c:v>0.11109662553748263</c:v>
                </c:pt>
                <c:pt idx="5">
                  <c:v>2.6139623198371445E-2</c:v>
                </c:pt>
                <c:pt idx="6">
                  <c:v>4.5526137265526172E-3</c:v>
                </c:pt>
                <c:pt idx="7">
                  <c:v>1.2487014263387561E-2</c:v>
                </c:pt>
              </c:numCache>
            </c:numRef>
          </c:val>
        </c:ser>
        <c:axId val="148732928"/>
        <c:axId val="148747776"/>
      </c:barChart>
      <c:catAx>
        <c:axId val="148732928"/>
        <c:scaling>
          <c:orientation val="minMax"/>
        </c:scaling>
        <c:axPos val="b"/>
        <c:numFmt formatCode="General" sourceLinked="0"/>
        <c:tickLblPos val="nextTo"/>
        <c:crossAx val="148747776"/>
        <c:crosses val="autoZero"/>
        <c:auto val="1"/>
        <c:lblAlgn val="ctr"/>
        <c:lblOffset val="100"/>
      </c:catAx>
      <c:valAx>
        <c:axId val="148747776"/>
        <c:scaling>
          <c:orientation val="minMax"/>
        </c:scaling>
        <c:axPos val="l"/>
        <c:majorGridlines/>
        <c:numFmt formatCode="0%" sourceLinked="1"/>
        <c:tickLblPos val="nextTo"/>
        <c:crossAx val="148732928"/>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0"/>
          <c:order val="0"/>
          <c:tx>
            <c:strRef>
              <c:f>'Summary overview'!$B$82</c:f>
              <c:strCache>
                <c:ptCount val="1"/>
                <c:pt idx="0">
                  <c:v>Costs</c:v>
                </c:pt>
              </c:strCache>
            </c:strRef>
          </c:tx>
          <c:spPr>
            <a:solidFill>
              <a:srgbClr val="FFC000"/>
            </a:solidFill>
          </c:spPr>
          <c:cat>
            <c:strRef>
              <c:f>'Summary overview'!$C$81:$H$81</c:f>
              <c:strCache>
                <c:ptCount val="6"/>
                <c:pt idx="0">
                  <c:v>Disposed to landfill</c:v>
                </c:pt>
                <c:pt idx="1">
                  <c:v>Treated then disposed</c:v>
                </c:pt>
                <c:pt idx="2">
                  <c:v>Energy recovery </c:v>
                </c:pt>
                <c:pt idx="3">
                  <c:v>Storage</c:v>
                </c:pt>
                <c:pt idx="4">
                  <c:v>Recycled or reused</c:v>
                </c:pt>
                <c:pt idx="5">
                  <c:v>Other </c:v>
                </c:pt>
              </c:strCache>
            </c:strRef>
          </c:cat>
          <c:val>
            <c:numRef>
              <c:f>'Summary overview'!$C$82:$H$82</c:f>
              <c:numCache>
                <c:formatCode>0%</c:formatCode>
                <c:ptCount val="6"/>
                <c:pt idx="0">
                  <c:v>8.258491926229955E-2</c:v>
                </c:pt>
                <c:pt idx="1">
                  <c:v>0.42646473653389982</c:v>
                </c:pt>
                <c:pt idx="2">
                  <c:v>0.12140296587876225</c:v>
                </c:pt>
                <c:pt idx="3">
                  <c:v>4.8587695567708304E-2</c:v>
                </c:pt>
                <c:pt idx="4">
                  <c:v>0.26294769129018025</c:v>
                </c:pt>
                <c:pt idx="5">
                  <c:v>5.8011991467150394E-2</c:v>
                </c:pt>
              </c:numCache>
            </c:numRef>
          </c:val>
        </c:ser>
        <c:ser>
          <c:idx val="1"/>
          <c:order val="1"/>
          <c:tx>
            <c:strRef>
              <c:f>'Summary overview'!$B$83</c:f>
              <c:strCache>
                <c:ptCount val="1"/>
                <c:pt idx="0">
                  <c:v>Volume</c:v>
                </c:pt>
              </c:strCache>
            </c:strRef>
          </c:tx>
          <c:cat>
            <c:strRef>
              <c:f>'Summary overview'!$C$81:$H$81</c:f>
              <c:strCache>
                <c:ptCount val="6"/>
                <c:pt idx="0">
                  <c:v>Disposed to landfill</c:v>
                </c:pt>
                <c:pt idx="1">
                  <c:v>Treated then disposed</c:v>
                </c:pt>
                <c:pt idx="2">
                  <c:v>Energy recovery </c:v>
                </c:pt>
                <c:pt idx="3">
                  <c:v>Storage</c:v>
                </c:pt>
                <c:pt idx="4">
                  <c:v>Recycled or reused</c:v>
                </c:pt>
                <c:pt idx="5">
                  <c:v>Other </c:v>
                </c:pt>
              </c:strCache>
            </c:strRef>
          </c:cat>
          <c:val>
            <c:numRef>
              <c:f>'Summary overview'!$C$83:$H$83</c:f>
              <c:numCache>
                <c:formatCode>0%</c:formatCode>
                <c:ptCount val="6"/>
                <c:pt idx="0">
                  <c:v>0.14474501942384421</c:v>
                </c:pt>
                <c:pt idx="1">
                  <c:v>0.33558095920252773</c:v>
                </c:pt>
                <c:pt idx="2">
                  <c:v>9.1546157455870674E-3</c:v>
                </c:pt>
                <c:pt idx="3">
                  <c:v>7.4236787394567502E-2</c:v>
                </c:pt>
                <c:pt idx="4">
                  <c:v>0.39998521479695448</c:v>
                </c:pt>
                <c:pt idx="5">
                  <c:v>3.6297403436519812E-2</c:v>
                </c:pt>
              </c:numCache>
            </c:numRef>
          </c:val>
        </c:ser>
        <c:axId val="155305472"/>
        <c:axId val="155447296"/>
      </c:barChart>
      <c:catAx>
        <c:axId val="155305472"/>
        <c:scaling>
          <c:orientation val="minMax"/>
        </c:scaling>
        <c:axPos val="b"/>
        <c:numFmt formatCode="General" sourceLinked="0"/>
        <c:tickLblPos val="nextTo"/>
        <c:crossAx val="155447296"/>
        <c:crosses val="autoZero"/>
        <c:auto val="1"/>
        <c:lblAlgn val="ctr"/>
        <c:lblOffset val="100"/>
      </c:catAx>
      <c:valAx>
        <c:axId val="155447296"/>
        <c:scaling>
          <c:orientation val="minMax"/>
        </c:scaling>
        <c:axPos val="l"/>
        <c:majorGridlines/>
        <c:numFmt formatCode="0%" sourceLinked="1"/>
        <c:tickLblPos val="nextTo"/>
        <c:crossAx val="155305472"/>
        <c:crosses val="autoZero"/>
        <c:crossBetween val="between"/>
      </c:val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clustered"/>
        <c:ser>
          <c:idx val="0"/>
          <c:order val="0"/>
          <c:tx>
            <c:strRef>
              <c:f>'Summary distributional'!$B$19</c:f>
              <c:strCache>
                <c:ptCount val="1"/>
                <c:pt idx="0">
                  <c:v>Industry</c:v>
                </c:pt>
              </c:strCache>
            </c:strRef>
          </c:tx>
          <c:cat>
            <c:strRef>
              <c:f>'Summary distributional'!$A$20</c:f>
              <c:strCache>
                <c:ptCount val="1"/>
                <c:pt idx="0">
                  <c:v> </c:v>
                </c:pt>
              </c:strCache>
            </c:strRef>
          </c:cat>
          <c:val>
            <c:numRef>
              <c:f>'Summary distributional'!$B$20</c:f>
              <c:numCache>
                <c:formatCode>0.0</c:formatCode>
                <c:ptCount val="1"/>
                <c:pt idx="0">
                  <c:v>2601.6255493397844</c:v>
                </c:pt>
              </c:numCache>
            </c:numRef>
          </c:val>
        </c:ser>
        <c:ser>
          <c:idx val="1"/>
          <c:order val="1"/>
          <c:tx>
            <c:strRef>
              <c:f>'Summary distributional'!$C$19</c:f>
              <c:strCache>
                <c:ptCount val="1"/>
                <c:pt idx="0">
                  <c:v>Government</c:v>
                </c:pt>
              </c:strCache>
            </c:strRef>
          </c:tx>
          <c:cat>
            <c:strRef>
              <c:f>'Summary distributional'!$A$20</c:f>
              <c:strCache>
                <c:ptCount val="1"/>
                <c:pt idx="0">
                  <c:v> </c:v>
                </c:pt>
              </c:strCache>
            </c:strRef>
          </c:cat>
          <c:val>
            <c:numRef>
              <c:f>'Summary distributional'!$C$20</c:f>
              <c:numCache>
                <c:formatCode>0.0</c:formatCode>
                <c:ptCount val="1"/>
                <c:pt idx="0">
                  <c:v>-328.76551600645053</c:v>
                </c:pt>
              </c:numCache>
            </c:numRef>
          </c:val>
        </c:ser>
        <c:ser>
          <c:idx val="2"/>
          <c:order val="2"/>
          <c:tx>
            <c:strRef>
              <c:f>'Summary distributional'!$D$19</c:f>
              <c:strCache>
                <c:ptCount val="1"/>
                <c:pt idx="0">
                  <c:v>Community</c:v>
                </c:pt>
              </c:strCache>
            </c:strRef>
          </c:tx>
          <c:spPr>
            <a:solidFill>
              <a:srgbClr val="92D050"/>
            </a:solidFill>
          </c:spPr>
          <c:cat>
            <c:strRef>
              <c:f>'Summary distributional'!$A$20</c:f>
              <c:strCache>
                <c:ptCount val="1"/>
                <c:pt idx="0">
                  <c:v> </c:v>
                </c:pt>
              </c:strCache>
            </c:strRef>
          </c:cat>
          <c:val>
            <c:numRef>
              <c:f>'Summary distributional'!$D$20</c:f>
              <c:numCache>
                <c:formatCode>0.0</c:formatCode>
                <c:ptCount val="1"/>
                <c:pt idx="0">
                  <c:v>144.41435619867218</c:v>
                </c:pt>
              </c:numCache>
            </c:numRef>
          </c:val>
        </c:ser>
        <c:axId val="159834880"/>
        <c:axId val="159836416"/>
      </c:barChart>
      <c:catAx>
        <c:axId val="159834880"/>
        <c:scaling>
          <c:orientation val="minMax"/>
        </c:scaling>
        <c:axPos val="b"/>
        <c:numFmt formatCode="General" sourceLinked="0"/>
        <c:tickLblPos val="nextTo"/>
        <c:crossAx val="159836416"/>
        <c:crosses val="autoZero"/>
        <c:auto val="1"/>
        <c:lblAlgn val="ctr"/>
        <c:lblOffset val="100"/>
      </c:catAx>
      <c:valAx>
        <c:axId val="159836416"/>
        <c:scaling>
          <c:orientation val="minMax"/>
          <c:max val="3000"/>
        </c:scaling>
        <c:axPos val="l"/>
        <c:majorGridlines/>
        <c:numFmt formatCode="0" sourceLinked="0"/>
        <c:tickLblPos val="nextTo"/>
        <c:crossAx val="159834880"/>
        <c:crosses val="autoZero"/>
        <c:crossBetween val="between"/>
      </c:valAx>
    </c:plotArea>
    <c:legend>
      <c:legendPos val="t"/>
      <c:layout>
        <c:manualLayout>
          <c:xMode val="edge"/>
          <c:yMode val="edge"/>
          <c:x val="0.26362357830271227"/>
          <c:y val="3.1311148165832386E-2"/>
          <c:w val="0.55053040244969398"/>
          <c:h val="8.946395952612185E-2"/>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plotArea>
      <c:layout/>
      <c:lineChart>
        <c:grouping val="standard"/>
        <c:ser>
          <c:idx val="2"/>
          <c:order val="0"/>
          <c:tx>
            <c:strRef>
              <c:f>'Summary projections'!$A$4</c:f>
              <c:strCache>
                <c:ptCount val="1"/>
                <c:pt idx="0">
                  <c:v>Qld</c:v>
                </c:pt>
              </c:strCache>
            </c:strRef>
          </c:tx>
          <c:spPr>
            <a:ln>
              <a:solidFill>
                <a:srgbClr val="C00000"/>
              </a:solidFill>
              <a:prstDash val="sysDash"/>
            </a:ln>
          </c:spPr>
          <c:marker>
            <c:symbol val="none"/>
          </c:marker>
          <c:cat>
            <c:numRef>
              <c:f>'Summary projections'!$B$1:$N$1</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'Summary projections'!$B$4:$N$4</c:f>
              <c:numCache>
                <c:formatCode>0.0</c:formatCode>
                <c:ptCount val="13"/>
                <c:pt idx="0">
                  <c:v>751.55193401574377</c:v>
                </c:pt>
                <c:pt idx="1">
                  <c:v>755.98567933986453</c:v>
                </c:pt>
                <c:pt idx="2">
                  <c:v>760.45067102558846</c:v>
                </c:pt>
                <c:pt idx="3">
                  <c:v>764.94720766870137</c:v>
                </c:pt>
                <c:pt idx="4">
                  <c:v>769.47559184702152</c:v>
                </c:pt>
                <c:pt idx="5">
                  <c:v>774.03613018549095</c:v>
                </c:pt>
                <c:pt idx="6">
                  <c:v>778.62913342241791</c:v>
                </c:pt>
                <c:pt idx="7">
                  <c:v>783.25491647689239</c:v>
                </c:pt>
                <c:pt idx="8">
                  <c:v>787.91379851740112</c:v>
                </c:pt>
                <c:pt idx="9">
                  <c:v>792.60610303166584</c:v>
                </c:pt>
                <c:pt idx="10">
                  <c:v>797.33215789771737</c:v>
                </c:pt>
                <c:pt idx="11">
                  <c:v>802.09229545623987</c:v>
                </c:pt>
                <c:pt idx="12">
                  <c:v>806.88685258419059</c:v>
                </c:pt>
              </c:numCache>
            </c:numRef>
          </c:val>
        </c:ser>
        <c:ser>
          <c:idx val="0"/>
          <c:order val="1"/>
          <c:tx>
            <c:strRef>
              <c:f>'Summary projections'!$A$2</c:f>
              <c:strCache>
                <c:ptCount val="1"/>
                <c:pt idx="0">
                  <c:v>NSW</c:v>
                </c:pt>
              </c:strCache>
            </c:strRef>
          </c:tx>
          <c:spPr>
            <a:ln>
              <a:solidFill>
                <a:srgbClr val="FFC000"/>
              </a:solidFill>
            </a:ln>
          </c:spPr>
          <c:marker>
            <c:symbol val="none"/>
          </c:marker>
          <c:cat>
            <c:numRef>
              <c:f>'Summary projections'!$B$1:$N$1</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'Summary projections'!$B$2:$N$2</c:f>
              <c:numCache>
                <c:formatCode>0.0</c:formatCode>
                <c:ptCount val="13"/>
                <c:pt idx="0">
                  <c:v>593.02289535354703</c:v>
                </c:pt>
                <c:pt idx="1">
                  <c:v>595.71384203807895</c:v>
                </c:pt>
                <c:pt idx="2">
                  <c:v>598.42204330540926</c:v>
                </c:pt>
                <c:pt idx="3">
                  <c:v>601.14767840283446</c:v>
                </c:pt>
                <c:pt idx="4">
                  <c:v>603.89092915975539</c:v>
                </c:pt>
                <c:pt idx="5">
                  <c:v>606.65198002954435</c:v>
                </c:pt>
                <c:pt idx="6">
                  <c:v>609.43101813210228</c:v>
                </c:pt>
                <c:pt idx="7">
                  <c:v>612.22823329713322</c:v>
                </c:pt>
                <c:pt idx="8">
                  <c:v>615.04381810813754</c:v>
                </c:pt>
                <c:pt idx="9">
                  <c:v>617.87796794715052</c:v>
                </c:pt>
                <c:pt idx="10">
                  <c:v>620.73088104022054</c:v>
                </c:pt>
                <c:pt idx="11">
                  <c:v>623.60275850365372</c:v>
                </c:pt>
                <c:pt idx="12">
                  <c:v>626.49380439103254</c:v>
                </c:pt>
              </c:numCache>
            </c:numRef>
          </c:val>
        </c:ser>
        <c:ser>
          <c:idx val="1"/>
          <c:order val="2"/>
          <c:tx>
            <c:strRef>
              <c:f>'Summary projections'!$A$3</c:f>
              <c:strCache>
                <c:ptCount val="1"/>
                <c:pt idx="0">
                  <c:v>Vic</c:v>
                </c:pt>
              </c:strCache>
            </c:strRef>
          </c:tx>
          <c:marker>
            <c:symbol val="none"/>
          </c:marker>
          <c:cat>
            <c:numRef>
              <c:f>'Summary projections'!$B$1:$N$1</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'Summary projections'!$B$3:$N$3</c:f>
              <c:numCache>
                <c:formatCode>0.0</c:formatCode>
                <c:ptCount val="13"/>
                <c:pt idx="0">
                  <c:v>379.22745947062259</c:v>
                </c:pt>
                <c:pt idx="1">
                  <c:v>380.98850466727441</c:v>
                </c:pt>
                <c:pt idx="2">
                  <c:v>382.76150292692427</c:v>
                </c:pt>
                <c:pt idx="3">
                  <c:v>384.54658523229409</c:v>
                </c:pt>
                <c:pt idx="4">
                  <c:v>386.34388449720552</c:v>
                </c:pt>
                <c:pt idx="5">
                  <c:v>388.15353559810069</c:v>
                </c:pt>
                <c:pt idx="6">
                  <c:v>389.97567540609776</c:v>
                </c:pt>
                <c:pt idx="7">
                  <c:v>391.81044281958202</c:v>
                </c:pt>
                <c:pt idx="8">
                  <c:v>393.65797879733918</c:v>
                </c:pt>
                <c:pt idx="9">
                  <c:v>395.51842639225345</c:v>
                </c:pt>
                <c:pt idx="10">
                  <c:v>397.39193078556224</c:v>
                </c:pt>
                <c:pt idx="11">
                  <c:v>399.27863932169015</c:v>
                </c:pt>
                <c:pt idx="12">
                  <c:v>401.17870154366796</c:v>
                </c:pt>
              </c:numCache>
            </c:numRef>
          </c:val>
        </c:ser>
        <c:ser>
          <c:idx val="3"/>
          <c:order val="3"/>
          <c:tx>
            <c:strRef>
              <c:f>'Summary projections'!$A$5</c:f>
              <c:strCache>
                <c:ptCount val="1"/>
                <c:pt idx="0">
                  <c:v>SA</c:v>
                </c:pt>
              </c:strCache>
            </c:strRef>
          </c:tx>
          <c:spPr>
            <a:ln>
              <a:solidFill>
                <a:srgbClr val="00B050"/>
              </a:solidFill>
              <a:prstDash val="dash"/>
            </a:ln>
          </c:spPr>
          <c:marker>
            <c:symbol val="none"/>
          </c:marker>
          <c:cat>
            <c:numRef>
              <c:f>'Summary projections'!$B$1:$N$1</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'Summary projections'!$B$5:$N$5</c:f>
              <c:numCache>
                <c:formatCode>0.0</c:formatCode>
                <c:ptCount val="13"/>
                <c:pt idx="0">
                  <c:v>320.54497496023259</c:v>
                </c:pt>
                <c:pt idx="1">
                  <c:v>323.15601500555636</c:v>
                </c:pt>
                <c:pt idx="2">
                  <c:v>325.79100448092873</c:v>
                </c:pt>
                <c:pt idx="3">
                  <c:v>328.4502082515607</c:v>
                </c:pt>
                <c:pt idx="4">
                  <c:v>331.13389489328404</c:v>
                </c:pt>
                <c:pt idx="5">
                  <c:v>333.84233675574131</c:v>
                </c:pt>
                <c:pt idx="6">
                  <c:v>336.57581002677728</c:v>
                </c:pt>
                <c:pt idx="7">
                  <c:v>339.33459479805919</c:v>
                </c:pt>
                <c:pt idx="8">
                  <c:v>342.11897513194538</c:v>
                </c:pt>
                <c:pt idx="9">
                  <c:v>344.92923912963334</c:v>
                </c:pt>
                <c:pt idx="10">
                  <c:v>347.76567900060854</c:v>
                </c:pt>
                <c:pt idx="11">
                  <c:v>350.62859113342313</c:v>
                </c:pt>
                <c:pt idx="12">
                  <c:v>353.5182761678264</c:v>
                </c:pt>
              </c:numCache>
            </c:numRef>
          </c:val>
        </c:ser>
        <c:ser>
          <c:idx val="4"/>
          <c:order val="4"/>
          <c:tx>
            <c:strRef>
              <c:f>'Summary projections'!$A$6</c:f>
              <c:strCache>
                <c:ptCount val="1"/>
                <c:pt idx="0">
                  <c:v>WA</c:v>
                </c:pt>
              </c:strCache>
            </c:strRef>
          </c:tx>
          <c:spPr>
            <a:ln>
              <a:prstDash val="lgDash"/>
            </a:ln>
          </c:spPr>
          <c:marker>
            <c:symbol val="none"/>
          </c:marker>
          <c:cat>
            <c:numRef>
              <c:f>'Summary projections'!$B$1:$N$1</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'Summary projections'!$B$6:$N$6</c:f>
              <c:numCache>
                <c:formatCode>0.0</c:formatCode>
                <c:ptCount val="13"/>
                <c:pt idx="0">
                  <c:v>268.55102767518395</c:v>
                </c:pt>
                <c:pt idx="1">
                  <c:v>269.80245036766632</c:v>
                </c:pt>
                <c:pt idx="2">
                  <c:v>271.06147608627896</c:v>
                </c:pt>
                <c:pt idx="3">
                  <c:v>272.32817593829151</c:v>
                </c:pt>
                <c:pt idx="4">
                  <c:v>273.60262199877388</c:v>
                </c:pt>
                <c:pt idx="5">
                  <c:v>274.88488732615735</c:v>
                </c:pt>
                <c:pt idx="6">
                  <c:v>276.17504597806214</c:v>
                </c:pt>
                <c:pt idx="7">
                  <c:v>277.47317302739145</c:v>
                </c:pt>
                <c:pt idx="8">
                  <c:v>278.77934457869486</c:v>
                </c:pt>
                <c:pt idx="9">
                  <c:v>280.09363778481173</c:v>
                </c:pt>
                <c:pt idx="10">
                  <c:v>281.41613086379436</c:v>
                </c:pt>
                <c:pt idx="11">
                  <c:v>282.74690311612176</c:v>
                </c:pt>
                <c:pt idx="12">
                  <c:v>284.08603494219733</c:v>
                </c:pt>
              </c:numCache>
            </c:numRef>
          </c:val>
        </c:ser>
        <c:ser>
          <c:idx val="5"/>
          <c:order val="5"/>
          <c:tx>
            <c:strRef>
              <c:f>'Summary projections'!$A$7</c:f>
              <c:strCache>
                <c:ptCount val="1"/>
                <c:pt idx="0">
                  <c:v>Tas</c:v>
                </c:pt>
              </c:strCache>
            </c:strRef>
          </c:tx>
          <c:marker>
            <c:symbol val="none"/>
          </c:marker>
          <c:cat>
            <c:numRef>
              <c:f>'Summary projections'!$B$1:$N$1</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'Summary projections'!$B$7:$N$7</c:f>
              <c:numCache>
                <c:formatCode>0.0</c:formatCode>
                <c:ptCount val="13"/>
                <c:pt idx="0">
                  <c:v>63.186641709439975</c:v>
                </c:pt>
                <c:pt idx="1">
                  <c:v>63.752882271320004</c:v>
                </c:pt>
                <c:pt idx="2">
                  <c:v>64.324967898479926</c:v>
                </c:pt>
                <c:pt idx="3">
                  <c:v>64.902968422569089</c:v>
                </c:pt>
                <c:pt idx="4">
                  <c:v>65.486954688504127</c:v>
                </c:pt>
                <c:pt idx="5">
                  <c:v>66.076998572086552</c:v>
                </c:pt>
                <c:pt idx="6">
                  <c:v>66.673172997966418</c:v>
                </c:pt>
                <c:pt idx="7">
                  <c:v>67.275551957956807</c:v>
                </c:pt>
                <c:pt idx="8">
                  <c:v>67.884210529710245</c:v>
                </c:pt>
                <c:pt idx="9">
                  <c:v>68.499224895760847</c:v>
                </c:pt>
                <c:pt idx="10">
                  <c:v>69.120672362943367</c:v>
                </c:pt>
                <c:pt idx="11">
                  <c:v>69.748631382194617</c:v>
                </c:pt>
                <c:pt idx="12">
                  <c:v>70.383181568744519</c:v>
                </c:pt>
              </c:numCache>
            </c:numRef>
          </c:val>
        </c:ser>
        <c:ser>
          <c:idx val="7"/>
          <c:order val="6"/>
          <c:tx>
            <c:strRef>
              <c:f>'Summary projections'!$A$9</c:f>
              <c:strCache>
                <c:ptCount val="1"/>
                <c:pt idx="0">
                  <c:v>ACT</c:v>
                </c:pt>
              </c:strCache>
            </c:strRef>
          </c:tx>
          <c:spPr>
            <a:ln>
              <a:prstDash val="sysDash"/>
            </a:ln>
          </c:spPr>
          <c:marker>
            <c:symbol val="none"/>
          </c:marker>
          <c:cat>
            <c:numRef>
              <c:f>'Summary projections'!$B$1:$N$1</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'Summary projections'!$B$9:$N$9</c:f>
              <c:numCache>
                <c:formatCode>0.0</c:formatCode>
                <c:ptCount val="13"/>
                <c:pt idx="0">
                  <c:v>30.184539780607572</c:v>
                </c:pt>
                <c:pt idx="1">
                  <c:v>30.362841115957387</c:v>
                </c:pt>
                <c:pt idx="2">
                  <c:v>30.542318843937839</c:v>
                </c:pt>
                <c:pt idx="3">
                  <c:v>30.722982231776019</c:v>
                </c:pt>
                <c:pt idx="4">
                  <c:v>30.90484064516539</c:v>
                </c:pt>
                <c:pt idx="5">
                  <c:v>31.087903549672756</c:v>
                </c:pt>
                <c:pt idx="6">
                  <c:v>31.272180512168916</c:v>
                </c:pt>
                <c:pt idx="7">
                  <c:v>31.457681202283901</c:v>
                </c:pt>
                <c:pt idx="8">
                  <c:v>31.644415393886682</c:v>
                </c:pt>
                <c:pt idx="9">
                  <c:v>31.832392966590181</c:v>
                </c:pt>
                <c:pt idx="10">
                  <c:v>32.021623907282219</c:v>
                </c:pt>
                <c:pt idx="11">
                  <c:v>32.212118311682332</c:v>
                </c:pt>
                <c:pt idx="12">
                  <c:v>32.40388638592507</c:v>
                </c:pt>
              </c:numCache>
            </c:numRef>
          </c:val>
        </c:ser>
        <c:ser>
          <c:idx val="6"/>
          <c:order val="7"/>
          <c:tx>
            <c:strRef>
              <c:f>'Summary projections'!$A$8</c:f>
              <c:strCache>
                <c:ptCount val="1"/>
                <c:pt idx="0">
                  <c:v>NT</c:v>
                </c:pt>
              </c:strCache>
            </c:strRef>
          </c:tx>
          <c:marker>
            <c:symbol val="none"/>
          </c:marker>
          <c:cat>
            <c:numRef>
              <c:f>'Summary projections'!$B$1:$N$1</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'Summary projections'!$B$8:$N$8</c:f>
              <c:numCache>
                <c:formatCode>0.0</c:formatCode>
                <c:ptCount val="13"/>
                <c:pt idx="0">
                  <c:v>11.0049165666275</c:v>
                </c:pt>
                <c:pt idx="1">
                  <c:v>11.123101351397798</c:v>
                </c:pt>
                <c:pt idx="2">
                  <c:v>11.242848211056939</c:v>
                </c:pt>
                <c:pt idx="3">
                  <c:v>11.364179402968604</c:v>
                </c:pt>
                <c:pt idx="4">
                  <c:v>11.487117538743121</c:v>
                </c:pt>
                <c:pt idx="5">
                  <c:v>11.611685590668587</c:v>
                </c:pt>
                <c:pt idx="6">
                  <c:v>11.73790689827395</c:v>
                </c:pt>
                <c:pt idx="7">
                  <c:v>11.865805175026876</c:v>
                </c:pt>
                <c:pt idx="8">
                  <c:v>11.995404515169636</c:v>
                </c:pt>
                <c:pt idx="9">
                  <c:v>12.126729400695879</c:v>
                </c:pt>
                <c:pt idx="10">
                  <c:v>12.259804708471885</c:v>
                </c:pt>
                <c:pt idx="11">
                  <c:v>12.394655717504786</c:v>
                </c:pt>
                <c:pt idx="12">
                  <c:v>12.531308116362002</c:v>
                </c:pt>
              </c:numCache>
            </c:numRef>
          </c:val>
        </c:ser>
        <c:marker val="1"/>
        <c:axId val="149283968"/>
        <c:axId val="149285504"/>
      </c:lineChart>
      <c:catAx>
        <c:axId val="149283968"/>
        <c:scaling>
          <c:orientation val="minMax"/>
        </c:scaling>
        <c:axPos val="b"/>
        <c:numFmt formatCode="General" sourceLinked="1"/>
        <c:tickLblPos val="nextTo"/>
        <c:crossAx val="149285504"/>
        <c:crosses val="autoZero"/>
        <c:auto val="1"/>
        <c:lblAlgn val="ctr"/>
        <c:lblOffset val="100"/>
      </c:catAx>
      <c:valAx>
        <c:axId val="149285504"/>
        <c:scaling>
          <c:orientation val="minMax"/>
        </c:scaling>
        <c:axPos val="l"/>
        <c:majorGridlines/>
        <c:numFmt formatCode="0" sourceLinked="0"/>
        <c:tickLblPos val="nextTo"/>
        <c:crossAx val="14928396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Dep14</b:Tag>
    <b:SourceType>Misc</b:SourceType>
    <b:Guid>{08F74074-3E05-4A9E-8868-217738FFC0B4}</b:Guid>
    <b:Author>
      <b:Author>
        <b:Corporate>Department of the Environment</b:Corporate>
      </b:Author>
    </b:Author>
    <b:Title>Basel Data 2012 - v2.3, calculations prepared by Blue Environment</b:Title>
    <b:Year>2014</b:Year>
    <b:City>Canberra</b:City>
    <b:Publisher>Australian Government</b:Publisher>
    <b:RefOrder>3</b:RefOrder>
  </b:Source>
  <b:Source>
    <b:Tag>Dep13</b:Tag>
    <b:SourceType>Report</b:SourceType>
    <b:Guid>{A36D5833-3309-422D-96D2-32FCF3DE391B}</b:Guid>
    <b:Title>Hazardous Waste Data Assessment, prepared by KMH</b:Title>
    <b:Year>2013</b:Year>
    <b:City>Canberra</b:City>
    <b:Publisher>Australian Government</b:Publisher>
    <b:Author>
      <b:Author>
        <b:Corporate>Department of Sustainability, the Environment, Water, Population and Communities</b:Corporate>
      </b:Author>
    </b:Author>
    <b:RefOrder>1</b:RefOrder>
  </b:Source>
  <b:Source>
    <b:Tag>EPA11</b:Tag>
    <b:SourceType>Report</b:SourceType>
    <b:Guid>{3523F4B9-D4A6-4175-AD8C-2B2CC54F5C8C}</b:Guid>
    <b:Title>Prescribed Industrial Waste Disposal to Landfills and Licensed Treatment Facilities 2007-08 and 2008-09</b:Title>
    <b:Year>2011</b:Year>
    <b:Publisher>EPA Victoria</b:Publisher>
    <b:City>Melbourne</b:City>
    <b:Author>
      <b:Author>
        <b:Corporate>EPA Victoria</b:Corporate>
      </b:Author>
    </b:Author>
    <b:RefOrder>4</b:RefOrder>
  </b:Source>
</b:Sources>
</file>

<file path=customXml/itemProps1.xml><?xml version="1.0" encoding="utf-8"?>
<ds:datastoreItem xmlns:ds="http://schemas.openxmlformats.org/officeDocument/2006/customXml" ds:itemID="{C29CD98C-BDFE-4069-AB69-CADF6F8A7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 MJA report and proposal template</Template>
  <TotalTime>1</TotalTime>
  <Pages>54</Pages>
  <Words>16528</Words>
  <Characters>97685</Characters>
  <Application>Microsoft Office Word</Application>
  <DocSecurity>0</DocSecurity>
  <Lines>3907</Lines>
  <Paragraphs>1903</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112310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of Hazardous Waste</dc:title>
  <dc:creator>Marsden Jacob Associates</dc:creator>
  <cp:lastModifiedBy>A00870</cp:lastModifiedBy>
  <cp:revision>3</cp:revision>
  <cp:lastPrinted>2014-09-15T00:45:00Z</cp:lastPrinted>
  <dcterms:created xsi:type="dcterms:W3CDTF">2015-10-19T23:12:00Z</dcterms:created>
  <dcterms:modified xsi:type="dcterms:W3CDTF">2015-10-27T01:48:00Z</dcterms:modified>
</cp:coreProperties>
</file>