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374" w14:textId="77777777" w:rsidR="001A1AD1" w:rsidRDefault="001A1AD1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</w:p>
    <w:p w14:paraId="69BB08CA" w14:textId="3C27C500" w:rsidR="00C826AE" w:rsidRPr="007F3A05" w:rsidRDefault="00C826AE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  <w:r w:rsidRPr="007F3A05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National Fisheries Plan Coordination Group </w:t>
      </w:r>
      <w:r w:rsidR="001A1AD1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Communique </w:t>
      </w:r>
    </w:p>
    <w:p w14:paraId="474D2771" w14:textId="77777777" w:rsidR="00C826AE" w:rsidRPr="007F3A05" w:rsidRDefault="00C826AE" w:rsidP="00C826A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5EEEFC4" w14:textId="5BC73C1A" w:rsidR="00C826AE" w:rsidRPr="007F3A05" w:rsidRDefault="005200B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In Late May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>,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 representatives from the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Commonwealth, state and territory government</w:t>
      </w:r>
      <w:r w:rsidR="00C826AE">
        <w:rPr>
          <w:rFonts w:eastAsia="Times New Roman" w:cstheme="minorHAnsi"/>
          <w:color w:val="212121"/>
          <w:sz w:val="28"/>
          <w:szCs w:val="28"/>
        </w:rPr>
        <w:t>s,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646518">
        <w:rPr>
          <w:rFonts w:eastAsia="Times New Roman" w:cstheme="minorHAnsi"/>
          <w:color w:val="212121"/>
          <w:sz w:val="28"/>
          <w:szCs w:val="28"/>
        </w:rPr>
        <w:t>Seafood Industry Australia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the </w:t>
      </w:r>
      <w:r w:rsidR="00646518">
        <w:rPr>
          <w:rFonts w:eastAsia="Times New Roman" w:cstheme="minorHAnsi"/>
          <w:color w:val="212121"/>
          <w:sz w:val="28"/>
          <w:szCs w:val="28"/>
        </w:rPr>
        <w:t>Australian Recreational Fishing Foundation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2006D0">
        <w:rPr>
          <w:rFonts w:eastAsia="Times New Roman" w:cstheme="minorHAnsi"/>
          <w:color w:val="212121"/>
          <w:sz w:val="28"/>
          <w:szCs w:val="28"/>
        </w:rPr>
        <w:t>the Fisheries Research and Development Corporation’s Indigenous Reference Group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 and </w:t>
      </w:r>
      <w:r w:rsidR="00AD48F5">
        <w:rPr>
          <w:rFonts w:eastAsia="Times New Roman" w:cstheme="minorHAnsi"/>
          <w:color w:val="212121"/>
          <w:sz w:val="28"/>
          <w:szCs w:val="28"/>
        </w:rPr>
        <w:t xml:space="preserve">the </w:t>
      </w:r>
      <w:r w:rsidR="00AD48F5" w:rsidRPr="00AD48F5">
        <w:rPr>
          <w:rFonts w:eastAsia="Times New Roman" w:cstheme="minorHAnsi"/>
          <w:color w:val="212121"/>
          <w:sz w:val="28"/>
          <w:szCs w:val="28"/>
        </w:rPr>
        <w:t>Commonwealth Scientific and Industrial Research Organisation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EA3633">
        <w:rPr>
          <w:rFonts w:eastAsia="Times New Roman" w:cstheme="minorHAnsi"/>
          <w:color w:val="212121"/>
          <w:sz w:val="28"/>
          <w:szCs w:val="28"/>
        </w:rPr>
        <w:t>came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together to 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progress </w:t>
      </w:r>
      <w:r w:rsidR="003A7729">
        <w:rPr>
          <w:rFonts w:eastAsia="Times New Roman" w:cstheme="minorHAnsi"/>
          <w:color w:val="212121"/>
          <w:sz w:val="28"/>
          <w:szCs w:val="28"/>
        </w:rPr>
        <w:t xml:space="preserve">the implementation framework for </w:t>
      </w:r>
      <w:r w:rsidR="00C826AE">
        <w:rPr>
          <w:rFonts w:eastAsia="Times New Roman" w:cstheme="minorHAnsi"/>
          <w:color w:val="212121"/>
          <w:sz w:val="28"/>
          <w:szCs w:val="28"/>
        </w:rPr>
        <w:t>the National Fisheries Plan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6A712A9C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5AF85B55" w14:textId="744494F6" w:rsidR="002255A8" w:rsidRDefault="002255A8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The National Fisheries Plan</w:t>
      </w:r>
      <w:r w:rsidR="003A7729">
        <w:rPr>
          <w:rFonts w:eastAsia="Times New Roman" w:cstheme="minorHAnsi"/>
          <w:color w:val="212121"/>
          <w:sz w:val="28"/>
          <w:szCs w:val="28"/>
        </w:rPr>
        <w:t xml:space="preserve"> Coor</w:t>
      </w:r>
      <w:r>
        <w:rPr>
          <w:rFonts w:eastAsia="Times New Roman" w:cstheme="minorHAnsi"/>
          <w:color w:val="212121"/>
          <w:sz w:val="28"/>
          <w:szCs w:val="28"/>
        </w:rPr>
        <w:t xml:space="preserve">dination Group’s second meeting </w:t>
      </w:r>
      <w:r w:rsidR="003F7068">
        <w:rPr>
          <w:rFonts w:eastAsia="Times New Roman" w:cstheme="minorHAnsi"/>
          <w:color w:val="212121"/>
          <w:sz w:val="28"/>
          <w:szCs w:val="28"/>
        </w:rPr>
        <w:t>agreed on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3F7068">
        <w:rPr>
          <w:rFonts w:eastAsia="Times New Roman" w:cstheme="minorHAnsi"/>
          <w:color w:val="212121"/>
          <w:sz w:val="28"/>
          <w:szCs w:val="28"/>
        </w:rPr>
        <w:t>n</w:t>
      </w:r>
      <w:r>
        <w:rPr>
          <w:rFonts w:eastAsia="Times New Roman" w:cstheme="minorHAnsi"/>
          <w:color w:val="212121"/>
          <w:sz w:val="28"/>
          <w:szCs w:val="28"/>
        </w:rPr>
        <w:t xml:space="preserve">ational-level priorities </w:t>
      </w:r>
      <w:r w:rsidR="00680158">
        <w:rPr>
          <w:rFonts w:eastAsia="Times New Roman" w:cstheme="minorHAnsi"/>
          <w:color w:val="212121"/>
          <w:sz w:val="28"/>
          <w:szCs w:val="28"/>
        </w:rPr>
        <w:t>and</w:t>
      </w:r>
      <w:r>
        <w:rPr>
          <w:rFonts w:eastAsia="Times New Roman" w:cstheme="minorHAnsi"/>
          <w:color w:val="212121"/>
          <w:sz w:val="28"/>
          <w:szCs w:val="28"/>
        </w:rPr>
        <w:t xml:space="preserve"> partnerships</w:t>
      </w:r>
      <w:r w:rsidR="004136A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for collaboration </w:t>
      </w:r>
      <w:r w:rsidR="004136A3">
        <w:rPr>
          <w:rFonts w:eastAsia="Times New Roman" w:cstheme="minorHAnsi"/>
          <w:color w:val="212121"/>
          <w:sz w:val="28"/>
          <w:szCs w:val="28"/>
        </w:rPr>
        <w:t>between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4136A3" w:rsidRPr="002255A8">
        <w:rPr>
          <w:rFonts w:eastAsia="Times New Roman" w:cstheme="minorHAnsi"/>
          <w:color w:val="212121"/>
          <w:sz w:val="28"/>
          <w:szCs w:val="28"/>
        </w:rPr>
        <w:t xml:space="preserve">fisheries </w:t>
      </w:r>
      <w:r w:rsidR="003F7068">
        <w:rPr>
          <w:rFonts w:eastAsia="Times New Roman" w:cstheme="minorHAnsi"/>
          <w:color w:val="212121"/>
          <w:sz w:val="28"/>
          <w:szCs w:val="28"/>
        </w:rPr>
        <w:t>agencies</w:t>
      </w:r>
      <w:r w:rsidR="003F7068" w:rsidRPr="002255A8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4136A3" w:rsidRPr="002255A8">
        <w:rPr>
          <w:rFonts w:eastAsia="Times New Roman" w:cstheme="minorHAnsi"/>
          <w:color w:val="212121"/>
          <w:sz w:val="28"/>
          <w:szCs w:val="28"/>
        </w:rPr>
        <w:t>and sectors</w:t>
      </w:r>
      <w:r w:rsidR="004136A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to </w:t>
      </w:r>
      <w:r w:rsidR="00AD48F5">
        <w:rPr>
          <w:rFonts w:eastAsia="Times New Roman" w:cstheme="minorHAnsi"/>
          <w:color w:val="212121"/>
          <w:sz w:val="28"/>
          <w:szCs w:val="28"/>
        </w:rPr>
        <w:t>sustainably grow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 Australia’s fishing, </w:t>
      </w:r>
      <w:proofErr w:type="gramStart"/>
      <w:r w:rsidR="003F7068">
        <w:rPr>
          <w:rFonts w:eastAsia="Times New Roman" w:cstheme="minorHAnsi"/>
          <w:color w:val="212121"/>
          <w:sz w:val="28"/>
          <w:szCs w:val="28"/>
        </w:rPr>
        <w:t>aquaculture</w:t>
      </w:r>
      <w:proofErr w:type="gramEnd"/>
      <w:r w:rsidR="003F7068">
        <w:rPr>
          <w:rFonts w:eastAsia="Times New Roman" w:cstheme="minorHAnsi"/>
          <w:color w:val="212121"/>
          <w:sz w:val="28"/>
          <w:szCs w:val="28"/>
        </w:rPr>
        <w:t xml:space="preserve"> and seafood community</w:t>
      </w:r>
      <w:r>
        <w:rPr>
          <w:rFonts w:eastAsia="Times New Roman" w:cstheme="minorHAnsi"/>
          <w:color w:val="212121"/>
          <w:sz w:val="28"/>
          <w:szCs w:val="28"/>
        </w:rPr>
        <w:t xml:space="preserve">. </w:t>
      </w:r>
    </w:p>
    <w:p w14:paraId="28BF0FED" w14:textId="77777777" w:rsidR="00AD48F5" w:rsidRDefault="00AD48F5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4DB85D1" w14:textId="43AE23CA" w:rsidR="00C826AE" w:rsidRPr="007F3A05" w:rsidRDefault="003F7068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T</w:t>
      </w:r>
      <w:r w:rsidR="00C826AE">
        <w:rPr>
          <w:rFonts w:eastAsia="Times New Roman" w:cstheme="minorHAnsi"/>
          <w:color w:val="212121"/>
          <w:sz w:val="28"/>
          <w:szCs w:val="28"/>
        </w:rPr>
        <w:t>he Coordination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Group commit</w:t>
      </w:r>
      <w:r w:rsidR="00C826AE">
        <w:rPr>
          <w:rFonts w:eastAsia="Times New Roman" w:cstheme="minorHAnsi"/>
          <w:color w:val="212121"/>
          <w:sz w:val="28"/>
          <w:szCs w:val="28"/>
        </w:rPr>
        <w:t>ted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to </w:t>
      </w:r>
      <w:r w:rsidR="0018227A">
        <w:rPr>
          <w:rFonts w:eastAsia="Times New Roman" w:cstheme="minorHAnsi"/>
          <w:color w:val="212121"/>
          <w:sz w:val="28"/>
          <w:szCs w:val="28"/>
        </w:rPr>
        <w:t xml:space="preserve">collaborating on </w:t>
      </w:r>
      <w:r w:rsidR="002255A8">
        <w:rPr>
          <w:rFonts w:eastAsia="Times New Roman" w:cstheme="minorHAnsi"/>
          <w:color w:val="212121"/>
          <w:sz w:val="28"/>
          <w:szCs w:val="28"/>
        </w:rPr>
        <w:t xml:space="preserve">the following </w:t>
      </w:r>
      <w:r w:rsidR="004136A3">
        <w:rPr>
          <w:rFonts w:eastAsia="Times New Roman" w:cstheme="minorHAnsi"/>
          <w:color w:val="212121"/>
          <w:sz w:val="28"/>
          <w:szCs w:val="28"/>
        </w:rPr>
        <w:t>priorities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>:</w:t>
      </w:r>
    </w:p>
    <w:p w14:paraId="24AD6E8A" w14:textId="499A28F4" w:rsidR="00A757AE" w:rsidRDefault="0018227A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>cultural and traditional fishing and Indigenous fisheries knowledge</w:t>
      </w:r>
      <w:r w:rsidR="00B54083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BC48B1">
        <w:rPr>
          <w:color w:val="212121"/>
          <w:sz w:val="28"/>
          <w:szCs w:val="28"/>
        </w:rPr>
        <w:t>Australian Fisheries Management Forum (</w:t>
      </w:r>
      <w:r w:rsidR="00CD1DD0">
        <w:rPr>
          <w:color w:val="212121"/>
          <w:sz w:val="28"/>
          <w:szCs w:val="28"/>
        </w:rPr>
        <w:t>AFMF</w:t>
      </w:r>
      <w:r w:rsidR="00BC48B1">
        <w:rPr>
          <w:color w:val="212121"/>
          <w:sz w:val="28"/>
          <w:szCs w:val="28"/>
        </w:rPr>
        <w:t>)</w:t>
      </w:r>
      <w:r w:rsidR="00CD1DD0">
        <w:rPr>
          <w:color w:val="212121"/>
          <w:sz w:val="28"/>
          <w:szCs w:val="28"/>
        </w:rPr>
        <w:t xml:space="preserve"> Indigenous Working Group)</w:t>
      </w:r>
    </w:p>
    <w:p w14:paraId="5492BBC1" w14:textId="19B51677" w:rsidR="00A757AE" w:rsidRDefault="0018227A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>sustainable development of the</w:t>
      </w:r>
      <w:r w:rsidR="00A757AE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aquaculture sector</w:t>
      </w:r>
      <w:r w:rsidR="00B54083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>:</w:t>
      </w:r>
      <w:r w:rsidR="00CD1DD0">
        <w:rPr>
          <w:color w:val="212121"/>
          <w:sz w:val="28"/>
          <w:szCs w:val="28"/>
        </w:rPr>
        <w:t xml:space="preserve"> AFMF Aquaculture Sub-committee)</w:t>
      </w:r>
    </w:p>
    <w:p w14:paraId="7FD0FA4D" w14:textId="27192A8D" w:rsidR="00A757AE" w:rsidRDefault="00A757AE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digital and data information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CD1DD0">
        <w:rPr>
          <w:color w:val="212121"/>
          <w:sz w:val="28"/>
          <w:szCs w:val="28"/>
        </w:rPr>
        <w:t>AFMF Data and Digital Working Group)</w:t>
      </w:r>
    </w:p>
    <w:p w14:paraId="1778F308" w14:textId="31592D59" w:rsidR="0018227A" w:rsidRDefault="0018227A" w:rsidP="0018227A">
      <w:pPr>
        <w:pStyle w:val="ListParagraph"/>
        <w:numPr>
          <w:ilvl w:val="0"/>
          <w:numId w:val="1"/>
        </w:numPr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electronic monitoring</w:t>
      </w:r>
      <w:r w:rsidR="00B5408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CD1DD0">
        <w:rPr>
          <w:color w:val="212121"/>
          <w:sz w:val="28"/>
          <w:szCs w:val="28"/>
        </w:rPr>
        <w:t>AFMF Electronic Monitoring Working Group)</w:t>
      </w:r>
    </w:p>
    <w:p w14:paraId="3F03B67F" w14:textId="6FAEB60A" w:rsidR="00A757AE" w:rsidRDefault="0018227A" w:rsidP="00C826AE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212121"/>
          <w:sz w:val="28"/>
          <w:szCs w:val="28"/>
        </w:rPr>
      </w:pPr>
      <w:r>
        <w:rPr>
          <w:rFonts w:asciiTheme="minorHAnsi" w:eastAsia="Times New Roman" w:hAnsiTheme="minorHAnsi" w:cstheme="minorHAnsi"/>
          <w:color w:val="212121"/>
          <w:sz w:val="28"/>
          <w:szCs w:val="28"/>
        </w:rPr>
        <w:t>employment, participation and health</w:t>
      </w:r>
      <w:r w:rsidR="00A757AE" w:rsidRPr="00A757AE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in the fishing, aquaculture, and seafood sectors</w:t>
      </w:r>
      <w:r w:rsidR="00B54083">
        <w:rPr>
          <w:rFonts w:asciiTheme="minorHAnsi" w:eastAsia="Times New Roman" w:hAnsiTheme="minorHAnsi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CD1DD0">
        <w:rPr>
          <w:color w:val="212121"/>
          <w:sz w:val="28"/>
          <w:szCs w:val="28"/>
        </w:rPr>
        <w:t>Seafood Industry Australia and the FRDC Indigenous Reference Group)</w:t>
      </w:r>
    </w:p>
    <w:p w14:paraId="596185C0" w14:textId="60990F8F" w:rsidR="00A757AE" w:rsidRDefault="00A757AE" w:rsidP="00A757AE">
      <w:pPr>
        <w:pStyle w:val="ListParagraph"/>
        <w:numPr>
          <w:ilvl w:val="0"/>
          <w:numId w:val="2"/>
        </w:numPr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habitat restoration and enhancement</w:t>
      </w:r>
      <w:r w:rsidR="0018227A">
        <w:rPr>
          <w:rFonts w:eastAsia="Times New Roman" w:cstheme="minorHAnsi"/>
          <w:color w:val="212121"/>
          <w:sz w:val="28"/>
          <w:szCs w:val="28"/>
        </w:rPr>
        <w:t xml:space="preserve"> including stewardship across the commercial, </w:t>
      </w:r>
      <w:proofErr w:type="gramStart"/>
      <w:r w:rsidR="0018227A">
        <w:rPr>
          <w:rFonts w:eastAsia="Times New Roman" w:cstheme="minorHAnsi"/>
          <w:color w:val="212121"/>
          <w:sz w:val="28"/>
          <w:szCs w:val="28"/>
        </w:rPr>
        <w:t>recreational</w:t>
      </w:r>
      <w:proofErr w:type="gramEnd"/>
      <w:r w:rsidR="0018227A">
        <w:rPr>
          <w:rFonts w:eastAsia="Times New Roman" w:cstheme="minorHAnsi"/>
          <w:color w:val="212121"/>
          <w:sz w:val="28"/>
          <w:szCs w:val="28"/>
        </w:rPr>
        <w:t xml:space="preserve"> and Indigenous sectors</w:t>
      </w:r>
      <w:r w:rsidR="00B5408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CD1DD0">
        <w:rPr>
          <w:color w:val="212121"/>
          <w:sz w:val="28"/>
          <w:szCs w:val="28"/>
        </w:rPr>
        <w:t>the proposed National Habitat Partnership)</w:t>
      </w:r>
    </w:p>
    <w:p w14:paraId="2FE6E06A" w14:textId="2EA0DE1A" w:rsidR="00680158" w:rsidRDefault="006B193A" w:rsidP="00A757AE">
      <w:pPr>
        <w:pStyle w:val="ListParagraph"/>
        <w:numPr>
          <w:ilvl w:val="0"/>
          <w:numId w:val="2"/>
        </w:numPr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new approaches to </w:t>
      </w:r>
      <w:r w:rsidR="00680158">
        <w:rPr>
          <w:rFonts w:eastAsia="Times New Roman" w:cstheme="minorHAnsi"/>
          <w:color w:val="212121"/>
          <w:sz w:val="28"/>
          <w:szCs w:val="28"/>
        </w:rPr>
        <w:t>sustainability</w:t>
      </w:r>
      <w:r>
        <w:rPr>
          <w:rFonts w:eastAsia="Times New Roman" w:cstheme="minorHAnsi"/>
          <w:color w:val="212121"/>
          <w:sz w:val="28"/>
          <w:szCs w:val="28"/>
        </w:rPr>
        <w:t xml:space="preserve"> assessment and reporting</w:t>
      </w:r>
      <w:r w:rsidR="00B5408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 xml:space="preserve">: </w:t>
      </w:r>
      <w:r w:rsidR="00CD1DD0">
        <w:rPr>
          <w:color w:val="212121"/>
          <w:sz w:val="28"/>
          <w:szCs w:val="28"/>
        </w:rPr>
        <w:t>FRDC</w:t>
      </w:r>
      <w:r w:rsidR="00EC37F5">
        <w:rPr>
          <w:color w:val="212121"/>
          <w:sz w:val="28"/>
          <w:szCs w:val="28"/>
        </w:rPr>
        <w:t xml:space="preserve"> and AFMF</w:t>
      </w:r>
      <w:r w:rsidR="00CD1DD0">
        <w:rPr>
          <w:color w:val="212121"/>
          <w:sz w:val="28"/>
          <w:szCs w:val="28"/>
        </w:rPr>
        <w:t>)</w:t>
      </w:r>
    </w:p>
    <w:p w14:paraId="7932444D" w14:textId="0559A477" w:rsidR="003F7068" w:rsidRPr="00A757AE" w:rsidRDefault="006B193A" w:rsidP="00A757AE">
      <w:pPr>
        <w:pStyle w:val="ListParagraph"/>
        <w:numPr>
          <w:ilvl w:val="0"/>
          <w:numId w:val="2"/>
        </w:numPr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responding to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 climate change and </w:t>
      </w:r>
      <w:r w:rsidR="005200BE" w:rsidRPr="005200BE">
        <w:rPr>
          <w:rFonts w:eastAsia="Times New Roman" w:cstheme="minorHAnsi"/>
          <w:color w:val="212121"/>
          <w:sz w:val="28"/>
          <w:szCs w:val="28"/>
        </w:rPr>
        <w:t>extreme events through mitigation and adaptation efforts</w:t>
      </w:r>
      <w:r w:rsidR="00AD13CA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CD1DD0">
        <w:rPr>
          <w:color w:val="212121"/>
          <w:sz w:val="28"/>
          <w:szCs w:val="28"/>
        </w:rPr>
        <w:t>(lead</w:t>
      </w:r>
      <w:r w:rsidR="00EC37F5">
        <w:rPr>
          <w:color w:val="212121"/>
          <w:sz w:val="28"/>
          <w:szCs w:val="28"/>
        </w:rPr>
        <w:t>:</w:t>
      </w:r>
      <w:r w:rsidR="00CD1DD0">
        <w:rPr>
          <w:color w:val="212121"/>
          <w:sz w:val="28"/>
          <w:szCs w:val="28"/>
        </w:rPr>
        <w:t xml:space="preserve"> FRDC</w:t>
      </w:r>
      <w:r w:rsidR="00EC37F5">
        <w:rPr>
          <w:color w:val="212121"/>
          <w:sz w:val="28"/>
          <w:szCs w:val="28"/>
        </w:rPr>
        <w:t xml:space="preserve"> and AFMF</w:t>
      </w:r>
      <w:r w:rsidR="00CD1DD0">
        <w:rPr>
          <w:color w:val="212121"/>
          <w:sz w:val="28"/>
          <w:szCs w:val="28"/>
        </w:rPr>
        <w:t>).</w:t>
      </w:r>
    </w:p>
    <w:p w14:paraId="6CAB6B2B" w14:textId="77777777" w:rsidR="00C826AE" w:rsidRPr="007F3A05" w:rsidRDefault="00C826AE" w:rsidP="00C826AE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BBE115A" w14:textId="6707A022" w:rsidR="00C826AE" w:rsidRDefault="00C826AE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The group </w:t>
      </w:r>
      <w:r w:rsidR="002006D0">
        <w:rPr>
          <w:rFonts w:eastAsia="Times New Roman" w:cstheme="minorHAnsi"/>
          <w:color w:val="212121"/>
          <w:sz w:val="28"/>
          <w:szCs w:val="28"/>
        </w:rPr>
        <w:t xml:space="preserve">will meet again in </w:t>
      </w:r>
      <w:r w:rsidR="00A757AE">
        <w:rPr>
          <w:rFonts w:eastAsia="Times New Roman" w:cstheme="minorHAnsi"/>
          <w:color w:val="212121"/>
          <w:sz w:val="28"/>
          <w:szCs w:val="28"/>
        </w:rPr>
        <w:t>late</w:t>
      </w:r>
      <w:r w:rsidR="002006D0">
        <w:rPr>
          <w:rFonts w:eastAsia="Times New Roman" w:cstheme="minorHAnsi"/>
          <w:color w:val="212121"/>
          <w:sz w:val="28"/>
          <w:szCs w:val="28"/>
        </w:rPr>
        <w:t>-2023</w:t>
      </w:r>
      <w:r w:rsidR="004136A3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921A32">
        <w:rPr>
          <w:rFonts w:eastAsia="Times New Roman" w:cstheme="minorHAnsi"/>
          <w:color w:val="212121"/>
          <w:sz w:val="28"/>
          <w:szCs w:val="28"/>
        </w:rPr>
        <w:t xml:space="preserve">to </w:t>
      </w:r>
      <w:r w:rsidR="006B193A">
        <w:rPr>
          <w:rFonts w:eastAsia="Times New Roman" w:cstheme="minorHAnsi"/>
          <w:color w:val="212121"/>
          <w:sz w:val="28"/>
          <w:szCs w:val="28"/>
        </w:rPr>
        <w:t>update on scoping and progress against the priorities</w:t>
      </w:r>
      <w:r w:rsidR="004136A3">
        <w:rPr>
          <w:rFonts w:eastAsia="Times New Roman" w:cstheme="minorHAnsi"/>
          <w:color w:val="212121"/>
          <w:sz w:val="28"/>
          <w:szCs w:val="28"/>
        </w:rPr>
        <w:t>.</w:t>
      </w:r>
    </w:p>
    <w:p w14:paraId="621694F1" w14:textId="77777777" w:rsidR="00B54083" w:rsidRPr="001A1AD1" w:rsidRDefault="00B54083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sectPr w:rsidR="00B54083" w:rsidRPr="001A1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3EA0" w14:textId="77777777" w:rsidR="00A015BC" w:rsidRDefault="00A015BC" w:rsidP="001A1AD1">
      <w:pPr>
        <w:spacing w:after="0" w:line="240" w:lineRule="auto"/>
      </w:pPr>
      <w:r>
        <w:separator/>
      </w:r>
    </w:p>
  </w:endnote>
  <w:endnote w:type="continuationSeparator" w:id="0">
    <w:p w14:paraId="4D4F01F0" w14:textId="77777777" w:rsidR="00A015BC" w:rsidRDefault="00A015BC" w:rsidP="001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8AE7" w14:textId="77777777" w:rsidR="00B3426A" w:rsidRDefault="00B3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5101" w14:textId="77777777" w:rsidR="00B3426A" w:rsidRDefault="00B34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60F9" w14:textId="77777777" w:rsidR="00B3426A" w:rsidRDefault="00B3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EFF1" w14:textId="77777777" w:rsidR="00A015BC" w:rsidRDefault="00A015BC" w:rsidP="001A1AD1">
      <w:pPr>
        <w:spacing w:after="0" w:line="240" w:lineRule="auto"/>
      </w:pPr>
      <w:r>
        <w:separator/>
      </w:r>
    </w:p>
  </w:footnote>
  <w:footnote w:type="continuationSeparator" w:id="0">
    <w:p w14:paraId="28D31848" w14:textId="77777777" w:rsidR="00A015BC" w:rsidRDefault="00A015BC" w:rsidP="001A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1114" w14:textId="77777777" w:rsidR="00B3426A" w:rsidRDefault="00B3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AA6" w14:textId="2C759909" w:rsidR="001A1AD1" w:rsidRDefault="001A1AD1" w:rsidP="001A1AD1">
    <w:pPr>
      <w:spacing w:after="0"/>
      <w:jc w:val="right"/>
      <w:rPr>
        <w:rFonts w:eastAsia="Times New Roman" w:cstheme="minorHAnsi"/>
        <w:color w:val="212121"/>
        <w:szCs w:val="20"/>
      </w:rPr>
    </w:pPr>
    <w:r w:rsidRPr="001A1AD1">
      <w:rPr>
        <w:rFonts w:eastAsia="Times New Roman" w:cstheme="minorHAnsi"/>
        <w:color w:val="212121"/>
        <w:szCs w:val="20"/>
      </w:rPr>
      <w:t xml:space="preserve">Communique No: NFPCG </w:t>
    </w:r>
    <w:r w:rsidR="003A7729">
      <w:rPr>
        <w:rFonts w:eastAsia="Times New Roman" w:cstheme="minorHAnsi"/>
        <w:color w:val="212121"/>
        <w:szCs w:val="20"/>
      </w:rPr>
      <w:t>2</w:t>
    </w:r>
  </w:p>
  <w:p w14:paraId="57E2DB66" w14:textId="7CE89EB9" w:rsidR="001A1AD1" w:rsidRPr="001A1AD1" w:rsidRDefault="003A7729" w:rsidP="001A1AD1">
    <w:pPr>
      <w:spacing w:after="0"/>
      <w:jc w:val="right"/>
      <w:rPr>
        <w:rFonts w:eastAsia="Times New Roman" w:cstheme="minorHAnsi"/>
        <w:color w:val="212121"/>
        <w:szCs w:val="20"/>
      </w:rPr>
    </w:pPr>
    <w:r>
      <w:rPr>
        <w:rFonts w:eastAsia="Times New Roman" w:cstheme="minorHAnsi"/>
        <w:color w:val="212121"/>
        <w:szCs w:val="20"/>
      </w:rPr>
      <w:t>May</w:t>
    </w:r>
    <w:r w:rsidR="001A1AD1">
      <w:rPr>
        <w:rFonts w:eastAsia="Times New Roman" w:cstheme="minorHAnsi"/>
        <w:color w:val="212121"/>
        <w:szCs w:val="20"/>
      </w:rPr>
      <w:t xml:space="preserve"> 202</w:t>
    </w:r>
    <w:r>
      <w:rPr>
        <w:rFonts w:eastAsia="Times New Roman" w:cstheme="minorHAnsi"/>
        <w:color w:val="212121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C1AA" w14:textId="77777777" w:rsidR="00B3426A" w:rsidRDefault="00B3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4FC5"/>
    <w:multiLevelType w:val="hybridMultilevel"/>
    <w:tmpl w:val="F35E1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6E63"/>
    <w:multiLevelType w:val="hybridMultilevel"/>
    <w:tmpl w:val="245C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3606">
    <w:abstractNumId w:val="1"/>
  </w:num>
  <w:num w:numId="2" w16cid:durableId="70255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E"/>
    <w:rsid w:val="0018227A"/>
    <w:rsid w:val="001A1AD1"/>
    <w:rsid w:val="002006D0"/>
    <w:rsid w:val="002255A8"/>
    <w:rsid w:val="00313B64"/>
    <w:rsid w:val="003A7729"/>
    <w:rsid w:val="003F7068"/>
    <w:rsid w:val="004136A3"/>
    <w:rsid w:val="005200BE"/>
    <w:rsid w:val="00564504"/>
    <w:rsid w:val="00646518"/>
    <w:rsid w:val="00680158"/>
    <w:rsid w:val="006B193A"/>
    <w:rsid w:val="00921A32"/>
    <w:rsid w:val="00A015BC"/>
    <w:rsid w:val="00A757AE"/>
    <w:rsid w:val="00AD13CA"/>
    <w:rsid w:val="00AD48F5"/>
    <w:rsid w:val="00B038F1"/>
    <w:rsid w:val="00B135A2"/>
    <w:rsid w:val="00B3426A"/>
    <w:rsid w:val="00B503D5"/>
    <w:rsid w:val="00B54083"/>
    <w:rsid w:val="00BC48B1"/>
    <w:rsid w:val="00C42CFD"/>
    <w:rsid w:val="00C826AE"/>
    <w:rsid w:val="00CD1DD0"/>
    <w:rsid w:val="00DE1319"/>
    <w:rsid w:val="00E84BF8"/>
    <w:rsid w:val="00EA3633"/>
    <w:rsid w:val="00EC37F5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ACD19"/>
  <w15:chartTrackingRefBased/>
  <w15:docId w15:val="{766C9E41-72A7-4B91-91C1-84757A1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E"/>
    <w:pPr>
      <w:spacing w:after="120" w:line="276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826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6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26A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26AE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D1"/>
    <w:rPr>
      <w:sz w:val="20"/>
    </w:rPr>
  </w:style>
  <w:style w:type="paragraph" w:styleId="Revision">
    <w:name w:val="Revision"/>
    <w:hidden/>
    <w:uiPriority w:val="99"/>
    <w:semiHidden/>
    <w:rsid w:val="00E84BF8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8"/>
    <w:rPr>
      <w:b/>
      <w:bCs/>
      <w:sz w:val="20"/>
      <w:szCs w:val="20"/>
    </w:rPr>
  </w:style>
  <w:style w:type="paragraph" w:customStyle="1" w:styleId="TableText">
    <w:name w:val="Table Text"/>
    <w:basedOn w:val="Normal"/>
    <w:uiPriority w:val="13"/>
    <w:qFormat/>
    <w:rsid w:val="00B54083"/>
    <w:pPr>
      <w:spacing w:before="60" w:after="6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1FE83-0AEC-410A-B685-4C8F6D341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8A3C7-AE50-41AF-8941-E1BF9B59C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Fisheries Plan Coordination Group Communique - NFPCG 2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Fisheries Plan Coordination Group Communique - NFPCG 2</dc:title>
  <dc:subject/>
  <dc:creator>Department of Agriculture, Fisheries and Forestry</dc:creator>
  <cp:keywords/>
  <dc:description/>
  <cp:lastModifiedBy>Goggins, Fiona</cp:lastModifiedBy>
  <cp:revision>22</cp:revision>
  <dcterms:created xsi:type="dcterms:W3CDTF">2022-12-07T05:30:00Z</dcterms:created>
  <dcterms:modified xsi:type="dcterms:W3CDTF">2023-06-02T02:26:00Z</dcterms:modified>
</cp:coreProperties>
</file>