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7374" w14:textId="77777777" w:rsidR="001A1AD1" w:rsidRDefault="001A1AD1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</w:p>
    <w:p w14:paraId="69BB08CA" w14:textId="3C27C500" w:rsidR="00C826AE" w:rsidRPr="007F3A05" w:rsidRDefault="00C826AE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  <w:r w:rsidRPr="007F3A05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National Fisheries Plan Coordination Group </w:t>
      </w:r>
      <w:r w:rsidR="001A1AD1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Communique </w:t>
      </w:r>
    </w:p>
    <w:p w14:paraId="474D2771" w14:textId="77777777" w:rsidR="00C826AE" w:rsidRPr="007F3A05" w:rsidRDefault="00C826AE" w:rsidP="00C826AE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75EEEFC4" w14:textId="7BBDC591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7F3A05">
        <w:rPr>
          <w:rFonts w:eastAsia="Times New Roman" w:cstheme="minorHAnsi"/>
          <w:color w:val="212121"/>
          <w:sz w:val="28"/>
          <w:szCs w:val="28"/>
        </w:rPr>
        <w:t>This week,</w:t>
      </w:r>
      <w:r>
        <w:rPr>
          <w:rFonts w:eastAsia="Times New Roman" w:cstheme="minorHAnsi"/>
          <w:color w:val="212121"/>
          <w:sz w:val="28"/>
          <w:szCs w:val="28"/>
        </w:rPr>
        <w:t xml:space="preserve"> representatives from the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 Commonwealth, state and territory government</w:t>
      </w:r>
      <w:r>
        <w:rPr>
          <w:rFonts w:eastAsia="Times New Roman" w:cstheme="minorHAnsi"/>
          <w:color w:val="212121"/>
          <w:sz w:val="28"/>
          <w:szCs w:val="28"/>
        </w:rPr>
        <w:t>s,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646518">
        <w:rPr>
          <w:rFonts w:eastAsia="Times New Roman" w:cstheme="minorHAnsi"/>
          <w:color w:val="212121"/>
          <w:sz w:val="28"/>
          <w:szCs w:val="28"/>
        </w:rPr>
        <w:t>Seafood Industry Australia</w:t>
      </w:r>
      <w:r>
        <w:rPr>
          <w:rFonts w:eastAsia="Times New Roman" w:cstheme="minorHAnsi"/>
          <w:color w:val="212121"/>
          <w:sz w:val="28"/>
          <w:szCs w:val="28"/>
        </w:rPr>
        <w:t xml:space="preserve">, the </w:t>
      </w:r>
      <w:r w:rsidR="00646518">
        <w:rPr>
          <w:rFonts w:eastAsia="Times New Roman" w:cstheme="minorHAnsi"/>
          <w:color w:val="212121"/>
          <w:sz w:val="28"/>
          <w:szCs w:val="28"/>
        </w:rPr>
        <w:t>Australian Recreational Fishing Foundation</w:t>
      </w:r>
      <w:r>
        <w:rPr>
          <w:rFonts w:eastAsia="Times New Roman" w:cstheme="minorHAnsi"/>
          <w:color w:val="212121"/>
          <w:sz w:val="28"/>
          <w:szCs w:val="28"/>
        </w:rPr>
        <w:t xml:space="preserve">, and </w:t>
      </w:r>
      <w:r w:rsidR="002006D0">
        <w:rPr>
          <w:rFonts w:eastAsia="Times New Roman" w:cstheme="minorHAnsi"/>
          <w:color w:val="212121"/>
          <w:sz w:val="28"/>
          <w:szCs w:val="28"/>
        </w:rPr>
        <w:t>the Fisheries Research and Development Corporation’s Indigenous Reference Group</w:t>
      </w:r>
      <w:r>
        <w:rPr>
          <w:rFonts w:eastAsia="Times New Roman" w:cstheme="minorHAnsi"/>
          <w:color w:val="212121"/>
          <w:sz w:val="28"/>
          <w:szCs w:val="28"/>
        </w:rPr>
        <w:t xml:space="preserve">, 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have come together to agree on a way forward to </w:t>
      </w:r>
      <w:r>
        <w:rPr>
          <w:rFonts w:eastAsia="Times New Roman" w:cstheme="minorHAnsi"/>
          <w:color w:val="212121"/>
          <w:sz w:val="28"/>
          <w:szCs w:val="28"/>
        </w:rPr>
        <w:t>progress the National Fisheries Plan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. </w:t>
      </w:r>
    </w:p>
    <w:p w14:paraId="6A712A9C" w14:textId="77777777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127C9EFB" w14:textId="494245CE" w:rsidR="00C826AE" w:rsidRPr="00F64B0F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F64B0F">
        <w:rPr>
          <w:rFonts w:eastAsia="Times New Roman" w:cstheme="minorHAnsi"/>
          <w:color w:val="212121"/>
          <w:sz w:val="28"/>
          <w:szCs w:val="28"/>
        </w:rPr>
        <w:t xml:space="preserve">Australia’s first National Fisheries Plan (the Plan) was released on 5 April 2022 with the support of all state and territory fisheries ministers and the commercial, recreational and </w:t>
      </w:r>
      <w:r>
        <w:rPr>
          <w:rFonts w:eastAsia="Times New Roman" w:cstheme="minorHAnsi"/>
          <w:color w:val="212121"/>
          <w:sz w:val="28"/>
          <w:szCs w:val="28"/>
        </w:rPr>
        <w:t>First Nations</w:t>
      </w:r>
      <w:r w:rsidRPr="00F64B0F">
        <w:rPr>
          <w:rFonts w:eastAsia="Times New Roman" w:cstheme="minorHAnsi"/>
          <w:color w:val="212121"/>
          <w:sz w:val="28"/>
          <w:szCs w:val="28"/>
        </w:rPr>
        <w:t xml:space="preserve"> fishing sectors.</w:t>
      </w:r>
      <w:r w:rsidR="00E84BF8">
        <w:rPr>
          <w:rFonts w:eastAsia="Times New Roman" w:cstheme="minorHAnsi"/>
          <w:color w:val="212121"/>
          <w:sz w:val="28"/>
          <w:szCs w:val="28"/>
        </w:rPr>
        <w:t xml:space="preserve">  The </w:t>
      </w:r>
      <w:r w:rsidR="00564504">
        <w:rPr>
          <w:rFonts w:eastAsia="Times New Roman" w:cstheme="minorHAnsi"/>
          <w:color w:val="212121"/>
          <w:sz w:val="28"/>
          <w:szCs w:val="28"/>
        </w:rPr>
        <w:t xml:space="preserve">vision of the Plan is: </w:t>
      </w:r>
      <w:r w:rsidR="00E84BF8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564504" w:rsidRPr="00313B64">
        <w:rPr>
          <w:i/>
          <w:iCs/>
          <w:color w:val="000000"/>
          <w:sz w:val="27"/>
          <w:szCs w:val="27"/>
        </w:rPr>
        <w:t xml:space="preserve">Sustainable growth and development of Australia’s fishing, </w:t>
      </w:r>
      <w:proofErr w:type="gramStart"/>
      <w:r w:rsidR="00564504" w:rsidRPr="00313B64">
        <w:rPr>
          <w:i/>
          <w:iCs/>
          <w:color w:val="000000"/>
          <w:sz w:val="27"/>
          <w:szCs w:val="27"/>
        </w:rPr>
        <w:t>aquaculture</w:t>
      </w:r>
      <w:proofErr w:type="gramEnd"/>
      <w:r w:rsidR="00564504" w:rsidRPr="00313B64">
        <w:rPr>
          <w:i/>
          <w:iCs/>
          <w:color w:val="000000"/>
          <w:sz w:val="27"/>
          <w:szCs w:val="27"/>
        </w:rPr>
        <w:t xml:space="preserve"> and seafood community for the benefit of all Australians and our aquatic ecosystems now and into the future.</w:t>
      </w:r>
    </w:p>
    <w:p w14:paraId="51EBC3C5" w14:textId="77777777" w:rsidR="00C826AE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5CC24C6F" w14:textId="77777777" w:rsidR="00C826AE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F64B0F">
        <w:rPr>
          <w:rFonts w:eastAsia="Times New Roman" w:cstheme="minorHAnsi"/>
          <w:color w:val="212121"/>
          <w:sz w:val="28"/>
          <w:szCs w:val="28"/>
        </w:rPr>
        <w:t xml:space="preserve">The Plan provides a shared vision and strategic framework to prioritise actions and enhance collaboration amongst Australian governments and relevant sectors to drive sustainable growth of the Australian fishing, </w:t>
      </w:r>
      <w:proofErr w:type="gramStart"/>
      <w:r w:rsidRPr="00F64B0F">
        <w:rPr>
          <w:rFonts w:eastAsia="Times New Roman" w:cstheme="minorHAnsi"/>
          <w:color w:val="212121"/>
          <w:sz w:val="28"/>
          <w:szCs w:val="28"/>
        </w:rPr>
        <w:t>aquaculture</w:t>
      </w:r>
      <w:proofErr w:type="gramEnd"/>
      <w:r w:rsidRPr="00F64B0F">
        <w:rPr>
          <w:rFonts w:eastAsia="Times New Roman" w:cstheme="minorHAnsi"/>
          <w:color w:val="212121"/>
          <w:sz w:val="28"/>
          <w:szCs w:val="28"/>
        </w:rPr>
        <w:t xml:space="preserve"> and seafood community.</w:t>
      </w:r>
    </w:p>
    <w:p w14:paraId="24FB1F6F" w14:textId="77777777" w:rsidR="00C826AE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50F1A862" w14:textId="1B246910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7F3A05">
        <w:rPr>
          <w:rFonts w:eastAsia="Times New Roman" w:cstheme="minorHAnsi"/>
          <w:color w:val="212121"/>
          <w:sz w:val="28"/>
          <w:szCs w:val="28"/>
        </w:rPr>
        <w:t xml:space="preserve">All involved identified the </w:t>
      </w:r>
      <w:r w:rsidR="00E84BF8">
        <w:rPr>
          <w:rFonts w:eastAsia="Times New Roman" w:cstheme="minorHAnsi"/>
          <w:color w:val="212121"/>
          <w:sz w:val="28"/>
          <w:szCs w:val="28"/>
        </w:rPr>
        <w:t>importance of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 </w:t>
      </w:r>
      <w:r>
        <w:rPr>
          <w:rFonts w:eastAsia="Times New Roman" w:cstheme="minorHAnsi"/>
          <w:color w:val="212121"/>
          <w:sz w:val="28"/>
          <w:szCs w:val="28"/>
        </w:rPr>
        <w:t xml:space="preserve">collaboration between the sectors and governments </w:t>
      </w:r>
      <w:r w:rsidR="00E84BF8">
        <w:rPr>
          <w:rFonts w:eastAsia="Times New Roman" w:cstheme="minorHAnsi"/>
          <w:color w:val="212121"/>
          <w:sz w:val="28"/>
          <w:szCs w:val="28"/>
        </w:rPr>
        <w:t xml:space="preserve">to achieving outcomes for the fishing and seafood industry.  </w:t>
      </w:r>
      <w:r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564504">
        <w:rPr>
          <w:rFonts w:eastAsia="Times New Roman" w:cstheme="minorHAnsi"/>
          <w:color w:val="212121"/>
          <w:sz w:val="28"/>
          <w:szCs w:val="28"/>
        </w:rPr>
        <w:t>T</w:t>
      </w:r>
      <w:r>
        <w:rPr>
          <w:rFonts w:eastAsia="Times New Roman" w:cstheme="minorHAnsi"/>
          <w:color w:val="212121"/>
          <w:sz w:val="28"/>
          <w:szCs w:val="28"/>
        </w:rPr>
        <w:t>he groups first meeting</w:t>
      </w:r>
      <w:r w:rsidR="00B135A2">
        <w:rPr>
          <w:rFonts w:eastAsia="Times New Roman" w:cstheme="minorHAnsi"/>
          <w:color w:val="212121"/>
          <w:sz w:val="28"/>
          <w:szCs w:val="28"/>
        </w:rPr>
        <w:t xml:space="preserve"> is an important milestone as we move to implementation of the Plan.</w:t>
      </w:r>
    </w:p>
    <w:p w14:paraId="61D5A73E" w14:textId="77777777" w:rsidR="00C826AE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5C7DE816" w14:textId="77777777" w:rsidR="00C826AE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F64B0F">
        <w:rPr>
          <w:rFonts w:eastAsia="Times New Roman" w:cstheme="minorHAnsi"/>
          <w:color w:val="212121"/>
          <w:sz w:val="28"/>
          <w:szCs w:val="28"/>
        </w:rPr>
        <w:t>The Coordination Group will develop and oversee the progress of a framework to coordinate and monitor the implementation of initiatives for fisheries managers and sectors set by the National Fisheries Plan.</w:t>
      </w:r>
    </w:p>
    <w:p w14:paraId="653D89C7" w14:textId="77777777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4DB85D1" w14:textId="015B7518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At the meeting, the Coordination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 Group commit</w:t>
      </w:r>
      <w:r>
        <w:rPr>
          <w:rFonts w:eastAsia="Times New Roman" w:cstheme="minorHAnsi"/>
          <w:color w:val="212121"/>
          <w:sz w:val="28"/>
          <w:szCs w:val="28"/>
        </w:rPr>
        <w:t>ted</w:t>
      </w:r>
      <w:r w:rsidRPr="007F3A05">
        <w:rPr>
          <w:rFonts w:eastAsia="Times New Roman" w:cstheme="minorHAnsi"/>
          <w:color w:val="212121"/>
          <w:sz w:val="28"/>
          <w:szCs w:val="28"/>
        </w:rPr>
        <w:t xml:space="preserve"> to </w:t>
      </w:r>
      <w:r>
        <w:rPr>
          <w:rFonts w:eastAsia="Times New Roman" w:cstheme="minorHAnsi"/>
          <w:color w:val="212121"/>
          <w:sz w:val="28"/>
          <w:szCs w:val="28"/>
        </w:rPr>
        <w:t>further exploring</w:t>
      </w:r>
      <w:r w:rsidRPr="007F3A05">
        <w:rPr>
          <w:rFonts w:eastAsia="Times New Roman" w:cstheme="minorHAnsi"/>
          <w:color w:val="212121"/>
          <w:sz w:val="28"/>
          <w:szCs w:val="28"/>
        </w:rPr>
        <w:t>:</w:t>
      </w:r>
    </w:p>
    <w:p w14:paraId="5EA2915F" w14:textId="2BB84DD4" w:rsidR="00B135A2" w:rsidRDefault="00B135A2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>The large range of action</w:t>
      </w:r>
      <w:r w:rsidR="00C42CFD">
        <w:rPr>
          <w:rFonts w:asciiTheme="minorHAnsi" w:eastAsia="Times New Roman" w:hAnsiTheme="minorHAnsi" w:cstheme="minorHAnsi"/>
          <w:color w:val="212121"/>
          <w:sz w:val="28"/>
          <w:szCs w:val="28"/>
        </w:rPr>
        <w:t>s</w:t>
      </w: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underway to address the priorities of the Plan</w:t>
      </w:r>
    </w:p>
    <w:p w14:paraId="74A95354" w14:textId="7A4A96DD" w:rsidR="00C826AE" w:rsidRDefault="00C826AE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The identification of priority </w:t>
      </w:r>
      <w:r w:rsidR="00313B64">
        <w:rPr>
          <w:rFonts w:asciiTheme="minorHAnsi" w:eastAsia="Times New Roman" w:hAnsiTheme="minorHAnsi" w:cstheme="minorHAnsi"/>
          <w:color w:val="212121"/>
          <w:sz w:val="28"/>
          <w:szCs w:val="28"/>
        </w:rPr>
        <w:t>areas for</w:t>
      </w:r>
      <w:r w:rsidR="00B135A2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collective action, and</w:t>
      </w:r>
    </w:p>
    <w:p w14:paraId="4425794D" w14:textId="77777777" w:rsidR="00C826AE" w:rsidRPr="00274312" w:rsidRDefault="00C826AE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>Opportunities for collaboration</w:t>
      </w:r>
    </w:p>
    <w:p w14:paraId="6CAB6B2B" w14:textId="77777777" w:rsidR="00C826AE" w:rsidRPr="007F3A05" w:rsidRDefault="00C826AE" w:rsidP="00C826AE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73B358E" w14:textId="5D6FC21C" w:rsidR="00C826AE" w:rsidRPr="007F3A05" w:rsidRDefault="00C826AE" w:rsidP="00C826AE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The group </w:t>
      </w:r>
      <w:r w:rsidR="002006D0">
        <w:rPr>
          <w:rFonts w:eastAsia="Times New Roman" w:cstheme="minorHAnsi"/>
          <w:color w:val="212121"/>
          <w:sz w:val="28"/>
          <w:szCs w:val="28"/>
        </w:rPr>
        <w:t>will meet again in mid-2023.</w:t>
      </w:r>
    </w:p>
    <w:p w14:paraId="05822F7A" w14:textId="77777777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BBE115A" w14:textId="70980554" w:rsidR="00C826AE" w:rsidRPr="001A1AD1" w:rsidRDefault="00C826AE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</w:p>
    <w:sectPr w:rsidR="00C826AE" w:rsidRPr="001A1A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D3" w14:textId="77777777" w:rsidR="00D11E9D" w:rsidRDefault="00D11E9D" w:rsidP="001A1AD1">
      <w:pPr>
        <w:spacing w:after="0" w:line="240" w:lineRule="auto"/>
      </w:pPr>
      <w:r>
        <w:separator/>
      </w:r>
    </w:p>
  </w:endnote>
  <w:endnote w:type="continuationSeparator" w:id="0">
    <w:p w14:paraId="05D4B6EF" w14:textId="77777777" w:rsidR="00D11E9D" w:rsidRDefault="00D11E9D" w:rsidP="001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88BE" w14:textId="77777777" w:rsidR="00D11E9D" w:rsidRDefault="00D11E9D" w:rsidP="001A1AD1">
      <w:pPr>
        <w:spacing w:after="0" w:line="240" w:lineRule="auto"/>
      </w:pPr>
      <w:r>
        <w:separator/>
      </w:r>
    </w:p>
  </w:footnote>
  <w:footnote w:type="continuationSeparator" w:id="0">
    <w:p w14:paraId="282261B7" w14:textId="77777777" w:rsidR="00D11E9D" w:rsidRDefault="00D11E9D" w:rsidP="001A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AA6" w14:textId="77777777" w:rsidR="001A1AD1" w:rsidRDefault="001A1AD1" w:rsidP="001A1AD1">
    <w:pPr>
      <w:spacing w:after="0"/>
      <w:jc w:val="right"/>
      <w:rPr>
        <w:rFonts w:eastAsia="Times New Roman" w:cstheme="minorHAnsi"/>
        <w:color w:val="212121"/>
        <w:szCs w:val="20"/>
      </w:rPr>
    </w:pPr>
    <w:r w:rsidRPr="001A1AD1">
      <w:rPr>
        <w:rFonts w:eastAsia="Times New Roman" w:cstheme="minorHAnsi"/>
        <w:color w:val="212121"/>
        <w:szCs w:val="20"/>
      </w:rPr>
      <w:t>Communique No: NFPCG 1</w:t>
    </w:r>
  </w:p>
  <w:p w14:paraId="57E2DB66" w14:textId="2A814459" w:rsidR="001A1AD1" w:rsidRPr="001A1AD1" w:rsidRDefault="001A1AD1" w:rsidP="001A1AD1">
    <w:pPr>
      <w:spacing w:after="0"/>
      <w:jc w:val="right"/>
      <w:rPr>
        <w:rFonts w:eastAsia="Times New Roman" w:cstheme="minorHAnsi"/>
        <w:color w:val="212121"/>
        <w:szCs w:val="20"/>
      </w:rPr>
    </w:pPr>
    <w:r>
      <w:rPr>
        <w:rFonts w:eastAsia="Times New Roman" w:cstheme="minorHAnsi"/>
        <w:color w:val="212121"/>
        <w:szCs w:val="20"/>
      </w:rPr>
      <w:t>December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6E63"/>
    <w:multiLevelType w:val="hybridMultilevel"/>
    <w:tmpl w:val="245C4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5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AE"/>
    <w:rsid w:val="001A1AD1"/>
    <w:rsid w:val="002006D0"/>
    <w:rsid w:val="00313B64"/>
    <w:rsid w:val="00564504"/>
    <w:rsid w:val="00646518"/>
    <w:rsid w:val="006A3166"/>
    <w:rsid w:val="0088377E"/>
    <w:rsid w:val="00A015BC"/>
    <w:rsid w:val="00B135A2"/>
    <w:rsid w:val="00C42CFD"/>
    <w:rsid w:val="00C826AE"/>
    <w:rsid w:val="00D11E9D"/>
    <w:rsid w:val="00E84BF8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CD19"/>
  <w15:chartTrackingRefBased/>
  <w15:docId w15:val="{766C9E41-72A7-4B91-91C1-84757A13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E"/>
    <w:pPr>
      <w:spacing w:after="120" w:line="276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826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6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26A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826AE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D1"/>
    <w:rPr>
      <w:sz w:val="20"/>
    </w:rPr>
  </w:style>
  <w:style w:type="paragraph" w:styleId="Revision">
    <w:name w:val="Revision"/>
    <w:hidden/>
    <w:uiPriority w:val="99"/>
    <w:semiHidden/>
    <w:rsid w:val="00E84BF8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8EB40-7BF8-4E24-8952-4CC796270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88257-62D5-48AF-871B-A3CDEA819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Fisheries Plan Coordination Group Communique 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Fisheries Plan Coordination Group Communique </dc:title>
  <dc:subject/>
  <dc:creator>Department of Agriculture, Fisheries and Forestry</dc:creator>
  <cp:keywords/>
  <dc:description/>
  <cp:lastModifiedBy>Nov, Amanda</cp:lastModifiedBy>
  <cp:revision>9</cp:revision>
  <dcterms:created xsi:type="dcterms:W3CDTF">2022-12-07T05:30:00Z</dcterms:created>
  <dcterms:modified xsi:type="dcterms:W3CDTF">2022-12-14T06:23:00Z</dcterms:modified>
</cp:coreProperties>
</file>