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DB5EBB" w14:textId="7DFCB09B" w:rsidR="00804221" w:rsidRPr="0001414B" w:rsidRDefault="001D2268" w:rsidP="0001414B">
      <w:pPr>
        <w:spacing w:before="0" w:after="360"/>
        <w:contextualSpacing/>
        <w:jc w:val="right"/>
        <w:rPr>
          <w:rFonts w:ascii="Calibri" w:hAnsi="Calibri" w:cs="Arial"/>
          <w:lang w:val="en-US"/>
        </w:rPr>
      </w:pPr>
      <w:r>
        <w:rPr>
          <w:rFonts w:ascii="Calibri" w:hAnsi="Calibri" w:cs="Arial"/>
          <w:lang w:val="en-US"/>
        </w:rPr>
        <w:t>21</w:t>
      </w:r>
      <w:r w:rsidR="00804221" w:rsidRPr="0001414B">
        <w:rPr>
          <w:rFonts w:ascii="Calibri" w:hAnsi="Calibri" w:cs="Arial"/>
          <w:lang w:val="en-US"/>
        </w:rPr>
        <w:t>/0</w:t>
      </w:r>
      <w:r w:rsidR="00F779D3">
        <w:rPr>
          <w:rFonts w:ascii="Calibri" w:hAnsi="Calibri" w:cs="Arial"/>
          <w:lang w:val="en-US"/>
        </w:rPr>
        <w:t>2</w:t>
      </w:r>
      <w:r w:rsidR="00804221" w:rsidRPr="0001414B">
        <w:rPr>
          <w:rFonts w:ascii="Calibri" w:hAnsi="Calibri" w:cs="Arial"/>
          <w:lang w:val="en-US"/>
        </w:rPr>
        <w:t>/202</w:t>
      </w:r>
      <w:r w:rsidR="00F779D3">
        <w:rPr>
          <w:rFonts w:ascii="Calibri" w:hAnsi="Calibri" w:cs="Arial"/>
          <w:lang w:val="en-US"/>
        </w:rPr>
        <w:t>3</w:t>
      </w:r>
    </w:p>
    <w:p w14:paraId="10CDDFDD" w14:textId="59ACE867" w:rsidR="00804221" w:rsidRPr="00804221" w:rsidRDefault="003C1822" w:rsidP="00804221">
      <w:pPr>
        <w:spacing w:before="0" w:after="360"/>
        <w:contextualSpacing/>
        <w:jc w:val="right"/>
        <w:rPr>
          <w:rFonts w:ascii="Calibri" w:hAnsi="Calibri" w:cs="Arial"/>
          <w:lang w:val="en-US"/>
        </w:rPr>
      </w:pPr>
      <w:r>
        <w:rPr>
          <w:rFonts w:ascii="Calibri" w:hAnsi="Calibri" w:cs="Arial"/>
          <w:lang w:val="en-US"/>
        </w:rPr>
        <w:t>70 Northbourne Ave</w:t>
      </w:r>
    </w:p>
    <w:p w14:paraId="4511D00A" w14:textId="77777777" w:rsidR="00804221" w:rsidRPr="00804221" w:rsidRDefault="00804221" w:rsidP="00804221">
      <w:pPr>
        <w:spacing w:before="0" w:after="360"/>
        <w:ind w:left="720"/>
        <w:contextualSpacing/>
        <w:jc w:val="right"/>
        <w:rPr>
          <w:rFonts w:ascii="Calibri" w:hAnsi="Calibri" w:cs="Arial"/>
          <w:lang w:val="en-US"/>
        </w:rPr>
      </w:pPr>
      <w:r w:rsidRPr="00804221">
        <w:rPr>
          <w:rFonts w:ascii="Calibri" w:hAnsi="Calibri" w:cs="Arial"/>
          <w:lang w:val="en-US"/>
        </w:rPr>
        <w:tab/>
      </w:r>
      <w:r w:rsidRPr="00804221">
        <w:rPr>
          <w:rFonts w:ascii="Calibri" w:hAnsi="Calibri" w:cs="Arial"/>
          <w:lang w:val="en-US"/>
        </w:rPr>
        <w:tab/>
      </w:r>
      <w:r w:rsidRPr="00804221">
        <w:rPr>
          <w:rFonts w:ascii="Calibri" w:hAnsi="Calibri" w:cs="Arial"/>
          <w:lang w:val="en-US"/>
        </w:rPr>
        <w:tab/>
      </w:r>
      <w:r w:rsidRPr="00804221">
        <w:rPr>
          <w:rFonts w:ascii="Calibri" w:hAnsi="Calibri" w:cs="Arial"/>
          <w:lang w:val="en-US"/>
        </w:rPr>
        <w:tab/>
        <w:t>Canberra 2601</w:t>
      </w:r>
    </w:p>
    <w:p w14:paraId="5766F6A8" w14:textId="61F94C83" w:rsidR="00804221" w:rsidRPr="00804221" w:rsidRDefault="00000000" w:rsidP="00804221">
      <w:pPr>
        <w:spacing w:before="0" w:after="360"/>
        <w:contextualSpacing/>
        <w:jc w:val="right"/>
        <w:rPr>
          <w:rFonts w:ascii="Calibri" w:hAnsi="Calibri" w:cs="Arial"/>
          <w:lang w:val="en-US"/>
        </w:rPr>
      </w:pPr>
      <w:hyperlink r:id="rId11" w:history="1">
        <w:r w:rsidR="00F11963" w:rsidRPr="005201A3">
          <w:rPr>
            <w:rStyle w:val="Hyperlink"/>
            <w:rFonts w:ascii="Calibri" w:hAnsi="Calibri" w:cs="Arial"/>
            <w:lang w:val="en-US"/>
          </w:rPr>
          <w:t>marinepests@agriculture.gov.au</w:t>
        </w:r>
      </w:hyperlink>
      <w:r w:rsidR="00804221" w:rsidRPr="00804221">
        <w:rPr>
          <w:rFonts w:ascii="Calibri" w:hAnsi="Calibri" w:cs="Arial"/>
          <w:lang w:val="en-US"/>
        </w:rPr>
        <w:t xml:space="preserve"> </w:t>
      </w:r>
    </w:p>
    <w:p w14:paraId="241181DF" w14:textId="77777777" w:rsidR="00804221" w:rsidRDefault="00804221" w:rsidP="00804221">
      <w:pPr>
        <w:autoSpaceDE w:val="0"/>
        <w:autoSpaceDN w:val="0"/>
        <w:adjustRightInd w:val="0"/>
        <w:spacing w:before="0"/>
        <w:rPr>
          <w:rFonts w:ascii="Calibri" w:hAnsi="Calibri" w:cs="Calibri"/>
          <w:b/>
          <w:bCs/>
          <w:color w:val="000000"/>
          <w:sz w:val="24"/>
          <w:szCs w:val="24"/>
        </w:rPr>
      </w:pPr>
    </w:p>
    <w:p w14:paraId="4EAFFEA2" w14:textId="77777777" w:rsidR="00804221" w:rsidRDefault="00804221" w:rsidP="00804221">
      <w:pPr>
        <w:autoSpaceDE w:val="0"/>
        <w:autoSpaceDN w:val="0"/>
        <w:adjustRightInd w:val="0"/>
        <w:spacing w:before="0"/>
        <w:rPr>
          <w:rFonts w:ascii="Calibri" w:hAnsi="Calibri" w:cs="Calibri"/>
          <w:b/>
          <w:bCs/>
          <w:color w:val="000000"/>
          <w:sz w:val="24"/>
          <w:szCs w:val="24"/>
        </w:rPr>
      </w:pPr>
    </w:p>
    <w:p w14:paraId="50C876A6" w14:textId="42EE92EB" w:rsidR="00804221" w:rsidRPr="00804221" w:rsidRDefault="00804221" w:rsidP="00804221">
      <w:pPr>
        <w:autoSpaceDE w:val="0"/>
        <w:autoSpaceDN w:val="0"/>
        <w:adjustRightInd w:val="0"/>
        <w:spacing w:before="0"/>
        <w:jc w:val="center"/>
        <w:rPr>
          <w:rFonts w:ascii="Calibri" w:hAnsi="Calibri" w:cs="Calibri"/>
          <w:b/>
          <w:bCs/>
          <w:color w:val="000000"/>
          <w:sz w:val="24"/>
          <w:szCs w:val="24"/>
        </w:rPr>
      </w:pPr>
      <w:r w:rsidRPr="00804221">
        <w:rPr>
          <w:rFonts w:ascii="Calibri" w:hAnsi="Calibri" w:cs="Calibri"/>
          <w:b/>
          <w:bCs/>
          <w:color w:val="000000"/>
          <w:sz w:val="24"/>
          <w:szCs w:val="24"/>
        </w:rPr>
        <w:t>DEPARTMENT OF AGRICULTURE</w:t>
      </w:r>
      <w:r>
        <w:rPr>
          <w:rFonts w:ascii="Calibri" w:hAnsi="Calibri" w:cs="Calibri"/>
          <w:b/>
          <w:bCs/>
          <w:color w:val="000000"/>
          <w:sz w:val="24"/>
          <w:szCs w:val="24"/>
        </w:rPr>
        <w:t xml:space="preserve">, </w:t>
      </w:r>
      <w:r w:rsidR="00FB61E1">
        <w:rPr>
          <w:rFonts w:ascii="Calibri" w:hAnsi="Calibri" w:cs="Calibri"/>
          <w:b/>
          <w:bCs/>
          <w:color w:val="000000"/>
          <w:sz w:val="24"/>
          <w:szCs w:val="24"/>
        </w:rPr>
        <w:t>FISHERIES</w:t>
      </w:r>
      <w:r>
        <w:rPr>
          <w:rFonts w:ascii="Calibri" w:hAnsi="Calibri" w:cs="Calibri"/>
          <w:b/>
          <w:bCs/>
          <w:color w:val="000000"/>
          <w:sz w:val="24"/>
          <w:szCs w:val="24"/>
        </w:rPr>
        <w:t xml:space="preserve"> AND </w:t>
      </w:r>
      <w:r w:rsidR="00FB61E1">
        <w:rPr>
          <w:rFonts w:ascii="Calibri" w:hAnsi="Calibri" w:cs="Calibri"/>
          <w:b/>
          <w:bCs/>
          <w:color w:val="000000"/>
          <w:sz w:val="24"/>
          <w:szCs w:val="24"/>
        </w:rPr>
        <w:t>FORESTRY</w:t>
      </w:r>
    </w:p>
    <w:p w14:paraId="357CAA6D" w14:textId="77777777" w:rsidR="00804221" w:rsidRPr="00804221" w:rsidRDefault="00804221" w:rsidP="00804221">
      <w:pPr>
        <w:autoSpaceDE w:val="0"/>
        <w:autoSpaceDN w:val="0"/>
        <w:adjustRightInd w:val="0"/>
        <w:spacing w:before="0"/>
        <w:jc w:val="center"/>
        <w:rPr>
          <w:rFonts w:ascii="Calibri" w:hAnsi="Calibri" w:cs="Calibri"/>
          <w:b/>
          <w:bCs/>
          <w:color w:val="000000"/>
          <w:sz w:val="24"/>
          <w:szCs w:val="24"/>
        </w:rPr>
      </w:pPr>
      <w:r w:rsidRPr="00804221">
        <w:rPr>
          <w:rFonts w:ascii="Calibri" w:hAnsi="Calibri" w:cs="Calibri"/>
          <w:b/>
          <w:bCs/>
          <w:color w:val="000000"/>
          <w:sz w:val="24"/>
          <w:szCs w:val="24"/>
        </w:rPr>
        <w:t>SHIPPING CIRCULAR</w:t>
      </w:r>
    </w:p>
    <w:p w14:paraId="0AA2F590" w14:textId="77777777" w:rsidR="00804221" w:rsidRPr="00804221" w:rsidRDefault="00804221" w:rsidP="00804221">
      <w:pPr>
        <w:autoSpaceDE w:val="0"/>
        <w:autoSpaceDN w:val="0"/>
        <w:adjustRightInd w:val="0"/>
        <w:spacing w:before="0"/>
        <w:jc w:val="center"/>
        <w:rPr>
          <w:rFonts w:ascii="Calibri" w:hAnsi="Calibri" w:cs="Calibri"/>
          <w:b/>
          <w:bCs/>
          <w:color w:val="000000"/>
          <w:sz w:val="24"/>
          <w:szCs w:val="24"/>
        </w:rPr>
      </w:pPr>
    </w:p>
    <w:p w14:paraId="28B34040" w14:textId="6DBA432E" w:rsidR="00804221" w:rsidRPr="00804221" w:rsidRDefault="00804221" w:rsidP="00804221">
      <w:pPr>
        <w:autoSpaceDE w:val="0"/>
        <w:autoSpaceDN w:val="0"/>
        <w:adjustRightInd w:val="0"/>
        <w:spacing w:before="0"/>
        <w:jc w:val="center"/>
        <w:rPr>
          <w:rFonts w:ascii="Calibri" w:hAnsi="Calibri" w:cs="Calibri"/>
          <w:i/>
          <w:lang w:val="en-US"/>
        </w:rPr>
      </w:pPr>
      <w:r w:rsidRPr="00804221">
        <w:rPr>
          <w:rFonts w:ascii="Calibri" w:hAnsi="Calibri" w:cs="Calibri"/>
          <w:b/>
          <w:bCs/>
          <w:noProof/>
          <w:color w:val="000000"/>
          <w:sz w:val="24"/>
          <w:szCs w:val="24"/>
          <w:lang w:eastAsia="en-AU"/>
        </w:rPr>
        <mc:AlternateContent>
          <mc:Choice Requires="wps">
            <w:drawing>
              <wp:anchor distT="45720" distB="45720" distL="114300" distR="114300" simplePos="0" relativeHeight="251659264" behindDoc="0" locked="0" layoutInCell="1" allowOverlap="1" wp14:anchorId="6BD3EE06" wp14:editId="3C5F3B44">
                <wp:simplePos x="0" y="0"/>
                <wp:positionH relativeFrom="margin">
                  <wp:posOffset>-10795</wp:posOffset>
                </wp:positionH>
                <wp:positionV relativeFrom="paragraph">
                  <wp:posOffset>264160</wp:posOffset>
                </wp:positionV>
                <wp:extent cx="5915025" cy="116903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69035"/>
                        </a:xfrm>
                        <a:prstGeom prst="rect">
                          <a:avLst/>
                        </a:prstGeom>
                        <a:solidFill>
                          <a:srgbClr val="FFFFFF"/>
                        </a:solidFill>
                        <a:ln w="9525">
                          <a:solidFill>
                            <a:srgbClr val="000000"/>
                          </a:solidFill>
                          <a:miter lim="800000"/>
                          <a:headEnd/>
                          <a:tailEnd/>
                        </a:ln>
                      </wps:spPr>
                      <wps:txbx>
                        <w:txbxContent>
                          <w:p w14:paraId="6A0698FA" w14:textId="77777777" w:rsidR="00804221" w:rsidRPr="00804221" w:rsidRDefault="00804221" w:rsidP="007C2DD4">
                            <w:pPr>
                              <w:keepNext/>
                              <w:keepLines/>
                              <w:spacing w:before="240" w:line="259" w:lineRule="auto"/>
                              <w:jc w:val="center"/>
                              <w:outlineLvl w:val="0"/>
                              <w:rPr>
                                <w:rFonts w:eastAsia="MS Gothic"/>
                                <w:color w:val="848057"/>
                                <w:sz w:val="28"/>
                                <w:szCs w:val="28"/>
                              </w:rPr>
                            </w:pPr>
                            <w:r w:rsidRPr="00804221">
                              <w:rPr>
                                <w:rFonts w:eastAsia="MS Gothic"/>
                                <w:color w:val="848057"/>
                                <w:sz w:val="28"/>
                                <w:szCs w:val="28"/>
                              </w:rPr>
                              <w:t>Who does this notice affect?</w:t>
                            </w:r>
                          </w:p>
                          <w:p w14:paraId="1A27A3A3" w14:textId="4F5DCC3A" w:rsidR="00804221" w:rsidRDefault="00804221" w:rsidP="00C37EA2">
                            <w:pPr>
                              <w:autoSpaceDE w:val="0"/>
                              <w:autoSpaceDN w:val="0"/>
                              <w:adjustRightInd w:val="0"/>
                              <w:jc w:val="center"/>
                            </w:pPr>
                            <w:r>
                              <w:rPr>
                                <w:rFonts w:cstheme="minorHAnsi"/>
                                <w:color w:val="000000"/>
                                <w:sz w:val="24"/>
                                <w:szCs w:val="24"/>
                              </w:rPr>
                              <w:t>S</w:t>
                            </w:r>
                            <w:r w:rsidRPr="00202C7B">
                              <w:rPr>
                                <w:rFonts w:cstheme="minorHAnsi"/>
                                <w:color w:val="000000"/>
                                <w:sz w:val="24"/>
                                <w:szCs w:val="24"/>
                              </w:rPr>
                              <w:t>hipowners, ship managers,</w:t>
                            </w:r>
                            <w:r>
                              <w:rPr>
                                <w:rFonts w:cstheme="minorHAnsi"/>
                                <w:color w:val="000000"/>
                                <w:sz w:val="24"/>
                                <w:szCs w:val="24"/>
                              </w:rPr>
                              <w:t xml:space="preserve"> operators, Masters of Australian and foreign flagged </w:t>
                            </w:r>
                            <w:r w:rsidRPr="00202C7B">
                              <w:rPr>
                                <w:rFonts w:cstheme="minorHAnsi"/>
                                <w:color w:val="000000"/>
                                <w:sz w:val="24"/>
                                <w:szCs w:val="24"/>
                              </w:rPr>
                              <w:t>ships</w:t>
                            </w:r>
                            <w:r w:rsidR="00E203B8">
                              <w:rPr>
                                <w:rFonts w:cstheme="minorHAnsi"/>
                                <w:color w:val="000000"/>
                                <w:sz w:val="24"/>
                                <w:szCs w:val="24"/>
                              </w:rPr>
                              <w:t xml:space="preserve"> and</w:t>
                            </w:r>
                            <w:r w:rsidRPr="00202C7B">
                              <w:rPr>
                                <w:rFonts w:cstheme="minorHAnsi"/>
                                <w:color w:val="000000"/>
                                <w:sz w:val="24"/>
                                <w:szCs w:val="24"/>
                              </w:rPr>
                              <w:t xml:space="preserve"> Recognised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3EE06" id="_x0000_t202" coordsize="21600,21600" o:spt="202" path="m,l,21600r21600,l21600,xe">
                <v:stroke joinstyle="miter"/>
                <v:path gradientshapeok="t" o:connecttype="rect"/>
              </v:shapetype>
              <v:shape id="Text Box 2" o:spid="_x0000_s1026" type="#_x0000_t202" style="position:absolute;left:0;text-align:left;margin-left:-.85pt;margin-top:20.8pt;width:465.75pt;height:9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">
                <v:textbox>
                  <w:txbxContent>
                    <w:p w14:paraId="6A0698FA" w14:textId="77777777" w:rsidR="00804221" w:rsidRPr="00804221" w:rsidRDefault="00804221" w:rsidP="007C2DD4">
                      <w:pPr>
                        <w:keepNext/>
                        <w:keepLines/>
                        <w:spacing w:before="240" w:line="259" w:lineRule="auto"/>
                        <w:jc w:val="center"/>
                        <w:outlineLvl w:val="0"/>
                        <w:rPr>
                          <w:rFonts w:eastAsia="MS Gothic"/>
                          <w:color w:val="848057"/>
                          <w:sz w:val="28"/>
                          <w:szCs w:val="28"/>
                        </w:rPr>
                      </w:pPr>
                      <w:r w:rsidRPr="00804221">
                        <w:rPr>
                          <w:rFonts w:eastAsia="MS Gothic"/>
                          <w:color w:val="848057"/>
                          <w:sz w:val="28"/>
                          <w:szCs w:val="28"/>
                        </w:rPr>
                        <w:t>Who does this notice affect?</w:t>
                      </w:r>
                    </w:p>
                    <w:p w14:paraId="1A27A3A3" w14:textId="4F5DCC3A" w:rsidR="00804221" w:rsidRDefault="00804221" w:rsidP="00C37EA2">
                      <w:pPr>
                        <w:autoSpaceDE w:val="0"/>
                        <w:autoSpaceDN w:val="0"/>
                        <w:adjustRightInd w:val="0"/>
                        <w:jc w:val="center"/>
                      </w:pPr>
                      <w:r>
                        <w:rPr>
                          <w:rFonts w:cstheme="minorHAnsi"/>
                          <w:color w:val="000000"/>
                          <w:sz w:val="24"/>
                          <w:szCs w:val="24"/>
                        </w:rPr>
                        <w:t>S</w:t>
                      </w:r>
                      <w:r w:rsidRPr="00202C7B">
                        <w:rPr>
                          <w:rFonts w:cstheme="minorHAnsi"/>
                          <w:color w:val="000000"/>
                          <w:sz w:val="24"/>
                          <w:szCs w:val="24"/>
                        </w:rPr>
                        <w:t>hipowners, ship managers,</w:t>
                      </w:r>
                      <w:r>
                        <w:rPr>
                          <w:rFonts w:cstheme="minorHAnsi"/>
                          <w:color w:val="000000"/>
                          <w:sz w:val="24"/>
                          <w:szCs w:val="24"/>
                        </w:rPr>
                        <w:t xml:space="preserve"> operators, Masters of Australian and foreign flagged </w:t>
                      </w:r>
                      <w:r w:rsidRPr="00202C7B">
                        <w:rPr>
                          <w:rFonts w:cstheme="minorHAnsi"/>
                          <w:color w:val="000000"/>
                          <w:sz w:val="24"/>
                          <w:szCs w:val="24"/>
                        </w:rPr>
                        <w:t>ships</w:t>
                      </w:r>
                      <w:r w:rsidR="00E203B8">
                        <w:rPr>
                          <w:rFonts w:cstheme="minorHAnsi"/>
                          <w:color w:val="000000"/>
                          <w:sz w:val="24"/>
                          <w:szCs w:val="24"/>
                        </w:rPr>
                        <w:t xml:space="preserve"> and</w:t>
                      </w:r>
                      <w:r w:rsidRPr="00202C7B">
                        <w:rPr>
                          <w:rFonts w:cstheme="minorHAnsi"/>
                          <w:color w:val="000000"/>
                          <w:sz w:val="24"/>
                          <w:szCs w:val="24"/>
                        </w:rPr>
                        <w:t xml:space="preserve"> Recognised Organisations</w:t>
                      </w:r>
                    </w:p>
                  </w:txbxContent>
                </v:textbox>
                <w10:wrap type="square" anchorx="margin"/>
              </v:shape>
            </w:pict>
          </mc:Fallback>
        </mc:AlternateContent>
      </w:r>
      <w:r w:rsidRPr="00804221">
        <w:rPr>
          <w:rFonts w:ascii="Calibri" w:hAnsi="Calibri" w:cs="Calibri"/>
          <w:bCs/>
          <w:i/>
        </w:rPr>
        <w:t>NO. 01</w:t>
      </w:r>
      <w:r>
        <w:rPr>
          <w:rFonts w:ascii="Calibri" w:hAnsi="Calibri" w:cs="Calibri"/>
          <w:bCs/>
          <w:i/>
        </w:rPr>
        <w:t xml:space="preserve"> OF 202</w:t>
      </w:r>
      <w:r w:rsidR="00462148">
        <w:rPr>
          <w:rFonts w:ascii="Calibri" w:hAnsi="Calibri" w:cs="Calibri"/>
          <w:bCs/>
          <w:i/>
        </w:rPr>
        <w:t>3</w:t>
      </w:r>
    </w:p>
    <w:p w14:paraId="7FB48DCB" w14:textId="77777777" w:rsidR="00804221" w:rsidRDefault="00804221" w:rsidP="00804221">
      <w:pPr>
        <w:autoSpaceDE w:val="0"/>
        <w:autoSpaceDN w:val="0"/>
        <w:adjustRightInd w:val="0"/>
        <w:spacing w:before="0"/>
        <w:rPr>
          <w:rFonts w:eastAsia="MS Gothic"/>
          <w:bCs/>
          <w:color w:val="848057"/>
          <w:sz w:val="28"/>
          <w:szCs w:val="28"/>
        </w:rPr>
      </w:pPr>
    </w:p>
    <w:p w14:paraId="0A3109FC" w14:textId="522585CB" w:rsidR="00340DB1" w:rsidRDefault="00804221" w:rsidP="00340DB1">
      <w:pPr>
        <w:tabs>
          <w:tab w:val="left" w:pos="301"/>
          <w:tab w:val="center" w:pos="4513"/>
        </w:tabs>
        <w:autoSpaceDE w:val="0"/>
        <w:autoSpaceDN w:val="0"/>
        <w:adjustRightInd w:val="0"/>
        <w:spacing w:before="0"/>
        <w:jc w:val="center"/>
        <w:rPr>
          <w:rFonts w:eastAsia="MS Gothic"/>
          <w:bCs/>
          <w:color w:val="848057"/>
          <w:sz w:val="28"/>
          <w:szCs w:val="28"/>
        </w:rPr>
      </w:pPr>
      <w:bookmarkStart w:id="0" w:name="_Hlk41576726"/>
      <w:r w:rsidRPr="00804221">
        <w:rPr>
          <w:rFonts w:eastAsia="MS Gothic"/>
          <w:bCs/>
          <w:color w:val="848057"/>
          <w:sz w:val="28"/>
          <w:szCs w:val="28"/>
        </w:rPr>
        <w:t>Advice to the international maritime industry</w:t>
      </w:r>
      <w:r w:rsidR="002F719A">
        <w:rPr>
          <w:rFonts w:eastAsia="MS Gothic"/>
          <w:bCs/>
          <w:color w:val="848057"/>
          <w:sz w:val="28"/>
          <w:szCs w:val="28"/>
        </w:rPr>
        <w:t xml:space="preserve"> – </w:t>
      </w:r>
      <w:r w:rsidR="00353FE5">
        <w:rPr>
          <w:rFonts w:eastAsia="MS Gothic"/>
          <w:bCs/>
          <w:color w:val="848057"/>
          <w:sz w:val="28"/>
          <w:szCs w:val="28"/>
        </w:rPr>
        <w:t>contingency measures for ships installed with ballast water management systems</w:t>
      </w:r>
    </w:p>
    <w:bookmarkEnd w:id="0"/>
    <w:p w14:paraId="310DC082" w14:textId="77777777" w:rsidR="00804221" w:rsidRPr="00804221" w:rsidRDefault="00804221" w:rsidP="007C2DD4">
      <w:pPr>
        <w:autoSpaceDE w:val="0"/>
        <w:autoSpaceDN w:val="0"/>
        <w:adjustRightInd w:val="0"/>
        <w:spacing w:before="0"/>
        <w:jc w:val="both"/>
        <w:rPr>
          <w:rFonts w:ascii="Calibri" w:hAnsi="Calibri" w:cs="Calibri"/>
          <w:b/>
          <w:bCs/>
          <w:color w:val="000000"/>
        </w:rPr>
      </w:pPr>
    </w:p>
    <w:p w14:paraId="6CEE7EE1" w14:textId="73A77FFB" w:rsidR="00353FE5" w:rsidRPr="00222296" w:rsidRDefault="00353FE5" w:rsidP="00353FE5">
      <w:pPr>
        <w:pStyle w:val="ListParagraph"/>
        <w:numPr>
          <w:ilvl w:val="0"/>
          <w:numId w:val="20"/>
        </w:numPr>
        <w:tabs>
          <w:tab w:val="left" w:pos="301"/>
          <w:tab w:val="center" w:pos="4513"/>
        </w:tabs>
        <w:autoSpaceDE w:val="0"/>
        <w:autoSpaceDN w:val="0"/>
        <w:adjustRightInd w:val="0"/>
        <w:spacing w:before="0"/>
        <w:jc w:val="both"/>
      </w:pPr>
      <w:r w:rsidRPr="00222296">
        <w:t xml:space="preserve">This circular is to inform the industry of Australia’s </w:t>
      </w:r>
      <w:r w:rsidR="001F5AE2" w:rsidRPr="00222296">
        <w:t xml:space="preserve">requirements </w:t>
      </w:r>
      <w:r w:rsidRPr="00222296">
        <w:t>regarding</w:t>
      </w:r>
      <w:r w:rsidR="001F5AE2" w:rsidRPr="00222296">
        <w:t xml:space="preserve"> the use of contingency measures</w:t>
      </w:r>
      <w:r w:rsidR="00BA616A" w:rsidRPr="00222296">
        <w:rPr>
          <w:rStyle w:val="FootnoteReference"/>
        </w:rPr>
        <w:footnoteReference w:id="1"/>
      </w:r>
      <w:r w:rsidR="001F5AE2" w:rsidRPr="00222296">
        <w:t xml:space="preserve"> for ships </w:t>
      </w:r>
      <w:r w:rsidR="00222296">
        <w:t>utilising a</w:t>
      </w:r>
      <w:r w:rsidRPr="00222296">
        <w:t xml:space="preserve"> </w:t>
      </w:r>
      <w:r w:rsidR="00D33265" w:rsidRPr="00222296">
        <w:t>Ballast Water Management System (</w:t>
      </w:r>
      <w:r w:rsidRPr="00222296">
        <w:t>BWMS</w:t>
      </w:r>
      <w:r w:rsidR="00D33265" w:rsidRPr="00222296">
        <w:t>)</w:t>
      </w:r>
      <w:r w:rsidRPr="00222296">
        <w:t>.</w:t>
      </w:r>
    </w:p>
    <w:p w14:paraId="24692AD8" w14:textId="77777777" w:rsidR="00D33265" w:rsidRPr="00222296" w:rsidRDefault="00D33265" w:rsidP="001F5AE2">
      <w:pPr>
        <w:tabs>
          <w:tab w:val="left" w:pos="301"/>
          <w:tab w:val="center" w:pos="4513"/>
        </w:tabs>
        <w:autoSpaceDE w:val="0"/>
        <w:autoSpaceDN w:val="0"/>
        <w:adjustRightInd w:val="0"/>
        <w:spacing w:before="0"/>
        <w:jc w:val="both"/>
      </w:pPr>
    </w:p>
    <w:p w14:paraId="6656314F" w14:textId="77B9343D" w:rsidR="00222296" w:rsidRDefault="00222296" w:rsidP="00222296">
      <w:pPr>
        <w:pStyle w:val="ListParagraph"/>
        <w:numPr>
          <w:ilvl w:val="0"/>
          <w:numId w:val="20"/>
        </w:numPr>
        <w:tabs>
          <w:tab w:val="left" w:pos="301"/>
          <w:tab w:val="center" w:pos="4513"/>
        </w:tabs>
        <w:autoSpaceDE w:val="0"/>
        <w:autoSpaceDN w:val="0"/>
        <w:adjustRightInd w:val="0"/>
        <w:spacing w:before="0"/>
        <w:jc w:val="both"/>
      </w:pPr>
      <w:r w:rsidRPr="00222296">
        <w:t xml:space="preserve">A contingency measure may only be used in the instance of a BWMS failure or similar unforeseen circumstance. </w:t>
      </w:r>
      <w:r w:rsidR="00582E93">
        <w:t>These circumstances may include</w:t>
      </w:r>
      <w:r w:rsidRPr="00222296">
        <w:t xml:space="preserve"> an inoperable BWMS </w:t>
      </w:r>
      <w:r w:rsidR="00582E93">
        <w:t xml:space="preserve">where </w:t>
      </w:r>
      <w:r w:rsidRPr="00222296">
        <w:t xml:space="preserve">all reasonable steps </w:t>
      </w:r>
      <w:r w:rsidR="00582E93">
        <w:t>have</w:t>
      </w:r>
      <w:r w:rsidR="00582E93" w:rsidRPr="00222296">
        <w:t xml:space="preserve"> </w:t>
      </w:r>
      <w:r w:rsidRPr="00222296">
        <w:t>be</w:t>
      </w:r>
      <w:r w:rsidR="00582E93">
        <w:t>en</w:t>
      </w:r>
      <w:r w:rsidRPr="00222296">
        <w:t xml:space="preserve"> </w:t>
      </w:r>
      <w:r w:rsidR="00582E93">
        <w:t>under</w:t>
      </w:r>
      <w:r w:rsidRPr="00222296">
        <w:t>taken to repair the BWMS prior to uptake or discharge</w:t>
      </w:r>
      <w:r>
        <w:t xml:space="preserve"> of ballast water</w:t>
      </w:r>
      <w:r w:rsidRPr="00222296">
        <w:t>.</w:t>
      </w:r>
    </w:p>
    <w:p w14:paraId="2D7D992D" w14:textId="77777777" w:rsidR="00E31A0B" w:rsidRDefault="00E31A0B" w:rsidP="00E31A0B">
      <w:pPr>
        <w:pStyle w:val="ListParagraph"/>
      </w:pPr>
    </w:p>
    <w:p w14:paraId="320582A2" w14:textId="6FCE3C09" w:rsidR="00E31A0B" w:rsidRPr="00222296" w:rsidRDefault="00E31A0B" w:rsidP="00E31A0B">
      <w:pPr>
        <w:pStyle w:val="ListParagraph"/>
        <w:numPr>
          <w:ilvl w:val="0"/>
          <w:numId w:val="20"/>
        </w:numPr>
        <w:tabs>
          <w:tab w:val="left" w:pos="301"/>
          <w:tab w:val="center" w:pos="4513"/>
        </w:tabs>
        <w:autoSpaceDE w:val="0"/>
        <w:autoSpaceDN w:val="0"/>
        <w:adjustRightInd w:val="0"/>
        <w:spacing w:before="0"/>
        <w:jc w:val="both"/>
      </w:pPr>
      <w:r>
        <w:t>Ship-specific c</w:t>
      </w:r>
      <w:r w:rsidRPr="00222296">
        <w:t xml:space="preserve">ontingency measures, including the use of ballast water exchange where applicable, are required to be incorporated into the Ballast Water Management Plan (BWMP) and be approved </w:t>
      </w:r>
      <w:r w:rsidR="00BA616A">
        <w:t>by</w:t>
      </w:r>
      <w:r w:rsidRPr="00222296">
        <w:t xml:space="preserve"> the relevant Recognised Organisation</w:t>
      </w:r>
      <w:r w:rsidRPr="00222296">
        <w:rPr>
          <w:rStyle w:val="FootnoteReference"/>
        </w:rPr>
        <w:footnoteReference w:id="2"/>
      </w:r>
      <w:r w:rsidRPr="00222296">
        <w:t xml:space="preserve">. </w:t>
      </w:r>
      <w:r w:rsidR="00BA616A">
        <w:t>T</w:t>
      </w:r>
      <w:r w:rsidR="00BA616A" w:rsidRPr="00222296">
        <w:t xml:space="preserve">he ship specific contingency measures </w:t>
      </w:r>
      <w:r w:rsidR="00BA616A">
        <w:t xml:space="preserve">can be </w:t>
      </w:r>
      <w:r w:rsidR="00BA616A" w:rsidRPr="00222296">
        <w:t>approved as an appendix or an addendum to the BWMP</w:t>
      </w:r>
      <w:r w:rsidR="00BA616A">
        <w:t xml:space="preserve">. </w:t>
      </w:r>
      <w:r w:rsidRPr="00222296">
        <w:t>The complete BWMP need not be re</w:t>
      </w:r>
      <w:r w:rsidR="00BA616A">
        <w:t>-</w:t>
      </w:r>
      <w:r w:rsidRPr="00222296">
        <w:t xml:space="preserve">approved. </w:t>
      </w:r>
    </w:p>
    <w:p w14:paraId="1871450A" w14:textId="77777777" w:rsidR="00E31A0B" w:rsidRPr="00222296" w:rsidRDefault="00E31A0B" w:rsidP="00E31A0B">
      <w:pPr>
        <w:pStyle w:val="ListParagraph"/>
        <w:tabs>
          <w:tab w:val="left" w:pos="301"/>
          <w:tab w:val="center" w:pos="4513"/>
        </w:tabs>
        <w:autoSpaceDE w:val="0"/>
        <w:autoSpaceDN w:val="0"/>
        <w:adjustRightInd w:val="0"/>
        <w:spacing w:before="0"/>
        <w:jc w:val="both"/>
      </w:pPr>
    </w:p>
    <w:p w14:paraId="4E2CF346" w14:textId="47A58007" w:rsidR="00E31A0B" w:rsidRPr="00222296" w:rsidRDefault="00E31A0B" w:rsidP="00E31A0B">
      <w:pPr>
        <w:pStyle w:val="ListParagraph"/>
        <w:numPr>
          <w:ilvl w:val="0"/>
          <w:numId w:val="20"/>
        </w:numPr>
        <w:tabs>
          <w:tab w:val="left" w:pos="301"/>
          <w:tab w:val="center" w:pos="4513"/>
        </w:tabs>
        <w:autoSpaceDE w:val="0"/>
        <w:autoSpaceDN w:val="0"/>
        <w:adjustRightInd w:val="0"/>
        <w:spacing w:before="0"/>
        <w:jc w:val="both"/>
      </w:pPr>
      <w:r w:rsidRPr="00222296">
        <w:t xml:space="preserve">The contingency measures developed shall consider IMO BWM.2/Circ.62 on “Guidance on contingency measures under the BWM Convention”. Ship owners should include as many practical and safe contingency measures in the BWMP as possible, such that the Master can be guided accordingly in the event of a BWMS failure. </w:t>
      </w:r>
    </w:p>
    <w:p w14:paraId="329F77C9" w14:textId="77777777" w:rsidR="005D46EC" w:rsidRDefault="005D46EC" w:rsidP="005D46EC">
      <w:pPr>
        <w:tabs>
          <w:tab w:val="left" w:pos="301"/>
          <w:tab w:val="center" w:pos="4513"/>
        </w:tabs>
        <w:autoSpaceDE w:val="0"/>
        <w:autoSpaceDN w:val="0"/>
        <w:adjustRightInd w:val="0"/>
        <w:spacing w:before="0"/>
        <w:jc w:val="both"/>
      </w:pPr>
    </w:p>
    <w:p w14:paraId="32E035DC" w14:textId="77777777" w:rsidR="005D46EC" w:rsidRDefault="005D46EC">
      <w:pPr>
        <w:spacing w:before="0"/>
      </w:pPr>
      <w:r>
        <w:br w:type="page"/>
      </w:r>
    </w:p>
    <w:p w14:paraId="4BD47674" w14:textId="77777777" w:rsidR="005D46EC" w:rsidRDefault="005D46EC" w:rsidP="005D46EC">
      <w:pPr>
        <w:pStyle w:val="ListParagraph"/>
        <w:tabs>
          <w:tab w:val="left" w:pos="301"/>
          <w:tab w:val="center" w:pos="4513"/>
        </w:tabs>
        <w:autoSpaceDE w:val="0"/>
        <w:autoSpaceDN w:val="0"/>
        <w:adjustRightInd w:val="0"/>
        <w:spacing w:before="0"/>
        <w:jc w:val="both"/>
      </w:pPr>
    </w:p>
    <w:p w14:paraId="29827E70" w14:textId="77777777" w:rsidR="00BE62EC" w:rsidRDefault="00222296" w:rsidP="00222296">
      <w:pPr>
        <w:pStyle w:val="ListParagraph"/>
        <w:numPr>
          <w:ilvl w:val="0"/>
          <w:numId w:val="20"/>
        </w:numPr>
        <w:tabs>
          <w:tab w:val="left" w:pos="301"/>
          <w:tab w:val="center" w:pos="4513"/>
        </w:tabs>
        <w:autoSpaceDE w:val="0"/>
        <w:autoSpaceDN w:val="0"/>
        <w:adjustRightInd w:val="0"/>
        <w:spacing w:before="0"/>
        <w:jc w:val="both"/>
      </w:pPr>
      <w:r w:rsidRPr="00222296">
        <w:t>T</w:t>
      </w:r>
      <w:r w:rsidR="006F6129" w:rsidRPr="00222296">
        <w:t xml:space="preserve">he Department of Agriculture, </w:t>
      </w:r>
      <w:r w:rsidR="00FB61E1">
        <w:t>Fisheries</w:t>
      </w:r>
      <w:r w:rsidR="006F6129" w:rsidRPr="00222296">
        <w:t xml:space="preserve"> and </w:t>
      </w:r>
      <w:r w:rsidR="00FB61E1">
        <w:t>Forestry</w:t>
      </w:r>
      <w:r w:rsidR="006F6129" w:rsidRPr="00222296">
        <w:t xml:space="preserve"> (DA</w:t>
      </w:r>
      <w:r w:rsidR="00FB61E1">
        <w:t>FF</w:t>
      </w:r>
      <w:r w:rsidR="006F6129" w:rsidRPr="00222296">
        <w:t xml:space="preserve">) must be </w:t>
      </w:r>
      <w:r w:rsidR="00E31A0B">
        <w:t>notified of the intention to use a contingency measure</w:t>
      </w:r>
      <w:r w:rsidR="006F6129" w:rsidRPr="00222296">
        <w:t xml:space="preserve"> as soon as reasonably practical and prior to the discharge of </w:t>
      </w:r>
      <w:r w:rsidR="00E31A0B">
        <w:t xml:space="preserve">any </w:t>
      </w:r>
      <w:r w:rsidR="006F6129" w:rsidRPr="00222296">
        <w:t xml:space="preserve">ballast water which has been </w:t>
      </w:r>
      <w:r w:rsidR="00D97172">
        <w:t>managed</w:t>
      </w:r>
      <w:r w:rsidR="006F6129" w:rsidRPr="00222296">
        <w:t xml:space="preserve"> using a contingency measure. </w:t>
      </w:r>
    </w:p>
    <w:p w14:paraId="4B85B38D" w14:textId="77777777" w:rsidR="00BE62EC" w:rsidRDefault="00BE62EC" w:rsidP="00BE62EC">
      <w:pPr>
        <w:pStyle w:val="ListParagraph"/>
        <w:tabs>
          <w:tab w:val="left" w:pos="301"/>
          <w:tab w:val="center" w:pos="4513"/>
        </w:tabs>
        <w:autoSpaceDE w:val="0"/>
        <w:autoSpaceDN w:val="0"/>
        <w:adjustRightInd w:val="0"/>
        <w:spacing w:before="0"/>
        <w:jc w:val="both"/>
      </w:pPr>
    </w:p>
    <w:p w14:paraId="3AAB081B" w14:textId="185A0DD1" w:rsidR="00222296" w:rsidRDefault="00BE62EC" w:rsidP="00222296">
      <w:pPr>
        <w:pStyle w:val="ListParagraph"/>
        <w:numPr>
          <w:ilvl w:val="0"/>
          <w:numId w:val="20"/>
        </w:numPr>
        <w:tabs>
          <w:tab w:val="left" w:pos="301"/>
          <w:tab w:val="center" w:pos="4513"/>
        </w:tabs>
        <w:autoSpaceDE w:val="0"/>
        <w:autoSpaceDN w:val="0"/>
        <w:adjustRightInd w:val="0"/>
        <w:spacing w:before="0"/>
        <w:jc w:val="both"/>
      </w:pPr>
      <w:r>
        <w:t xml:space="preserve">As of 23 </w:t>
      </w:r>
      <w:r w:rsidR="005C17A6">
        <w:t>February</w:t>
      </w:r>
      <w:r>
        <w:t xml:space="preserve"> 2023, the use of a contingency measure can be reported as part of the normal ballast water report using the Maritime and Aircraft Reporting System (MARS). </w:t>
      </w:r>
    </w:p>
    <w:p w14:paraId="4E62C27C" w14:textId="5B410A96" w:rsidR="00222296" w:rsidRDefault="00222296" w:rsidP="00222296">
      <w:pPr>
        <w:pStyle w:val="ListParagraph"/>
      </w:pPr>
    </w:p>
    <w:p w14:paraId="525A3C64" w14:textId="7A4B2CED" w:rsidR="00FB61E1" w:rsidRDefault="00FB61E1" w:rsidP="00D4634E">
      <w:pPr>
        <w:pStyle w:val="ListParagraph"/>
        <w:numPr>
          <w:ilvl w:val="1"/>
          <w:numId w:val="20"/>
        </w:numPr>
        <w:tabs>
          <w:tab w:val="left" w:pos="301"/>
          <w:tab w:val="center" w:pos="4513"/>
        </w:tabs>
        <w:autoSpaceDE w:val="0"/>
        <w:autoSpaceDN w:val="0"/>
        <w:adjustRightInd w:val="0"/>
        <w:spacing w:before="0"/>
      </w:pPr>
      <w:r>
        <w:t>If a ship use</w:t>
      </w:r>
      <w:r w:rsidR="00DF7239">
        <w:t>s</w:t>
      </w:r>
      <w:r>
        <w:t xml:space="preserve"> ballast water exchange as a contingency measure, </w:t>
      </w:r>
    </w:p>
    <w:p w14:paraId="0C82C17E" w14:textId="6FB812D0" w:rsidR="00FB61E1" w:rsidRDefault="00FB61E1" w:rsidP="00FB61E1">
      <w:pPr>
        <w:pStyle w:val="ListParagraph"/>
        <w:numPr>
          <w:ilvl w:val="2"/>
          <w:numId w:val="20"/>
        </w:numPr>
        <w:tabs>
          <w:tab w:val="left" w:pos="301"/>
          <w:tab w:val="center" w:pos="4513"/>
        </w:tabs>
        <w:autoSpaceDE w:val="0"/>
        <w:autoSpaceDN w:val="0"/>
        <w:adjustRightInd w:val="0"/>
        <w:spacing w:before="0"/>
      </w:pPr>
      <w:r>
        <w:t>the Master of the ship must declare the use of a contingency measure on the ballast water report</w:t>
      </w:r>
      <w:r w:rsidR="00BE62EC">
        <w:t xml:space="preserve"> </w:t>
      </w:r>
    </w:p>
    <w:p w14:paraId="5BD694DC" w14:textId="3A5F89D8" w:rsidR="00FB61E1" w:rsidRDefault="00FB61E1" w:rsidP="00FB61E1">
      <w:pPr>
        <w:pStyle w:val="ListParagraph"/>
        <w:numPr>
          <w:ilvl w:val="2"/>
          <w:numId w:val="20"/>
        </w:numPr>
        <w:tabs>
          <w:tab w:val="left" w:pos="301"/>
          <w:tab w:val="center" w:pos="4513"/>
        </w:tabs>
        <w:autoSpaceDE w:val="0"/>
        <w:autoSpaceDN w:val="0"/>
        <w:adjustRightInd w:val="0"/>
        <w:spacing w:before="0"/>
      </w:pPr>
      <w:r>
        <w:t>D-1 must be selected in the</w:t>
      </w:r>
      <w:r w:rsidR="00875349">
        <w:t xml:space="preserve"> drop-down box for a</w:t>
      </w:r>
      <w:r>
        <w:t xml:space="preserve"> contingency measure method used.</w:t>
      </w:r>
    </w:p>
    <w:p w14:paraId="73DC0A4B" w14:textId="0A145D87" w:rsidR="00FB61E1" w:rsidRDefault="00FB61E1" w:rsidP="00FB61E1">
      <w:pPr>
        <w:pStyle w:val="ListParagraph"/>
        <w:numPr>
          <w:ilvl w:val="2"/>
          <w:numId w:val="20"/>
        </w:numPr>
        <w:tabs>
          <w:tab w:val="left" w:pos="301"/>
          <w:tab w:val="center" w:pos="4513"/>
        </w:tabs>
        <w:autoSpaceDE w:val="0"/>
        <w:autoSpaceDN w:val="0"/>
        <w:adjustRightInd w:val="0"/>
        <w:spacing w:before="0"/>
      </w:pPr>
      <w:r>
        <w:t>All details must be filled out in the tank screen on the ballast water report</w:t>
      </w:r>
    </w:p>
    <w:p w14:paraId="4A54A815" w14:textId="40A299C2" w:rsidR="00FB61E1" w:rsidRDefault="00FB61E1" w:rsidP="00FB61E1">
      <w:pPr>
        <w:pStyle w:val="ListParagraph"/>
        <w:numPr>
          <w:ilvl w:val="1"/>
          <w:numId w:val="20"/>
        </w:numPr>
        <w:tabs>
          <w:tab w:val="left" w:pos="301"/>
          <w:tab w:val="center" w:pos="4513"/>
        </w:tabs>
        <w:autoSpaceDE w:val="0"/>
        <w:autoSpaceDN w:val="0"/>
        <w:adjustRightInd w:val="0"/>
        <w:spacing w:before="0"/>
      </w:pPr>
      <w:r>
        <w:t>If a ship has used a method other than D-1 as contingency measure,</w:t>
      </w:r>
    </w:p>
    <w:p w14:paraId="38F182AA" w14:textId="2B1D4579" w:rsidR="00FB61E1" w:rsidRDefault="00FB61E1" w:rsidP="00FB61E1">
      <w:pPr>
        <w:pStyle w:val="ListParagraph"/>
        <w:numPr>
          <w:ilvl w:val="2"/>
          <w:numId w:val="20"/>
        </w:numPr>
        <w:tabs>
          <w:tab w:val="left" w:pos="301"/>
          <w:tab w:val="center" w:pos="4513"/>
        </w:tabs>
        <w:autoSpaceDE w:val="0"/>
        <w:autoSpaceDN w:val="0"/>
        <w:adjustRightInd w:val="0"/>
        <w:spacing w:before="0"/>
      </w:pPr>
      <w:r>
        <w:t>The Master of the ship must declare the use of a contingency measure on the ballast water report</w:t>
      </w:r>
    </w:p>
    <w:p w14:paraId="1CFEEB3B" w14:textId="7E37F9EF" w:rsidR="00FB61E1" w:rsidRDefault="00875349" w:rsidP="00FB61E1">
      <w:pPr>
        <w:pStyle w:val="ListParagraph"/>
        <w:numPr>
          <w:ilvl w:val="2"/>
          <w:numId w:val="20"/>
        </w:numPr>
        <w:tabs>
          <w:tab w:val="left" w:pos="301"/>
          <w:tab w:val="center" w:pos="4513"/>
        </w:tabs>
        <w:autoSpaceDE w:val="0"/>
        <w:autoSpaceDN w:val="0"/>
        <w:adjustRightInd w:val="0"/>
        <w:spacing w:before="0"/>
      </w:pPr>
      <w:r>
        <w:t>Other, must be selected in the drop-down box for a contingency measure method used.</w:t>
      </w:r>
    </w:p>
    <w:p w14:paraId="447C3731" w14:textId="56EDB7AF" w:rsidR="00875349" w:rsidRDefault="00875349" w:rsidP="00FB61E1">
      <w:pPr>
        <w:pStyle w:val="ListParagraph"/>
        <w:numPr>
          <w:ilvl w:val="2"/>
          <w:numId w:val="20"/>
        </w:numPr>
        <w:tabs>
          <w:tab w:val="left" w:pos="301"/>
          <w:tab w:val="center" w:pos="4513"/>
        </w:tabs>
        <w:autoSpaceDE w:val="0"/>
        <w:autoSpaceDN w:val="0"/>
        <w:adjustRightInd w:val="0"/>
        <w:spacing w:before="0"/>
      </w:pPr>
      <w:r>
        <w:t xml:space="preserve">All details must be filled out on the tank screen and the other method of ballast water management must be conveyed to the National Maritime Centre - </w:t>
      </w:r>
      <w:hyperlink r:id="rId12" w:history="1">
        <w:r w:rsidR="00B4176D" w:rsidRPr="00EF7B6B">
          <w:rPr>
            <w:rStyle w:val="Hyperlink"/>
          </w:rPr>
          <w:t>maritimeNC@agriculture.gov.au</w:t>
        </w:r>
      </w:hyperlink>
      <w:r>
        <w:rPr>
          <w:rStyle w:val="Hyperlink"/>
        </w:rPr>
        <w:t>.</w:t>
      </w:r>
    </w:p>
    <w:p w14:paraId="1090B2BF" w14:textId="07CA77F8" w:rsidR="00BE62EC" w:rsidRDefault="00BE62EC" w:rsidP="00D4634E">
      <w:pPr>
        <w:pStyle w:val="ListParagraph"/>
        <w:numPr>
          <w:ilvl w:val="1"/>
          <w:numId w:val="20"/>
        </w:numPr>
        <w:tabs>
          <w:tab w:val="left" w:pos="301"/>
          <w:tab w:val="center" w:pos="4513"/>
        </w:tabs>
        <w:autoSpaceDE w:val="0"/>
        <w:autoSpaceDN w:val="0"/>
        <w:adjustRightInd w:val="0"/>
        <w:spacing w:before="0"/>
      </w:pPr>
      <w:r>
        <w:t xml:space="preserve">A decision regarding discharge of ballast water treated with a contingency measure will be communicated via the Biosecurity Status Document (BSD) issued for the current voyage.  </w:t>
      </w:r>
    </w:p>
    <w:p w14:paraId="4210CCED" w14:textId="5328F34F" w:rsidR="00222296" w:rsidRDefault="006F6129" w:rsidP="00D4634E">
      <w:pPr>
        <w:pStyle w:val="ListParagraph"/>
        <w:numPr>
          <w:ilvl w:val="1"/>
          <w:numId w:val="20"/>
        </w:numPr>
        <w:tabs>
          <w:tab w:val="left" w:pos="301"/>
          <w:tab w:val="center" w:pos="4513"/>
        </w:tabs>
        <w:autoSpaceDE w:val="0"/>
        <w:autoSpaceDN w:val="0"/>
        <w:adjustRightInd w:val="0"/>
        <w:spacing w:before="0"/>
      </w:pPr>
      <w:r w:rsidRPr="00222296">
        <w:t xml:space="preserve">Please contact the department via the </w:t>
      </w:r>
      <w:r w:rsidR="00582E93">
        <w:t>National Maritime Centre</w:t>
      </w:r>
      <w:r w:rsidR="00875349">
        <w:t xml:space="preserve"> if you have any queries relating to this process at</w:t>
      </w:r>
      <w:r w:rsidR="00582E93">
        <w:t xml:space="preserve"> </w:t>
      </w:r>
      <w:hyperlink r:id="rId13" w:history="1">
        <w:r w:rsidR="00B4176D" w:rsidRPr="00EF7B6B">
          <w:rPr>
            <w:rStyle w:val="Hyperlink"/>
          </w:rPr>
          <w:t>maritimeNC@agriculture.gov.au</w:t>
        </w:r>
      </w:hyperlink>
      <w:r w:rsidR="00582E93">
        <w:t xml:space="preserve"> </w:t>
      </w:r>
      <w:r w:rsidRPr="00222296">
        <w:t xml:space="preserve">   </w:t>
      </w:r>
    </w:p>
    <w:p w14:paraId="563F2727" w14:textId="28A0E027" w:rsidR="006F6129" w:rsidRPr="00222296" w:rsidRDefault="006F6129" w:rsidP="00D4634E">
      <w:pPr>
        <w:pStyle w:val="ListParagraph"/>
        <w:numPr>
          <w:ilvl w:val="1"/>
          <w:numId w:val="20"/>
        </w:numPr>
        <w:tabs>
          <w:tab w:val="left" w:pos="301"/>
          <w:tab w:val="center" w:pos="4513"/>
        </w:tabs>
        <w:autoSpaceDE w:val="0"/>
        <w:autoSpaceDN w:val="0"/>
        <w:adjustRightInd w:val="0"/>
        <w:spacing w:before="0"/>
      </w:pPr>
      <w:bookmarkStart w:id="1" w:name="_Hlk100750491"/>
      <w:r w:rsidRPr="00222296">
        <w:t>Where BWMS equipment remains defective the A</w:t>
      </w:r>
      <w:r w:rsidR="00A97CFF" w:rsidRPr="00222296">
        <w:t>ustralian Maritime Safety Authority</w:t>
      </w:r>
      <w:r w:rsidRPr="00222296">
        <w:t xml:space="preserve"> must be informed as soon as reasonably practical</w:t>
      </w:r>
      <w:r w:rsidR="00A97CFF" w:rsidRPr="00222296">
        <w:t xml:space="preserve"> via </w:t>
      </w:r>
      <w:r w:rsidR="00A6797F">
        <w:t xml:space="preserve">the </w:t>
      </w:r>
      <w:hyperlink r:id="rId14" w:history="1">
        <w:r w:rsidR="00A6797F" w:rsidRPr="00A6797F">
          <w:rPr>
            <w:rStyle w:val="Hyperlink"/>
          </w:rPr>
          <w:t>AMSA website</w:t>
        </w:r>
      </w:hyperlink>
      <w:r w:rsidR="00A6797F">
        <w:t>.</w:t>
      </w:r>
    </w:p>
    <w:bookmarkEnd w:id="1"/>
    <w:p w14:paraId="6EF7D53A" w14:textId="77777777" w:rsidR="00D33265" w:rsidRPr="00222296" w:rsidRDefault="00D33265" w:rsidP="00E31A0B">
      <w:pPr>
        <w:tabs>
          <w:tab w:val="left" w:pos="301"/>
          <w:tab w:val="center" w:pos="4513"/>
        </w:tabs>
        <w:autoSpaceDE w:val="0"/>
        <w:autoSpaceDN w:val="0"/>
        <w:adjustRightInd w:val="0"/>
        <w:spacing w:before="0"/>
        <w:jc w:val="both"/>
      </w:pPr>
    </w:p>
    <w:p w14:paraId="772F62E5" w14:textId="167487B9" w:rsidR="00D33265" w:rsidRPr="00222296" w:rsidRDefault="00D33265" w:rsidP="00D33265">
      <w:pPr>
        <w:pStyle w:val="ListParagraph"/>
        <w:numPr>
          <w:ilvl w:val="0"/>
          <w:numId w:val="20"/>
        </w:numPr>
        <w:tabs>
          <w:tab w:val="left" w:pos="301"/>
          <w:tab w:val="center" w:pos="4513"/>
        </w:tabs>
        <w:autoSpaceDE w:val="0"/>
        <w:autoSpaceDN w:val="0"/>
        <w:adjustRightInd w:val="0"/>
        <w:spacing w:before="0"/>
        <w:jc w:val="both"/>
      </w:pPr>
      <w:r w:rsidRPr="00222296">
        <w:tab/>
        <w:t xml:space="preserve">Australia </w:t>
      </w:r>
      <w:r w:rsidRPr="00C37EA2">
        <w:rPr>
          <w:b/>
          <w:bCs/>
        </w:rPr>
        <w:t>does not permit</w:t>
      </w:r>
      <w:r w:rsidRPr="00222296">
        <w:t xml:space="preserve"> a ship to discharge unmanaged ballast water in Australian Territorial Seas as a contingency measure in the event of BWMS failure.</w:t>
      </w:r>
      <w:r w:rsidR="006666C1">
        <w:t xml:space="preserve"> </w:t>
      </w:r>
    </w:p>
    <w:p w14:paraId="28F9B50F" w14:textId="77777777" w:rsidR="00222296" w:rsidRPr="00222296" w:rsidRDefault="00222296" w:rsidP="00222296">
      <w:pPr>
        <w:pStyle w:val="ListParagraph"/>
      </w:pPr>
    </w:p>
    <w:p w14:paraId="7E80B4A6" w14:textId="77777777" w:rsidR="00E92948" w:rsidRDefault="00E92948" w:rsidP="00E92948">
      <w:pPr>
        <w:tabs>
          <w:tab w:val="left" w:pos="301"/>
          <w:tab w:val="center" w:pos="4513"/>
        </w:tabs>
        <w:autoSpaceDE w:val="0"/>
        <w:autoSpaceDN w:val="0"/>
        <w:adjustRightInd w:val="0"/>
        <w:spacing w:before="0"/>
        <w:jc w:val="center"/>
        <w:rPr>
          <w:rFonts w:eastAsia="MS Gothic"/>
          <w:bCs/>
          <w:color w:val="848057"/>
          <w:sz w:val="28"/>
          <w:szCs w:val="28"/>
        </w:rPr>
      </w:pPr>
    </w:p>
    <w:p w14:paraId="2A9F47E1" w14:textId="77777777" w:rsidR="00E92948" w:rsidRPr="00E92948" w:rsidRDefault="00E92948" w:rsidP="00E92948">
      <w:pPr>
        <w:tabs>
          <w:tab w:val="left" w:pos="301"/>
          <w:tab w:val="center" w:pos="4513"/>
        </w:tabs>
        <w:autoSpaceDE w:val="0"/>
        <w:autoSpaceDN w:val="0"/>
        <w:adjustRightInd w:val="0"/>
        <w:spacing w:before="0"/>
        <w:jc w:val="center"/>
        <w:rPr>
          <w:rFonts w:eastAsia="MS Gothic"/>
          <w:bCs/>
          <w:color w:val="848057"/>
          <w:sz w:val="28"/>
          <w:szCs w:val="28"/>
        </w:rPr>
      </w:pPr>
      <w:r w:rsidRPr="00E92948">
        <w:rPr>
          <w:rFonts w:eastAsia="MS Gothic"/>
          <w:bCs/>
          <w:color w:val="848057"/>
          <w:sz w:val="28"/>
          <w:szCs w:val="28"/>
        </w:rPr>
        <w:t>Further information</w:t>
      </w:r>
    </w:p>
    <w:p w14:paraId="3B955B14" w14:textId="125288CF" w:rsidR="00905F94" w:rsidRPr="00804221" w:rsidRDefault="00D33265" w:rsidP="00E92948">
      <w:pPr>
        <w:jc w:val="center"/>
      </w:pPr>
      <w:r>
        <w:t xml:space="preserve">Contact: </w:t>
      </w:r>
      <w:hyperlink r:id="rId15" w:history="1">
        <w:r w:rsidR="00417C40" w:rsidRPr="00EF7B6B">
          <w:rPr>
            <w:rStyle w:val="Hyperlink"/>
          </w:rPr>
          <w:t>marinepests@agriculture.gov.au</w:t>
        </w:r>
      </w:hyperlink>
      <w:r>
        <w:t xml:space="preserve"> </w:t>
      </w:r>
    </w:p>
    <w:sectPr w:rsidR="00905F94" w:rsidRPr="0080422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21E" w14:textId="77777777" w:rsidR="00C620C5" w:rsidRDefault="00C620C5">
      <w:r>
        <w:separator/>
      </w:r>
    </w:p>
  </w:endnote>
  <w:endnote w:type="continuationSeparator" w:id="0">
    <w:p w14:paraId="71D21FA9" w14:textId="77777777" w:rsidR="00C620C5" w:rsidRDefault="00C6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738DF555" w14:textId="77777777" w:rsidR="00C6669A" w:rsidRDefault="00C6669A" w:rsidP="00C6669A">
        <w:pPr>
          <w:pStyle w:val="Footer"/>
          <w:jc w:val="righ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A711" w14:textId="77777777" w:rsidR="00C620C5" w:rsidRDefault="00C620C5">
      <w:r>
        <w:separator/>
      </w:r>
    </w:p>
  </w:footnote>
  <w:footnote w:type="continuationSeparator" w:id="0">
    <w:p w14:paraId="4C55CD01" w14:textId="77777777" w:rsidR="00C620C5" w:rsidRDefault="00C620C5">
      <w:r>
        <w:continuationSeparator/>
      </w:r>
    </w:p>
  </w:footnote>
  <w:footnote w:id="1">
    <w:p w14:paraId="7BE5BD3C" w14:textId="414E6F82" w:rsidR="00BA616A" w:rsidRDefault="00BA616A" w:rsidP="00BA616A">
      <w:pPr>
        <w:pStyle w:val="FootnoteText"/>
      </w:pPr>
      <w:r>
        <w:rPr>
          <w:rStyle w:val="FootnoteReference"/>
        </w:rPr>
        <w:footnoteRef/>
      </w:r>
      <w:r>
        <w:t xml:space="preserve"> A contingency measure is a method of ballast water management that may be used when a determination has been made that ballast water to be discharged from a ship is unmanaged. A contingency measure should manage ballast water such to ensure that it does not pose any unacceptable risks to the environment, human health, property, and resources.</w:t>
      </w:r>
    </w:p>
  </w:footnote>
  <w:footnote w:id="2">
    <w:p w14:paraId="585AE472" w14:textId="77777777" w:rsidR="00E31A0B" w:rsidRDefault="00E31A0B" w:rsidP="00E31A0B">
      <w:pPr>
        <w:pStyle w:val="FootnoteText"/>
      </w:pPr>
      <w:r>
        <w:rPr>
          <w:rStyle w:val="FootnoteReference"/>
        </w:rPr>
        <w:footnoteRef/>
      </w:r>
      <w:r>
        <w:t xml:space="preserve"> Regulation B-1 of the Ballast Water Management (BWM) Convention requires each ship to have on board and implement an approved Ballast Water Management Plan (BWMP). Resolution MEPC.306(73), incorporate a new paragraph 4.3 which provides for contingency measures to be included in the BWMP.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FEB6" w14:textId="130C211C" w:rsidR="00626E31" w:rsidRPr="00804221" w:rsidRDefault="00462148" w:rsidP="00804221">
    <w:pPr>
      <w:pStyle w:val="Header"/>
    </w:pPr>
    <w:r>
      <w:rPr>
        <w:noProof/>
      </w:rPr>
      <w:drawing>
        <wp:inline distT="0" distB="0" distL="0" distR="0" wp14:anchorId="535EE8CA" wp14:editId="7B15815E">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37C498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096B5D"/>
    <w:multiLevelType w:val="hybridMultilevel"/>
    <w:tmpl w:val="E05E3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083588"/>
    <w:multiLevelType w:val="hybridMultilevel"/>
    <w:tmpl w:val="E05E3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22472B"/>
    <w:multiLevelType w:val="hybridMultilevel"/>
    <w:tmpl w:val="DC08DA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AB4F96"/>
    <w:multiLevelType w:val="hybridMultilevel"/>
    <w:tmpl w:val="AD3098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66523783">
    <w:abstractNumId w:val="15"/>
  </w:num>
  <w:num w:numId="2" w16cid:durableId="2102218630">
    <w:abstractNumId w:val="14"/>
  </w:num>
  <w:num w:numId="3" w16cid:durableId="1226603368">
    <w:abstractNumId w:val="8"/>
  </w:num>
  <w:num w:numId="4" w16cid:durableId="693649184">
    <w:abstractNumId w:val="9"/>
  </w:num>
  <w:num w:numId="5" w16cid:durableId="1244220529">
    <w:abstractNumId w:val="3"/>
  </w:num>
  <w:num w:numId="6" w16cid:durableId="625813748">
    <w:abstractNumId w:val="11"/>
  </w:num>
  <w:num w:numId="7" w16cid:durableId="68235583">
    <w:abstractNumId w:val="18"/>
  </w:num>
  <w:num w:numId="8" w16cid:durableId="1193956761">
    <w:abstractNumId w:val="12"/>
  </w:num>
  <w:num w:numId="9" w16cid:durableId="1322583838">
    <w:abstractNumId w:val="16"/>
  </w:num>
  <w:num w:numId="10" w16cid:durableId="493491028">
    <w:abstractNumId w:val="10"/>
  </w:num>
  <w:num w:numId="11" w16cid:durableId="1191602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983495">
    <w:abstractNumId w:val="13"/>
  </w:num>
  <w:num w:numId="13" w16cid:durableId="687875678">
    <w:abstractNumId w:val="17"/>
  </w:num>
  <w:num w:numId="14" w16cid:durableId="217710718">
    <w:abstractNumId w:val="2"/>
  </w:num>
  <w:num w:numId="15" w16cid:durableId="1459760842">
    <w:abstractNumId w:val="1"/>
  </w:num>
  <w:num w:numId="16" w16cid:durableId="1189874847">
    <w:abstractNumId w:val="0"/>
  </w:num>
  <w:num w:numId="17" w16cid:durableId="1166363437">
    <w:abstractNumId w:val="4"/>
  </w:num>
  <w:num w:numId="18" w16cid:durableId="1216965442">
    <w:abstractNumId w:val="19"/>
  </w:num>
  <w:num w:numId="19" w16cid:durableId="769593056">
    <w:abstractNumId w:val="7"/>
  </w:num>
  <w:num w:numId="20" w16cid:durableId="2083527111">
    <w:abstractNumId w:val="6"/>
  </w:num>
  <w:num w:numId="21" w16cid:durableId="15065494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0d5fb788-4551-4059-b28d-bcc5e90df373"/>
  </w:docVars>
  <w:rsids>
    <w:rsidRoot w:val="00804221"/>
    <w:rsid w:val="0001414B"/>
    <w:rsid w:val="00091297"/>
    <w:rsid w:val="000C0243"/>
    <w:rsid w:val="000E259E"/>
    <w:rsid w:val="000F6665"/>
    <w:rsid w:val="0011494B"/>
    <w:rsid w:val="00157E8A"/>
    <w:rsid w:val="00181C1A"/>
    <w:rsid w:val="001D2268"/>
    <w:rsid w:val="001F5AE2"/>
    <w:rsid w:val="00222296"/>
    <w:rsid w:val="002405F5"/>
    <w:rsid w:val="002F719A"/>
    <w:rsid w:val="00340DB1"/>
    <w:rsid w:val="00353FE5"/>
    <w:rsid w:val="00367A8A"/>
    <w:rsid w:val="003C1822"/>
    <w:rsid w:val="00417C40"/>
    <w:rsid w:val="00450D6B"/>
    <w:rsid w:val="00461807"/>
    <w:rsid w:val="00462148"/>
    <w:rsid w:val="00464423"/>
    <w:rsid w:val="0054747E"/>
    <w:rsid w:val="00582E93"/>
    <w:rsid w:val="005C17A6"/>
    <w:rsid w:val="005D46EC"/>
    <w:rsid w:val="005E4594"/>
    <w:rsid w:val="00621FCB"/>
    <w:rsid w:val="00626E31"/>
    <w:rsid w:val="006666C1"/>
    <w:rsid w:val="006E0E32"/>
    <w:rsid w:val="006F6129"/>
    <w:rsid w:val="00701EF1"/>
    <w:rsid w:val="007B54CC"/>
    <w:rsid w:val="007C1193"/>
    <w:rsid w:val="007C2DD4"/>
    <w:rsid w:val="007F3B72"/>
    <w:rsid w:val="00804221"/>
    <w:rsid w:val="00875349"/>
    <w:rsid w:val="00905F94"/>
    <w:rsid w:val="00986198"/>
    <w:rsid w:val="00A378B4"/>
    <w:rsid w:val="00A6797F"/>
    <w:rsid w:val="00A97CFF"/>
    <w:rsid w:val="00AA4B88"/>
    <w:rsid w:val="00AF1DAB"/>
    <w:rsid w:val="00B23851"/>
    <w:rsid w:val="00B4176D"/>
    <w:rsid w:val="00B57188"/>
    <w:rsid w:val="00B97821"/>
    <w:rsid w:val="00BA616A"/>
    <w:rsid w:val="00BE62EC"/>
    <w:rsid w:val="00C37EA2"/>
    <w:rsid w:val="00C620C5"/>
    <w:rsid w:val="00C6669A"/>
    <w:rsid w:val="00CC698C"/>
    <w:rsid w:val="00D009C6"/>
    <w:rsid w:val="00D142E9"/>
    <w:rsid w:val="00D33265"/>
    <w:rsid w:val="00D4634E"/>
    <w:rsid w:val="00D97172"/>
    <w:rsid w:val="00DF7239"/>
    <w:rsid w:val="00E203B8"/>
    <w:rsid w:val="00E25FEC"/>
    <w:rsid w:val="00E31A0B"/>
    <w:rsid w:val="00E3214D"/>
    <w:rsid w:val="00E512BF"/>
    <w:rsid w:val="00E82F55"/>
    <w:rsid w:val="00E92948"/>
    <w:rsid w:val="00F11963"/>
    <w:rsid w:val="00F25A74"/>
    <w:rsid w:val="00F61CB4"/>
    <w:rsid w:val="00F64F91"/>
    <w:rsid w:val="00F779D3"/>
    <w:rsid w:val="00F83E53"/>
    <w:rsid w:val="00FB6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9C60"/>
  <w15:chartTrackingRefBased/>
  <w15:docId w15:val="{6BF3BAE3-33AE-49C7-B924-87DEA66A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iPriority="6"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6"/>
    <w:unhideWhenUsed/>
    <w:rsid w:val="00804221"/>
    <w:pPr>
      <w:spacing w:before="0" w:line="264" w:lineRule="auto"/>
      <w:ind w:left="1800" w:hanging="360"/>
    </w:pPr>
    <w:rPr>
      <w:rFonts w:asciiTheme="minorHAnsi" w:eastAsiaTheme="minorHAnsi" w:hAnsiTheme="minorHAnsi" w:cstheme="minorBidi"/>
      <w:sz w:val="21"/>
      <w:lang w:val="en-US"/>
    </w:rPr>
  </w:style>
  <w:style w:type="paragraph" w:styleId="ListParagraph">
    <w:name w:val="List Paragraph"/>
    <w:basedOn w:val="Normal"/>
    <w:uiPriority w:val="99"/>
    <w:qFormat/>
    <w:rsid w:val="00804221"/>
    <w:pPr>
      <w:ind w:left="720"/>
      <w:contextualSpacing/>
    </w:pPr>
  </w:style>
  <w:style w:type="character" w:styleId="UnresolvedMention">
    <w:name w:val="Unresolved Mention"/>
    <w:basedOn w:val="DefaultParagraphFont"/>
    <w:uiPriority w:val="99"/>
    <w:semiHidden/>
    <w:unhideWhenUsed/>
    <w:rsid w:val="00353FE5"/>
    <w:rPr>
      <w:color w:val="605E5C"/>
      <w:shd w:val="clear" w:color="auto" w:fill="E1DFDD"/>
    </w:rPr>
  </w:style>
  <w:style w:type="paragraph" w:styleId="FootnoteText">
    <w:name w:val="footnote text"/>
    <w:basedOn w:val="Normal"/>
    <w:link w:val="FootnoteTextChar"/>
    <w:uiPriority w:val="99"/>
    <w:semiHidden/>
    <w:unhideWhenUsed/>
    <w:rsid w:val="006F6129"/>
    <w:pPr>
      <w:spacing w:before="0"/>
    </w:pPr>
    <w:rPr>
      <w:sz w:val="20"/>
      <w:szCs w:val="20"/>
    </w:rPr>
  </w:style>
  <w:style w:type="character" w:customStyle="1" w:styleId="FootnoteTextChar">
    <w:name w:val="Footnote Text Char"/>
    <w:basedOn w:val="DefaultParagraphFont"/>
    <w:link w:val="FootnoteText"/>
    <w:uiPriority w:val="99"/>
    <w:semiHidden/>
    <w:rsid w:val="006F6129"/>
    <w:rPr>
      <w:lang w:eastAsia="en-US"/>
    </w:rPr>
  </w:style>
  <w:style w:type="character" w:styleId="FootnoteReference">
    <w:name w:val="footnote reference"/>
    <w:basedOn w:val="DefaultParagraphFont"/>
    <w:uiPriority w:val="99"/>
    <w:semiHidden/>
    <w:unhideWhenUsed/>
    <w:rsid w:val="006F6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timeNC@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timeNC@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nepests@agriculture.gov.au" TargetMode="External"/><Relationship Id="rId5" Type="http://schemas.openxmlformats.org/officeDocument/2006/relationships/numbering" Target="numbering.xml"/><Relationship Id="rId15" Type="http://schemas.openxmlformats.org/officeDocument/2006/relationships/hyperlink" Target="mailto:marinepests@agriculture.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a.gov.au/vessels-operators/incident-reporting/report-marine-inci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4EEF3-0DE1-4433-BB57-481B95504D8D}">
  <ds:schemaRefs>
    <ds:schemaRef ds:uri="http://schemas.openxmlformats.org/officeDocument/2006/bibliography"/>
  </ds:schemaRefs>
</ds:datastoreItem>
</file>

<file path=customXml/itemProps2.xml><?xml version="1.0" encoding="utf-8"?>
<ds:datastoreItem xmlns:ds="http://schemas.openxmlformats.org/officeDocument/2006/customXml" ds:itemID="{0A1C3D46-7F90-444B-9CFD-2D0020170643}">
  <ds:schemaRefs>
    <ds:schemaRef ds:uri="http://schemas.microsoft.com/office/2006/metadata/properties"/>
    <ds:schemaRef ds:uri="http://schemas.microsoft.com/office/infopath/2007/PartnerControls"/>
    <ds:schemaRef ds:uri="7cc651ec-25ff-4303-ac03-0e5d726c6f27"/>
    <ds:schemaRef ds:uri="81c01dc6-2c49-4730-b140-874c95cac377"/>
  </ds:schemaRefs>
</ds:datastoreItem>
</file>

<file path=customXml/itemProps3.xml><?xml version="1.0" encoding="utf-8"?>
<ds:datastoreItem xmlns:ds="http://schemas.openxmlformats.org/officeDocument/2006/customXml" ds:itemID="{BA9E3ACE-5179-4D1A-A80E-A25FE9CCF689}">
  <ds:schemaRefs>
    <ds:schemaRef ds:uri="http://schemas.microsoft.com/sharepoint/v3/contenttype/forms"/>
  </ds:schemaRefs>
</ds:datastoreItem>
</file>

<file path=customXml/itemProps4.xml><?xml version="1.0" encoding="utf-8"?>
<ds:datastoreItem xmlns:ds="http://schemas.openxmlformats.org/officeDocument/2006/customXml" ds:itemID="{18AED164-4D31-4149-A831-BB0AA1F0DD30}"/>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Circular for the maritime industry ballast contingency</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for the maritime industry ballast contingency</dc:title>
  <dc:subject/>
  <dc:creator>Department of Agriculture, Fisheries and Forestry</dc:creator>
  <cp:keywords/>
  <dc:description/>
  <cp:revision>14</cp:revision>
  <cp:lastPrinted>2023-02-16T23:57:00Z</cp:lastPrinted>
  <dcterms:created xsi:type="dcterms:W3CDTF">2023-01-16T07:19:00Z</dcterms:created>
  <dcterms:modified xsi:type="dcterms:W3CDTF">2023-02-20T04:23:00Z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y fmtid="{D5CDD505-2E9C-101B-9397-08002B2CF9AE}" pid="3" name="MediaServiceImageTags">
    <vt:lpwstr/>
  </property>
</Properties>
</file>