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D282" w14:textId="59A0AB1B" w:rsidR="00C11151" w:rsidRPr="004D560C" w:rsidRDefault="00C11151" w:rsidP="007C140D">
      <w:pPr>
        <w:pStyle w:val="Heading1"/>
        <w:spacing w:after="120"/>
        <w:ind w:left="567"/>
        <w:contextualSpacing w:val="0"/>
        <w:rPr>
          <w:sz w:val="48"/>
          <w:szCs w:val="48"/>
        </w:rPr>
      </w:pPr>
      <w:r w:rsidRPr="004D560C">
        <w:rPr>
          <w:sz w:val="48"/>
          <w:szCs w:val="48"/>
        </w:rPr>
        <w:t xml:space="preserve">Stakeholder </w:t>
      </w:r>
      <w:r w:rsidR="005301C4">
        <w:rPr>
          <w:sz w:val="48"/>
          <w:szCs w:val="48"/>
        </w:rPr>
        <w:t>R</w:t>
      </w:r>
      <w:r w:rsidRPr="004D560C">
        <w:rPr>
          <w:sz w:val="48"/>
          <w:szCs w:val="48"/>
        </w:rPr>
        <w:t xml:space="preserve">esponse </w:t>
      </w:r>
      <w:r w:rsidR="005301C4">
        <w:rPr>
          <w:sz w:val="48"/>
          <w:szCs w:val="48"/>
        </w:rPr>
        <w:t>S</w:t>
      </w:r>
      <w:r w:rsidRPr="004D560C">
        <w:rPr>
          <w:sz w:val="48"/>
          <w:szCs w:val="48"/>
        </w:rPr>
        <w:t>ummary</w:t>
      </w:r>
    </w:p>
    <w:p w14:paraId="00DCC057" w14:textId="77777777" w:rsidR="00C11151" w:rsidRPr="00C57A93" w:rsidRDefault="00C11151" w:rsidP="007C140D">
      <w:pPr>
        <w:pStyle w:val="Heading3"/>
        <w:spacing w:after="240"/>
        <w:ind w:left="567" w:firstLine="0"/>
        <w:rPr>
          <w:b w:val="0"/>
          <w:bCs w:val="0"/>
        </w:rPr>
      </w:pPr>
      <w:r w:rsidRPr="00C57A93">
        <w:rPr>
          <w:b w:val="0"/>
          <w:bCs w:val="0"/>
        </w:rPr>
        <w:t>Addition of Canada as an applicant country for the import of fresh beef and beef products into Australia</w:t>
      </w:r>
    </w:p>
    <w:p w14:paraId="0AAF6F06" w14:textId="2FCB6781" w:rsidR="000E1E3C" w:rsidRDefault="00C11151" w:rsidP="00D25F54">
      <w:pPr>
        <w:pStyle w:val="BodyTextIndent"/>
      </w:pPr>
      <w:r>
        <w:t>The Department of Agriculture, Fisheries and Forestry received 11 stakeholder submissions on the report. Ten submissions were from members of the public and producers, and one submission was from Cattle Australia.</w:t>
      </w:r>
    </w:p>
    <w:tbl>
      <w:tblPr>
        <w:tblW w:w="4995" w:type="pct"/>
        <w:tblInd w:w="567" w:type="dxa"/>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5948"/>
        <w:gridCol w:w="9219"/>
      </w:tblGrid>
      <w:tr w:rsidR="00EE4F2A" w:rsidRPr="006D5DF3" w14:paraId="10E35888" w14:textId="77777777" w:rsidTr="007F1923">
        <w:trPr>
          <w:cantSplit/>
          <w:trHeight w:val="310"/>
          <w:tblHeader/>
        </w:trPr>
        <w:tc>
          <w:tcPr>
            <w:tcW w:w="1961" w:type="pct"/>
            <w:tcMar>
              <w:left w:w="108" w:type="dxa"/>
              <w:right w:w="108" w:type="dxa"/>
            </w:tcMar>
          </w:tcPr>
          <w:p w14:paraId="240842DB" w14:textId="297160BF" w:rsidR="006D5DF3" w:rsidRPr="00D25F54" w:rsidRDefault="00D25F54" w:rsidP="00AA687C">
            <w:pPr>
              <w:pStyle w:val="TableHeading"/>
              <w:rPr>
                <w:rStyle w:val="Emphasis"/>
                <w:sz w:val="32"/>
                <w:szCs w:val="32"/>
              </w:rPr>
            </w:pPr>
            <w:r w:rsidRPr="00D25F54">
              <w:rPr>
                <w:rStyle w:val="Emphasis"/>
                <w:sz w:val="32"/>
                <w:szCs w:val="32"/>
              </w:rPr>
              <w:t>Questions and Comments</w:t>
            </w:r>
          </w:p>
        </w:tc>
        <w:tc>
          <w:tcPr>
            <w:tcW w:w="3039" w:type="pct"/>
            <w:tcMar>
              <w:left w:w="108" w:type="dxa"/>
              <w:right w:w="108" w:type="dxa"/>
            </w:tcMar>
          </w:tcPr>
          <w:p w14:paraId="6BF98ADF" w14:textId="797511D0" w:rsidR="006D5DF3" w:rsidRPr="00D25F54" w:rsidRDefault="00D25F54" w:rsidP="00AA687C">
            <w:pPr>
              <w:pStyle w:val="TableHeading"/>
              <w:rPr>
                <w:rStyle w:val="Emphasis"/>
                <w:sz w:val="32"/>
                <w:szCs w:val="32"/>
                <w:highlight w:val="yellow"/>
              </w:rPr>
            </w:pPr>
            <w:r w:rsidRPr="00D25F54">
              <w:rPr>
                <w:rStyle w:val="Emphasis"/>
                <w:sz w:val="32"/>
                <w:szCs w:val="32"/>
              </w:rPr>
              <w:t>Department Response</w:t>
            </w:r>
          </w:p>
        </w:tc>
      </w:tr>
      <w:tr w:rsidR="00EE4F2A" w:rsidRPr="006D5DF3" w14:paraId="0D707279" w14:textId="77777777" w:rsidTr="00EE4F2A">
        <w:trPr>
          <w:trHeight w:val="324"/>
        </w:trPr>
        <w:tc>
          <w:tcPr>
            <w:tcW w:w="1961" w:type="pct"/>
            <w:tcMar>
              <w:left w:w="108" w:type="dxa"/>
              <w:right w:w="108" w:type="dxa"/>
            </w:tcMar>
            <w:vAlign w:val="center"/>
          </w:tcPr>
          <w:p w14:paraId="31EA8DA9" w14:textId="77777777" w:rsidR="002811B3" w:rsidRPr="0064083B" w:rsidRDefault="005966ED" w:rsidP="0064083B">
            <w:pPr>
              <w:pStyle w:val="TableText"/>
              <w:rPr>
                <w:sz w:val="22"/>
              </w:rPr>
            </w:pPr>
            <w:r w:rsidRPr="0064083B">
              <w:rPr>
                <w:sz w:val="22"/>
              </w:rPr>
              <w:t>What happens next? Can Canada now</w:t>
            </w:r>
          </w:p>
          <w:p w14:paraId="7CC819FE" w14:textId="0E496856" w:rsidR="006D5DF3" w:rsidRPr="0064083B" w:rsidRDefault="005966ED" w:rsidP="0064083B">
            <w:pPr>
              <w:pStyle w:val="TableText"/>
              <w:rPr>
                <w:sz w:val="22"/>
              </w:rPr>
            </w:pPr>
            <w:r w:rsidRPr="0064083B">
              <w:rPr>
                <w:sz w:val="22"/>
              </w:rPr>
              <w:t>export beef to Australia?</w:t>
            </w:r>
          </w:p>
        </w:tc>
        <w:tc>
          <w:tcPr>
            <w:tcW w:w="3039" w:type="pct"/>
            <w:tcMar>
              <w:left w:w="108" w:type="dxa"/>
              <w:right w:w="108" w:type="dxa"/>
            </w:tcMar>
          </w:tcPr>
          <w:p w14:paraId="13EA43D9" w14:textId="4F06D29F" w:rsidR="00EE4F2A" w:rsidRPr="0064083B" w:rsidRDefault="00EE4F2A" w:rsidP="0064083B">
            <w:pPr>
              <w:pStyle w:val="TableText"/>
              <w:rPr>
                <w:sz w:val="22"/>
              </w:rPr>
            </w:pPr>
            <w:r w:rsidRPr="0064083B">
              <w:rPr>
                <w:sz w:val="22"/>
              </w:rPr>
              <w:t xml:space="preserve">The addendum adds Canada as an applicant country to the 2017 biosecurity report, Fresh (chilled or frozen) beef and beef products from Japan, the Netherlands, New Zealand, the United States and Vanuatu. </w:t>
            </w:r>
          </w:p>
          <w:p w14:paraId="1D39A890" w14:textId="77777777" w:rsidR="00EE4F2A" w:rsidRPr="0064083B" w:rsidRDefault="00EE4F2A" w:rsidP="0064083B">
            <w:pPr>
              <w:pStyle w:val="TableText"/>
              <w:spacing w:after="120"/>
              <w:rPr>
                <w:sz w:val="22"/>
              </w:rPr>
            </w:pPr>
            <w:r w:rsidRPr="0064083B">
              <w:rPr>
                <w:sz w:val="22"/>
              </w:rPr>
              <w:t>The next step in the process is for the department to conduct a competent authority assessment to determine if Canada’s official animal health, export control, and supervision systems will ensure that Australia’s biosecurity and food safety requirements will be reliably met.</w:t>
            </w:r>
          </w:p>
          <w:p w14:paraId="239A1525" w14:textId="7C8A7293" w:rsidR="006D5DF3" w:rsidRPr="0064083B" w:rsidRDefault="00EE4F2A" w:rsidP="0064083B">
            <w:pPr>
              <w:pStyle w:val="TableText"/>
              <w:spacing w:after="120"/>
              <w:rPr>
                <w:sz w:val="22"/>
              </w:rPr>
            </w:pPr>
            <w:r w:rsidRPr="0064083B">
              <w:rPr>
                <w:sz w:val="22"/>
              </w:rPr>
              <w:t xml:space="preserve">To date, the department has completed two other competent authority assessments for an applicant country from the 2017 review. Japan and the United States of America have undergone assessment and are approved to export fresh beef derived from cattle born, </w:t>
            </w:r>
            <w:r w:rsidR="004818B6" w:rsidRPr="0064083B">
              <w:rPr>
                <w:sz w:val="22"/>
              </w:rPr>
              <w:t>raised,</w:t>
            </w:r>
            <w:r w:rsidRPr="0064083B">
              <w:rPr>
                <w:sz w:val="22"/>
              </w:rPr>
              <w:t xml:space="preserve"> and slaughtered in their countries to Australia. New Zealand has always had uninterrupted access to the Australian market for fresh beef.</w:t>
            </w:r>
          </w:p>
        </w:tc>
      </w:tr>
      <w:tr w:rsidR="006D5DF3" w:rsidRPr="006D5DF3" w14:paraId="1F768577" w14:textId="77777777" w:rsidTr="00EE4F2A">
        <w:trPr>
          <w:trHeight w:val="310"/>
        </w:trPr>
        <w:tc>
          <w:tcPr>
            <w:tcW w:w="1961" w:type="pct"/>
            <w:tcMar>
              <w:left w:w="108" w:type="dxa"/>
              <w:right w:w="108" w:type="dxa"/>
            </w:tcMar>
            <w:vAlign w:val="center"/>
          </w:tcPr>
          <w:p w14:paraId="2DE44534" w14:textId="27DBD693" w:rsidR="006D5DF3" w:rsidRPr="0064083B" w:rsidRDefault="007339CF" w:rsidP="0064083B">
            <w:pPr>
              <w:pStyle w:val="TableText"/>
              <w:rPr>
                <w:sz w:val="22"/>
              </w:rPr>
            </w:pPr>
            <w:r w:rsidRPr="0064083B">
              <w:rPr>
                <w:sz w:val="22"/>
              </w:rPr>
              <w:t>Why is the Government allowing beef imports from Canada when we produce so much beef in Australia?</w:t>
            </w:r>
          </w:p>
        </w:tc>
        <w:tc>
          <w:tcPr>
            <w:tcW w:w="3039" w:type="pct"/>
            <w:tcMar>
              <w:left w:w="108" w:type="dxa"/>
              <w:right w:w="108" w:type="dxa"/>
            </w:tcMar>
          </w:tcPr>
          <w:p w14:paraId="532BD743" w14:textId="77777777" w:rsidR="001011DF" w:rsidRPr="0064083B" w:rsidRDefault="001011DF" w:rsidP="0064083B">
            <w:pPr>
              <w:pStyle w:val="TableText"/>
              <w:spacing w:after="120"/>
              <w:rPr>
                <w:sz w:val="22"/>
              </w:rPr>
            </w:pPr>
            <w:r w:rsidRPr="0064083B">
              <w:rPr>
                <w:sz w:val="22"/>
              </w:rPr>
              <w:t xml:space="preserve">Australia is a trading nation. International trade and investment are critical to the Australian economy, creating jobs and prosperity, and </w:t>
            </w:r>
            <w:proofErr w:type="gramStart"/>
            <w:r w:rsidRPr="0064083B">
              <w:rPr>
                <w:sz w:val="22"/>
              </w:rPr>
              <w:t>opening up</w:t>
            </w:r>
            <w:proofErr w:type="gramEnd"/>
            <w:r w:rsidRPr="0064083B">
              <w:rPr>
                <w:sz w:val="22"/>
              </w:rPr>
              <w:t xml:space="preserve"> opportunities for Australian businesses to expand. The Australian Government supports international trade consistent with the World Trade Organization (WTO) rules and guidelines. </w:t>
            </w:r>
          </w:p>
          <w:p w14:paraId="293FAD0A" w14:textId="4C745B5C" w:rsidR="006D5DF3" w:rsidRPr="0064083B" w:rsidRDefault="001011DF" w:rsidP="0064083B">
            <w:pPr>
              <w:pStyle w:val="TableText"/>
              <w:rPr>
                <w:sz w:val="22"/>
              </w:rPr>
            </w:pPr>
            <w:r w:rsidRPr="0064083B">
              <w:rPr>
                <w:sz w:val="22"/>
              </w:rPr>
              <w:t>As a signatory to the World Trade Organi</w:t>
            </w:r>
            <w:r w:rsidR="004D3FB8">
              <w:rPr>
                <w:sz w:val="22"/>
              </w:rPr>
              <w:t>z</w:t>
            </w:r>
            <w:r w:rsidRPr="0064083B">
              <w:rPr>
                <w:sz w:val="22"/>
              </w:rPr>
              <w:t>ation (WTO) Agreement on the Application of Sanitary and Phytosanitary Measures, Australia has rights and obligations including assessing requests from our trading partners for access to the Australian market.</w:t>
            </w:r>
          </w:p>
        </w:tc>
      </w:tr>
      <w:tr w:rsidR="006D5DF3" w:rsidRPr="006D5DF3" w14:paraId="4E6741A5" w14:textId="77777777" w:rsidTr="00EE4F2A">
        <w:trPr>
          <w:trHeight w:val="310"/>
        </w:trPr>
        <w:tc>
          <w:tcPr>
            <w:tcW w:w="1961" w:type="pct"/>
            <w:tcMar>
              <w:left w:w="108" w:type="dxa"/>
              <w:right w:w="108" w:type="dxa"/>
            </w:tcMar>
          </w:tcPr>
          <w:p w14:paraId="20EAD98F" w14:textId="3898FF02" w:rsidR="006D5DF3" w:rsidRPr="0064083B" w:rsidRDefault="00877292" w:rsidP="00CD60A7">
            <w:pPr>
              <w:pStyle w:val="TableText"/>
              <w:spacing w:before="2520"/>
              <w:rPr>
                <w:sz w:val="22"/>
              </w:rPr>
            </w:pPr>
            <w:r w:rsidRPr="0064083B">
              <w:rPr>
                <w:sz w:val="22"/>
              </w:rPr>
              <w:lastRenderedPageBreak/>
              <w:t>There have been recent outbreaks of exotic pests and diseases like white spot disease, red imported fire ants and varroa mites. How can the Australian Government ensure that there are no future outbreaks?</w:t>
            </w:r>
          </w:p>
        </w:tc>
        <w:tc>
          <w:tcPr>
            <w:tcW w:w="3039" w:type="pct"/>
            <w:tcMar>
              <w:left w:w="108" w:type="dxa"/>
              <w:right w:w="108" w:type="dxa"/>
            </w:tcMar>
          </w:tcPr>
          <w:p w14:paraId="4B7FA8DA" w14:textId="2DC6493F" w:rsidR="00054456" w:rsidRPr="0064083B" w:rsidRDefault="00054456" w:rsidP="0064083B">
            <w:pPr>
              <w:pStyle w:val="TableText"/>
              <w:rPr>
                <w:sz w:val="22"/>
              </w:rPr>
            </w:pPr>
            <w:r w:rsidRPr="0064083B">
              <w:rPr>
                <w:sz w:val="22"/>
              </w:rPr>
              <w:t xml:space="preserve">As demonstrated in Australia and overseas, preventing the entry of exotic pests and diseases cannot be completely guaranteed, even in countries with advanced animal and plant health systems, </w:t>
            </w:r>
            <w:r w:rsidR="00022A83" w:rsidRPr="0064083B">
              <w:rPr>
                <w:sz w:val="22"/>
              </w:rPr>
              <w:t>surveillance,</w:t>
            </w:r>
            <w:r w:rsidRPr="0064083B">
              <w:rPr>
                <w:sz w:val="22"/>
              </w:rPr>
              <w:t xml:space="preserve"> and effective controls, like Australia. However, the Australian Government remains committed to maintaining a strong focus on biosecurity and managing potential threats.</w:t>
            </w:r>
          </w:p>
          <w:p w14:paraId="7B7D9B7E" w14:textId="77777777" w:rsidR="00054456" w:rsidRPr="0064083B" w:rsidRDefault="00054456" w:rsidP="0064083B">
            <w:pPr>
              <w:pStyle w:val="TableText"/>
              <w:rPr>
                <w:sz w:val="22"/>
              </w:rPr>
            </w:pPr>
            <w:r w:rsidRPr="0064083B">
              <w:rPr>
                <w:sz w:val="22"/>
              </w:rPr>
              <w:t>Biosecurity has played a critical role in reducing risk and shaping our nation to become one of the few countries in the world to remain free from the world’s most invasive pests and diseases.</w:t>
            </w:r>
          </w:p>
          <w:p w14:paraId="1CC32AFC" w14:textId="77777777" w:rsidR="00054456" w:rsidRPr="0064083B" w:rsidRDefault="00054456" w:rsidP="0064083B">
            <w:pPr>
              <w:pStyle w:val="TableText"/>
              <w:spacing w:after="120"/>
              <w:rPr>
                <w:sz w:val="22"/>
              </w:rPr>
            </w:pPr>
            <w:r w:rsidRPr="0064083B">
              <w:rPr>
                <w:sz w:val="22"/>
              </w:rPr>
              <w:t>Our biosecurity system protects agriculture, forestry and fisheries export industries worth $51 billion; a tourism sector worth $50 billion; environmental assets worth more than $5.7 trillion; and more than 1.6 million jobs.</w:t>
            </w:r>
          </w:p>
          <w:p w14:paraId="0654C2EB" w14:textId="77777777" w:rsidR="00054456" w:rsidRPr="0064083B" w:rsidRDefault="00054456" w:rsidP="0064083B">
            <w:pPr>
              <w:pStyle w:val="TableText"/>
              <w:spacing w:after="120"/>
              <w:rPr>
                <w:sz w:val="22"/>
              </w:rPr>
            </w:pPr>
            <w:r w:rsidRPr="0064083B">
              <w:rPr>
                <w:sz w:val="22"/>
              </w:rPr>
              <w:t xml:space="preserve">While our status as an island nation has been a key factor in maintaining this position </w:t>
            </w:r>
            <w:proofErr w:type="gramStart"/>
            <w:r w:rsidRPr="0064083B">
              <w:rPr>
                <w:sz w:val="22"/>
              </w:rPr>
              <w:t>a number of</w:t>
            </w:r>
            <w:proofErr w:type="gramEnd"/>
            <w:r w:rsidRPr="0064083B">
              <w:rPr>
                <w:sz w:val="22"/>
              </w:rPr>
              <w:t xml:space="preserve"> factors, including growth in trade volumes are putting pressure on the system.</w:t>
            </w:r>
          </w:p>
          <w:p w14:paraId="65C63D31" w14:textId="13F56EA7" w:rsidR="008B0352" w:rsidRPr="0064083B" w:rsidRDefault="00054456" w:rsidP="0064083B">
            <w:pPr>
              <w:pStyle w:val="TableText"/>
              <w:rPr>
                <w:sz w:val="22"/>
              </w:rPr>
            </w:pPr>
            <w:r w:rsidRPr="0064083B">
              <w:rPr>
                <w:sz w:val="22"/>
              </w:rPr>
              <w:t xml:space="preserve">Australia has over 60,000 kilometres of coastline offering a variety of pathways for exotic pests, </w:t>
            </w:r>
            <w:r w:rsidR="00167A9F" w:rsidRPr="0064083B">
              <w:rPr>
                <w:sz w:val="22"/>
              </w:rPr>
              <w:t>weeds,</w:t>
            </w:r>
            <w:r w:rsidRPr="0064083B">
              <w:rPr>
                <w:sz w:val="22"/>
              </w:rPr>
              <w:t xml:space="preserve"> and diseases to enter the country. The department screens, inspects and clears millions of mail parcels, cargo containers, </w:t>
            </w:r>
            <w:r w:rsidR="00E13FF6" w:rsidRPr="0064083B">
              <w:rPr>
                <w:sz w:val="22"/>
              </w:rPr>
              <w:t>plants,</w:t>
            </w:r>
            <w:r w:rsidRPr="0064083B">
              <w:rPr>
                <w:sz w:val="22"/>
              </w:rPr>
              <w:t xml:space="preserve"> and animals, and of course people are no exception. Using </w:t>
            </w:r>
          </w:p>
          <w:p w14:paraId="7CC65BC7" w14:textId="58479E4D" w:rsidR="00054456" w:rsidRPr="0064083B" w:rsidRDefault="00054456" w:rsidP="0064083B">
            <w:pPr>
              <w:pStyle w:val="TableText"/>
              <w:spacing w:after="120"/>
              <w:rPr>
                <w:sz w:val="22"/>
              </w:rPr>
            </w:pPr>
            <w:r w:rsidRPr="0064083B">
              <w:rPr>
                <w:sz w:val="22"/>
              </w:rPr>
              <w:t>x–ray machines, pre-and post-entry quarantine and surveillance programs and detector dogs, our border security is our first line of defence for protecting our environment and social amenity.</w:t>
            </w:r>
          </w:p>
          <w:p w14:paraId="60BBDA27" w14:textId="2BE62F7B" w:rsidR="00054456" w:rsidRPr="0064083B" w:rsidRDefault="00054456" w:rsidP="0064083B">
            <w:pPr>
              <w:pStyle w:val="TableText"/>
              <w:spacing w:after="120"/>
              <w:rPr>
                <w:sz w:val="22"/>
              </w:rPr>
            </w:pPr>
            <w:r w:rsidRPr="0064083B">
              <w:rPr>
                <w:sz w:val="22"/>
              </w:rPr>
              <w:t xml:space="preserve">To protect Australia, we apply biosecurity measures offshore, at the border and onshore. Investing in research and new ways of understanding and detecting risks, sharing international resources and intelligence, and continually reviewing our risk settings helps prevent the introduction, establishment and spread of pests, </w:t>
            </w:r>
            <w:r w:rsidR="00E13FF6" w:rsidRPr="0064083B">
              <w:rPr>
                <w:sz w:val="22"/>
              </w:rPr>
              <w:t>weeds,</w:t>
            </w:r>
            <w:r w:rsidRPr="0064083B">
              <w:rPr>
                <w:sz w:val="22"/>
              </w:rPr>
              <w:t xml:space="preserve"> and diseases in Australia. The use of surveillance and monitoring of the highest risk areas is critical along with border control activities, which focus on managing potential biosecurity threats at airports, </w:t>
            </w:r>
            <w:r w:rsidR="00E13FF6" w:rsidRPr="0064083B">
              <w:rPr>
                <w:sz w:val="22"/>
              </w:rPr>
              <w:t>seaports,</w:t>
            </w:r>
            <w:r w:rsidRPr="0064083B">
              <w:rPr>
                <w:sz w:val="22"/>
              </w:rPr>
              <w:t xml:space="preserve"> and mail centres.</w:t>
            </w:r>
          </w:p>
          <w:p w14:paraId="3D0B8945" w14:textId="77777777" w:rsidR="006D5DF3" w:rsidRDefault="00054456" w:rsidP="0064083B">
            <w:pPr>
              <w:pStyle w:val="TableText"/>
              <w:spacing w:after="120"/>
              <w:rPr>
                <w:sz w:val="22"/>
              </w:rPr>
            </w:pPr>
            <w:r w:rsidRPr="0064083B">
              <w:rPr>
                <w:sz w:val="22"/>
              </w:rPr>
              <w:t>Integral to the overall biosecurity approach is an effective, ongoing, collaborative partnership of the Australian Government with Australian industry and the public, working together to manage biosecurity threats. This represents a key ongoing component of Australia’s success in maintaining our favourable animal health status.</w:t>
            </w:r>
          </w:p>
          <w:p w14:paraId="6CA906AF" w14:textId="21ACE38F" w:rsidR="003D1B5A" w:rsidRPr="0064083B" w:rsidRDefault="003D1B5A" w:rsidP="0064083B">
            <w:pPr>
              <w:pStyle w:val="TableText"/>
              <w:spacing w:after="120"/>
              <w:rPr>
                <w:sz w:val="22"/>
              </w:rPr>
            </w:pPr>
          </w:p>
        </w:tc>
      </w:tr>
      <w:tr w:rsidR="006D5DF3" w:rsidRPr="006D5DF3" w14:paraId="46C15984" w14:textId="77777777" w:rsidTr="00EE4F2A">
        <w:trPr>
          <w:trHeight w:val="310"/>
        </w:trPr>
        <w:tc>
          <w:tcPr>
            <w:tcW w:w="1961" w:type="pct"/>
            <w:tcMar>
              <w:left w:w="108" w:type="dxa"/>
              <w:right w:w="108" w:type="dxa"/>
            </w:tcMar>
          </w:tcPr>
          <w:p w14:paraId="0B040D12" w14:textId="77777777" w:rsidR="003D1B5A" w:rsidRPr="003D1B5A" w:rsidRDefault="003D1B5A" w:rsidP="003D1B5A">
            <w:pPr>
              <w:pStyle w:val="TableText"/>
              <w:rPr>
                <w:sz w:val="22"/>
              </w:rPr>
            </w:pPr>
          </w:p>
          <w:p w14:paraId="6A4E4875" w14:textId="7E9DE917" w:rsidR="006D5DF3" w:rsidRPr="003D1B5A" w:rsidRDefault="006A3966" w:rsidP="003D1B5A">
            <w:pPr>
              <w:pStyle w:val="TableText"/>
              <w:rPr>
                <w:sz w:val="22"/>
              </w:rPr>
            </w:pPr>
            <w:r w:rsidRPr="003D1B5A">
              <w:rPr>
                <w:sz w:val="22"/>
              </w:rPr>
              <w:t>Beef imports will impact negatively on Australian farmers, why allow it?</w:t>
            </w:r>
          </w:p>
        </w:tc>
        <w:tc>
          <w:tcPr>
            <w:tcW w:w="3039" w:type="pct"/>
            <w:tcMar>
              <w:left w:w="108" w:type="dxa"/>
              <w:right w:w="108" w:type="dxa"/>
            </w:tcMar>
          </w:tcPr>
          <w:p w14:paraId="583E9176" w14:textId="0F494725" w:rsidR="006D5DF3" w:rsidRPr="003D1B5A" w:rsidRDefault="003D1B5A" w:rsidP="003D1B5A">
            <w:pPr>
              <w:pStyle w:val="TableText"/>
              <w:spacing w:after="120"/>
              <w:rPr>
                <w:sz w:val="22"/>
              </w:rPr>
            </w:pPr>
            <w:r w:rsidRPr="003D1B5A">
              <w:rPr>
                <w:sz w:val="22"/>
              </w:rPr>
              <w:t>Australia’s cattle farmers benefit from international trade. In 2023, Australia exported AUD $11.5 billion of beef to over 70 countries with around 70 percent of the beef produced in Australia being exported. As an exporting nation, it is important for Australia to assess other countries market access requests in a manner consistent with WTO rules and guidelines</w:t>
            </w:r>
            <w:r w:rsidR="00E13FF6" w:rsidRPr="003D1B5A">
              <w:rPr>
                <w:sz w:val="22"/>
              </w:rPr>
              <w:t xml:space="preserve">. </w:t>
            </w:r>
          </w:p>
        </w:tc>
      </w:tr>
      <w:tr w:rsidR="003D1B5A" w:rsidRPr="006D5DF3" w14:paraId="77A235CD" w14:textId="77777777" w:rsidTr="00EE4F2A">
        <w:trPr>
          <w:trHeight w:val="310"/>
        </w:trPr>
        <w:tc>
          <w:tcPr>
            <w:tcW w:w="1961" w:type="pct"/>
            <w:tcMar>
              <w:left w:w="108" w:type="dxa"/>
              <w:right w:w="108" w:type="dxa"/>
            </w:tcMar>
          </w:tcPr>
          <w:p w14:paraId="3E1B80E1" w14:textId="09A5B3A5" w:rsidR="003D1B5A" w:rsidRPr="0030492B" w:rsidRDefault="00E26CC2" w:rsidP="000E52AD">
            <w:pPr>
              <w:pStyle w:val="TableText"/>
              <w:spacing w:before="240"/>
              <w:rPr>
                <w:sz w:val="22"/>
              </w:rPr>
            </w:pPr>
            <w:r w:rsidRPr="0030492B">
              <w:rPr>
                <w:sz w:val="22"/>
              </w:rPr>
              <w:t>How does the Australian Government check that import conditions are met</w:t>
            </w:r>
            <w:r w:rsidR="00055154" w:rsidRPr="0030492B">
              <w:rPr>
                <w:sz w:val="22"/>
              </w:rPr>
              <w:t xml:space="preserve">? </w:t>
            </w:r>
          </w:p>
        </w:tc>
        <w:tc>
          <w:tcPr>
            <w:tcW w:w="3039" w:type="pct"/>
            <w:tcMar>
              <w:left w:w="108" w:type="dxa"/>
              <w:right w:w="108" w:type="dxa"/>
            </w:tcMar>
          </w:tcPr>
          <w:p w14:paraId="402C1EB1" w14:textId="1C887915" w:rsidR="003D1B5A" w:rsidRPr="0030492B" w:rsidRDefault="0030492B" w:rsidP="004E3408">
            <w:pPr>
              <w:pStyle w:val="TableText"/>
              <w:spacing w:after="120"/>
              <w:rPr>
                <w:sz w:val="22"/>
              </w:rPr>
            </w:pPr>
            <w:r w:rsidRPr="0030492B">
              <w:rPr>
                <w:sz w:val="22"/>
              </w:rPr>
              <w:t>As noted above, the department is undertaking a competent authority assessment of Canada. In addition to this, the imported beef is subject to import clearance processes on arrival to check that biosecurity and food safety requirements have been met</w:t>
            </w:r>
            <w:r w:rsidR="00E13FF6" w:rsidRPr="0030492B">
              <w:rPr>
                <w:sz w:val="22"/>
              </w:rPr>
              <w:t xml:space="preserve">. </w:t>
            </w:r>
          </w:p>
        </w:tc>
      </w:tr>
      <w:tr w:rsidR="003D1B5A" w:rsidRPr="006D5DF3" w14:paraId="737C5ABA" w14:textId="77777777" w:rsidTr="00EE4F2A">
        <w:trPr>
          <w:trHeight w:val="310"/>
        </w:trPr>
        <w:tc>
          <w:tcPr>
            <w:tcW w:w="1961" w:type="pct"/>
            <w:tcMar>
              <w:left w:w="108" w:type="dxa"/>
              <w:right w:w="108" w:type="dxa"/>
            </w:tcMar>
          </w:tcPr>
          <w:p w14:paraId="23D46E1A" w14:textId="7D991384" w:rsidR="003D1B5A" w:rsidRPr="00131205" w:rsidRDefault="00F71CF3" w:rsidP="00CD60A7">
            <w:pPr>
              <w:pStyle w:val="TableText"/>
              <w:spacing w:before="600"/>
              <w:rPr>
                <w:sz w:val="22"/>
              </w:rPr>
            </w:pPr>
            <w:r w:rsidRPr="00131205">
              <w:rPr>
                <w:sz w:val="22"/>
              </w:rPr>
              <w:t>Applicant countries must have traceability systems, with demonstrated equivalence to Australian standards.</w:t>
            </w:r>
          </w:p>
        </w:tc>
        <w:tc>
          <w:tcPr>
            <w:tcW w:w="3039" w:type="pct"/>
            <w:tcMar>
              <w:left w:w="108" w:type="dxa"/>
              <w:right w:w="108" w:type="dxa"/>
            </w:tcMar>
          </w:tcPr>
          <w:p w14:paraId="3DFD9D76" w14:textId="6D51CAC7" w:rsidR="00131205" w:rsidRPr="00131205" w:rsidRDefault="00131205" w:rsidP="00131205">
            <w:pPr>
              <w:pStyle w:val="TableText"/>
              <w:spacing w:after="120"/>
              <w:rPr>
                <w:sz w:val="22"/>
              </w:rPr>
            </w:pPr>
            <w:r w:rsidRPr="00131205">
              <w:rPr>
                <w:sz w:val="22"/>
              </w:rPr>
              <w:t xml:space="preserve">Information regarding Canada’s national livestock identification program can be found on the </w:t>
            </w:r>
            <w:hyperlink r:id="rId11" w:history="1">
              <w:r w:rsidRPr="003D3E63">
                <w:rPr>
                  <w:rStyle w:val="Hyperlink"/>
                  <w:sz w:val="22"/>
                </w:rPr>
                <w:t>Canadian Cattle Identification Agency (CCIA)</w:t>
              </w:r>
            </w:hyperlink>
            <w:r w:rsidRPr="00131205">
              <w:rPr>
                <w:sz w:val="22"/>
              </w:rPr>
              <w:t xml:space="preserve"> website and information about traceability of animal products can be found in section 90 of the </w:t>
            </w:r>
            <w:hyperlink r:id="rId12" w:history="1">
              <w:r w:rsidRPr="00287A08">
                <w:rPr>
                  <w:rStyle w:val="Hyperlink"/>
                  <w:sz w:val="22"/>
                </w:rPr>
                <w:t>Safe Food for Canadians Regulations</w:t>
              </w:r>
            </w:hyperlink>
            <w:r w:rsidRPr="00131205">
              <w:rPr>
                <w:sz w:val="22"/>
              </w:rPr>
              <w:t>.</w:t>
            </w:r>
          </w:p>
          <w:p w14:paraId="2790A7A6" w14:textId="458E9574" w:rsidR="003D1B5A" w:rsidRPr="00131205" w:rsidRDefault="00131205" w:rsidP="00131205">
            <w:pPr>
              <w:pStyle w:val="TableText"/>
              <w:spacing w:after="120"/>
              <w:rPr>
                <w:sz w:val="22"/>
              </w:rPr>
            </w:pPr>
            <w:r w:rsidRPr="00131205">
              <w:rPr>
                <w:sz w:val="22"/>
              </w:rPr>
              <w:t>Canada’s traceability systems will be assessed as part of the competent authority assessment mentioned above to ensure that they can meet Australia’s biosecurity and food safety requirements.</w:t>
            </w:r>
          </w:p>
        </w:tc>
      </w:tr>
      <w:tr w:rsidR="003D1B5A" w:rsidRPr="006D5DF3" w14:paraId="4E7BCCCE" w14:textId="77777777" w:rsidTr="00EE4F2A">
        <w:trPr>
          <w:trHeight w:val="310"/>
        </w:trPr>
        <w:tc>
          <w:tcPr>
            <w:tcW w:w="1961" w:type="pct"/>
            <w:tcMar>
              <w:left w:w="108" w:type="dxa"/>
              <w:right w:w="108" w:type="dxa"/>
            </w:tcMar>
          </w:tcPr>
          <w:p w14:paraId="36FDA4FD" w14:textId="33D26D3A" w:rsidR="003D1B5A" w:rsidRPr="00FA7D33" w:rsidRDefault="008C0E52" w:rsidP="005301C4">
            <w:pPr>
              <w:pStyle w:val="TableText"/>
              <w:spacing w:before="1320" w:after="240"/>
              <w:rPr>
                <w:sz w:val="22"/>
              </w:rPr>
            </w:pPr>
            <w:r w:rsidRPr="00FA7D33">
              <w:rPr>
                <w:sz w:val="22"/>
              </w:rPr>
              <w:t>Imported beef must be subject to regulations equivalent to those imposed on Australia with respect to restricted animal material.</w:t>
            </w:r>
          </w:p>
        </w:tc>
        <w:tc>
          <w:tcPr>
            <w:tcW w:w="3039" w:type="pct"/>
            <w:tcMar>
              <w:left w:w="108" w:type="dxa"/>
              <w:right w:w="108" w:type="dxa"/>
            </w:tcMar>
          </w:tcPr>
          <w:p w14:paraId="73DB7BDC" w14:textId="77777777" w:rsidR="00FA7D33" w:rsidRPr="00FA7D33" w:rsidRDefault="00FA7D33" w:rsidP="00CD60A7">
            <w:pPr>
              <w:pStyle w:val="TableText"/>
              <w:spacing w:after="120"/>
              <w:rPr>
                <w:sz w:val="22"/>
              </w:rPr>
            </w:pPr>
            <w:r w:rsidRPr="00FA7D33">
              <w:rPr>
                <w:sz w:val="22"/>
              </w:rPr>
              <w:t>Restricted Animal Material (RAM) refers to animal meals that cannot be fed to ruminants, being any meal derived from vertebrate animal origin, including fish and birds. Since 1996, the Australian Ruminant Feed Ban has helped prevent the establishment of bovine spongiform encephalopathy (BSE) in Australia.</w:t>
            </w:r>
          </w:p>
          <w:p w14:paraId="462B9238" w14:textId="2B81BFD0" w:rsidR="00FA7D33" w:rsidRPr="00FA7D33" w:rsidRDefault="00FA7D33" w:rsidP="00CD60A7">
            <w:pPr>
              <w:pStyle w:val="TableText"/>
              <w:spacing w:after="120"/>
              <w:rPr>
                <w:sz w:val="22"/>
              </w:rPr>
            </w:pPr>
            <w:r w:rsidRPr="00FA7D33">
              <w:rPr>
                <w:sz w:val="22"/>
              </w:rPr>
              <w:t xml:space="preserve">The Australian government’s BSE food safety policy requires that all countries exporting or seeking to export beef or beef products to Australia have a risk assessment by Food Standards Australia New Zealand (FSANZ). On 2 August 2024, FSANZ published its </w:t>
            </w:r>
            <w:hyperlink r:id="rId13" w:history="1">
              <w:r w:rsidRPr="007F1923">
                <w:rPr>
                  <w:rStyle w:val="Hyperlink"/>
                  <w:sz w:val="22"/>
                </w:rPr>
                <w:t>BSE food safety risk assessment report and category status for Canada</w:t>
              </w:r>
            </w:hyperlink>
            <w:r w:rsidRPr="00FA7D33">
              <w:rPr>
                <w:sz w:val="22"/>
              </w:rPr>
              <w:t xml:space="preserve">. </w:t>
            </w:r>
          </w:p>
          <w:p w14:paraId="3BAF4877" w14:textId="10954C62" w:rsidR="003D1B5A" w:rsidRPr="00FA7D33" w:rsidRDefault="00FA7D33" w:rsidP="00CD60A7">
            <w:pPr>
              <w:pStyle w:val="TableText"/>
              <w:spacing w:after="120"/>
              <w:rPr>
                <w:sz w:val="22"/>
              </w:rPr>
            </w:pPr>
            <w:r w:rsidRPr="00FA7D33">
              <w:rPr>
                <w:sz w:val="22"/>
              </w:rPr>
              <w:t>FSANZ assigned Canada category 1 status for its BSE food safety risk meaning there are comprehensive and well-established controls to prevent both the introduction and amplification of the BSE agent in a country’s cattle population, and contamination of the human food supply with the BSE agent. Beef and beef products exported from category 1 countries are regarded as posing a negligible risk to public health.</w:t>
            </w:r>
          </w:p>
        </w:tc>
      </w:tr>
      <w:tr w:rsidR="00154B38" w:rsidRPr="006D5DF3" w14:paraId="5E65F77C" w14:textId="77777777" w:rsidTr="00EE4F2A">
        <w:trPr>
          <w:trHeight w:val="310"/>
        </w:trPr>
        <w:tc>
          <w:tcPr>
            <w:tcW w:w="1961" w:type="pct"/>
            <w:tcMar>
              <w:left w:w="108" w:type="dxa"/>
              <w:right w:w="108" w:type="dxa"/>
            </w:tcMar>
          </w:tcPr>
          <w:p w14:paraId="61D824B4" w14:textId="77777777" w:rsidR="002376F8" w:rsidRPr="00723319" w:rsidRDefault="002376F8" w:rsidP="00723319">
            <w:pPr>
              <w:pStyle w:val="TableText"/>
              <w:spacing w:before="600" w:after="120"/>
              <w:rPr>
                <w:sz w:val="22"/>
              </w:rPr>
            </w:pPr>
            <w:r w:rsidRPr="00723319">
              <w:rPr>
                <w:sz w:val="22"/>
              </w:rPr>
              <w:lastRenderedPageBreak/>
              <w:t>Imported product must have appropriate labelling consistent with Australian consumer law, identifying the country of origin.</w:t>
            </w:r>
          </w:p>
          <w:p w14:paraId="04688E9A" w14:textId="3C04E7D4" w:rsidR="00154B38" w:rsidRPr="00723319" w:rsidRDefault="002376F8" w:rsidP="00723319">
            <w:pPr>
              <w:pStyle w:val="TableText"/>
              <w:rPr>
                <w:sz w:val="22"/>
              </w:rPr>
            </w:pPr>
            <w:r w:rsidRPr="00723319">
              <w:rPr>
                <w:sz w:val="22"/>
              </w:rPr>
              <w:t>Imported product must not be re-labelled or re-exported as fresh Australian beef or Australian beef product.</w:t>
            </w:r>
          </w:p>
        </w:tc>
        <w:tc>
          <w:tcPr>
            <w:tcW w:w="3039" w:type="pct"/>
            <w:tcMar>
              <w:left w:w="108" w:type="dxa"/>
              <w:right w:w="108" w:type="dxa"/>
            </w:tcMar>
          </w:tcPr>
          <w:p w14:paraId="5D34192B" w14:textId="0F15CB89" w:rsidR="00723319" w:rsidRPr="00723319" w:rsidRDefault="00723319" w:rsidP="00723319">
            <w:pPr>
              <w:pStyle w:val="TableText"/>
              <w:rPr>
                <w:sz w:val="22"/>
              </w:rPr>
            </w:pPr>
            <w:r w:rsidRPr="00723319">
              <w:rPr>
                <w:sz w:val="22"/>
              </w:rPr>
              <w:t xml:space="preserve">The Country-of-Origin Food Labelling Information Standard 2016 requires most foods that are offered for retail sale, including beef, to have information on the country where the food was grown, </w:t>
            </w:r>
            <w:r w:rsidR="00E13FF6" w:rsidRPr="00723319">
              <w:rPr>
                <w:sz w:val="22"/>
              </w:rPr>
              <w:t>produced,</w:t>
            </w:r>
            <w:r w:rsidRPr="00723319">
              <w:rPr>
                <w:sz w:val="22"/>
              </w:rPr>
              <w:t xml:space="preserve"> or made. Further information is available on the Australian Competition and Consumer Commission website:  </w:t>
            </w:r>
            <w:hyperlink r:id="rId14" w:history="1">
              <w:r w:rsidRPr="003B01A2">
                <w:rPr>
                  <w:rStyle w:val="Hyperlink"/>
                  <w:sz w:val="22"/>
                </w:rPr>
                <w:t>https://www.accc.gov.au/business/advertising-and-promotions/country-of-origin-food-labelling</w:t>
              </w:r>
            </w:hyperlink>
            <w:r w:rsidRPr="00723319">
              <w:rPr>
                <w:sz w:val="22"/>
              </w:rPr>
              <w:t xml:space="preserve">. </w:t>
            </w:r>
          </w:p>
          <w:p w14:paraId="32B678BD" w14:textId="77777777" w:rsidR="00723319" w:rsidRPr="00723319" w:rsidRDefault="00723319" w:rsidP="00723319">
            <w:pPr>
              <w:pStyle w:val="TableText"/>
              <w:rPr>
                <w:sz w:val="22"/>
              </w:rPr>
            </w:pPr>
          </w:p>
          <w:p w14:paraId="3A33558E" w14:textId="1D42B6A4" w:rsidR="00154B38" w:rsidRPr="00723319" w:rsidRDefault="00723319" w:rsidP="00723319">
            <w:pPr>
              <w:pStyle w:val="TableText"/>
              <w:spacing w:after="120"/>
              <w:rPr>
                <w:sz w:val="22"/>
              </w:rPr>
            </w:pPr>
            <w:r w:rsidRPr="00723319">
              <w:rPr>
                <w:sz w:val="22"/>
              </w:rPr>
              <w:t>Products exported from Australia are not required to comply with the standard, however, businesses that choose to voluntarily adopt the labelling set out in the standard are required to comply with the standard.</w:t>
            </w:r>
          </w:p>
        </w:tc>
      </w:tr>
      <w:tr w:rsidR="00154B38" w:rsidRPr="006D5DF3" w14:paraId="05ACF3F2" w14:textId="77777777" w:rsidTr="00EE4F2A">
        <w:trPr>
          <w:trHeight w:val="310"/>
        </w:trPr>
        <w:tc>
          <w:tcPr>
            <w:tcW w:w="1961" w:type="pct"/>
            <w:tcMar>
              <w:left w:w="108" w:type="dxa"/>
              <w:right w:w="108" w:type="dxa"/>
            </w:tcMar>
          </w:tcPr>
          <w:p w14:paraId="506A34EE" w14:textId="5CDE07B4" w:rsidR="00154B38" w:rsidRPr="00FA7D33" w:rsidRDefault="00E206BF" w:rsidP="00B27A53">
            <w:pPr>
              <w:pStyle w:val="TableText"/>
              <w:spacing w:before="600" w:after="120"/>
              <w:rPr>
                <w:sz w:val="22"/>
              </w:rPr>
            </w:pPr>
            <w:r w:rsidRPr="00E206BF">
              <w:rPr>
                <w:sz w:val="22"/>
              </w:rPr>
              <w:t>Beef export abattoirs seeking approval to export to Australia should be subject to audit and inspection equivalent to those applied to Australian abattoirs, including animal traceability systems.</w:t>
            </w:r>
          </w:p>
        </w:tc>
        <w:tc>
          <w:tcPr>
            <w:tcW w:w="3039" w:type="pct"/>
            <w:tcMar>
              <w:left w:w="108" w:type="dxa"/>
              <w:right w:w="108" w:type="dxa"/>
            </w:tcMar>
          </w:tcPr>
          <w:p w14:paraId="3BDCA61E" w14:textId="77777777" w:rsidR="00B27A53" w:rsidRPr="00B27A53" w:rsidRDefault="00B27A53" w:rsidP="00B27A53">
            <w:pPr>
              <w:pStyle w:val="TableText"/>
              <w:spacing w:after="120"/>
              <w:rPr>
                <w:sz w:val="22"/>
              </w:rPr>
            </w:pPr>
            <w:r w:rsidRPr="00B27A53">
              <w:rPr>
                <w:sz w:val="22"/>
              </w:rPr>
              <w:t xml:space="preserve">As noted above the department is </w:t>
            </w:r>
            <w:proofErr w:type="gramStart"/>
            <w:r w:rsidRPr="00B27A53">
              <w:rPr>
                <w:sz w:val="22"/>
              </w:rPr>
              <w:t>conducting an assessment of</w:t>
            </w:r>
            <w:proofErr w:type="gramEnd"/>
            <w:r w:rsidRPr="00B27A53">
              <w:rPr>
                <w:sz w:val="22"/>
              </w:rPr>
              <w:t xml:space="preserve"> Canada’s official animal health, export control, and supervision systems. This will include assessment of oversight by the Canadian Food Inspection Agency (CFIA - Canada’s competent authority) of beef export abattoirs and traceability systems. </w:t>
            </w:r>
          </w:p>
          <w:p w14:paraId="157D5EDD" w14:textId="1ADDAA90" w:rsidR="00154B38" w:rsidRPr="00FA7D33" w:rsidRDefault="00B27A53" w:rsidP="00B27A53">
            <w:pPr>
              <w:pStyle w:val="TableText"/>
              <w:spacing w:after="120"/>
              <w:rPr>
                <w:sz w:val="22"/>
              </w:rPr>
            </w:pPr>
            <w:r w:rsidRPr="00B27A53">
              <w:rPr>
                <w:sz w:val="22"/>
              </w:rPr>
              <w:t>The department will require that establishments where the cattle, from which the meat was derived, were slaughtered and where the meat was prepared for export to Australia, have current approval from and are under the supervision of CFIA and that official veterinarians are present throughout the slaughtering and processing chains.</w:t>
            </w:r>
          </w:p>
        </w:tc>
      </w:tr>
      <w:tr w:rsidR="00154B38" w:rsidRPr="006D5DF3" w14:paraId="219B344E" w14:textId="77777777" w:rsidTr="00EE4F2A">
        <w:trPr>
          <w:trHeight w:val="310"/>
        </w:trPr>
        <w:tc>
          <w:tcPr>
            <w:tcW w:w="1961" w:type="pct"/>
            <w:tcMar>
              <w:left w:w="108" w:type="dxa"/>
              <w:right w:w="108" w:type="dxa"/>
            </w:tcMar>
          </w:tcPr>
          <w:p w14:paraId="45A37011" w14:textId="341EB136" w:rsidR="00154B38" w:rsidRPr="009C10C5" w:rsidRDefault="00CF61D1" w:rsidP="009C10C5">
            <w:pPr>
              <w:pStyle w:val="TableText"/>
              <w:spacing w:before="480"/>
              <w:rPr>
                <w:sz w:val="22"/>
              </w:rPr>
            </w:pPr>
            <w:r w:rsidRPr="009C10C5">
              <w:rPr>
                <w:sz w:val="22"/>
              </w:rPr>
              <w:t>Imported beef must be subject to regulations equivalent to those imposed on Australia with respect to banned substances, including beta-agonists. Beef imported to Australia must be of the highest hygienic standards and pose no risk to Australian consumers or beef producers, or Australia’s international or domestic trade.</w:t>
            </w:r>
          </w:p>
        </w:tc>
        <w:tc>
          <w:tcPr>
            <w:tcW w:w="3039" w:type="pct"/>
            <w:tcMar>
              <w:left w:w="108" w:type="dxa"/>
              <w:right w:w="108" w:type="dxa"/>
            </w:tcMar>
          </w:tcPr>
          <w:p w14:paraId="22ED4875" w14:textId="77777777" w:rsidR="009C10C5" w:rsidRPr="009C10C5" w:rsidRDefault="009C10C5" w:rsidP="009C10C5">
            <w:pPr>
              <w:pStyle w:val="TableText"/>
              <w:spacing w:after="120"/>
              <w:rPr>
                <w:sz w:val="22"/>
              </w:rPr>
            </w:pPr>
            <w:r w:rsidRPr="009C10C5">
              <w:rPr>
                <w:sz w:val="22"/>
              </w:rPr>
              <w:t xml:space="preserve">Imported beef will be subject to the requirements of the Imported Food Control Act (1992). All beef and beef products are currently classified as a risk food. Beef can only be imported from a country with a satisfactory BSE risk status from Food Standards Australia New Zealand (FSANZ). </w:t>
            </w:r>
          </w:p>
          <w:p w14:paraId="040184A7" w14:textId="77777777" w:rsidR="009C10C5" w:rsidRPr="009C10C5" w:rsidRDefault="009C10C5" w:rsidP="009C10C5">
            <w:pPr>
              <w:pStyle w:val="TableText"/>
              <w:rPr>
                <w:sz w:val="22"/>
              </w:rPr>
            </w:pPr>
            <w:r w:rsidRPr="009C10C5">
              <w:rPr>
                <w:sz w:val="22"/>
              </w:rPr>
              <w:t>Imported raw beef will also be subject to inspection and testing as follows:</w:t>
            </w:r>
          </w:p>
          <w:p w14:paraId="494AAD78" w14:textId="77777777" w:rsidR="009C10C5" w:rsidRPr="009C10C5" w:rsidRDefault="009C10C5" w:rsidP="009C10C5">
            <w:pPr>
              <w:pStyle w:val="TableText"/>
              <w:spacing w:after="120"/>
              <w:rPr>
                <w:sz w:val="22"/>
              </w:rPr>
            </w:pPr>
            <w:r w:rsidRPr="009C10C5">
              <w:rPr>
                <w:sz w:val="22"/>
              </w:rPr>
              <w:t>DAFF refers consignments of raw chilled or frozen beef and beef products for analytical testing at the rate of 5%. During inspection, we will also conduct a visual and label assessment.</w:t>
            </w:r>
          </w:p>
          <w:p w14:paraId="50EDB447" w14:textId="6D8203E3" w:rsidR="009C10C5" w:rsidRPr="00F80A65" w:rsidRDefault="009C10C5" w:rsidP="009C10C5">
            <w:pPr>
              <w:pStyle w:val="TableText"/>
              <w:rPr>
                <w:rStyle w:val="Hyperlink"/>
                <w:sz w:val="22"/>
              </w:rPr>
            </w:pPr>
            <w:hyperlink r:id="rId15" w:history="1">
              <w:r w:rsidRPr="00F80A65">
                <w:rPr>
                  <w:rStyle w:val="Hyperlink"/>
                  <w:sz w:val="22"/>
                </w:rPr>
                <w:t>https://www.agriculture.gov.au/biosecurity-trade/import/goods/food/type/raw-beef</w:t>
              </w:r>
            </w:hyperlink>
          </w:p>
          <w:p w14:paraId="2A0F2214" w14:textId="4D63536B" w:rsidR="00154B38" w:rsidRPr="00F80A65" w:rsidRDefault="009C10C5" w:rsidP="009C10C5">
            <w:pPr>
              <w:pStyle w:val="TableText"/>
              <w:spacing w:after="120"/>
              <w:rPr>
                <w:rStyle w:val="Hyperlink"/>
                <w:sz w:val="22"/>
              </w:rPr>
            </w:pPr>
            <w:hyperlink r:id="rId16" w:history="1">
              <w:r w:rsidRPr="00F80A65">
                <w:rPr>
                  <w:rStyle w:val="Hyperlink"/>
                  <w:sz w:val="22"/>
                </w:rPr>
                <w:t>https://www.agriculture.gov.au/biosecurity-trade/import/goods/food/type/beef</w:t>
              </w:r>
            </w:hyperlink>
          </w:p>
        </w:tc>
      </w:tr>
    </w:tbl>
    <w:p w14:paraId="62782D93" w14:textId="5EA6FD45" w:rsidR="005304F5" w:rsidRDefault="00F163AB" w:rsidP="00F163AB">
      <w:pPr>
        <w:pStyle w:val="FigureTableNoteSource"/>
        <w:tabs>
          <w:tab w:val="left" w:pos="567"/>
        </w:tabs>
        <w:ind w:left="567"/>
      </w:pPr>
      <w:r>
        <w:tab/>
      </w:r>
    </w:p>
    <w:p w14:paraId="68EB58F3" w14:textId="72FB844E" w:rsidR="00924917" w:rsidRPr="00924917" w:rsidRDefault="00924917" w:rsidP="00924917">
      <w:pPr>
        <w:pStyle w:val="TableHeading"/>
        <w:spacing w:after="120"/>
        <w:jc w:val="center"/>
        <w:rPr>
          <w:sz w:val="28"/>
          <w:szCs w:val="28"/>
        </w:rPr>
      </w:pPr>
      <w:r w:rsidRPr="00924917">
        <w:rPr>
          <w:sz w:val="28"/>
          <w:szCs w:val="28"/>
        </w:rPr>
        <w:lastRenderedPageBreak/>
        <w:t>Tests that will be applied and permitted results for each food type</w:t>
      </w:r>
    </w:p>
    <w:tbl>
      <w:tblPr>
        <w:tblW w:w="4985"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24"/>
        <w:gridCol w:w="5527"/>
        <w:gridCol w:w="4075"/>
      </w:tblGrid>
      <w:tr w:rsidR="005769AC" w:rsidRPr="00525B5E" w14:paraId="3A45E9F2" w14:textId="77777777" w:rsidTr="005769AC">
        <w:trPr>
          <w:cantSplit/>
          <w:trHeight w:val="328"/>
          <w:tblHeader/>
        </w:trPr>
        <w:tc>
          <w:tcPr>
            <w:tcW w:w="1826" w:type="pct"/>
            <w:shd w:val="clear" w:color="auto" w:fill="C2D69B" w:themeFill="accent3" w:themeFillTint="99"/>
            <w:tcMar>
              <w:left w:w="108" w:type="dxa"/>
              <w:right w:w="108" w:type="dxa"/>
            </w:tcMar>
          </w:tcPr>
          <w:p w14:paraId="01D63B8C" w14:textId="0AD00F24" w:rsidR="00013BC5" w:rsidRPr="00CE6F9A" w:rsidRDefault="00013BC5" w:rsidP="00CE6F9A">
            <w:pPr>
              <w:pStyle w:val="TableHeading"/>
              <w:rPr>
                <w:sz w:val="24"/>
                <w:szCs w:val="24"/>
              </w:rPr>
            </w:pPr>
            <w:r w:rsidRPr="00CE6F9A">
              <w:rPr>
                <w:sz w:val="24"/>
                <w:szCs w:val="24"/>
              </w:rPr>
              <w:t>Food Type</w:t>
            </w:r>
          </w:p>
        </w:tc>
        <w:tc>
          <w:tcPr>
            <w:tcW w:w="1827" w:type="pct"/>
            <w:tcBorders>
              <w:bottom w:val="single" w:sz="4" w:space="0" w:color="auto"/>
            </w:tcBorders>
            <w:shd w:val="clear" w:color="auto" w:fill="C2D69B" w:themeFill="accent3" w:themeFillTint="99"/>
            <w:tcMar>
              <w:left w:w="108" w:type="dxa"/>
              <w:right w:w="108" w:type="dxa"/>
            </w:tcMar>
          </w:tcPr>
          <w:p w14:paraId="0698C32B" w14:textId="2E414F01" w:rsidR="00013BC5" w:rsidRPr="00CE6F9A" w:rsidRDefault="00013BC5" w:rsidP="00CE6F9A">
            <w:pPr>
              <w:pStyle w:val="TableHeading"/>
              <w:rPr>
                <w:sz w:val="24"/>
                <w:szCs w:val="24"/>
                <w:highlight w:val="yellow"/>
              </w:rPr>
            </w:pPr>
            <w:r w:rsidRPr="00CE6F9A">
              <w:rPr>
                <w:sz w:val="24"/>
                <w:szCs w:val="24"/>
              </w:rPr>
              <w:t>Test Applied</w:t>
            </w:r>
            <w:r w:rsidRPr="00CE6F9A">
              <w:rPr>
                <w:sz w:val="24"/>
                <w:szCs w:val="24"/>
              </w:rPr>
              <w:tab/>
            </w:r>
            <w:r w:rsidRPr="00CE6F9A">
              <w:rPr>
                <w:sz w:val="24"/>
                <w:szCs w:val="24"/>
              </w:rPr>
              <w:tab/>
            </w:r>
          </w:p>
        </w:tc>
        <w:tc>
          <w:tcPr>
            <w:tcW w:w="1347" w:type="pct"/>
            <w:tcBorders>
              <w:bottom w:val="single" w:sz="4" w:space="0" w:color="auto"/>
            </w:tcBorders>
            <w:shd w:val="clear" w:color="auto" w:fill="C2D69B" w:themeFill="accent3" w:themeFillTint="99"/>
            <w:tcMar>
              <w:left w:w="108" w:type="dxa"/>
              <w:right w:w="108" w:type="dxa"/>
            </w:tcMar>
          </w:tcPr>
          <w:p w14:paraId="2D83F475" w14:textId="6BF79644" w:rsidR="00013BC5" w:rsidRPr="00CE6F9A" w:rsidRDefault="00990946" w:rsidP="00CE6F9A">
            <w:pPr>
              <w:pStyle w:val="TableHeading"/>
              <w:rPr>
                <w:sz w:val="24"/>
                <w:szCs w:val="24"/>
                <w:highlight w:val="yellow"/>
              </w:rPr>
            </w:pPr>
            <w:r>
              <w:rPr>
                <w:sz w:val="24"/>
                <w:szCs w:val="24"/>
              </w:rPr>
              <w:t xml:space="preserve">Permitted </w:t>
            </w:r>
            <w:r w:rsidR="00CC29A4">
              <w:rPr>
                <w:sz w:val="24"/>
                <w:szCs w:val="24"/>
              </w:rPr>
              <w:t>R</w:t>
            </w:r>
            <w:r>
              <w:rPr>
                <w:sz w:val="24"/>
                <w:szCs w:val="24"/>
              </w:rPr>
              <w:t>esult</w:t>
            </w:r>
          </w:p>
        </w:tc>
      </w:tr>
      <w:tr w:rsidR="00013BC5" w:rsidRPr="00525B5E" w14:paraId="7B1FA3C2" w14:textId="77777777" w:rsidTr="00272C20">
        <w:trPr>
          <w:trHeight w:val="343"/>
        </w:trPr>
        <w:tc>
          <w:tcPr>
            <w:tcW w:w="1826" w:type="pct"/>
            <w:tcBorders>
              <w:right w:val="single" w:sz="4" w:space="0" w:color="auto"/>
            </w:tcBorders>
            <w:tcMar>
              <w:left w:w="108" w:type="dxa"/>
              <w:right w:w="108" w:type="dxa"/>
            </w:tcMar>
            <w:vAlign w:val="center"/>
          </w:tcPr>
          <w:p w14:paraId="28DF4DCB" w14:textId="77777777" w:rsidR="00924917" w:rsidRPr="00F52FB4" w:rsidRDefault="001B4361" w:rsidP="00013BC5">
            <w:pPr>
              <w:spacing w:before="60" w:after="60" w:line="240" w:lineRule="auto"/>
              <w:jc w:val="both"/>
            </w:pPr>
            <w:r w:rsidRPr="00F52FB4">
              <w:t>Raw (chilled and frozen) beef</w:t>
            </w:r>
          </w:p>
          <w:p w14:paraId="757190A3" w14:textId="77777777" w:rsidR="001B4361" w:rsidRPr="00F71DFC" w:rsidRDefault="00D325AB" w:rsidP="003F1E35">
            <w:pPr>
              <w:pStyle w:val="TableBullet"/>
              <w:rPr>
                <w:sz w:val="22"/>
              </w:rPr>
            </w:pPr>
            <w:r w:rsidRPr="00F71DFC">
              <w:rPr>
                <w:sz w:val="22"/>
              </w:rPr>
              <w:t>Carcasses</w:t>
            </w:r>
          </w:p>
          <w:p w14:paraId="09FD9159" w14:textId="77777777" w:rsidR="00D325AB" w:rsidRPr="00F71DFC" w:rsidRDefault="00D325AB" w:rsidP="003F1E35">
            <w:pPr>
              <w:pStyle w:val="TableBullet"/>
              <w:rPr>
                <w:sz w:val="22"/>
              </w:rPr>
            </w:pPr>
            <w:r w:rsidRPr="00F71DFC">
              <w:rPr>
                <w:sz w:val="22"/>
              </w:rPr>
              <w:t>Whole muscle meat</w:t>
            </w:r>
          </w:p>
          <w:p w14:paraId="272CC0A8" w14:textId="1C711439" w:rsidR="00D325AB" w:rsidRPr="00525B5E" w:rsidRDefault="00D325AB" w:rsidP="003F1E35">
            <w:pPr>
              <w:pStyle w:val="TableBullet"/>
            </w:pPr>
            <w:r w:rsidRPr="00F71DFC">
              <w:rPr>
                <w:sz w:val="22"/>
              </w:rPr>
              <w:t>Bone-in-cuts</w:t>
            </w:r>
          </w:p>
        </w:tc>
        <w:tc>
          <w:tcPr>
            <w:tcW w:w="1827" w:type="pct"/>
            <w:tcBorders>
              <w:top w:val="single" w:sz="4" w:space="0" w:color="auto"/>
              <w:left w:val="single" w:sz="4" w:space="0" w:color="auto"/>
              <w:bottom w:val="single" w:sz="4" w:space="0" w:color="auto"/>
              <w:right w:val="single" w:sz="4" w:space="0" w:color="auto"/>
            </w:tcBorders>
            <w:tcMar>
              <w:left w:w="108" w:type="dxa"/>
              <w:right w:w="108" w:type="dxa"/>
            </w:tcMar>
          </w:tcPr>
          <w:p w14:paraId="2337DCE6" w14:textId="1FCE4BF0" w:rsidR="00363727" w:rsidRDefault="00363727" w:rsidP="00C137E1">
            <w:pPr>
              <w:pStyle w:val="Heading6"/>
              <w:spacing w:after="0"/>
              <w:rPr>
                <w:rStyle w:val="Emphasis"/>
              </w:rPr>
            </w:pPr>
            <w:r w:rsidRPr="008A6998">
              <w:rPr>
                <w:rStyle w:val="Emphasis"/>
              </w:rPr>
              <w:t>Escherichia coli</w:t>
            </w:r>
          </w:p>
          <w:p w14:paraId="2C2FB03F" w14:textId="77777777" w:rsidR="006675CD" w:rsidRPr="008A6998" w:rsidRDefault="006675CD" w:rsidP="000B126B">
            <w:pPr>
              <w:tabs>
                <w:tab w:val="left" w:pos="2115"/>
              </w:tabs>
              <w:rPr>
                <w:rStyle w:val="Emphasis"/>
              </w:rPr>
            </w:pPr>
          </w:p>
          <w:p w14:paraId="64171630" w14:textId="31221BE7" w:rsidR="00363727" w:rsidRPr="00525B5E" w:rsidRDefault="00363727" w:rsidP="000B126B">
            <w:pPr>
              <w:pStyle w:val="AuthorOrganisationAffiliation"/>
              <w:tabs>
                <w:tab w:val="left" w:pos="2115"/>
              </w:tabs>
              <w:spacing w:after="120"/>
            </w:pPr>
            <w:r w:rsidRPr="008A6998">
              <w:t>Meat antimicrobial screen</w:t>
            </w:r>
          </w:p>
        </w:tc>
        <w:tc>
          <w:tcPr>
            <w:tcW w:w="1347" w:type="pct"/>
            <w:tcBorders>
              <w:top w:val="single" w:sz="4" w:space="0" w:color="auto"/>
              <w:left w:val="single" w:sz="4" w:space="0" w:color="auto"/>
              <w:bottom w:val="single" w:sz="4" w:space="0" w:color="auto"/>
              <w:right w:val="single" w:sz="4" w:space="0" w:color="auto"/>
            </w:tcBorders>
            <w:tcMar>
              <w:left w:w="108" w:type="dxa"/>
              <w:right w:w="108" w:type="dxa"/>
            </w:tcMar>
          </w:tcPr>
          <w:p w14:paraId="2F8384E8" w14:textId="77777777" w:rsidR="00CC29A4" w:rsidRDefault="0042361E" w:rsidP="00C137E1">
            <w:pPr>
              <w:pStyle w:val="AuthorOrganisationAffiliation"/>
              <w:spacing w:before="120" w:after="0"/>
              <w:rPr>
                <w:rStyle w:val="Emphasis"/>
                <w:i w:val="0"/>
                <w:iCs w:val="0"/>
              </w:rPr>
            </w:pPr>
            <w:r w:rsidRPr="000B126B">
              <w:rPr>
                <w:rStyle w:val="Emphasis"/>
                <w:i w:val="0"/>
                <w:iCs w:val="0"/>
              </w:rPr>
              <w:t>n=5, c=3, m=10, M=100</w:t>
            </w:r>
          </w:p>
          <w:p w14:paraId="737FD2B4" w14:textId="77777777" w:rsidR="006675CD" w:rsidRPr="006675CD" w:rsidRDefault="006675CD" w:rsidP="006675CD"/>
          <w:p w14:paraId="64BB28F8" w14:textId="23F14679" w:rsidR="000B126B" w:rsidRPr="000B126B" w:rsidRDefault="00F166C9" w:rsidP="000B126B">
            <w:r>
              <w:t xml:space="preserve">Refer to </w:t>
            </w:r>
            <w:hyperlink r:id="rId17" w:history="1">
              <w:r w:rsidRPr="00843C40">
                <w:rPr>
                  <w:rStyle w:val="Hyperlink"/>
                </w:rPr>
                <w:t>meat and edible offal</w:t>
              </w:r>
            </w:hyperlink>
          </w:p>
        </w:tc>
      </w:tr>
      <w:tr w:rsidR="00013BC5" w:rsidRPr="00525B5E" w14:paraId="556FE171" w14:textId="77777777" w:rsidTr="00272C20">
        <w:trPr>
          <w:trHeight w:val="328"/>
        </w:trPr>
        <w:tc>
          <w:tcPr>
            <w:tcW w:w="1826" w:type="pct"/>
            <w:tcMar>
              <w:left w:w="108" w:type="dxa"/>
              <w:right w:w="108" w:type="dxa"/>
            </w:tcMar>
            <w:vAlign w:val="center"/>
          </w:tcPr>
          <w:p w14:paraId="463D41BA" w14:textId="77777777" w:rsidR="00F520EA" w:rsidRPr="00F520EA" w:rsidRDefault="00F520EA" w:rsidP="00736AD2">
            <w:pPr>
              <w:pStyle w:val="TableText"/>
              <w:spacing w:before="120"/>
              <w:rPr>
                <w:sz w:val="22"/>
              </w:rPr>
            </w:pPr>
            <w:r w:rsidRPr="00F520EA">
              <w:rPr>
                <w:sz w:val="22"/>
              </w:rPr>
              <w:t>Raw (chilled and frozen) beef</w:t>
            </w:r>
          </w:p>
          <w:p w14:paraId="07DA3860" w14:textId="3BF72492" w:rsidR="00013BC5" w:rsidRPr="00F71DFC" w:rsidRDefault="00413E6C" w:rsidP="00A730B3">
            <w:pPr>
              <w:pStyle w:val="TableBullet"/>
              <w:rPr>
                <w:sz w:val="22"/>
              </w:rPr>
            </w:pPr>
            <w:r w:rsidRPr="00F71DFC">
              <w:rPr>
                <w:sz w:val="22"/>
              </w:rPr>
              <w:t>Ground or trim for grinding</w:t>
            </w:r>
          </w:p>
        </w:tc>
        <w:tc>
          <w:tcPr>
            <w:tcW w:w="1827" w:type="pct"/>
            <w:tcBorders>
              <w:top w:val="single" w:sz="4" w:space="0" w:color="auto"/>
            </w:tcBorders>
            <w:tcMar>
              <w:left w:w="108" w:type="dxa"/>
              <w:right w:w="108" w:type="dxa"/>
            </w:tcMar>
          </w:tcPr>
          <w:p w14:paraId="6D0B031F" w14:textId="3C871967" w:rsidR="00FF0BAD" w:rsidRDefault="00FF0BAD" w:rsidP="00F520EA">
            <w:pPr>
              <w:pStyle w:val="TableText"/>
              <w:rPr>
                <w:rStyle w:val="Emphasis"/>
                <w:sz w:val="22"/>
              </w:rPr>
            </w:pPr>
            <w:r w:rsidRPr="00FF0BAD">
              <w:rPr>
                <w:rStyle w:val="Emphasis"/>
                <w:sz w:val="22"/>
              </w:rPr>
              <w:t>Escherichia coli</w:t>
            </w:r>
          </w:p>
          <w:p w14:paraId="1061EB2C" w14:textId="77777777" w:rsidR="00B17C0E" w:rsidRPr="00B17C0E" w:rsidRDefault="00B17C0E" w:rsidP="00F520EA">
            <w:pPr>
              <w:pStyle w:val="TableText"/>
              <w:rPr>
                <w:rStyle w:val="Emphasis"/>
                <w:sz w:val="22"/>
              </w:rPr>
            </w:pPr>
          </w:p>
          <w:p w14:paraId="772EA41A" w14:textId="77777777" w:rsidR="003719F9" w:rsidRDefault="00D649D1" w:rsidP="005367D1">
            <w:pPr>
              <w:spacing w:after="0"/>
              <w:rPr>
                <w:rStyle w:val="Emphasis"/>
                <w:i w:val="0"/>
                <w:iCs w:val="0"/>
              </w:rPr>
            </w:pPr>
            <w:r w:rsidRPr="00D649D1">
              <w:rPr>
                <w:rStyle w:val="Emphasis"/>
              </w:rPr>
              <w:t>Salmonella spp.</w:t>
            </w:r>
            <w:r w:rsidRPr="00D649D1">
              <w:rPr>
                <w:rStyle w:val="Emphasis"/>
                <w:i w:val="0"/>
                <w:iCs w:val="0"/>
              </w:rPr>
              <w:t xml:space="preserve"> / 25g</w:t>
            </w:r>
          </w:p>
          <w:p w14:paraId="1B8E1313" w14:textId="77777777" w:rsidR="007848EC" w:rsidRDefault="007848EC" w:rsidP="005367D1">
            <w:pPr>
              <w:pStyle w:val="AuthorOrganisationAffiliation"/>
              <w:spacing w:after="0"/>
              <w:rPr>
                <w:rStyle w:val="Emphasis"/>
                <w:i w:val="0"/>
                <w:iCs w:val="0"/>
              </w:rPr>
            </w:pPr>
          </w:p>
          <w:p w14:paraId="794664CA" w14:textId="7779ED35" w:rsidR="009A1835" w:rsidRPr="009A1835" w:rsidRDefault="009A1835" w:rsidP="00B17C0E">
            <w:pPr>
              <w:spacing w:before="120" w:after="0"/>
              <w:rPr>
                <w:rStyle w:val="Emphasis"/>
                <w:i w:val="0"/>
                <w:iCs w:val="0"/>
              </w:rPr>
            </w:pPr>
            <w:r w:rsidRPr="009A1835">
              <w:rPr>
                <w:rStyle w:val="Emphasis"/>
                <w:i w:val="0"/>
                <w:iCs w:val="0"/>
              </w:rPr>
              <w:t xml:space="preserve">Shiga toxin-producing </w:t>
            </w:r>
            <w:r w:rsidRPr="007D3B8A">
              <w:rPr>
                <w:rStyle w:val="Emphasis"/>
              </w:rPr>
              <w:t>E. coli</w:t>
            </w:r>
            <w:r w:rsidRPr="009A1835">
              <w:rPr>
                <w:rStyle w:val="Emphasis"/>
                <w:i w:val="0"/>
                <w:iCs w:val="0"/>
              </w:rPr>
              <w:t xml:space="preserve"> (STEC)/g</w:t>
            </w:r>
          </w:p>
          <w:p w14:paraId="2A06CB1B" w14:textId="77777777" w:rsidR="00EE4888" w:rsidRDefault="009A1835" w:rsidP="00F84007">
            <w:pPr>
              <w:pStyle w:val="AuthorOrganisationAffiliation"/>
              <w:spacing w:after="120"/>
              <w:rPr>
                <w:rStyle w:val="Emphasis"/>
                <w:i w:val="0"/>
                <w:iCs w:val="0"/>
              </w:rPr>
            </w:pPr>
            <w:r w:rsidRPr="009A1835">
              <w:rPr>
                <w:rStyle w:val="Emphasis"/>
                <w:i w:val="0"/>
                <w:iCs w:val="0"/>
              </w:rPr>
              <w:t>Includes STEC 026, 045, 0103, 0111, 0121, 0145, 0157</w:t>
            </w:r>
          </w:p>
          <w:p w14:paraId="5E3872BC" w14:textId="77777777" w:rsidR="00F372CA" w:rsidRPr="00F372CA" w:rsidRDefault="00F372CA" w:rsidP="00F372CA">
            <w:pPr>
              <w:spacing w:after="0"/>
            </w:pPr>
          </w:p>
          <w:p w14:paraId="5E8B93B4" w14:textId="5FFF17FA" w:rsidR="00B17C0E" w:rsidRPr="00FF0BAD" w:rsidRDefault="005B3B2E" w:rsidP="0090059F">
            <w:pPr>
              <w:pStyle w:val="AuthorOrganisationAffiliation"/>
              <w:spacing w:after="120"/>
              <w:rPr>
                <w:rStyle w:val="Emphasis"/>
                <w:i w:val="0"/>
                <w:iCs w:val="0"/>
              </w:rPr>
            </w:pPr>
            <w:r w:rsidRPr="005B3B2E">
              <w:t>Meat antimicrobial screen</w:t>
            </w:r>
          </w:p>
        </w:tc>
        <w:tc>
          <w:tcPr>
            <w:tcW w:w="1347" w:type="pct"/>
            <w:tcBorders>
              <w:top w:val="single" w:sz="4" w:space="0" w:color="auto"/>
            </w:tcBorders>
            <w:tcMar>
              <w:left w:w="108" w:type="dxa"/>
              <w:right w:w="108" w:type="dxa"/>
            </w:tcMar>
          </w:tcPr>
          <w:p w14:paraId="123E1880" w14:textId="77777777" w:rsidR="00013BC5" w:rsidRPr="003A5F55" w:rsidRDefault="00E26697" w:rsidP="003A5F55">
            <w:pPr>
              <w:pStyle w:val="TableText"/>
              <w:rPr>
                <w:sz w:val="22"/>
              </w:rPr>
            </w:pPr>
            <w:r w:rsidRPr="003A5F55">
              <w:rPr>
                <w:sz w:val="22"/>
              </w:rPr>
              <w:t>n=5, c=3, m=100, M=1000</w:t>
            </w:r>
          </w:p>
          <w:p w14:paraId="1ECBC41F" w14:textId="77777777" w:rsidR="00E26697" w:rsidRPr="003A5F55" w:rsidRDefault="00E26697" w:rsidP="003A5F55">
            <w:pPr>
              <w:pStyle w:val="TableText"/>
              <w:rPr>
                <w:sz w:val="22"/>
              </w:rPr>
            </w:pPr>
          </w:p>
          <w:p w14:paraId="181E0BA2" w14:textId="2A9ED3E4" w:rsidR="003F2E77" w:rsidRDefault="00536EFD" w:rsidP="00F84007">
            <w:pPr>
              <w:pStyle w:val="TableText"/>
              <w:spacing w:after="120"/>
              <w:rPr>
                <w:sz w:val="22"/>
              </w:rPr>
            </w:pPr>
            <w:r w:rsidRPr="003A5F55">
              <w:rPr>
                <w:sz w:val="22"/>
              </w:rPr>
              <w:t>n=5, c=0, m=0</w:t>
            </w:r>
          </w:p>
          <w:p w14:paraId="32FA735C" w14:textId="77777777" w:rsidR="00243734" w:rsidRPr="003A5F55" w:rsidRDefault="00243734" w:rsidP="00967AAE">
            <w:pPr>
              <w:pStyle w:val="TableText"/>
              <w:spacing w:before="0" w:after="0"/>
              <w:rPr>
                <w:sz w:val="22"/>
              </w:rPr>
            </w:pPr>
          </w:p>
          <w:p w14:paraId="1D8C2EFE" w14:textId="72849E72" w:rsidR="00DA48D6" w:rsidRDefault="003A5F55" w:rsidP="00F84007">
            <w:pPr>
              <w:pStyle w:val="TableText"/>
              <w:spacing w:after="720"/>
              <w:rPr>
                <w:sz w:val="22"/>
              </w:rPr>
            </w:pPr>
            <w:r w:rsidRPr="003A5F55">
              <w:rPr>
                <w:sz w:val="22"/>
              </w:rPr>
              <w:t>n=15, c=0, m=0</w:t>
            </w:r>
          </w:p>
          <w:p w14:paraId="2BAE368F" w14:textId="14EF3ACB" w:rsidR="00F372CA" w:rsidRPr="008D559A" w:rsidRDefault="008D559A" w:rsidP="0090059F">
            <w:pPr>
              <w:pStyle w:val="TableText"/>
              <w:spacing w:after="120"/>
              <w:rPr>
                <w:sz w:val="22"/>
              </w:rPr>
            </w:pPr>
            <w:r w:rsidRPr="008D559A">
              <w:rPr>
                <w:sz w:val="22"/>
              </w:rPr>
              <w:t xml:space="preserve">Refer to </w:t>
            </w:r>
            <w:hyperlink r:id="rId18" w:history="1">
              <w:r w:rsidRPr="008D559A">
                <w:rPr>
                  <w:rStyle w:val="Hyperlink"/>
                  <w:sz w:val="22"/>
                </w:rPr>
                <w:t>meat and edible offal</w:t>
              </w:r>
            </w:hyperlink>
          </w:p>
        </w:tc>
      </w:tr>
    </w:tbl>
    <w:p w14:paraId="21BD8D67" w14:textId="77777777" w:rsidR="007644A7" w:rsidRDefault="007644A7" w:rsidP="00767F65">
      <w:pPr>
        <w:spacing w:before="120" w:after="0"/>
        <w:ind w:left="567"/>
      </w:pPr>
      <w:r>
        <w:t>n = the number of sample units that must be examined from a lot of food.</w:t>
      </w:r>
    </w:p>
    <w:p w14:paraId="7FE659DE" w14:textId="77777777" w:rsidR="007644A7" w:rsidRDefault="007644A7" w:rsidP="00767F65">
      <w:pPr>
        <w:spacing w:after="0"/>
        <w:ind w:left="567"/>
      </w:pPr>
      <w:r>
        <w:t>c = the maximum allowable number of defective sample units, that have counts between ‘m’ and ‘M’.</w:t>
      </w:r>
    </w:p>
    <w:p w14:paraId="4312955B" w14:textId="77777777" w:rsidR="007644A7" w:rsidRDefault="007644A7" w:rsidP="00767F65">
      <w:pPr>
        <w:spacing w:after="0"/>
        <w:ind w:left="567"/>
      </w:pPr>
      <w:r>
        <w:t>m = the acceptable microbiological level in a sample unit.</w:t>
      </w:r>
    </w:p>
    <w:p w14:paraId="73982C4F" w14:textId="2C0676FA" w:rsidR="00343278" w:rsidRDefault="007644A7" w:rsidP="004F01D5">
      <w:pPr>
        <w:spacing w:after="0"/>
        <w:ind w:left="567"/>
      </w:pPr>
      <w:r>
        <w:t>M = the level, which when exceeded (the level is greater than M), in one or more samples would cause the lot to be rejected.</w:t>
      </w:r>
    </w:p>
    <w:p w14:paraId="0F0F2D64" w14:textId="77777777" w:rsidR="00343278" w:rsidRDefault="00343278">
      <w:pPr>
        <w:spacing w:after="0" w:line="240" w:lineRule="auto"/>
      </w:pPr>
      <w:r>
        <w:br w:type="page"/>
      </w:r>
    </w:p>
    <w:p w14:paraId="53602F61" w14:textId="77777777" w:rsidR="00CF01EF" w:rsidRDefault="00CF01EF" w:rsidP="004F01D5">
      <w:pPr>
        <w:spacing w:after="0"/>
        <w:ind w:left="567"/>
      </w:pPr>
    </w:p>
    <w:p w14:paraId="20624434" w14:textId="1DAAD7CA" w:rsidR="00FA4AAF" w:rsidRPr="008A57C4" w:rsidRDefault="008A57C4" w:rsidP="008A57C4">
      <w:pPr>
        <w:pStyle w:val="TableHeading"/>
        <w:ind w:left="567"/>
        <w:jc w:val="center"/>
        <w:rPr>
          <w:sz w:val="28"/>
          <w:szCs w:val="28"/>
        </w:rPr>
      </w:pPr>
      <w:r w:rsidRPr="008A57C4">
        <w:rPr>
          <w:sz w:val="28"/>
          <w:szCs w:val="28"/>
        </w:rPr>
        <w:t>Antimicrobial tests applied and permitted results</w:t>
      </w:r>
    </w:p>
    <w:tbl>
      <w:tblPr>
        <w:tblW w:w="4968"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767"/>
        <w:gridCol w:w="4308"/>
      </w:tblGrid>
      <w:tr w:rsidR="00F520EA" w:rsidRPr="00525B5E" w14:paraId="4C9E7233" w14:textId="77777777" w:rsidTr="005769AC">
        <w:trPr>
          <w:cantSplit/>
          <w:trHeight w:val="254"/>
          <w:tblHeader/>
        </w:trPr>
        <w:tc>
          <w:tcPr>
            <w:tcW w:w="3571" w:type="pct"/>
            <w:tcBorders>
              <w:bottom w:val="single" w:sz="4" w:space="0" w:color="auto"/>
            </w:tcBorders>
            <w:shd w:val="clear" w:color="auto" w:fill="C2D69B" w:themeFill="accent3" w:themeFillTint="99"/>
            <w:tcMar>
              <w:left w:w="108" w:type="dxa"/>
              <w:right w:w="108" w:type="dxa"/>
            </w:tcMar>
          </w:tcPr>
          <w:p w14:paraId="0F8A8123" w14:textId="77777777" w:rsidR="00F520EA" w:rsidRPr="00CE6F9A" w:rsidRDefault="00F520EA">
            <w:pPr>
              <w:pStyle w:val="TableHeading"/>
              <w:rPr>
                <w:sz w:val="24"/>
                <w:szCs w:val="24"/>
                <w:highlight w:val="yellow"/>
              </w:rPr>
            </w:pPr>
            <w:r w:rsidRPr="00CE6F9A">
              <w:rPr>
                <w:sz w:val="24"/>
                <w:szCs w:val="24"/>
              </w:rPr>
              <w:t>Test Applied</w:t>
            </w:r>
            <w:r w:rsidRPr="00CE6F9A">
              <w:rPr>
                <w:sz w:val="24"/>
                <w:szCs w:val="24"/>
              </w:rPr>
              <w:tab/>
            </w:r>
            <w:r w:rsidRPr="00CE6F9A">
              <w:rPr>
                <w:sz w:val="24"/>
                <w:szCs w:val="24"/>
              </w:rPr>
              <w:tab/>
            </w:r>
          </w:p>
        </w:tc>
        <w:tc>
          <w:tcPr>
            <w:tcW w:w="1429" w:type="pct"/>
            <w:tcBorders>
              <w:bottom w:val="single" w:sz="4" w:space="0" w:color="auto"/>
            </w:tcBorders>
            <w:shd w:val="clear" w:color="auto" w:fill="C2D69B" w:themeFill="accent3" w:themeFillTint="99"/>
            <w:tcMar>
              <w:left w:w="108" w:type="dxa"/>
              <w:right w:w="108" w:type="dxa"/>
            </w:tcMar>
          </w:tcPr>
          <w:p w14:paraId="4F88C29A" w14:textId="77777777" w:rsidR="00F520EA" w:rsidRPr="00CE6F9A" w:rsidRDefault="00F520EA">
            <w:pPr>
              <w:pStyle w:val="TableHeading"/>
              <w:rPr>
                <w:sz w:val="24"/>
                <w:szCs w:val="24"/>
                <w:highlight w:val="yellow"/>
              </w:rPr>
            </w:pPr>
            <w:r>
              <w:rPr>
                <w:sz w:val="24"/>
                <w:szCs w:val="24"/>
              </w:rPr>
              <w:t>Permitted Result</w:t>
            </w:r>
          </w:p>
        </w:tc>
      </w:tr>
      <w:tr w:rsidR="00F520EA" w:rsidRPr="00525B5E" w14:paraId="19A9F560" w14:textId="77777777" w:rsidTr="00343278">
        <w:trPr>
          <w:trHeight w:val="266"/>
        </w:trPr>
        <w:tc>
          <w:tcPr>
            <w:tcW w:w="3571" w:type="pct"/>
            <w:tcBorders>
              <w:top w:val="single" w:sz="4" w:space="0" w:color="auto"/>
              <w:left w:val="single" w:sz="4" w:space="0" w:color="auto"/>
              <w:bottom w:val="single" w:sz="4" w:space="0" w:color="auto"/>
              <w:right w:val="single" w:sz="4" w:space="0" w:color="auto"/>
            </w:tcBorders>
            <w:tcMar>
              <w:left w:w="108" w:type="dxa"/>
              <w:right w:w="108" w:type="dxa"/>
            </w:tcMar>
          </w:tcPr>
          <w:p w14:paraId="4A336466" w14:textId="77777777" w:rsidR="00F520EA" w:rsidRDefault="00F520EA">
            <w:pPr>
              <w:pStyle w:val="AuthorOrganisationAffiliation"/>
              <w:tabs>
                <w:tab w:val="left" w:pos="2115"/>
              </w:tabs>
              <w:spacing w:after="120"/>
            </w:pPr>
            <w:r w:rsidRPr="008A6998">
              <w:t>Meat antimicrobial screen</w:t>
            </w:r>
          </w:p>
          <w:p w14:paraId="076647EC" w14:textId="750312E8" w:rsidR="00F81A3A" w:rsidRPr="002A0DC8" w:rsidRDefault="00F81A3A" w:rsidP="004A7E65">
            <w:pPr>
              <w:pStyle w:val="TableBullet"/>
              <w:rPr>
                <w:sz w:val="22"/>
              </w:rPr>
            </w:pPr>
            <w:r w:rsidRPr="002A0DC8">
              <w:rPr>
                <w:sz w:val="22"/>
              </w:rPr>
              <w:t xml:space="preserve">Fluoroquinolones (Ciprofloxacin, Enrofloxacin, </w:t>
            </w:r>
            <w:proofErr w:type="spellStart"/>
            <w:r w:rsidRPr="002A0DC8">
              <w:rPr>
                <w:sz w:val="22"/>
              </w:rPr>
              <w:t>Gatifloxacin</w:t>
            </w:r>
            <w:proofErr w:type="spellEnd"/>
            <w:r w:rsidRPr="002A0DC8">
              <w:rPr>
                <w:sz w:val="22"/>
              </w:rPr>
              <w:t xml:space="preserve">, Levofloxacin, Moxifloxacin, Norfloxacin, Ofloxacin, </w:t>
            </w:r>
            <w:proofErr w:type="spellStart"/>
            <w:r w:rsidRPr="002A0DC8">
              <w:rPr>
                <w:sz w:val="22"/>
              </w:rPr>
              <w:t>Sarafloxacin</w:t>
            </w:r>
            <w:proofErr w:type="spellEnd"/>
            <w:r w:rsidRPr="002A0DC8">
              <w:rPr>
                <w:sz w:val="22"/>
              </w:rPr>
              <w:t>)</w:t>
            </w:r>
          </w:p>
          <w:p w14:paraId="79E1CF78" w14:textId="2103224D" w:rsidR="00F81A3A" w:rsidRPr="002A0DC8" w:rsidRDefault="00F81A3A" w:rsidP="004A7E65">
            <w:pPr>
              <w:pStyle w:val="TableBullet"/>
              <w:rPr>
                <w:sz w:val="22"/>
              </w:rPr>
            </w:pPr>
            <w:r w:rsidRPr="002A0DC8">
              <w:rPr>
                <w:sz w:val="22"/>
              </w:rPr>
              <w:t>Cephalosporins (Ceftiofur)</w:t>
            </w:r>
          </w:p>
          <w:p w14:paraId="5BF89C34" w14:textId="7925E6B3" w:rsidR="0073072E" w:rsidRPr="0073072E" w:rsidRDefault="00F81A3A" w:rsidP="00A730B3">
            <w:pPr>
              <w:pStyle w:val="TableBullet"/>
            </w:pPr>
            <w:r w:rsidRPr="002A0DC8">
              <w:rPr>
                <w:sz w:val="22"/>
              </w:rPr>
              <w:t>Streptogramins (Virginiamycin)</w:t>
            </w:r>
          </w:p>
        </w:tc>
        <w:tc>
          <w:tcPr>
            <w:tcW w:w="1429" w:type="pct"/>
            <w:tcBorders>
              <w:top w:val="single" w:sz="4" w:space="0" w:color="auto"/>
              <w:left w:val="single" w:sz="4" w:space="0" w:color="auto"/>
              <w:bottom w:val="single" w:sz="4" w:space="0" w:color="auto"/>
              <w:right w:val="single" w:sz="4" w:space="0" w:color="auto"/>
            </w:tcBorders>
            <w:tcMar>
              <w:left w:w="108" w:type="dxa"/>
              <w:right w:w="108" w:type="dxa"/>
            </w:tcMar>
          </w:tcPr>
          <w:p w14:paraId="3D58FB35" w14:textId="414EC5F6" w:rsidR="00F520EA" w:rsidRPr="000B126B" w:rsidRDefault="004F3A90" w:rsidP="00343278">
            <w:pPr>
              <w:pStyle w:val="AuthorOrganisationAffiliation"/>
              <w:spacing w:before="480" w:after="120"/>
            </w:pPr>
            <w:r w:rsidRPr="004F3A90">
              <w:t xml:space="preserve">The Food Standards Code lists maximum residue limits in </w:t>
            </w:r>
            <w:hyperlink r:id="rId19" w:history="1">
              <w:r w:rsidRPr="000779E0">
                <w:rPr>
                  <w:rStyle w:val="Hyperlink"/>
                </w:rPr>
                <w:t>Schedule 20</w:t>
              </w:r>
            </w:hyperlink>
            <w:r w:rsidRPr="004F3A90">
              <w:t>.</w:t>
            </w:r>
          </w:p>
        </w:tc>
      </w:tr>
    </w:tbl>
    <w:p w14:paraId="330C0145" w14:textId="77777777" w:rsidR="00FA4AAF" w:rsidRPr="006E0697" w:rsidRDefault="00FA4AAF" w:rsidP="00013BC5">
      <w:pPr>
        <w:ind w:left="567"/>
        <w:jc w:val="both"/>
      </w:pPr>
    </w:p>
    <w:sectPr w:rsidR="00FA4AAF" w:rsidRPr="006E0697" w:rsidSect="00054456">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964" w:right="1418" w:bottom="1247" w:left="238" w:header="11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E06A" w14:textId="77777777" w:rsidR="00F1476C" w:rsidRDefault="00F1476C">
      <w:r>
        <w:separator/>
      </w:r>
    </w:p>
    <w:p w14:paraId="51B9F47C" w14:textId="77777777" w:rsidR="00F1476C" w:rsidRDefault="00F1476C"/>
    <w:p w14:paraId="65E518CE" w14:textId="77777777" w:rsidR="00F1476C" w:rsidRDefault="00F1476C"/>
  </w:endnote>
  <w:endnote w:type="continuationSeparator" w:id="0">
    <w:p w14:paraId="057171AF" w14:textId="77777777" w:rsidR="00F1476C" w:rsidRDefault="00F1476C">
      <w:r>
        <w:continuationSeparator/>
      </w:r>
    </w:p>
    <w:p w14:paraId="6C22FB52" w14:textId="77777777" w:rsidR="00F1476C" w:rsidRDefault="00F1476C"/>
    <w:p w14:paraId="15107433" w14:textId="77777777" w:rsidR="00F1476C" w:rsidRDefault="00F1476C"/>
  </w:endnote>
  <w:endnote w:type="continuationNotice" w:id="1">
    <w:p w14:paraId="3301792C" w14:textId="77777777" w:rsidR="00F1476C" w:rsidRDefault="00F1476C">
      <w:pPr>
        <w:pStyle w:val="Footer"/>
      </w:pPr>
    </w:p>
    <w:p w14:paraId="5A926579" w14:textId="77777777" w:rsidR="00F1476C" w:rsidRDefault="00F1476C"/>
    <w:p w14:paraId="3D4BC0A7" w14:textId="77777777" w:rsidR="00F1476C" w:rsidRDefault="00F14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CEA9" w14:textId="77777777" w:rsidR="00F637B6" w:rsidRDefault="005A3361">
    <w:pPr>
      <w:pStyle w:val="Footer"/>
    </w:pPr>
    <w:r>
      <w:rPr>
        <w:noProof/>
      </w:rPr>
      <mc:AlternateContent>
        <mc:Choice Requires="wps">
          <w:drawing>
            <wp:anchor distT="0" distB="0" distL="0" distR="0" simplePos="0" relativeHeight="251658243" behindDoc="0" locked="0" layoutInCell="1" allowOverlap="1" wp14:anchorId="3DA65E32" wp14:editId="327873D0">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15897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DA65E32"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915897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0284" w14:textId="77777777" w:rsidR="000542B4" w:rsidRDefault="005A3361" w:rsidP="00BC3323">
    <w:pPr>
      <w:pStyle w:val="Footer"/>
    </w:pPr>
    <w:r>
      <w:rPr>
        <w:noProof/>
      </w:rPr>
      <mc:AlternateContent>
        <mc:Choice Requires="wps">
          <w:drawing>
            <wp:anchor distT="0" distB="0" distL="0" distR="0" simplePos="0" relativeHeight="251658244" behindDoc="0" locked="0" layoutInCell="1" allowOverlap="1" wp14:anchorId="51FFCF9F" wp14:editId="5DCCF787">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226AC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1FFCF9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6226AC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B70B" w14:textId="77777777" w:rsidR="00577F29" w:rsidRDefault="005A3361" w:rsidP="00296F50">
    <w:pPr>
      <w:pStyle w:val="Footer"/>
    </w:pPr>
    <w:r>
      <w:rPr>
        <w:noProof/>
      </w:rPr>
      <mc:AlternateContent>
        <mc:Choice Requires="wps">
          <w:drawing>
            <wp:anchor distT="0" distB="0" distL="0" distR="0" simplePos="0" relativeHeight="251658242" behindDoc="0" locked="0" layoutInCell="1" allowOverlap="1" wp14:anchorId="75E0F4F2" wp14:editId="5221DD8D">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D2D8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5E0F4F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60D2D8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0396" w14:textId="77777777" w:rsidR="00F1476C" w:rsidRDefault="00F1476C">
      <w:r>
        <w:separator/>
      </w:r>
    </w:p>
    <w:p w14:paraId="28487047" w14:textId="77777777" w:rsidR="00F1476C" w:rsidRDefault="00F1476C"/>
    <w:p w14:paraId="7E082503" w14:textId="77777777" w:rsidR="00F1476C" w:rsidRDefault="00F1476C"/>
  </w:footnote>
  <w:footnote w:type="continuationSeparator" w:id="0">
    <w:p w14:paraId="002D69B9" w14:textId="77777777" w:rsidR="00F1476C" w:rsidRDefault="00F1476C">
      <w:r>
        <w:continuationSeparator/>
      </w:r>
    </w:p>
    <w:p w14:paraId="693D8851" w14:textId="77777777" w:rsidR="00F1476C" w:rsidRDefault="00F1476C"/>
    <w:p w14:paraId="78A36869" w14:textId="77777777" w:rsidR="00F1476C" w:rsidRDefault="00F1476C"/>
  </w:footnote>
  <w:footnote w:type="continuationNotice" w:id="1">
    <w:p w14:paraId="2B5389D8" w14:textId="77777777" w:rsidR="00F1476C" w:rsidRDefault="00F1476C">
      <w:pPr>
        <w:pStyle w:val="Footer"/>
      </w:pPr>
    </w:p>
    <w:p w14:paraId="3EDBE974" w14:textId="77777777" w:rsidR="00F1476C" w:rsidRDefault="00F1476C"/>
    <w:p w14:paraId="1597D3A5" w14:textId="77777777" w:rsidR="00F1476C" w:rsidRDefault="00F14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D402" w14:textId="77777777" w:rsidR="00F637B6" w:rsidRDefault="005A3361">
    <w:pPr>
      <w:pStyle w:val="Header"/>
    </w:pPr>
    <w:r>
      <w:rPr>
        <w:noProof/>
      </w:rPr>
      <mc:AlternateContent>
        <mc:Choice Requires="wps">
          <w:drawing>
            <wp:anchor distT="0" distB="0" distL="0" distR="0" simplePos="0" relativeHeight="251658240" behindDoc="0" locked="0" layoutInCell="1" allowOverlap="1" wp14:anchorId="00CDDB23" wp14:editId="745C902C">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3D4AF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0CDDB2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83D4AF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A8FE" w14:textId="08B2C35D" w:rsidR="000542B4" w:rsidRDefault="008B0352" w:rsidP="00B75D9A">
    <w:pPr>
      <w:pStyle w:val="Header"/>
      <w:tabs>
        <w:tab w:val="clear" w:pos="4820"/>
        <w:tab w:val="center" w:pos="567"/>
      </w:tabs>
      <w:ind w:firstLine="567"/>
      <w:jc w:val="left"/>
    </w:pPr>
    <w:r>
      <w:rPr>
        <w:noProof/>
      </w:rPr>
      <mc:AlternateContent>
        <mc:Choice Requires="wps">
          <w:drawing>
            <wp:anchor distT="0" distB="0" distL="0" distR="0" simplePos="0" relativeHeight="251658241" behindDoc="0" locked="0" layoutInCell="1" allowOverlap="1" wp14:anchorId="1E13EC9C" wp14:editId="700034FC">
              <wp:simplePos x="0" y="0"/>
              <wp:positionH relativeFrom="page">
                <wp:posOffset>5067300</wp:posOffset>
              </wp:positionH>
              <wp:positionV relativeFrom="page">
                <wp:posOffset>95250</wp:posOffset>
              </wp:positionV>
              <wp:extent cx="551815" cy="452120"/>
              <wp:effectExtent l="0" t="0" r="635" b="5080"/>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26CDB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1E13EC9C" id="_x0000_t202" coordsize="21600,21600" o:spt="202" path="m,l,21600r21600,l21600,xe">
              <v:stroke joinstyle="miter"/>
              <v:path gradientshapeok="t" o:connecttype="rect"/>
            </v:shapetype>
            <v:shape id="Text Box 3" o:spid="_x0000_s1027" type="#_x0000_t202" alt="OFFICIAL" style="position:absolute;left:0;text-align:left;margin-left:399pt;margin-top:7.5pt;width:43.45pt;height:35.6pt;z-index:25167462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I4Cw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" filled="f" stroked="f">
              <v:textbox inset="0,15pt,0,0">
                <w:txbxContent>
                  <w:p w14:paraId="326CDB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B75D9A">
      <w:rPr>
        <w:noProof/>
        <w:lang w:eastAsia="en-AU"/>
      </w:rPr>
      <w:drawing>
        <wp:inline distT="0" distB="0" distL="0" distR="0" wp14:anchorId="0A5BD246" wp14:editId="108F5CF6">
          <wp:extent cx="2542599" cy="738943"/>
          <wp:effectExtent l="0" t="0" r="0" b="4445"/>
          <wp:docPr id="264309960" name="Picture 26430996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4425" w14:textId="1FAE1516" w:rsidR="000E455C" w:rsidRPr="00683F36" w:rsidRDefault="007204A5" w:rsidP="00A55F49">
    <w:pPr>
      <w:pStyle w:val="Header"/>
      <w:tabs>
        <w:tab w:val="clear" w:pos="4820"/>
        <w:tab w:val="left" w:pos="4680"/>
        <w:tab w:val="center" w:pos="7852"/>
      </w:tabs>
      <w:ind w:left="567"/>
      <w:jc w:val="left"/>
    </w:pPr>
    <w:r>
      <w:rPr>
        <w:noProof/>
        <w:lang w:eastAsia="en-AU"/>
      </w:rPr>
      <mc:AlternateContent>
        <mc:Choice Requires="wps">
          <w:drawing>
            <wp:anchor distT="0" distB="0" distL="0" distR="0" simplePos="0" relativeHeight="251658245" behindDoc="0" locked="0" layoutInCell="1" allowOverlap="1" wp14:anchorId="746BC22F" wp14:editId="0E79AB52">
              <wp:simplePos x="0" y="0"/>
              <wp:positionH relativeFrom="page">
                <wp:posOffset>4894580</wp:posOffset>
              </wp:positionH>
              <wp:positionV relativeFrom="page">
                <wp:posOffset>71120</wp:posOffset>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5B613B" w14:textId="77777777" w:rsidR="007204A5" w:rsidRPr="00D61857" w:rsidRDefault="007204A5" w:rsidP="007204A5">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46BC22F" id="_x0000_t202" coordsize="21600,21600" o:spt="202" path="m,l,21600r21600,l21600,xe">
              <v:stroke joinstyle="miter"/>
              <v:path gradientshapeok="t" o:connecttype="rect"/>
            </v:shapetype>
            <v:shape id="Text Box 7" o:spid="_x0000_s1030" type="#_x0000_t202" alt="OFFICIAL" style="position:absolute;left:0;text-align:left;margin-left:385.4pt;margin-top:5.6pt;width:43.45pt;height:31.85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" filled="f" stroked="f">
              <v:textbox style="mso-fit-shape-to-text:t" inset="0,15pt,0,0">
                <w:txbxContent>
                  <w:p w14:paraId="6F5B613B" w14:textId="77777777" w:rsidR="007204A5" w:rsidRPr="00D61857" w:rsidRDefault="007204A5" w:rsidP="007204A5">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EB673F">
      <w:rPr>
        <w:noProof/>
        <w:lang w:eastAsia="en-AU"/>
      </w:rPr>
      <w:drawing>
        <wp:inline distT="0" distB="0" distL="0" distR="0" wp14:anchorId="073C0577" wp14:editId="24AA55D0">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606E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14418018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36"/>
    <w:rsid w:val="0000059E"/>
    <w:rsid w:val="0000066F"/>
    <w:rsid w:val="00001B53"/>
    <w:rsid w:val="00013BC5"/>
    <w:rsid w:val="00016203"/>
    <w:rsid w:val="00017ACB"/>
    <w:rsid w:val="00021590"/>
    <w:rsid w:val="00022A83"/>
    <w:rsid w:val="00025D1B"/>
    <w:rsid w:val="000266C4"/>
    <w:rsid w:val="00027A2B"/>
    <w:rsid w:val="00035C3E"/>
    <w:rsid w:val="0003648C"/>
    <w:rsid w:val="000542B4"/>
    <w:rsid w:val="00054456"/>
    <w:rsid w:val="00055154"/>
    <w:rsid w:val="000618F3"/>
    <w:rsid w:val="00066D0B"/>
    <w:rsid w:val="000717D2"/>
    <w:rsid w:val="00071927"/>
    <w:rsid w:val="000721C3"/>
    <w:rsid w:val="00074A56"/>
    <w:rsid w:val="000779E0"/>
    <w:rsid w:val="00080827"/>
    <w:rsid w:val="000815F1"/>
    <w:rsid w:val="0008277A"/>
    <w:rsid w:val="00084605"/>
    <w:rsid w:val="000904C1"/>
    <w:rsid w:val="000913B5"/>
    <w:rsid w:val="000A1152"/>
    <w:rsid w:val="000A4401"/>
    <w:rsid w:val="000A5BA0"/>
    <w:rsid w:val="000A5CCC"/>
    <w:rsid w:val="000B126B"/>
    <w:rsid w:val="000B14FF"/>
    <w:rsid w:val="000B3924"/>
    <w:rsid w:val="000B3C44"/>
    <w:rsid w:val="000C0412"/>
    <w:rsid w:val="000C4558"/>
    <w:rsid w:val="000C47F5"/>
    <w:rsid w:val="000E1E3C"/>
    <w:rsid w:val="000E455C"/>
    <w:rsid w:val="000E4D74"/>
    <w:rsid w:val="000E52AD"/>
    <w:rsid w:val="000E7803"/>
    <w:rsid w:val="000F0491"/>
    <w:rsid w:val="001011DF"/>
    <w:rsid w:val="001233A8"/>
    <w:rsid w:val="00127B9F"/>
    <w:rsid w:val="00131205"/>
    <w:rsid w:val="0013173D"/>
    <w:rsid w:val="00140442"/>
    <w:rsid w:val="00143A7B"/>
    <w:rsid w:val="00144601"/>
    <w:rsid w:val="00154B38"/>
    <w:rsid w:val="00160DC0"/>
    <w:rsid w:val="00167A9F"/>
    <w:rsid w:val="0019025F"/>
    <w:rsid w:val="00190D7E"/>
    <w:rsid w:val="001929D2"/>
    <w:rsid w:val="001A6968"/>
    <w:rsid w:val="001B4361"/>
    <w:rsid w:val="001C45E1"/>
    <w:rsid w:val="001D0EF3"/>
    <w:rsid w:val="0020140C"/>
    <w:rsid w:val="00201BFB"/>
    <w:rsid w:val="00203DE1"/>
    <w:rsid w:val="0021170F"/>
    <w:rsid w:val="00216EBF"/>
    <w:rsid w:val="00220618"/>
    <w:rsid w:val="002376F8"/>
    <w:rsid w:val="00237A69"/>
    <w:rsid w:val="00242506"/>
    <w:rsid w:val="00243734"/>
    <w:rsid w:val="00262F5F"/>
    <w:rsid w:val="00272C20"/>
    <w:rsid w:val="00275B58"/>
    <w:rsid w:val="002811B3"/>
    <w:rsid w:val="00284B53"/>
    <w:rsid w:val="00287A08"/>
    <w:rsid w:val="00295E30"/>
    <w:rsid w:val="00296F50"/>
    <w:rsid w:val="002A0DC8"/>
    <w:rsid w:val="002B1FAF"/>
    <w:rsid w:val="002E3FD4"/>
    <w:rsid w:val="002F4595"/>
    <w:rsid w:val="00300AFD"/>
    <w:rsid w:val="003032C0"/>
    <w:rsid w:val="0030492B"/>
    <w:rsid w:val="003260C4"/>
    <w:rsid w:val="00336B60"/>
    <w:rsid w:val="00343278"/>
    <w:rsid w:val="0035108D"/>
    <w:rsid w:val="003569F9"/>
    <w:rsid w:val="00363727"/>
    <w:rsid w:val="00366721"/>
    <w:rsid w:val="00370990"/>
    <w:rsid w:val="003719F9"/>
    <w:rsid w:val="0037698A"/>
    <w:rsid w:val="00392124"/>
    <w:rsid w:val="003937B8"/>
    <w:rsid w:val="003A5F55"/>
    <w:rsid w:val="003B01A2"/>
    <w:rsid w:val="003C5125"/>
    <w:rsid w:val="003D1B5A"/>
    <w:rsid w:val="003D3E63"/>
    <w:rsid w:val="003E5C0D"/>
    <w:rsid w:val="003F1E35"/>
    <w:rsid w:val="003F2E77"/>
    <w:rsid w:val="003F73D7"/>
    <w:rsid w:val="00411260"/>
    <w:rsid w:val="00413E6C"/>
    <w:rsid w:val="0042361E"/>
    <w:rsid w:val="004365E8"/>
    <w:rsid w:val="00442630"/>
    <w:rsid w:val="0044304D"/>
    <w:rsid w:val="00446CB3"/>
    <w:rsid w:val="00466C25"/>
    <w:rsid w:val="00474BB1"/>
    <w:rsid w:val="00474D3C"/>
    <w:rsid w:val="00477888"/>
    <w:rsid w:val="004818B6"/>
    <w:rsid w:val="00494939"/>
    <w:rsid w:val="00495068"/>
    <w:rsid w:val="004A7380"/>
    <w:rsid w:val="004A7E65"/>
    <w:rsid w:val="004B07EC"/>
    <w:rsid w:val="004C2DA2"/>
    <w:rsid w:val="004C353D"/>
    <w:rsid w:val="004D0888"/>
    <w:rsid w:val="004D3FB8"/>
    <w:rsid w:val="004D560C"/>
    <w:rsid w:val="004E3408"/>
    <w:rsid w:val="004E6316"/>
    <w:rsid w:val="004F01D5"/>
    <w:rsid w:val="004F3A90"/>
    <w:rsid w:val="005019C1"/>
    <w:rsid w:val="005070C8"/>
    <w:rsid w:val="00514CEE"/>
    <w:rsid w:val="00515287"/>
    <w:rsid w:val="005157CF"/>
    <w:rsid w:val="005164FB"/>
    <w:rsid w:val="00525B5E"/>
    <w:rsid w:val="005301C4"/>
    <w:rsid w:val="005304F5"/>
    <w:rsid w:val="00531B5A"/>
    <w:rsid w:val="005367D1"/>
    <w:rsid w:val="00536EFD"/>
    <w:rsid w:val="00553E9D"/>
    <w:rsid w:val="0055447F"/>
    <w:rsid w:val="00567DFC"/>
    <w:rsid w:val="005769AC"/>
    <w:rsid w:val="00577F29"/>
    <w:rsid w:val="00586D66"/>
    <w:rsid w:val="00592A61"/>
    <w:rsid w:val="00594AFB"/>
    <w:rsid w:val="005966ED"/>
    <w:rsid w:val="005A3361"/>
    <w:rsid w:val="005A48A6"/>
    <w:rsid w:val="005B3B2E"/>
    <w:rsid w:val="005B3D19"/>
    <w:rsid w:val="005B613F"/>
    <w:rsid w:val="005B656B"/>
    <w:rsid w:val="005C2BFD"/>
    <w:rsid w:val="005C5A55"/>
    <w:rsid w:val="005D042B"/>
    <w:rsid w:val="005F11AC"/>
    <w:rsid w:val="00607A21"/>
    <w:rsid w:val="00607A36"/>
    <w:rsid w:val="006156DF"/>
    <w:rsid w:val="00625D8D"/>
    <w:rsid w:val="006360F9"/>
    <w:rsid w:val="0064083B"/>
    <w:rsid w:val="00642F36"/>
    <w:rsid w:val="00646917"/>
    <w:rsid w:val="00656587"/>
    <w:rsid w:val="006632B8"/>
    <w:rsid w:val="006675CD"/>
    <w:rsid w:val="00683F36"/>
    <w:rsid w:val="00696682"/>
    <w:rsid w:val="006A0A67"/>
    <w:rsid w:val="006A3966"/>
    <w:rsid w:val="006B0030"/>
    <w:rsid w:val="006B49DE"/>
    <w:rsid w:val="006D413F"/>
    <w:rsid w:val="006D5DF3"/>
    <w:rsid w:val="006E0697"/>
    <w:rsid w:val="006E353E"/>
    <w:rsid w:val="006F6FE8"/>
    <w:rsid w:val="00700A80"/>
    <w:rsid w:val="0070464B"/>
    <w:rsid w:val="007204A5"/>
    <w:rsid w:val="00721291"/>
    <w:rsid w:val="00723319"/>
    <w:rsid w:val="007258B1"/>
    <w:rsid w:val="00725C8B"/>
    <w:rsid w:val="0073072E"/>
    <w:rsid w:val="007339CF"/>
    <w:rsid w:val="00736AD2"/>
    <w:rsid w:val="00747511"/>
    <w:rsid w:val="00754CA3"/>
    <w:rsid w:val="007644A7"/>
    <w:rsid w:val="0076549B"/>
    <w:rsid w:val="00767F65"/>
    <w:rsid w:val="007848EC"/>
    <w:rsid w:val="00793E18"/>
    <w:rsid w:val="00795246"/>
    <w:rsid w:val="007B4C63"/>
    <w:rsid w:val="007C0010"/>
    <w:rsid w:val="007C140D"/>
    <w:rsid w:val="007D3B8A"/>
    <w:rsid w:val="007D6754"/>
    <w:rsid w:val="007E69AF"/>
    <w:rsid w:val="007F1923"/>
    <w:rsid w:val="007F4986"/>
    <w:rsid w:val="00803836"/>
    <w:rsid w:val="0080517C"/>
    <w:rsid w:val="00807AEF"/>
    <w:rsid w:val="00832638"/>
    <w:rsid w:val="0084155A"/>
    <w:rsid w:val="00843C40"/>
    <w:rsid w:val="00863E83"/>
    <w:rsid w:val="00864D72"/>
    <w:rsid w:val="00865130"/>
    <w:rsid w:val="00877292"/>
    <w:rsid w:val="00880F06"/>
    <w:rsid w:val="00892F53"/>
    <w:rsid w:val="00895341"/>
    <w:rsid w:val="008A57C4"/>
    <w:rsid w:val="008A6998"/>
    <w:rsid w:val="008B0352"/>
    <w:rsid w:val="008C0E52"/>
    <w:rsid w:val="008C3CCC"/>
    <w:rsid w:val="008D559A"/>
    <w:rsid w:val="008E3B54"/>
    <w:rsid w:val="008E6288"/>
    <w:rsid w:val="008F1712"/>
    <w:rsid w:val="008F382A"/>
    <w:rsid w:val="008F6FFE"/>
    <w:rsid w:val="0090059F"/>
    <w:rsid w:val="00902E92"/>
    <w:rsid w:val="009030C5"/>
    <w:rsid w:val="0090743D"/>
    <w:rsid w:val="00911F4A"/>
    <w:rsid w:val="00916FC3"/>
    <w:rsid w:val="00924917"/>
    <w:rsid w:val="00930D38"/>
    <w:rsid w:val="00943779"/>
    <w:rsid w:val="00946049"/>
    <w:rsid w:val="00960F1A"/>
    <w:rsid w:val="00967AAE"/>
    <w:rsid w:val="00974CD6"/>
    <w:rsid w:val="009844EA"/>
    <w:rsid w:val="00984526"/>
    <w:rsid w:val="00990946"/>
    <w:rsid w:val="0099267E"/>
    <w:rsid w:val="009A1835"/>
    <w:rsid w:val="009A2BCD"/>
    <w:rsid w:val="009C10C5"/>
    <w:rsid w:val="009C206F"/>
    <w:rsid w:val="009C37F9"/>
    <w:rsid w:val="009C3FA3"/>
    <w:rsid w:val="009C5CE4"/>
    <w:rsid w:val="009D7044"/>
    <w:rsid w:val="009F4C7C"/>
    <w:rsid w:val="00A0018B"/>
    <w:rsid w:val="00A04AFD"/>
    <w:rsid w:val="00A130F7"/>
    <w:rsid w:val="00A138B6"/>
    <w:rsid w:val="00A32860"/>
    <w:rsid w:val="00A473C3"/>
    <w:rsid w:val="00A47646"/>
    <w:rsid w:val="00A55F49"/>
    <w:rsid w:val="00A62CD6"/>
    <w:rsid w:val="00A62F99"/>
    <w:rsid w:val="00A65D84"/>
    <w:rsid w:val="00A730B3"/>
    <w:rsid w:val="00A77E8E"/>
    <w:rsid w:val="00A8157A"/>
    <w:rsid w:val="00A92CD3"/>
    <w:rsid w:val="00AA1D89"/>
    <w:rsid w:val="00AA687C"/>
    <w:rsid w:val="00AB665C"/>
    <w:rsid w:val="00AC19C1"/>
    <w:rsid w:val="00AE1E6E"/>
    <w:rsid w:val="00AE40DE"/>
    <w:rsid w:val="00AE4763"/>
    <w:rsid w:val="00AF0EAA"/>
    <w:rsid w:val="00B0121B"/>
    <w:rsid w:val="00B0455B"/>
    <w:rsid w:val="00B11E02"/>
    <w:rsid w:val="00B17C0E"/>
    <w:rsid w:val="00B21CFE"/>
    <w:rsid w:val="00B260CF"/>
    <w:rsid w:val="00B27A53"/>
    <w:rsid w:val="00B3476F"/>
    <w:rsid w:val="00B404AB"/>
    <w:rsid w:val="00B43568"/>
    <w:rsid w:val="00B608CE"/>
    <w:rsid w:val="00B75D9A"/>
    <w:rsid w:val="00B82095"/>
    <w:rsid w:val="00B90975"/>
    <w:rsid w:val="00B93571"/>
    <w:rsid w:val="00B94CBD"/>
    <w:rsid w:val="00BA2806"/>
    <w:rsid w:val="00BC321A"/>
    <w:rsid w:val="00BC3323"/>
    <w:rsid w:val="00BD4F8E"/>
    <w:rsid w:val="00BE345B"/>
    <w:rsid w:val="00BF6B40"/>
    <w:rsid w:val="00C06A47"/>
    <w:rsid w:val="00C11151"/>
    <w:rsid w:val="00C137E1"/>
    <w:rsid w:val="00C262AE"/>
    <w:rsid w:val="00C53CEC"/>
    <w:rsid w:val="00C57A93"/>
    <w:rsid w:val="00C6128D"/>
    <w:rsid w:val="00C6437C"/>
    <w:rsid w:val="00C73278"/>
    <w:rsid w:val="00C765C8"/>
    <w:rsid w:val="00C82029"/>
    <w:rsid w:val="00C9283A"/>
    <w:rsid w:val="00C95039"/>
    <w:rsid w:val="00CA4615"/>
    <w:rsid w:val="00CA7C6F"/>
    <w:rsid w:val="00CC29A4"/>
    <w:rsid w:val="00CD3A6F"/>
    <w:rsid w:val="00CD60A7"/>
    <w:rsid w:val="00CD6263"/>
    <w:rsid w:val="00CE6F9A"/>
    <w:rsid w:val="00CE7F36"/>
    <w:rsid w:val="00CF01EF"/>
    <w:rsid w:val="00CF61D1"/>
    <w:rsid w:val="00CF7D08"/>
    <w:rsid w:val="00D04A3C"/>
    <w:rsid w:val="00D06C32"/>
    <w:rsid w:val="00D22097"/>
    <w:rsid w:val="00D25F54"/>
    <w:rsid w:val="00D325AB"/>
    <w:rsid w:val="00D36C41"/>
    <w:rsid w:val="00D4039B"/>
    <w:rsid w:val="00D55A85"/>
    <w:rsid w:val="00D649D1"/>
    <w:rsid w:val="00D73144"/>
    <w:rsid w:val="00D750D0"/>
    <w:rsid w:val="00D87480"/>
    <w:rsid w:val="00D918D8"/>
    <w:rsid w:val="00DA48D6"/>
    <w:rsid w:val="00DB71FD"/>
    <w:rsid w:val="00DC453F"/>
    <w:rsid w:val="00DC57F0"/>
    <w:rsid w:val="00DE546F"/>
    <w:rsid w:val="00DF241E"/>
    <w:rsid w:val="00E13FF6"/>
    <w:rsid w:val="00E1539F"/>
    <w:rsid w:val="00E206BF"/>
    <w:rsid w:val="00E223F4"/>
    <w:rsid w:val="00E25A07"/>
    <w:rsid w:val="00E26697"/>
    <w:rsid w:val="00E26CC2"/>
    <w:rsid w:val="00E333DF"/>
    <w:rsid w:val="00E44E91"/>
    <w:rsid w:val="00E83C41"/>
    <w:rsid w:val="00E87842"/>
    <w:rsid w:val="00E9781D"/>
    <w:rsid w:val="00EA5D76"/>
    <w:rsid w:val="00EA6EDE"/>
    <w:rsid w:val="00EB673F"/>
    <w:rsid w:val="00EC2925"/>
    <w:rsid w:val="00EC5579"/>
    <w:rsid w:val="00EC5C40"/>
    <w:rsid w:val="00ED774B"/>
    <w:rsid w:val="00EE0118"/>
    <w:rsid w:val="00EE2212"/>
    <w:rsid w:val="00EE4888"/>
    <w:rsid w:val="00EE49CE"/>
    <w:rsid w:val="00EE4F2A"/>
    <w:rsid w:val="00EE7C8D"/>
    <w:rsid w:val="00EF24B1"/>
    <w:rsid w:val="00EF3918"/>
    <w:rsid w:val="00F1476C"/>
    <w:rsid w:val="00F163AB"/>
    <w:rsid w:val="00F166C9"/>
    <w:rsid w:val="00F23AF2"/>
    <w:rsid w:val="00F30857"/>
    <w:rsid w:val="00F330C3"/>
    <w:rsid w:val="00F3602D"/>
    <w:rsid w:val="00F372CA"/>
    <w:rsid w:val="00F520EA"/>
    <w:rsid w:val="00F52FB4"/>
    <w:rsid w:val="00F637B6"/>
    <w:rsid w:val="00F67822"/>
    <w:rsid w:val="00F71CF3"/>
    <w:rsid w:val="00F71DFC"/>
    <w:rsid w:val="00F75F33"/>
    <w:rsid w:val="00F80A65"/>
    <w:rsid w:val="00F81358"/>
    <w:rsid w:val="00F81A3A"/>
    <w:rsid w:val="00F84007"/>
    <w:rsid w:val="00F84236"/>
    <w:rsid w:val="00FA4AAF"/>
    <w:rsid w:val="00FA7D33"/>
    <w:rsid w:val="00FB689D"/>
    <w:rsid w:val="00FC2CE4"/>
    <w:rsid w:val="00FC379E"/>
    <w:rsid w:val="00FD337C"/>
    <w:rsid w:val="00FD3BAE"/>
    <w:rsid w:val="00FD5236"/>
    <w:rsid w:val="00FD7D5B"/>
    <w:rsid w:val="00FE0F23"/>
    <w:rsid w:val="00FF0BAD"/>
    <w:rsid w:val="00FF4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F101"/>
  <w15:docId w15:val="{4EFFA544-9394-44A3-AECB-20EB9176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paragraph" w:styleId="Heading6">
    <w:name w:val="heading 6"/>
    <w:basedOn w:val="Normal"/>
    <w:next w:val="Normal"/>
    <w:link w:val="Heading6Char"/>
    <w:uiPriority w:val="9"/>
    <w:semiHidden/>
    <w:qFormat/>
    <w:rsid w:val="006675CD"/>
    <w:pPr>
      <w:keepNext/>
      <w:tabs>
        <w:tab w:val="left" w:pos="2115"/>
      </w:tabs>
      <w:spacing w:before="1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unhideWhenUsed/>
    <w:rsid w:val="00700A80"/>
    <w:rPr>
      <w:rFonts w:ascii="Calibri" w:hAnsi="Calibri"/>
      <w:sz w:val="18"/>
      <w:szCs w:val="18"/>
    </w:rPr>
  </w:style>
  <w:style w:type="character" w:customStyle="1" w:styleId="BalloonTextChar">
    <w:name w:val="Balloon Text Char"/>
    <w:basedOn w:val="DefaultParagraphFont"/>
    <w:link w:val="BalloonText"/>
    <w:uiPriority w:val="99"/>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E1539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BodyTextIndent">
    <w:name w:val="Body Text Indent"/>
    <w:basedOn w:val="Normal"/>
    <w:link w:val="BodyTextIndentChar"/>
    <w:uiPriority w:val="99"/>
    <w:unhideWhenUsed/>
    <w:rsid w:val="00D25F54"/>
    <w:pPr>
      <w:spacing w:after="360"/>
      <w:ind w:left="567"/>
    </w:pPr>
  </w:style>
  <w:style w:type="character" w:customStyle="1" w:styleId="BodyTextIndentChar">
    <w:name w:val="Body Text Indent Char"/>
    <w:basedOn w:val="DefaultParagraphFont"/>
    <w:link w:val="BodyTextIndent"/>
    <w:uiPriority w:val="99"/>
    <w:rsid w:val="00D25F54"/>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iPriority w:val="99"/>
    <w:unhideWhenUsed/>
    <w:rsid w:val="00877292"/>
    <w:pPr>
      <w:spacing w:before="60" w:line="240" w:lineRule="auto"/>
      <w:ind w:left="-102"/>
    </w:pPr>
  </w:style>
  <w:style w:type="character" w:customStyle="1" w:styleId="BodyTextIndent2Char">
    <w:name w:val="Body Text Indent 2 Char"/>
    <w:basedOn w:val="DefaultParagraphFont"/>
    <w:link w:val="BodyTextIndent2"/>
    <w:uiPriority w:val="99"/>
    <w:rsid w:val="00877292"/>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semiHidden/>
    <w:rsid w:val="00667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standards.gov.au/sites/default/files/2024-08/Canada%20Food%20Safety%20Assessment%20Report%20-%202024_0.pdf" TargetMode="External"/><Relationship Id="rId18" Type="http://schemas.openxmlformats.org/officeDocument/2006/relationships/hyperlink" Target="https://www.agriculture.gov.au/biosecurity-trade/import/goods/food/type/meat-off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aws.justice.gc.ca/eng/regulations/SOR-2018-108/index.html" TargetMode="External"/><Relationship Id="rId17" Type="http://schemas.openxmlformats.org/officeDocument/2006/relationships/hyperlink" Target="https://www.agriculture.gov.au/biosecurity-trade/import/goods/food/type/meat-off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biosecurity-trade/import/goods/food/type/bee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id.c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griculture.gov.au/biosecurity-trade/import/goods/food/type/raw-bee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au/Series/F2015L004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c.gov.au/business/advertising-and-promotions/country-of-origin-food-labellin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1b695a-81c7-421d-9744-05fef384426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48C88DEF8B3C4A861DFA89B176A9D3" ma:contentTypeVersion="6" ma:contentTypeDescription="Create a new document." ma:contentTypeScope="" ma:versionID="88280a3a8fcc68113811cf5ff3c87fd5">
  <xsd:schema xmlns:xsd="http://www.w3.org/2001/XMLSchema" xmlns:xs="http://www.w3.org/2001/XMLSchema" xmlns:p="http://schemas.microsoft.com/office/2006/metadata/properties" xmlns:ns2="73972887-f10e-42ee-99fa-2c1d351c429c" xmlns:ns3="e51b695a-81c7-421d-9744-05fef3844267" targetNamespace="http://schemas.microsoft.com/office/2006/metadata/properties" ma:root="true" ma:fieldsID="654e3fedd1851635d5b1fdc5e0c5e7fe" ns2:_="" ns3:_="">
    <xsd:import namespace="73972887-f10e-42ee-99fa-2c1d351c429c"/>
    <xsd:import namespace="e51b695a-81c7-421d-9744-05fef3844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72887-f10e-42ee-99fa-2c1d351c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b695a-81c7-421d-9744-05fef38442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e51b695a-81c7-421d-9744-05fef3844267"/>
  </ds:schemaRefs>
</ds:datastoreItem>
</file>

<file path=customXml/itemProps4.xml><?xml version="1.0" encoding="utf-8"?>
<ds:datastoreItem xmlns:ds="http://schemas.openxmlformats.org/officeDocument/2006/customXml" ds:itemID="{46FD375E-B1B0-4670-BC02-AEEF3A06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72887-f10e-42ee-99fa-2c1d351c429c"/>
    <ds:schemaRef ds:uri="e51b695a-81c7-421d-9744-05fef384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5</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Fresh (chilled or frozen) beef and beef products from Canada - Stakeholder Response Summary</vt:lpstr>
    </vt:vector>
  </TitlesOfParts>
  <Company/>
  <LinksUpToDate>false</LinksUpToDate>
  <CharactersWithSpaces>11925</CharactersWithSpaces>
  <SharedDoc>false</SharedDoc>
  <HLinks>
    <vt:vector size="54" baseType="variant">
      <vt:variant>
        <vt:i4>720921</vt:i4>
      </vt:variant>
      <vt:variant>
        <vt:i4>24</vt:i4>
      </vt:variant>
      <vt:variant>
        <vt:i4>0</vt:i4>
      </vt:variant>
      <vt:variant>
        <vt:i4>5</vt:i4>
      </vt:variant>
      <vt:variant>
        <vt:lpwstr>https://www.legislation.gov.au/Series/F2015L00468</vt:lpwstr>
      </vt:variant>
      <vt:variant>
        <vt:lpwstr/>
      </vt:variant>
      <vt:variant>
        <vt:i4>6684777</vt:i4>
      </vt:variant>
      <vt:variant>
        <vt:i4>21</vt:i4>
      </vt:variant>
      <vt:variant>
        <vt:i4>0</vt:i4>
      </vt:variant>
      <vt:variant>
        <vt:i4>5</vt:i4>
      </vt:variant>
      <vt:variant>
        <vt:lpwstr>https://www.agriculture.gov.au/biosecurity-trade/import/goods/food/type/meat-offal</vt:lpwstr>
      </vt:variant>
      <vt:variant>
        <vt:lpwstr/>
      </vt:variant>
      <vt:variant>
        <vt:i4>6684777</vt:i4>
      </vt:variant>
      <vt:variant>
        <vt:i4>18</vt:i4>
      </vt:variant>
      <vt:variant>
        <vt:i4>0</vt:i4>
      </vt:variant>
      <vt:variant>
        <vt:i4>5</vt:i4>
      </vt:variant>
      <vt:variant>
        <vt:lpwstr>https://www.agriculture.gov.au/biosecurity-trade/import/goods/food/type/meat-offal</vt:lpwstr>
      </vt:variant>
      <vt:variant>
        <vt:lpwstr/>
      </vt:variant>
      <vt:variant>
        <vt:i4>1114184</vt:i4>
      </vt:variant>
      <vt:variant>
        <vt:i4>15</vt:i4>
      </vt:variant>
      <vt:variant>
        <vt:i4>0</vt:i4>
      </vt:variant>
      <vt:variant>
        <vt:i4>5</vt:i4>
      </vt:variant>
      <vt:variant>
        <vt:lpwstr>https://www.agriculture.gov.au/biosecurity-trade/import/goods/food/type/beef</vt:lpwstr>
      </vt:variant>
      <vt:variant>
        <vt:lpwstr/>
      </vt:variant>
      <vt:variant>
        <vt:i4>6094925</vt:i4>
      </vt:variant>
      <vt:variant>
        <vt:i4>12</vt:i4>
      </vt:variant>
      <vt:variant>
        <vt:i4>0</vt:i4>
      </vt:variant>
      <vt:variant>
        <vt:i4>5</vt:i4>
      </vt:variant>
      <vt:variant>
        <vt:lpwstr>https://www.agriculture.gov.au/biosecurity-trade/import/goods/food/type/raw-beef</vt:lpwstr>
      </vt:variant>
      <vt:variant>
        <vt:lpwstr/>
      </vt:variant>
      <vt:variant>
        <vt:i4>6225930</vt:i4>
      </vt:variant>
      <vt:variant>
        <vt:i4>9</vt:i4>
      </vt:variant>
      <vt:variant>
        <vt:i4>0</vt:i4>
      </vt:variant>
      <vt:variant>
        <vt:i4>5</vt:i4>
      </vt:variant>
      <vt:variant>
        <vt:lpwstr>https://www.accc.gov.au/business/advertising-and-promotions/country-of-origin-food-labelling</vt:lpwstr>
      </vt:variant>
      <vt:variant>
        <vt:lpwstr/>
      </vt:variant>
      <vt:variant>
        <vt:i4>7864332</vt:i4>
      </vt:variant>
      <vt:variant>
        <vt:i4>6</vt:i4>
      </vt:variant>
      <vt:variant>
        <vt:i4>0</vt:i4>
      </vt:variant>
      <vt:variant>
        <vt:i4>5</vt:i4>
      </vt:variant>
      <vt:variant>
        <vt:lpwstr>https://www.foodstandards.gov.au/sites/default/files/2024-08/Canada Food Safety Assessment Report - 2024_0.pdf</vt:lpwstr>
      </vt:variant>
      <vt:variant>
        <vt:lpwstr/>
      </vt:variant>
      <vt:variant>
        <vt:i4>2097213</vt:i4>
      </vt:variant>
      <vt:variant>
        <vt:i4>3</vt:i4>
      </vt:variant>
      <vt:variant>
        <vt:i4>0</vt:i4>
      </vt:variant>
      <vt:variant>
        <vt:i4>5</vt:i4>
      </vt:variant>
      <vt:variant>
        <vt:lpwstr>https://laws.justice.gc.ca/eng/regulations/SOR-2018-108/index.html</vt:lpwstr>
      </vt:variant>
      <vt:variant>
        <vt:lpwstr/>
      </vt:variant>
      <vt:variant>
        <vt:i4>65551</vt:i4>
      </vt:variant>
      <vt:variant>
        <vt:i4>0</vt:i4>
      </vt:variant>
      <vt:variant>
        <vt:i4>0</vt:i4>
      </vt:variant>
      <vt:variant>
        <vt:i4>5</vt:i4>
      </vt:variant>
      <vt:variant>
        <vt:lpwstr>https://www.canadaid.ca/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 (chilled or frozen) beef and beef products from Canada - Stakeholder Response Summary</dc:title>
  <dc:subject/>
  <dc:creator>Department of Agriculture, Fisheries and Forestry</dc:creator>
  <cp:keywords/>
  <cp:lastModifiedBy>Larkins, Bernadette</cp:lastModifiedBy>
  <cp:revision>6</cp:revision>
  <cp:lastPrinted>2025-02-06T02:10:00Z</cp:lastPrinted>
  <dcterms:created xsi:type="dcterms:W3CDTF">2024-09-23T23:32:00Z</dcterms:created>
  <dcterms:modified xsi:type="dcterms:W3CDTF">2025-02-12T01:44:00Z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0x010100B648C88DEF8B3C4A861DFA89B176A9D3</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Order">
    <vt:r8>682100</vt:r8>
  </property>
  <property fmtid="{D5CDD505-2E9C-101B-9397-08002B2CF9AE}" pid="17" name="xd_Signature">
    <vt:bool>false</vt:bool>
  </property>
  <property fmtid="{D5CDD505-2E9C-101B-9397-08002B2CF9AE}" pid="18" name="xd_ProgID">
    <vt:lpwstr/>
  </property>
  <property fmtid="{D5CDD505-2E9C-101B-9397-08002B2CF9AE}" pid="19" name="Status">
    <vt:lpwstr>Draft</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